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6597" w14:textId="3F42A7F1" w:rsidR="00532A72" w:rsidRPr="00DD0D1F" w:rsidRDefault="003672E3" w:rsidP="00C624FE">
      <w:pPr>
        <w:pStyle w:val="ResimYazs"/>
        <w:jc w:val="center"/>
        <w:rPr>
          <w:rFonts w:cs="Times New Roman"/>
          <w:color w:val="auto"/>
          <w:szCs w:val="24"/>
        </w:rPr>
      </w:pPr>
      <w:r w:rsidRPr="00DD0D1F">
        <w:rPr>
          <w:rFonts w:cs="Times New Roman"/>
          <w:color w:val="auto"/>
          <w:szCs w:val="24"/>
        </w:rPr>
        <w:t xml:space="preserve">ENERJİ </w:t>
      </w:r>
      <w:r w:rsidR="00C15041" w:rsidRPr="00DD0D1F">
        <w:rPr>
          <w:rFonts w:cs="Times New Roman"/>
          <w:color w:val="auto"/>
          <w:szCs w:val="24"/>
        </w:rPr>
        <w:t xml:space="preserve">ÜRETİMİ </w:t>
      </w:r>
      <w:r w:rsidRPr="00DD0D1F">
        <w:rPr>
          <w:rFonts w:cs="Times New Roman"/>
          <w:color w:val="auto"/>
          <w:szCs w:val="24"/>
        </w:rPr>
        <w:t xml:space="preserve">SEKTÖRÜNDE </w:t>
      </w:r>
      <w:r w:rsidR="00581A58" w:rsidRPr="00DD0D1F">
        <w:rPr>
          <w:rFonts w:cs="Times New Roman"/>
          <w:color w:val="auto"/>
          <w:szCs w:val="24"/>
        </w:rPr>
        <w:t>MEVCUT EN İYİ TEKNİKLER TEBLİĞİ</w:t>
      </w:r>
    </w:p>
    <w:p w14:paraId="1C3941E0" w14:textId="77777777" w:rsidR="00581A58" w:rsidRPr="00DD0D1F" w:rsidRDefault="00532A72" w:rsidP="00581A58">
      <w:pPr>
        <w:pStyle w:val="ResimYazs"/>
        <w:spacing w:line="276" w:lineRule="auto"/>
        <w:jc w:val="center"/>
        <w:rPr>
          <w:rFonts w:cs="Times New Roman"/>
          <w:color w:val="auto"/>
          <w:szCs w:val="24"/>
        </w:rPr>
      </w:pPr>
      <w:r w:rsidRPr="00DD0D1F">
        <w:rPr>
          <w:rFonts w:cs="Times New Roman"/>
          <w:color w:val="auto"/>
          <w:szCs w:val="24"/>
        </w:rPr>
        <w:t>BİRİNCİ</w:t>
      </w:r>
      <w:r w:rsidRPr="00DD0D1F">
        <w:rPr>
          <w:rFonts w:cs="Times New Roman"/>
          <w:color w:val="auto"/>
          <w:spacing w:val="-3"/>
          <w:szCs w:val="24"/>
        </w:rPr>
        <w:t xml:space="preserve"> </w:t>
      </w:r>
      <w:r w:rsidRPr="00DD0D1F">
        <w:rPr>
          <w:rFonts w:cs="Times New Roman"/>
          <w:color w:val="auto"/>
          <w:szCs w:val="24"/>
        </w:rPr>
        <w:t>BÖLÜM</w:t>
      </w:r>
    </w:p>
    <w:p w14:paraId="4932B545" w14:textId="6F813A52" w:rsidR="00532A72" w:rsidRPr="00DD0D1F" w:rsidRDefault="000C3C5B" w:rsidP="00487D38">
      <w:pPr>
        <w:pStyle w:val="GvdeMetni"/>
        <w:jc w:val="center"/>
        <w:rPr>
          <w:b/>
          <w:sz w:val="24"/>
          <w:szCs w:val="24"/>
        </w:rPr>
      </w:pPr>
      <w:r w:rsidRPr="00DD0D1F">
        <w:rPr>
          <w:b/>
          <w:sz w:val="24"/>
          <w:szCs w:val="24"/>
        </w:rPr>
        <w:t>Başlangıç Hükümleri</w:t>
      </w:r>
    </w:p>
    <w:p w14:paraId="3960E219" w14:textId="77777777" w:rsidR="00423C8D" w:rsidRPr="00DD0D1F" w:rsidRDefault="00532A72" w:rsidP="00570906">
      <w:pPr>
        <w:pStyle w:val="Balk1"/>
        <w:numPr>
          <w:ilvl w:val="0"/>
          <w:numId w:val="0"/>
        </w:numPr>
        <w:spacing w:line="276" w:lineRule="auto"/>
        <w:ind w:left="432" w:hanging="432"/>
        <w:rPr>
          <w:rFonts w:cs="Times New Roman"/>
          <w:szCs w:val="24"/>
        </w:rPr>
      </w:pPr>
      <w:r w:rsidRPr="00DD0D1F">
        <w:rPr>
          <w:rFonts w:cs="Times New Roman"/>
          <w:szCs w:val="24"/>
        </w:rPr>
        <w:t>Amaç</w:t>
      </w:r>
    </w:p>
    <w:p w14:paraId="311FD86E" w14:textId="2F2E8D51" w:rsidR="007925B9" w:rsidRPr="00E04589" w:rsidRDefault="00423C8D" w:rsidP="007925B9">
      <w:pPr>
        <w:pStyle w:val="Normaltext"/>
        <w:rPr>
          <w:rFonts w:cs="Times New Roman"/>
        </w:rPr>
      </w:pPr>
      <w:r w:rsidRPr="007925B9">
        <w:rPr>
          <w:rFonts w:eastAsiaTheme="majorEastAsia" w:cs="Times New Roman"/>
          <w:b/>
          <w:iCs w:val="0"/>
          <w:szCs w:val="24"/>
          <w:lang w:eastAsia="en-US"/>
        </w:rPr>
        <w:t>MADDE 1</w:t>
      </w:r>
      <w:r w:rsidRPr="00DD0D1F">
        <w:rPr>
          <w:rFonts w:cs="Times New Roman"/>
          <w:szCs w:val="24"/>
        </w:rPr>
        <w:t xml:space="preserve">- (1) </w:t>
      </w:r>
      <w:r w:rsidR="007925B9" w:rsidRPr="00E04589">
        <w:rPr>
          <w:rFonts w:cs="Times New Roman"/>
        </w:rPr>
        <w:t xml:space="preserve">Bu Tebliğin amacı; çevrenin ve insan sağlığının bütüncül olarak korunması için </w:t>
      </w:r>
      <w:r w:rsidR="007925B9" w:rsidRPr="00E04589">
        <w:rPr>
          <w:rFonts w:eastAsia="Times New Roman" w:cs="Times New Roman"/>
          <w:szCs w:val="24"/>
          <w:lang w:eastAsia="tr-TR"/>
        </w:rPr>
        <w:t xml:space="preserve">sıfır kirlilik hedefleri doğrultusunda entegre kirlilik önleme ve kontrol yaklaşımıyla </w:t>
      </w:r>
      <w:r w:rsidR="007925B9" w:rsidRPr="00E04589">
        <w:rPr>
          <w:rFonts w:cs="Times New Roman"/>
        </w:rPr>
        <w:t>hava, su,</w:t>
      </w:r>
      <w:r w:rsidR="007925B9">
        <w:rPr>
          <w:rFonts w:cs="Times New Roman"/>
        </w:rPr>
        <w:t xml:space="preserve"> </w:t>
      </w:r>
      <w:r w:rsidR="007925B9" w:rsidRPr="00E04589">
        <w:rPr>
          <w:rFonts w:cs="Times New Roman"/>
        </w:rPr>
        <w:t xml:space="preserve">toprak, gürültü ve koku kirliliğine </w:t>
      </w:r>
      <w:r w:rsidR="007925B9" w:rsidRPr="00E04589">
        <w:rPr>
          <w:rFonts w:eastAsia="Times New Roman" w:cs="Times New Roman"/>
          <w:szCs w:val="24"/>
          <w:lang w:eastAsia="tr-TR"/>
        </w:rPr>
        <w:t xml:space="preserve">neden olan </w:t>
      </w:r>
      <w:r w:rsidR="007925B9">
        <w:rPr>
          <w:rFonts w:cs="Times New Roman"/>
        </w:rPr>
        <w:t>enerji üretimi</w:t>
      </w:r>
      <w:r w:rsidR="007925B9" w:rsidRPr="00E04589">
        <w:rPr>
          <w:rFonts w:cs="Times New Roman"/>
        </w:rPr>
        <w:t xml:space="preserve"> sektöründen kaynaklı</w:t>
      </w:r>
      <w:r w:rsidR="007925B9" w:rsidRPr="00E04589">
        <w:rPr>
          <w:rFonts w:eastAsia="Times New Roman" w:cs="Times New Roman"/>
          <w:szCs w:val="24"/>
          <w:lang w:eastAsia="tr-TR"/>
        </w:rPr>
        <w:t xml:space="preserve"> sanayi emisyonlarını ve atık oluşumunu kaynağında önlemek ve azaltmak ile kaynakları verimli kullanmak için sanayide yeşil dönüşüme, döngüsel ekonomiye ve karbonsuzlaşmaya</w:t>
      </w:r>
      <w:r w:rsidR="007925B9" w:rsidRPr="00E04589">
        <w:rPr>
          <w:rFonts w:cs="Times New Roman"/>
        </w:rPr>
        <w:t xml:space="preserve"> yönelik işletmelere Sanayide Yeşil Dönüşüm Belgelendirme sürecine esas Mevcut En İyi Teknikler (MET) ile Mevcut En İyi Teknikler ile ilişkili emisyon</w:t>
      </w:r>
      <w:r w:rsidR="007925B9" w:rsidRPr="00E04589">
        <w:rPr>
          <w:rFonts w:cs="Times New Roman"/>
          <w:spacing w:val="1"/>
        </w:rPr>
        <w:t xml:space="preserve"> </w:t>
      </w:r>
      <w:r w:rsidR="007925B9" w:rsidRPr="00E04589">
        <w:rPr>
          <w:rFonts w:cs="Times New Roman"/>
        </w:rPr>
        <w:t>seviyelerini</w:t>
      </w:r>
      <w:r w:rsidR="007925B9" w:rsidRPr="00E04589">
        <w:rPr>
          <w:rFonts w:cs="Times New Roman"/>
          <w:spacing w:val="-3"/>
        </w:rPr>
        <w:t xml:space="preserve"> </w:t>
      </w:r>
      <w:r w:rsidR="007925B9" w:rsidRPr="00E04589">
        <w:rPr>
          <w:rFonts w:cs="Times New Roman"/>
        </w:rPr>
        <w:t>(MET-İES) düzenlemektir.</w:t>
      </w:r>
    </w:p>
    <w:p w14:paraId="15997D1A" w14:textId="2DBEB11B" w:rsidR="00AC190D" w:rsidRPr="00DD0D1F" w:rsidRDefault="00532A72" w:rsidP="007925B9">
      <w:pPr>
        <w:pStyle w:val="Balk1"/>
        <w:numPr>
          <w:ilvl w:val="0"/>
          <w:numId w:val="0"/>
        </w:numPr>
        <w:spacing w:line="276" w:lineRule="auto"/>
        <w:rPr>
          <w:rFonts w:cs="Times New Roman"/>
          <w:szCs w:val="24"/>
        </w:rPr>
      </w:pPr>
      <w:r w:rsidRPr="00DD0D1F">
        <w:rPr>
          <w:rFonts w:cs="Times New Roman"/>
          <w:szCs w:val="24"/>
        </w:rPr>
        <w:t>Kapsam</w:t>
      </w:r>
    </w:p>
    <w:p w14:paraId="409B7A57" w14:textId="77777777" w:rsidR="00570906" w:rsidRPr="00DD0D1F" w:rsidRDefault="000D7293" w:rsidP="00570906">
      <w:pPr>
        <w:pStyle w:val="Balk1"/>
        <w:numPr>
          <w:ilvl w:val="0"/>
          <w:numId w:val="0"/>
        </w:numPr>
        <w:spacing w:line="240" w:lineRule="auto"/>
        <w:ind w:left="432" w:hanging="432"/>
        <w:rPr>
          <w:rFonts w:cs="Times New Roman"/>
          <w:b w:val="0"/>
          <w:szCs w:val="24"/>
        </w:rPr>
      </w:pPr>
      <w:r w:rsidRPr="00DD0D1F">
        <w:rPr>
          <w:rFonts w:cs="Times New Roman"/>
          <w:szCs w:val="24"/>
        </w:rPr>
        <w:t>MADDE</w:t>
      </w:r>
      <w:r w:rsidR="00CF1EAE" w:rsidRPr="00DD0D1F">
        <w:rPr>
          <w:rFonts w:cs="Times New Roman"/>
          <w:szCs w:val="24"/>
        </w:rPr>
        <w:t xml:space="preserve"> 2- </w:t>
      </w:r>
      <w:r w:rsidR="00532A72" w:rsidRPr="00DD0D1F">
        <w:rPr>
          <w:rFonts w:cs="Times New Roman"/>
          <w:b w:val="0"/>
          <w:szCs w:val="24"/>
        </w:rPr>
        <w:t xml:space="preserve">(1) Bu tebliğ, </w:t>
      </w:r>
      <w:r w:rsidR="00F93E94" w:rsidRPr="00DD0D1F">
        <w:rPr>
          <w:rFonts w:cs="Times New Roman"/>
          <w:b w:val="0"/>
          <w:szCs w:val="24"/>
        </w:rPr>
        <w:t>Yönetmelik</w:t>
      </w:r>
      <w:r w:rsidR="00532A72" w:rsidRPr="00DD0D1F">
        <w:rPr>
          <w:rFonts w:cs="Times New Roman"/>
          <w:b w:val="0"/>
          <w:szCs w:val="24"/>
        </w:rPr>
        <w:t xml:space="preserve"> Ek</w:t>
      </w:r>
      <w:r w:rsidR="00581A58" w:rsidRPr="00DD0D1F">
        <w:rPr>
          <w:rFonts w:cs="Times New Roman"/>
          <w:b w:val="0"/>
          <w:szCs w:val="24"/>
        </w:rPr>
        <w:t>-1</w:t>
      </w:r>
      <w:r w:rsidR="00532A72" w:rsidRPr="00DD0D1F">
        <w:rPr>
          <w:rFonts w:cs="Times New Roman"/>
          <w:b w:val="0"/>
          <w:szCs w:val="24"/>
        </w:rPr>
        <w:t>’de yer alan</w:t>
      </w:r>
      <w:r w:rsidR="00570906" w:rsidRPr="00DD0D1F">
        <w:rPr>
          <w:rFonts w:cs="Times New Roman"/>
          <w:b w:val="0"/>
          <w:szCs w:val="24"/>
        </w:rPr>
        <w:t>,</w:t>
      </w:r>
    </w:p>
    <w:p w14:paraId="3C611A59" w14:textId="05163929" w:rsidR="00532A72" w:rsidRPr="00DD0D1F" w:rsidRDefault="00532A72" w:rsidP="00570906">
      <w:pPr>
        <w:pStyle w:val="Balk1"/>
        <w:numPr>
          <w:ilvl w:val="0"/>
          <w:numId w:val="0"/>
        </w:numPr>
        <w:spacing w:line="240" w:lineRule="auto"/>
        <w:ind w:left="432" w:hanging="432"/>
        <w:rPr>
          <w:rFonts w:cs="Times New Roman"/>
          <w:spacing w:val="56"/>
          <w:szCs w:val="24"/>
        </w:rPr>
      </w:pPr>
      <w:r w:rsidRPr="00DD0D1F">
        <w:rPr>
          <w:rFonts w:cs="Times New Roman"/>
          <w:spacing w:val="56"/>
          <w:szCs w:val="24"/>
        </w:rPr>
        <w:t xml:space="preserve"> </w:t>
      </w:r>
    </w:p>
    <w:p w14:paraId="36D66CC5" w14:textId="15D3C32A" w:rsidR="00C15041" w:rsidRPr="00DD0D1F" w:rsidRDefault="00C15041" w:rsidP="00FF111D">
      <w:pPr>
        <w:widowControl w:val="0"/>
        <w:numPr>
          <w:ilvl w:val="0"/>
          <w:numId w:val="14"/>
        </w:numPr>
        <w:tabs>
          <w:tab w:val="left" w:pos="480"/>
        </w:tabs>
        <w:spacing w:line="240" w:lineRule="auto"/>
        <w:ind w:left="720"/>
        <w:rPr>
          <w:rFonts w:eastAsia="Times New Roman" w:cs="Times New Roman"/>
          <w:szCs w:val="24"/>
        </w:rPr>
      </w:pPr>
      <w:r w:rsidRPr="00DD0D1F">
        <w:rPr>
          <w:rFonts w:eastAsia="Times New Roman" w:cs="Times New Roman"/>
          <w:szCs w:val="24"/>
        </w:rPr>
        <w:t xml:space="preserve">Yakma sistemi anma ısıl gücü 50 MW ve üzerinde olan tesisler </w:t>
      </w:r>
      <w:r w:rsidR="00170238" w:rsidRPr="00DD0D1F">
        <w:rPr>
          <w:rFonts w:eastAsia="Times New Roman" w:cs="Times New Roman"/>
          <w:szCs w:val="24"/>
        </w:rPr>
        <w:t>(büyük yakma tesisleri)</w:t>
      </w:r>
    </w:p>
    <w:p w14:paraId="5B1799FB" w14:textId="7F99E7F9" w:rsidR="00C15041" w:rsidRPr="00DD0D1F" w:rsidRDefault="00C15041" w:rsidP="00FF111D">
      <w:pPr>
        <w:widowControl w:val="0"/>
        <w:numPr>
          <w:ilvl w:val="0"/>
          <w:numId w:val="14"/>
        </w:numPr>
        <w:tabs>
          <w:tab w:val="left" w:pos="480"/>
        </w:tabs>
        <w:spacing w:line="240" w:lineRule="auto"/>
        <w:ind w:left="720"/>
        <w:rPr>
          <w:rFonts w:eastAsia="Times New Roman" w:cs="Times New Roman"/>
          <w:szCs w:val="24"/>
        </w:rPr>
      </w:pPr>
      <w:r w:rsidRPr="00DD0D1F">
        <w:rPr>
          <w:rFonts w:eastAsia="Times New Roman" w:cs="Times New Roman"/>
          <w:szCs w:val="24"/>
        </w:rPr>
        <w:t>Petrol ve petrol ürünlerinin ve gazların rafine edildiği tesisler</w:t>
      </w:r>
    </w:p>
    <w:p w14:paraId="14777D9C" w14:textId="77777777" w:rsidR="00C15041" w:rsidRPr="00DD0D1F" w:rsidRDefault="00C15041" w:rsidP="00FF111D">
      <w:pPr>
        <w:widowControl w:val="0"/>
        <w:numPr>
          <w:ilvl w:val="0"/>
          <w:numId w:val="14"/>
        </w:numPr>
        <w:tabs>
          <w:tab w:val="left" w:pos="480"/>
        </w:tabs>
        <w:spacing w:line="240" w:lineRule="auto"/>
        <w:ind w:left="720"/>
        <w:rPr>
          <w:rFonts w:eastAsia="Times New Roman" w:cs="Times New Roman"/>
          <w:szCs w:val="24"/>
        </w:rPr>
      </w:pPr>
      <w:bookmarkStart w:id="0" w:name="_heading=h.gjdgxs" w:colFirst="0" w:colLast="0"/>
      <w:bookmarkEnd w:id="0"/>
      <w:r w:rsidRPr="00DD0D1F">
        <w:rPr>
          <w:rFonts w:eastAsia="Times New Roman" w:cs="Times New Roman"/>
          <w:szCs w:val="24"/>
        </w:rPr>
        <w:t>Gazlaştırma, sıvılaştırma veya piroliz*</w:t>
      </w:r>
    </w:p>
    <w:p w14:paraId="471A90C7" w14:textId="77777777" w:rsidR="00C15041" w:rsidRPr="00DD0D1F" w:rsidRDefault="00C15041" w:rsidP="00C15041">
      <w:pPr>
        <w:widowControl w:val="0"/>
        <w:pBdr>
          <w:top w:val="nil"/>
          <w:left w:val="nil"/>
          <w:bottom w:val="nil"/>
          <w:right w:val="nil"/>
          <w:between w:val="nil"/>
        </w:pBdr>
        <w:tabs>
          <w:tab w:val="left" w:pos="480"/>
        </w:tabs>
        <w:spacing w:line="240" w:lineRule="auto"/>
        <w:ind w:left="567"/>
        <w:rPr>
          <w:rFonts w:eastAsia="Times New Roman" w:cs="Times New Roman"/>
          <w:szCs w:val="24"/>
        </w:rPr>
      </w:pPr>
      <w:r w:rsidRPr="00DD0D1F">
        <w:rPr>
          <w:rFonts w:eastAsia="Times New Roman" w:cs="Times New Roman"/>
          <w:szCs w:val="24"/>
        </w:rPr>
        <w:tab/>
      </w:r>
      <w:r w:rsidRPr="00DD0D1F">
        <w:rPr>
          <w:rFonts w:eastAsia="Times New Roman" w:cs="Times New Roman"/>
          <w:szCs w:val="24"/>
        </w:rPr>
        <w:tab/>
        <w:t xml:space="preserve">a) Kömür </w:t>
      </w:r>
    </w:p>
    <w:p w14:paraId="61310A97" w14:textId="52599F3C" w:rsidR="00C15041" w:rsidRPr="00DD0D1F" w:rsidRDefault="00C15041" w:rsidP="00C15041">
      <w:pPr>
        <w:widowControl w:val="0"/>
        <w:spacing w:line="240" w:lineRule="auto"/>
        <w:ind w:left="567"/>
        <w:rPr>
          <w:rFonts w:eastAsia="Times New Roman" w:cs="Times New Roman"/>
          <w:szCs w:val="24"/>
        </w:rPr>
      </w:pPr>
      <w:r w:rsidRPr="00DD0D1F">
        <w:rPr>
          <w:rFonts w:eastAsia="Times New Roman" w:cs="Times New Roman"/>
          <w:szCs w:val="24"/>
        </w:rPr>
        <w:tab/>
      </w:r>
      <w:r w:rsidRPr="00DD0D1F">
        <w:rPr>
          <w:rFonts w:eastAsia="Times New Roman" w:cs="Times New Roman"/>
          <w:szCs w:val="24"/>
        </w:rPr>
        <w:tab/>
        <w:t>b) Yakma sistemi anma ısıl gücü 20 MW ve üzerinde olan tesislerde kullanılan diğer yakıtlar</w:t>
      </w:r>
    </w:p>
    <w:p w14:paraId="6898F5DB" w14:textId="560BFA85" w:rsidR="00D65358" w:rsidRPr="00DD0D1F" w:rsidRDefault="00D65358" w:rsidP="006C5D46">
      <w:pPr>
        <w:pStyle w:val="GvdeMetni"/>
        <w:ind w:left="-78"/>
        <w:jc w:val="both"/>
        <w:rPr>
          <w:sz w:val="24"/>
          <w:szCs w:val="24"/>
          <w:lang w:val="es-ES" w:eastAsia="es-ES"/>
        </w:rPr>
      </w:pPr>
      <w:r w:rsidRPr="00DD0D1F">
        <w:rPr>
          <w:sz w:val="24"/>
          <w:szCs w:val="24"/>
          <w:lang w:val="es-ES" w:eastAsia="es-ES"/>
        </w:rPr>
        <w:t>faaliyetlerini kapsamaktadır.</w:t>
      </w:r>
    </w:p>
    <w:p w14:paraId="3AB46E78" w14:textId="2B8C6123" w:rsidR="00AF4024" w:rsidRPr="00DD0D1F" w:rsidRDefault="00AF4024" w:rsidP="00AF4024">
      <w:pPr>
        <w:pStyle w:val="GvdeMetni"/>
        <w:jc w:val="both"/>
        <w:rPr>
          <w:spacing w:val="-2"/>
          <w:sz w:val="24"/>
          <w:szCs w:val="24"/>
        </w:rPr>
      </w:pPr>
    </w:p>
    <w:p w14:paraId="4E6AFED8" w14:textId="77777777" w:rsidR="002B5C66" w:rsidRPr="00DD0D1F" w:rsidRDefault="002B5C66" w:rsidP="002B5C66">
      <w:pPr>
        <w:pStyle w:val="GvdeMetni"/>
        <w:jc w:val="both"/>
        <w:rPr>
          <w:b/>
          <w:sz w:val="24"/>
          <w:szCs w:val="24"/>
          <w:lang w:val="es-ES" w:eastAsia="es-ES"/>
        </w:rPr>
      </w:pPr>
      <w:r w:rsidRPr="00DD0D1F">
        <w:rPr>
          <w:b/>
          <w:sz w:val="24"/>
          <w:szCs w:val="24"/>
          <w:lang w:val="es-ES" w:eastAsia="es-ES"/>
        </w:rPr>
        <w:t xml:space="preserve">Dayanak </w:t>
      </w:r>
    </w:p>
    <w:p w14:paraId="79BF880C" w14:textId="03E106E8" w:rsidR="002B5C66" w:rsidRPr="00DD0D1F" w:rsidRDefault="002B5C66" w:rsidP="002B5C66">
      <w:pPr>
        <w:pStyle w:val="GvdeMetni"/>
        <w:jc w:val="both"/>
        <w:rPr>
          <w:rFonts w:eastAsiaTheme="minorHAnsi"/>
          <w:sz w:val="24"/>
          <w:szCs w:val="24"/>
          <w:lang w:val="en-US" w:bidi="tr-TR"/>
        </w:rPr>
      </w:pPr>
      <w:r w:rsidRPr="00DD0D1F">
        <w:rPr>
          <w:b/>
          <w:sz w:val="24"/>
          <w:szCs w:val="24"/>
        </w:rPr>
        <w:t>MADDE 3</w:t>
      </w:r>
      <w:r w:rsidRPr="00DD0D1F">
        <w:rPr>
          <w:sz w:val="24"/>
          <w:szCs w:val="24"/>
        </w:rPr>
        <w:t xml:space="preserve">- </w:t>
      </w:r>
      <w:r w:rsidRPr="00DD0D1F">
        <w:rPr>
          <w:rFonts w:eastAsiaTheme="minorHAnsi"/>
          <w:sz w:val="24"/>
          <w:szCs w:val="24"/>
          <w:lang w:val="en-US" w:bidi="tr-TR"/>
        </w:rPr>
        <w:t>Bu Tebliğ</w:t>
      </w:r>
      <w:r w:rsidR="00DB2474" w:rsidRPr="00DD0D1F">
        <w:rPr>
          <w:rFonts w:eastAsiaTheme="minorHAnsi"/>
          <w:sz w:val="24"/>
          <w:szCs w:val="24"/>
          <w:lang w:val="en-US" w:bidi="tr-TR"/>
        </w:rPr>
        <w:t xml:space="preserve">, </w:t>
      </w:r>
      <w:r w:rsidR="00DB2474" w:rsidRPr="00DD0D1F">
        <w:rPr>
          <w:sz w:val="24"/>
          <w:szCs w:val="24"/>
          <w:lang w:eastAsia="tr-TR"/>
        </w:rPr>
        <w:t>9/8/1983 tarihli ve 2872 sayılı Çevre Kanununun 3 üncü, 8 inci ve 11 inci maddeleri ile 1 sayılı Cumhurbaşkanlığı Teşkilatı Hakkında Cumhurbaşkanlığı Kararnamesinin 103 üncü ve 104 üncü maddelerine ve</w:t>
      </w:r>
      <w:r w:rsidRPr="00DD0D1F">
        <w:rPr>
          <w:rFonts w:eastAsiaTheme="minorHAnsi"/>
          <w:sz w:val="24"/>
          <w:szCs w:val="24"/>
          <w:lang w:val="en-US" w:bidi="tr-TR"/>
        </w:rPr>
        <w:t xml:space="preserve"> </w:t>
      </w:r>
      <w:r w:rsidR="00D67F2D" w:rsidRPr="00DD0D1F">
        <w:rPr>
          <w:rFonts w:eastAsiaTheme="minorHAnsi"/>
          <w:sz w:val="24"/>
          <w:szCs w:val="24"/>
          <w:lang w:val="en-US" w:bidi="tr-TR"/>
        </w:rPr>
        <w:t>14</w:t>
      </w:r>
      <w:r w:rsidR="00DB2474" w:rsidRPr="00DD0D1F">
        <w:rPr>
          <w:rFonts w:eastAsiaTheme="minorHAnsi"/>
          <w:sz w:val="24"/>
          <w:szCs w:val="24"/>
          <w:lang w:val="en-US" w:bidi="tr-TR"/>
        </w:rPr>
        <w:t>/</w:t>
      </w:r>
      <w:r w:rsidR="00D67F2D" w:rsidRPr="00DD0D1F">
        <w:rPr>
          <w:rFonts w:eastAsiaTheme="minorHAnsi"/>
          <w:sz w:val="24"/>
          <w:szCs w:val="24"/>
          <w:lang w:val="en-US" w:bidi="tr-TR"/>
        </w:rPr>
        <w:t>01</w:t>
      </w:r>
      <w:r w:rsidR="00DB2474" w:rsidRPr="00DD0D1F">
        <w:rPr>
          <w:rFonts w:eastAsiaTheme="minorHAnsi"/>
          <w:sz w:val="24"/>
          <w:szCs w:val="24"/>
          <w:lang w:val="en-US" w:bidi="tr-TR"/>
        </w:rPr>
        <w:t>/</w:t>
      </w:r>
      <w:r w:rsidR="00D67F2D" w:rsidRPr="00DD0D1F">
        <w:rPr>
          <w:rFonts w:eastAsiaTheme="minorHAnsi"/>
          <w:sz w:val="24"/>
          <w:szCs w:val="24"/>
          <w:lang w:val="en-US" w:bidi="tr-TR"/>
        </w:rPr>
        <w:t>2025 tarihli ve 32782 sayılı Resmi Gazete’de yayımlanarak</w:t>
      </w:r>
      <w:r w:rsidR="00DB2474" w:rsidRPr="00DD0D1F">
        <w:rPr>
          <w:rFonts w:eastAsiaTheme="minorHAnsi"/>
          <w:sz w:val="24"/>
          <w:szCs w:val="24"/>
          <w:lang w:val="en-US" w:bidi="tr-TR"/>
        </w:rPr>
        <w:t xml:space="preserve"> </w:t>
      </w:r>
      <w:r w:rsidRPr="00DD0D1F">
        <w:rPr>
          <w:rFonts w:eastAsiaTheme="minorHAnsi"/>
          <w:sz w:val="24"/>
          <w:szCs w:val="24"/>
          <w:lang w:val="en-US" w:bidi="tr-TR"/>
        </w:rPr>
        <w:t xml:space="preserve">Endüstriyel Emisyonların Yönetimi Yönetmeliğine dayanılarak hazırlanmıştır. </w:t>
      </w:r>
    </w:p>
    <w:p w14:paraId="6AD2AE5F" w14:textId="77777777" w:rsidR="00DB2474" w:rsidRPr="00DD0D1F" w:rsidRDefault="00DB2474" w:rsidP="002B5C66">
      <w:pPr>
        <w:pStyle w:val="GvdeMetni"/>
        <w:jc w:val="both"/>
        <w:rPr>
          <w:rFonts w:eastAsiaTheme="minorHAnsi"/>
          <w:sz w:val="24"/>
          <w:szCs w:val="24"/>
          <w:lang w:val="en-US" w:bidi="tr-TR"/>
        </w:rPr>
      </w:pPr>
    </w:p>
    <w:p w14:paraId="43D31D8F" w14:textId="77777777" w:rsidR="00532A72" w:rsidRPr="00DD0D1F" w:rsidRDefault="00532A72" w:rsidP="00CF1EAE">
      <w:pPr>
        <w:pStyle w:val="Balk1"/>
        <w:numPr>
          <w:ilvl w:val="0"/>
          <w:numId w:val="0"/>
        </w:numPr>
        <w:spacing w:line="240" w:lineRule="auto"/>
        <w:jc w:val="left"/>
        <w:rPr>
          <w:rFonts w:cs="Times New Roman"/>
          <w:szCs w:val="24"/>
        </w:rPr>
      </w:pPr>
      <w:bookmarkStart w:id="1" w:name="_Toc126086164"/>
      <w:r w:rsidRPr="00DD0D1F">
        <w:rPr>
          <w:rFonts w:cs="Times New Roman"/>
          <w:szCs w:val="24"/>
        </w:rPr>
        <w:t>Tanımlar</w:t>
      </w:r>
      <w:bookmarkEnd w:id="1"/>
      <w:r w:rsidRPr="00DD0D1F">
        <w:rPr>
          <w:rFonts w:cs="Times New Roman"/>
          <w:szCs w:val="24"/>
        </w:rPr>
        <w:t xml:space="preserve"> </w:t>
      </w:r>
    </w:p>
    <w:p w14:paraId="1521D1B1" w14:textId="68E97C58" w:rsidR="00532A72" w:rsidRPr="00DD0D1F" w:rsidRDefault="000D7293" w:rsidP="00CF1EAE">
      <w:pPr>
        <w:pStyle w:val="Balk1"/>
        <w:numPr>
          <w:ilvl w:val="0"/>
          <w:numId w:val="0"/>
        </w:numPr>
        <w:spacing w:line="240" w:lineRule="auto"/>
        <w:rPr>
          <w:rFonts w:cs="Times New Roman"/>
          <w:b w:val="0"/>
          <w:szCs w:val="24"/>
        </w:rPr>
      </w:pPr>
      <w:r w:rsidRPr="00DD0D1F">
        <w:rPr>
          <w:rFonts w:cs="Times New Roman"/>
          <w:szCs w:val="24"/>
        </w:rPr>
        <w:t>MADDE</w:t>
      </w:r>
      <w:r w:rsidR="00532A72" w:rsidRPr="00DD0D1F">
        <w:rPr>
          <w:rFonts w:cs="Times New Roman"/>
          <w:szCs w:val="24"/>
        </w:rPr>
        <w:t xml:space="preserve"> </w:t>
      </w:r>
      <w:r w:rsidR="00C270CC" w:rsidRPr="00DD0D1F">
        <w:rPr>
          <w:rFonts w:cs="Times New Roman"/>
          <w:szCs w:val="24"/>
        </w:rPr>
        <w:t>4</w:t>
      </w:r>
      <w:r w:rsidRPr="00DD0D1F">
        <w:rPr>
          <w:rFonts w:cs="Times New Roman"/>
          <w:szCs w:val="24"/>
        </w:rPr>
        <w:t xml:space="preserve">- </w:t>
      </w:r>
      <w:r w:rsidRPr="00DD0D1F">
        <w:rPr>
          <w:rFonts w:cs="Times New Roman"/>
          <w:b w:val="0"/>
          <w:szCs w:val="24"/>
        </w:rPr>
        <w:t>(1)</w:t>
      </w:r>
      <w:r w:rsidR="00AC190D" w:rsidRPr="00DD0D1F">
        <w:rPr>
          <w:rFonts w:cs="Times New Roman"/>
          <w:szCs w:val="24"/>
        </w:rPr>
        <w:t xml:space="preserve"> </w:t>
      </w:r>
      <w:r w:rsidR="00AC190D" w:rsidRPr="00DD0D1F">
        <w:rPr>
          <w:rFonts w:cs="Times New Roman"/>
          <w:b w:val="0"/>
          <w:szCs w:val="24"/>
        </w:rPr>
        <w:t xml:space="preserve">Bu tebliğde </w:t>
      </w:r>
      <w:r w:rsidR="00400640" w:rsidRPr="00DD0D1F">
        <w:rPr>
          <w:rFonts w:cs="Times New Roman"/>
          <w:b w:val="0"/>
          <w:szCs w:val="24"/>
        </w:rPr>
        <w:t>geçen</w:t>
      </w:r>
      <w:r w:rsidR="00311D5B" w:rsidRPr="00DD0D1F">
        <w:rPr>
          <w:rFonts w:cs="Times New Roman"/>
          <w:b w:val="0"/>
          <w:szCs w:val="24"/>
        </w:rPr>
        <w:t xml:space="preserve">; </w:t>
      </w:r>
    </w:p>
    <w:p w14:paraId="5DE345CF" w14:textId="77777777" w:rsidR="0026741B" w:rsidRPr="006733A1" w:rsidRDefault="0026741B" w:rsidP="0023138D">
      <w:pPr>
        <w:spacing w:line="240" w:lineRule="atLeast"/>
        <w:rPr>
          <w:rFonts w:eastAsia="Times New Roman" w:cs="Times New Roman"/>
          <w:szCs w:val="24"/>
          <w:lang w:eastAsia="tr-TR"/>
        </w:rPr>
      </w:pPr>
      <w:r w:rsidRPr="00E04589">
        <w:rPr>
          <w:rFonts w:eastAsia="Times New Roman" w:cs="Times New Roman"/>
          <w:szCs w:val="24"/>
          <w:lang w:eastAsia="tr-TR"/>
        </w:rPr>
        <w:t xml:space="preserve">a) </w:t>
      </w:r>
      <w:r w:rsidRPr="006733A1">
        <w:rPr>
          <w:rFonts w:eastAsia="Times New Roman" w:cs="Times New Roman"/>
          <w:szCs w:val="24"/>
          <w:lang w:eastAsia="tr-TR"/>
        </w:rPr>
        <w:t>Bakanlık: Çevre, Şehircilik ve İklim Değişikliği Bakanlığını,</w:t>
      </w:r>
    </w:p>
    <w:p w14:paraId="72FA0670" w14:textId="58F880D4" w:rsidR="0026741B" w:rsidRDefault="0026741B" w:rsidP="0023138D">
      <w:pPr>
        <w:spacing w:line="240" w:lineRule="atLeast"/>
        <w:rPr>
          <w:rFonts w:eastAsia="Times New Roman" w:cs="Times New Roman"/>
          <w:szCs w:val="24"/>
          <w:lang w:eastAsia="tr-TR"/>
        </w:rPr>
      </w:pPr>
      <w:r>
        <w:rPr>
          <w:rFonts w:eastAsia="Times New Roman" w:cs="Times New Roman"/>
          <w:szCs w:val="24"/>
          <w:lang w:eastAsia="tr-TR"/>
        </w:rPr>
        <w:t xml:space="preserve">b) </w:t>
      </w:r>
      <w:r w:rsidRPr="00E04589">
        <w:rPr>
          <w:rFonts w:eastAsia="Times New Roman" w:cs="Times New Roman"/>
          <w:szCs w:val="24"/>
          <w:lang w:eastAsia="tr-TR"/>
        </w:rPr>
        <w:t>Emisyon: Maddelerin, titreşimin, ısı veya gürültünün işletme veya tesiste yer alan bir veya</w:t>
      </w:r>
      <w:r w:rsidR="0023138D">
        <w:rPr>
          <w:rFonts w:eastAsia="Times New Roman" w:cs="Times New Roman"/>
          <w:szCs w:val="24"/>
          <w:lang w:eastAsia="tr-TR"/>
        </w:rPr>
        <w:t xml:space="preserve"> </w:t>
      </w:r>
      <w:r w:rsidRPr="00E04589">
        <w:rPr>
          <w:rFonts w:eastAsia="Times New Roman" w:cs="Times New Roman"/>
          <w:szCs w:val="24"/>
          <w:lang w:eastAsia="tr-TR"/>
        </w:rPr>
        <w:t>birden fazla kaynaktan havaya, suya ya da toprağa doğrudan veya dolaylı biçimde bırakılmasını,</w:t>
      </w:r>
    </w:p>
    <w:p w14:paraId="7CD5FAA2" w14:textId="77777777" w:rsidR="0026741B" w:rsidRDefault="0026741B" w:rsidP="0023138D">
      <w:pPr>
        <w:spacing w:line="240" w:lineRule="atLeast"/>
        <w:rPr>
          <w:rFonts w:eastAsia="Times New Roman" w:cs="Times New Roman"/>
          <w:szCs w:val="24"/>
          <w:lang w:eastAsia="tr-TR"/>
        </w:rPr>
      </w:pPr>
      <w:r>
        <w:rPr>
          <w:rFonts w:eastAsia="Times New Roman" w:cs="Times New Roman"/>
          <w:szCs w:val="24"/>
          <w:lang w:eastAsia="tr-TR"/>
        </w:rPr>
        <w:t>c</w:t>
      </w:r>
      <w:r w:rsidRPr="00E04589">
        <w:rPr>
          <w:rFonts w:eastAsia="Times New Roman" w:cs="Times New Roman"/>
          <w:szCs w:val="24"/>
          <w:lang w:eastAsia="tr-TR"/>
        </w:rPr>
        <w:t>) Emisyon sınır değeri (ESD): Bir emisyonun belirli parametrelerle ifade edilen kütlesinin, belirli zaman dilimi içinde aşılmaması gereken konsantrasyonu ve/veya seviyesini,</w:t>
      </w:r>
    </w:p>
    <w:p w14:paraId="37FD141C" w14:textId="77777777"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 xml:space="preserve">ç) </w:t>
      </w:r>
      <w:r w:rsidRPr="00E04589">
        <w:rPr>
          <w:rFonts w:eastAsia="Times New Roman" w:cs="Times New Roman"/>
          <w:szCs w:val="24"/>
          <w:lang w:eastAsia="tr-TR"/>
        </w:rPr>
        <w:t>Mevcut En İyi Teknikler (MET): Çevrenin bir bütün olarak en yüksek düzeyde korunmasında teknolojik ve ekonomik sürdürülebilirliği uluslararası kabul görmüş olan, Bakanlıkça yayımlanan ve SYD belgesinin gerekliliklerine temel oluşturan, en etkin, ileri, uygulanabilir, temiz üretim teknikleri;</w:t>
      </w:r>
    </w:p>
    <w:p w14:paraId="02F9485F" w14:textId="214A2F19"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d</w:t>
      </w:r>
      <w:r w:rsidRPr="00E04589">
        <w:rPr>
          <w:rFonts w:eastAsia="Times New Roman" w:cs="Times New Roman"/>
          <w:szCs w:val="24"/>
          <w:lang w:eastAsia="tr-TR"/>
        </w:rPr>
        <w:t>)</w:t>
      </w:r>
      <w:r w:rsidR="0023138D">
        <w:rPr>
          <w:rFonts w:eastAsia="Times New Roman" w:cs="Times New Roman"/>
          <w:szCs w:val="24"/>
          <w:lang w:eastAsia="tr-TR"/>
        </w:rPr>
        <w:t xml:space="preserve"> </w:t>
      </w:r>
      <w:r w:rsidRPr="00E04589">
        <w:rPr>
          <w:rFonts w:eastAsia="Times New Roman" w:cs="Times New Roman"/>
          <w:szCs w:val="24"/>
          <w:lang w:eastAsia="tr-TR"/>
        </w:rPr>
        <w:t>Mevcut Tesis: 01/12/25 tarihi itibariyle faaliyette olan veya çevresel etki değerlendirmesi mevzuatına göre başvurusu bulunan tesis,</w:t>
      </w:r>
    </w:p>
    <w:p w14:paraId="305A21F4" w14:textId="77777777"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e</w:t>
      </w:r>
      <w:r w:rsidRPr="00E04589">
        <w:rPr>
          <w:rFonts w:eastAsia="Times New Roman" w:cs="Times New Roman"/>
          <w:szCs w:val="24"/>
          <w:lang w:eastAsia="tr-TR"/>
        </w:rPr>
        <w:t xml:space="preserve">) MET ile ilişkili emisyon seviyesi (MET-İES): Sektörel MET dokümanlarında, belli bir zaman dilimi içerisinde, belirli referans koşulları altında ortalama bir değer olarak ifade edilen, </w:t>
      </w:r>
      <w:r w:rsidRPr="00E04589">
        <w:rPr>
          <w:rFonts w:eastAsia="Times New Roman" w:cs="Times New Roman"/>
          <w:szCs w:val="24"/>
          <w:lang w:eastAsia="tr-TR"/>
        </w:rPr>
        <w:lastRenderedPageBreak/>
        <w:t>MET veya MET kombinasyonu uygulanarak elde edilen, normal işletme koşullarında erişilen emisyon seviyesi aralığını,</w:t>
      </w:r>
    </w:p>
    <w:p w14:paraId="0CD56563" w14:textId="77777777"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f</w:t>
      </w:r>
      <w:r w:rsidRPr="00E04589">
        <w:rPr>
          <w:rFonts w:eastAsia="Times New Roman" w:cs="Times New Roman"/>
          <w:szCs w:val="24"/>
          <w:lang w:eastAsia="tr-TR"/>
        </w:rPr>
        <w:t>) Yeni Tesis: Mevcut tesis tanımı dışında kalan tesis,</w:t>
      </w:r>
    </w:p>
    <w:p w14:paraId="719F45FA" w14:textId="5AF0C57F"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g)</w:t>
      </w:r>
      <w:r w:rsidRPr="00E04589">
        <w:rPr>
          <w:rFonts w:cs="Times New Roman"/>
          <w:szCs w:val="24"/>
          <w:lang w:bidi="tr-TR"/>
        </w:rPr>
        <w:t>Yönetmelik:</w:t>
      </w:r>
      <w:r w:rsidRPr="00E04589">
        <w:rPr>
          <w:rFonts w:cs="Times New Roman"/>
        </w:rPr>
        <w:t>14/01/2025 tarihli ve 32782 sayılı Resmi Gazete’</w:t>
      </w:r>
      <w:r>
        <w:rPr>
          <w:rFonts w:cs="Times New Roman"/>
        </w:rPr>
        <w:t xml:space="preserve"> </w:t>
      </w:r>
      <w:r w:rsidRPr="00E04589">
        <w:rPr>
          <w:rFonts w:cs="Times New Roman"/>
        </w:rPr>
        <w:t xml:space="preserve">de yayımlanan </w:t>
      </w:r>
      <w:r w:rsidRPr="00E04589">
        <w:rPr>
          <w:rFonts w:cs="Times New Roman"/>
          <w:szCs w:val="24"/>
          <w:lang w:bidi="tr-TR"/>
        </w:rPr>
        <w:t>Endüstriyel Emisyonların Yönetimi Yönetmeliği’ni</w:t>
      </w:r>
    </w:p>
    <w:p w14:paraId="41F85B5E" w14:textId="0075E2AD" w:rsidR="00170238" w:rsidRPr="00DD0D1F" w:rsidRDefault="00F222C6" w:rsidP="0023138D">
      <w:pPr>
        <w:pStyle w:val="metin"/>
        <w:spacing w:before="0" w:beforeAutospacing="0" w:after="0" w:afterAutospacing="0" w:line="240" w:lineRule="atLeast"/>
        <w:jc w:val="both"/>
      </w:pPr>
      <w:r>
        <w:t>ğ</w:t>
      </w:r>
      <w:r w:rsidR="004A6BA2" w:rsidRPr="00DD0D1F">
        <w:t xml:space="preserve">) </w:t>
      </w:r>
      <w:r w:rsidR="00170238" w:rsidRPr="00DD0D1F">
        <w:t>Küçük izole sistemler</w:t>
      </w:r>
      <w:r w:rsidR="004A6BA2" w:rsidRPr="00DD0D1F">
        <w:t>: Yıllık tüketimi 3000 GW saat'ten az olan ve yıllık tüketimin %5'inden azının diğer sistemlerle enterkonnekte yoluyla elde edilen küçük izole bir sistemin parçası olan yakma tesisleri,</w:t>
      </w:r>
    </w:p>
    <w:p w14:paraId="290904E1" w14:textId="77777777" w:rsidR="0026741B" w:rsidRPr="00E04589" w:rsidRDefault="0026741B" w:rsidP="0023138D">
      <w:pPr>
        <w:pStyle w:val="Normaltext"/>
        <w:rPr>
          <w:rFonts w:cs="Times New Roman"/>
        </w:rPr>
      </w:pPr>
      <w:r w:rsidRPr="00E04589">
        <w:rPr>
          <w:rFonts w:cs="Times New Roman"/>
        </w:rPr>
        <w:t>ifade eder.</w:t>
      </w:r>
      <w:bookmarkStart w:id="2" w:name="_GoBack"/>
      <w:bookmarkEnd w:id="2"/>
    </w:p>
    <w:p w14:paraId="3FE687A8" w14:textId="77777777" w:rsidR="00455E6F" w:rsidRPr="00DD0D1F" w:rsidRDefault="00455E6F" w:rsidP="00455E6F">
      <w:pPr>
        <w:pStyle w:val="Balk1"/>
        <w:numPr>
          <w:ilvl w:val="0"/>
          <w:numId w:val="0"/>
        </w:numPr>
        <w:spacing w:line="240" w:lineRule="auto"/>
        <w:rPr>
          <w:rFonts w:cs="Times New Roman"/>
          <w:b w:val="0"/>
          <w:szCs w:val="24"/>
        </w:rPr>
      </w:pPr>
      <w:bookmarkStart w:id="3" w:name="_Toc126086167"/>
      <w:r w:rsidRPr="00DD0D1F">
        <w:rPr>
          <w:rFonts w:cs="Times New Roman"/>
          <w:b w:val="0"/>
          <w:szCs w:val="24"/>
        </w:rPr>
        <w:t>(2)Bu tebliğde geçen diğer teknik terimler EK-1’de yer almaktadır.</w:t>
      </w:r>
    </w:p>
    <w:p w14:paraId="1ED72D03" w14:textId="77777777" w:rsidR="00455E6F" w:rsidRPr="00DD0D1F" w:rsidRDefault="00455E6F" w:rsidP="00487D38">
      <w:pPr>
        <w:rPr>
          <w:rFonts w:cs="Times New Roman"/>
          <w:szCs w:val="24"/>
        </w:rPr>
      </w:pPr>
    </w:p>
    <w:p w14:paraId="71A23F53" w14:textId="77777777" w:rsidR="00A64523" w:rsidRPr="00DD0D1F" w:rsidRDefault="00A64523" w:rsidP="000D7293">
      <w:pPr>
        <w:pStyle w:val="GvdeMetni"/>
        <w:spacing w:before="8"/>
        <w:jc w:val="center"/>
        <w:rPr>
          <w:sz w:val="24"/>
          <w:szCs w:val="24"/>
          <w:lang w:eastAsia="tr-TR"/>
        </w:rPr>
      </w:pPr>
    </w:p>
    <w:p w14:paraId="6BAF8DD3" w14:textId="43B42953" w:rsidR="004B4D50" w:rsidRPr="00DD0D1F" w:rsidRDefault="000D7293" w:rsidP="000D7293">
      <w:pPr>
        <w:pStyle w:val="GvdeMetni"/>
        <w:spacing w:before="8"/>
        <w:jc w:val="center"/>
        <w:rPr>
          <w:b/>
          <w:bCs/>
          <w:sz w:val="24"/>
          <w:szCs w:val="24"/>
          <w:lang w:eastAsia="tr-TR"/>
        </w:rPr>
      </w:pPr>
      <w:r w:rsidRPr="00DD0D1F">
        <w:rPr>
          <w:b/>
          <w:bCs/>
          <w:sz w:val="24"/>
          <w:szCs w:val="24"/>
          <w:lang w:eastAsia="tr-TR"/>
        </w:rPr>
        <w:t>İKİNCİ BÖLÜM</w:t>
      </w:r>
    </w:p>
    <w:p w14:paraId="48E0BF0E" w14:textId="77777777" w:rsidR="00C270CC" w:rsidRPr="00DD0D1F" w:rsidRDefault="004B4D50" w:rsidP="00C270CC">
      <w:pPr>
        <w:pStyle w:val="GvdeMetni"/>
        <w:spacing w:before="8"/>
        <w:jc w:val="center"/>
        <w:rPr>
          <w:b/>
          <w:bCs/>
          <w:sz w:val="24"/>
          <w:szCs w:val="24"/>
        </w:rPr>
      </w:pPr>
      <w:r w:rsidRPr="00DD0D1F">
        <w:rPr>
          <w:b/>
          <w:bCs/>
          <w:sz w:val="24"/>
          <w:szCs w:val="24"/>
        </w:rPr>
        <w:t>Genel Esaslar</w:t>
      </w:r>
    </w:p>
    <w:p w14:paraId="08AC1DC8" w14:textId="77777777" w:rsidR="00F66FBD" w:rsidRPr="00DD0D1F" w:rsidRDefault="00F66FBD" w:rsidP="00F66FBD">
      <w:pPr>
        <w:pStyle w:val="GvdeMetni"/>
        <w:spacing w:before="8"/>
        <w:jc w:val="both"/>
        <w:rPr>
          <w:sz w:val="24"/>
          <w:szCs w:val="24"/>
        </w:rPr>
      </w:pPr>
    </w:p>
    <w:p w14:paraId="4DFF31C2" w14:textId="3255944D" w:rsidR="008C74F5" w:rsidRPr="00DD0D1F" w:rsidRDefault="00F66FBD" w:rsidP="002F2B41">
      <w:pPr>
        <w:pStyle w:val="GvdeMetni"/>
        <w:spacing w:before="8"/>
        <w:jc w:val="both"/>
        <w:rPr>
          <w:b/>
          <w:sz w:val="24"/>
          <w:szCs w:val="24"/>
        </w:rPr>
      </w:pPr>
      <w:r w:rsidRPr="00DD0D1F">
        <w:rPr>
          <w:b/>
          <w:sz w:val="24"/>
          <w:szCs w:val="24"/>
        </w:rPr>
        <w:t>Genel MET, Sektörel MET ve  MET-İES</w:t>
      </w:r>
    </w:p>
    <w:p w14:paraId="5224D0D8" w14:textId="6127CD35" w:rsidR="008C74F5" w:rsidRPr="00DD0D1F" w:rsidRDefault="000D7293" w:rsidP="00DB2474">
      <w:pPr>
        <w:pStyle w:val="GvdeMetni"/>
        <w:spacing w:before="8"/>
        <w:jc w:val="both"/>
        <w:rPr>
          <w:sz w:val="24"/>
          <w:szCs w:val="24"/>
        </w:rPr>
      </w:pPr>
      <w:r w:rsidRPr="00DD0D1F">
        <w:rPr>
          <w:b/>
          <w:sz w:val="24"/>
          <w:szCs w:val="24"/>
        </w:rPr>
        <w:t xml:space="preserve">MADDE </w:t>
      </w:r>
      <w:r w:rsidR="002E4BB0" w:rsidRPr="00DD0D1F">
        <w:rPr>
          <w:b/>
          <w:sz w:val="24"/>
          <w:szCs w:val="24"/>
        </w:rPr>
        <w:t>5</w:t>
      </w:r>
      <w:r w:rsidRPr="00DD0D1F">
        <w:rPr>
          <w:sz w:val="24"/>
          <w:szCs w:val="24"/>
        </w:rPr>
        <w:t xml:space="preserve">- </w:t>
      </w:r>
      <w:bookmarkStart w:id="4" w:name="_Hlk192750561"/>
      <w:r w:rsidR="002F2B41" w:rsidRPr="00DD0D1F">
        <w:rPr>
          <w:sz w:val="24"/>
          <w:szCs w:val="24"/>
        </w:rPr>
        <w:t xml:space="preserve">(1) </w:t>
      </w:r>
      <w:r w:rsidR="00C14CAE" w:rsidRPr="00DD0D1F">
        <w:rPr>
          <w:sz w:val="24"/>
          <w:szCs w:val="24"/>
        </w:rPr>
        <w:t xml:space="preserve">Enerji </w:t>
      </w:r>
      <w:r w:rsidR="00A64523" w:rsidRPr="00DD0D1F">
        <w:rPr>
          <w:sz w:val="24"/>
          <w:szCs w:val="24"/>
        </w:rPr>
        <w:t>üretim faaliyetleri</w:t>
      </w:r>
      <w:r w:rsidR="002F2B41" w:rsidRPr="00DD0D1F">
        <w:rPr>
          <w:sz w:val="24"/>
          <w:szCs w:val="24"/>
        </w:rPr>
        <w:t xml:space="preserve"> için</w:t>
      </w:r>
      <w:r w:rsidR="00A93A3F" w:rsidRPr="00DD0D1F">
        <w:rPr>
          <w:sz w:val="24"/>
          <w:szCs w:val="24"/>
        </w:rPr>
        <w:t xml:space="preserve"> uygulanacak</w:t>
      </w:r>
      <w:r w:rsidR="002F2B41" w:rsidRPr="00DD0D1F">
        <w:rPr>
          <w:sz w:val="24"/>
          <w:szCs w:val="24"/>
        </w:rPr>
        <w:t xml:space="preserve"> </w:t>
      </w:r>
      <w:r w:rsidR="00B367EC" w:rsidRPr="00DD0D1F">
        <w:rPr>
          <w:sz w:val="24"/>
          <w:szCs w:val="24"/>
        </w:rPr>
        <w:t>Mevcut En İyi Teknik, MET-İES ve ESD</w:t>
      </w:r>
      <w:r w:rsidRPr="00DD0D1F">
        <w:rPr>
          <w:sz w:val="24"/>
          <w:szCs w:val="24"/>
        </w:rPr>
        <w:t>’</w:t>
      </w:r>
      <w:r w:rsidR="00B367EC" w:rsidRPr="00DD0D1F">
        <w:rPr>
          <w:sz w:val="24"/>
          <w:szCs w:val="24"/>
        </w:rPr>
        <w:t>ler</w:t>
      </w:r>
      <w:r w:rsidR="008C74F5" w:rsidRPr="00DD0D1F">
        <w:rPr>
          <w:sz w:val="24"/>
          <w:szCs w:val="24"/>
        </w:rPr>
        <w:t xml:space="preserve"> </w:t>
      </w:r>
      <w:r w:rsidR="00A93A3F" w:rsidRPr="00DD0D1F">
        <w:rPr>
          <w:sz w:val="24"/>
          <w:szCs w:val="24"/>
        </w:rPr>
        <w:t>belirlenmiştir.</w:t>
      </w:r>
      <w:r w:rsidR="008C74F5" w:rsidRPr="00DD0D1F">
        <w:rPr>
          <w:sz w:val="24"/>
          <w:szCs w:val="24"/>
        </w:rPr>
        <w:t xml:space="preserve"> </w:t>
      </w:r>
    </w:p>
    <w:p w14:paraId="2758A49E" w14:textId="0EDC0C15" w:rsidR="00B45F03" w:rsidRPr="00DD0D1F" w:rsidRDefault="00B45F03" w:rsidP="00FF111D">
      <w:pPr>
        <w:pStyle w:val="GvdeMetni"/>
        <w:numPr>
          <w:ilvl w:val="0"/>
          <w:numId w:val="10"/>
        </w:numPr>
        <w:spacing w:before="8"/>
        <w:jc w:val="both"/>
        <w:rPr>
          <w:sz w:val="24"/>
          <w:szCs w:val="24"/>
        </w:rPr>
      </w:pPr>
      <w:r w:rsidRPr="00DD0D1F">
        <w:rPr>
          <w:sz w:val="24"/>
          <w:szCs w:val="24"/>
        </w:rPr>
        <w:t>Tebliğin uygulanmasına yönelik genel hususlar Ek-1’ de yer almaktadır.</w:t>
      </w:r>
    </w:p>
    <w:p w14:paraId="0E9F2FF6" w14:textId="700D55A1" w:rsidR="000307D7" w:rsidRPr="00DD0D1F" w:rsidRDefault="00F66FBD" w:rsidP="00FF111D">
      <w:pPr>
        <w:pStyle w:val="GvdeMetni"/>
        <w:numPr>
          <w:ilvl w:val="0"/>
          <w:numId w:val="10"/>
        </w:numPr>
        <w:spacing w:before="8"/>
        <w:jc w:val="both"/>
        <w:rPr>
          <w:sz w:val="24"/>
          <w:szCs w:val="24"/>
        </w:rPr>
      </w:pPr>
      <w:r w:rsidRPr="00DD0D1F">
        <w:rPr>
          <w:sz w:val="24"/>
          <w:szCs w:val="24"/>
        </w:rPr>
        <w:t>Bu Tebl</w:t>
      </w:r>
      <w:r w:rsidR="00B45F03" w:rsidRPr="00DD0D1F">
        <w:rPr>
          <w:sz w:val="24"/>
          <w:szCs w:val="24"/>
        </w:rPr>
        <w:t xml:space="preserve">iğ </w:t>
      </w:r>
      <w:r w:rsidR="000C3C5B" w:rsidRPr="00DD0D1F">
        <w:rPr>
          <w:sz w:val="24"/>
          <w:szCs w:val="24"/>
        </w:rPr>
        <w:t xml:space="preserve">Ek-1, </w:t>
      </w:r>
      <w:r w:rsidR="000307D7" w:rsidRPr="00DD0D1F">
        <w:rPr>
          <w:sz w:val="24"/>
          <w:szCs w:val="24"/>
        </w:rPr>
        <w:t>Ek-2 ve Ek-3’t</w:t>
      </w:r>
      <w:r w:rsidR="00B45F03" w:rsidRPr="00DD0D1F">
        <w:rPr>
          <w:sz w:val="24"/>
          <w:szCs w:val="24"/>
        </w:rPr>
        <w:t>e yer alan Genel MET</w:t>
      </w:r>
      <w:r w:rsidR="005376D2" w:rsidRPr="00DD0D1F">
        <w:rPr>
          <w:sz w:val="24"/>
          <w:szCs w:val="24"/>
        </w:rPr>
        <w:t xml:space="preserve"> ve Sektörel MET</w:t>
      </w:r>
      <w:r w:rsidRPr="00DD0D1F">
        <w:rPr>
          <w:sz w:val="24"/>
          <w:szCs w:val="24"/>
        </w:rPr>
        <w:t xml:space="preserve"> birlikte uygulanır.</w:t>
      </w:r>
    </w:p>
    <w:bookmarkEnd w:id="4"/>
    <w:p w14:paraId="0C47BC25" w14:textId="778DE261" w:rsidR="008B6120" w:rsidRPr="00DD0D1F" w:rsidRDefault="006A3E83" w:rsidP="000D7293">
      <w:pPr>
        <w:pStyle w:val="Balk1"/>
        <w:numPr>
          <w:ilvl w:val="0"/>
          <w:numId w:val="0"/>
        </w:numPr>
        <w:spacing w:line="276" w:lineRule="auto"/>
        <w:rPr>
          <w:rFonts w:eastAsia="Times New Roman" w:cs="Times New Roman"/>
          <w:szCs w:val="24"/>
          <w:lang w:val="es-ES" w:eastAsia="es-ES"/>
        </w:rPr>
      </w:pPr>
      <w:r w:rsidRPr="00DD0D1F">
        <w:rPr>
          <w:rFonts w:eastAsia="Times New Roman" w:cs="Times New Roman"/>
          <w:szCs w:val="24"/>
          <w:lang w:val="es-ES" w:eastAsia="es-ES"/>
        </w:rPr>
        <w:t>MET Uyum Durumu Puanlaması</w:t>
      </w:r>
      <w:r w:rsidR="003E7485" w:rsidRPr="00DD0D1F">
        <w:rPr>
          <w:rFonts w:eastAsia="Times New Roman" w:cs="Times New Roman"/>
          <w:szCs w:val="24"/>
          <w:lang w:val="es-ES" w:eastAsia="es-ES"/>
        </w:rPr>
        <w:t xml:space="preserve"> ve Çevresel Performans Skoru</w:t>
      </w:r>
    </w:p>
    <w:p w14:paraId="370981DA" w14:textId="7EAA9FF7" w:rsidR="006A3E83" w:rsidRPr="00DD0D1F" w:rsidRDefault="000D7293" w:rsidP="000D7293">
      <w:pPr>
        <w:pStyle w:val="Balk1"/>
        <w:numPr>
          <w:ilvl w:val="0"/>
          <w:numId w:val="0"/>
        </w:numPr>
        <w:spacing w:line="276" w:lineRule="auto"/>
        <w:rPr>
          <w:rFonts w:eastAsia="Times New Roman" w:cs="Times New Roman"/>
          <w:b w:val="0"/>
          <w:szCs w:val="24"/>
          <w:lang w:val="es-ES" w:eastAsia="es-ES"/>
        </w:rPr>
      </w:pPr>
      <w:r w:rsidRPr="00DD0D1F">
        <w:rPr>
          <w:rFonts w:eastAsia="Times New Roman" w:cs="Times New Roman"/>
          <w:szCs w:val="24"/>
          <w:lang w:val="es-ES" w:eastAsia="es-ES"/>
        </w:rPr>
        <w:t xml:space="preserve">MADDE </w:t>
      </w:r>
      <w:r w:rsidR="00EE20C0" w:rsidRPr="00DD0D1F">
        <w:rPr>
          <w:rFonts w:eastAsia="Times New Roman" w:cs="Times New Roman"/>
          <w:szCs w:val="24"/>
          <w:lang w:val="es-ES" w:eastAsia="es-ES"/>
        </w:rPr>
        <w:t>6</w:t>
      </w:r>
      <w:r w:rsidRPr="00DD0D1F">
        <w:rPr>
          <w:rFonts w:eastAsia="Times New Roman" w:cs="Times New Roman"/>
          <w:szCs w:val="24"/>
          <w:lang w:val="es-ES" w:eastAsia="es-ES"/>
        </w:rPr>
        <w:t>-</w:t>
      </w:r>
      <w:r w:rsidR="006A3E83" w:rsidRPr="00DD0D1F">
        <w:rPr>
          <w:rFonts w:eastAsia="Times New Roman" w:cs="Times New Roman"/>
          <w:b w:val="0"/>
          <w:szCs w:val="24"/>
          <w:lang w:val="es-ES" w:eastAsia="es-ES"/>
        </w:rPr>
        <w:t xml:space="preserve"> </w:t>
      </w:r>
      <w:r w:rsidR="008B6120" w:rsidRPr="00DD0D1F">
        <w:rPr>
          <w:rFonts w:eastAsia="Times New Roman" w:cs="Times New Roman"/>
          <w:b w:val="0"/>
          <w:szCs w:val="24"/>
          <w:lang w:val="es-ES" w:eastAsia="es-ES"/>
        </w:rPr>
        <w:t xml:space="preserve">(1) </w:t>
      </w:r>
      <w:r w:rsidR="006934EE" w:rsidRPr="00DD0D1F">
        <w:rPr>
          <w:rFonts w:eastAsia="Times New Roman" w:cs="Times New Roman"/>
          <w:b w:val="0"/>
          <w:szCs w:val="24"/>
          <w:lang w:val="es-ES" w:eastAsia="es-ES"/>
        </w:rPr>
        <w:t>MET’i</w:t>
      </w:r>
      <w:r w:rsidR="005376D2" w:rsidRPr="00DD0D1F">
        <w:rPr>
          <w:rFonts w:eastAsia="Times New Roman" w:cs="Times New Roman"/>
          <w:b w:val="0"/>
          <w:szCs w:val="24"/>
          <w:lang w:val="es-ES" w:eastAsia="es-ES"/>
        </w:rPr>
        <w:t>n uyum durumu</w:t>
      </w:r>
      <w:r w:rsidR="003E7485" w:rsidRPr="00DD0D1F">
        <w:rPr>
          <w:rFonts w:eastAsia="Times New Roman" w:cs="Times New Roman"/>
          <w:b w:val="0"/>
          <w:szCs w:val="24"/>
          <w:lang w:val="es-ES" w:eastAsia="es-ES"/>
        </w:rPr>
        <w:t xml:space="preserve"> </w:t>
      </w:r>
      <w:r w:rsidR="005376D2" w:rsidRPr="00DD0D1F">
        <w:rPr>
          <w:rFonts w:eastAsia="Times New Roman" w:cs="Times New Roman"/>
          <w:b w:val="0"/>
          <w:szCs w:val="24"/>
          <w:lang w:val="es-ES" w:eastAsia="es-ES"/>
        </w:rPr>
        <w:t>Bakanlıkça resmi internet sitesinde yayımlanan</w:t>
      </w:r>
      <w:r w:rsidR="008B6120" w:rsidRPr="00DD0D1F">
        <w:rPr>
          <w:rFonts w:eastAsia="Times New Roman" w:cs="Times New Roman"/>
          <w:b w:val="0"/>
          <w:szCs w:val="24"/>
          <w:lang w:val="es-ES" w:eastAsia="es-ES"/>
        </w:rPr>
        <w:t xml:space="preserve"> puanlama tablosu ile hesaplanarak SYD belge kate</w:t>
      </w:r>
      <w:r w:rsidR="005376D2" w:rsidRPr="00DD0D1F">
        <w:rPr>
          <w:rFonts w:eastAsia="Times New Roman" w:cs="Times New Roman"/>
          <w:b w:val="0"/>
          <w:szCs w:val="24"/>
          <w:lang w:val="es-ES" w:eastAsia="es-ES"/>
        </w:rPr>
        <w:t>g</w:t>
      </w:r>
      <w:r w:rsidR="008B6120" w:rsidRPr="00DD0D1F">
        <w:rPr>
          <w:rFonts w:eastAsia="Times New Roman" w:cs="Times New Roman"/>
          <w:b w:val="0"/>
          <w:szCs w:val="24"/>
          <w:lang w:val="es-ES" w:eastAsia="es-ES"/>
        </w:rPr>
        <w:t xml:space="preserve">orisi belirlenir. </w:t>
      </w:r>
    </w:p>
    <w:p w14:paraId="24DD26F4" w14:textId="2DE651C7" w:rsidR="003E7485" w:rsidRPr="00DD0D1F" w:rsidRDefault="003E7485" w:rsidP="002E4BB0">
      <w:pPr>
        <w:spacing w:line="276" w:lineRule="auto"/>
        <w:rPr>
          <w:rFonts w:eastAsia="Times New Roman" w:cs="Times New Roman"/>
          <w:szCs w:val="24"/>
          <w:lang w:val="es-ES" w:eastAsia="es-ES"/>
        </w:rPr>
      </w:pPr>
      <w:r w:rsidRPr="00DD0D1F">
        <w:rPr>
          <w:rFonts w:cs="Times New Roman"/>
          <w:szCs w:val="24"/>
          <w:lang w:val="es-ES" w:eastAsia="es-ES"/>
        </w:rPr>
        <w:t>(2</w:t>
      </w:r>
      <w:r w:rsidRPr="00DD0D1F">
        <w:rPr>
          <w:rFonts w:eastAsia="Times New Roman" w:cs="Times New Roman"/>
          <w:szCs w:val="24"/>
          <w:lang w:val="es-ES" w:eastAsia="es-ES"/>
        </w:rPr>
        <w:t>)</w:t>
      </w:r>
      <w:r w:rsidR="004155B1" w:rsidRPr="00DD0D1F">
        <w:rPr>
          <w:rFonts w:eastAsia="Times New Roman" w:cs="Times New Roman"/>
          <w:szCs w:val="24"/>
          <w:lang w:val="es-ES" w:eastAsia="es-ES"/>
        </w:rPr>
        <w:t xml:space="preserve"> Tesislerin </w:t>
      </w:r>
      <w:r w:rsidR="00047E5F" w:rsidRPr="00DD0D1F">
        <w:rPr>
          <w:rFonts w:eastAsia="Times New Roman" w:cs="Times New Roman"/>
          <w:szCs w:val="24"/>
          <w:lang w:val="es-ES" w:eastAsia="es-ES"/>
        </w:rPr>
        <w:t xml:space="preserve">çapraz medya etkisi gözetilerek, </w:t>
      </w:r>
      <w:r w:rsidR="004155B1" w:rsidRPr="00DD0D1F">
        <w:rPr>
          <w:rFonts w:eastAsia="Times New Roman" w:cs="Times New Roman"/>
          <w:szCs w:val="24"/>
          <w:lang w:val="es-ES" w:eastAsia="es-ES"/>
        </w:rPr>
        <w:t>çevresel performans skorları</w:t>
      </w:r>
      <w:r w:rsidR="00047E5F" w:rsidRPr="00DD0D1F">
        <w:rPr>
          <w:rFonts w:eastAsia="Times New Roman" w:cs="Times New Roman"/>
          <w:szCs w:val="24"/>
          <w:lang w:val="es-ES" w:eastAsia="es-ES"/>
        </w:rPr>
        <w:t xml:space="preserve"> </w:t>
      </w:r>
      <w:r w:rsidR="00E90001" w:rsidRPr="00DD0D1F">
        <w:rPr>
          <w:rFonts w:eastAsia="Times New Roman" w:cs="Times New Roman"/>
          <w:szCs w:val="24"/>
          <w:lang w:val="es-ES" w:eastAsia="es-ES"/>
        </w:rPr>
        <w:t>(</w:t>
      </w:r>
      <w:r w:rsidR="004155B1" w:rsidRPr="00DD0D1F">
        <w:rPr>
          <w:rFonts w:eastAsia="Times New Roman" w:cs="Times New Roman"/>
          <w:szCs w:val="24"/>
          <w:lang w:val="es-ES" w:eastAsia="es-ES"/>
        </w:rPr>
        <w:t xml:space="preserve">toksisite, küresel ısınma, asidifikasyon, </w:t>
      </w:r>
      <w:r w:rsidR="00305077" w:rsidRPr="00DD0D1F">
        <w:rPr>
          <w:rFonts w:eastAsia="Times New Roman" w:cs="Times New Roman"/>
          <w:szCs w:val="24"/>
          <w:lang w:val="es-ES" w:eastAsia="es-ES"/>
        </w:rPr>
        <w:t>ötrofikasyon</w:t>
      </w:r>
      <w:r w:rsidR="00E90001" w:rsidRPr="00DD0D1F">
        <w:rPr>
          <w:rFonts w:eastAsia="Times New Roman" w:cs="Times New Roman"/>
          <w:szCs w:val="24"/>
          <w:lang w:val="es-ES" w:eastAsia="es-ES"/>
        </w:rPr>
        <w:t>, ozon tabakasının inceltilmesi, fotokimyasal ozon oluşturma potansiyeli</w:t>
      </w:r>
      <w:r w:rsidR="00760066" w:rsidRPr="00DD0D1F">
        <w:rPr>
          <w:rFonts w:eastAsia="Times New Roman" w:cs="Times New Roman"/>
          <w:szCs w:val="24"/>
          <w:lang w:val="es-ES" w:eastAsia="es-ES"/>
        </w:rPr>
        <w:t xml:space="preserve">, </w:t>
      </w:r>
      <w:r w:rsidR="004155B1" w:rsidRPr="00DD0D1F">
        <w:rPr>
          <w:rFonts w:eastAsia="Times New Roman" w:cs="Times New Roman"/>
          <w:szCs w:val="24"/>
          <w:lang w:val="es-ES" w:eastAsia="es-ES"/>
        </w:rPr>
        <w:t>karbon ayakizi, enerji verimliliği, su verimliliği</w:t>
      </w:r>
      <w:r w:rsidR="00047E5F" w:rsidRPr="00DD0D1F">
        <w:rPr>
          <w:rFonts w:eastAsia="Times New Roman" w:cs="Times New Roman"/>
          <w:szCs w:val="24"/>
          <w:lang w:val="es-ES" w:eastAsia="es-ES"/>
        </w:rPr>
        <w:t xml:space="preserve"> vb. </w:t>
      </w:r>
      <w:r w:rsidR="00760066" w:rsidRPr="00DD0D1F">
        <w:rPr>
          <w:rFonts w:eastAsia="Times New Roman" w:cs="Times New Roman"/>
          <w:szCs w:val="24"/>
          <w:lang w:val="es-ES" w:eastAsia="es-ES"/>
        </w:rPr>
        <w:t xml:space="preserve">) </w:t>
      </w:r>
      <w:r w:rsidR="004155B1" w:rsidRPr="00DD0D1F">
        <w:rPr>
          <w:rFonts w:eastAsia="Times New Roman" w:cs="Times New Roman"/>
          <w:szCs w:val="24"/>
          <w:lang w:val="es-ES" w:eastAsia="es-ES"/>
        </w:rPr>
        <w:t xml:space="preserve">Bakanlıkça resmi internet sitesinde </w:t>
      </w:r>
      <w:r w:rsidR="00760066" w:rsidRPr="00DD0D1F">
        <w:rPr>
          <w:rFonts w:eastAsia="Times New Roman" w:cs="Times New Roman"/>
          <w:szCs w:val="24"/>
          <w:lang w:val="es-ES" w:eastAsia="es-ES"/>
        </w:rPr>
        <w:t xml:space="preserve">algoritması </w:t>
      </w:r>
      <w:r w:rsidR="004155B1" w:rsidRPr="00DD0D1F">
        <w:rPr>
          <w:rFonts w:eastAsia="Times New Roman" w:cs="Times New Roman"/>
          <w:szCs w:val="24"/>
          <w:lang w:val="es-ES" w:eastAsia="es-ES"/>
        </w:rPr>
        <w:t>yayımlan</w:t>
      </w:r>
      <w:r w:rsidR="00760066" w:rsidRPr="00DD0D1F">
        <w:rPr>
          <w:rFonts w:eastAsia="Times New Roman" w:cs="Times New Roman"/>
          <w:szCs w:val="24"/>
          <w:lang w:val="es-ES" w:eastAsia="es-ES"/>
        </w:rPr>
        <w:t xml:space="preserve">ır. </w:t>
      </w:r>
      <w:r w:rsidR="004155B1" w:rsidRPr="00DD0D1F">
        <w:rPr>
          <w:rFonts w:eastAsia="Times New Roman" w:cs="Times New Roman"/>
          <w:szCs w:val="24"/>
          <w:lang w:val="es-ES" w:eastAsia="es-ES"/>
        </w:rPr>
        <w:t xml:space="preserve"> </w:t>
      </w:r>
    </w:p>
    <w:p w14:paraId="02C75AB2" w14:textId="6544F159" w:rsidR="008C74F5" w:rsidRPr="00DD0D1F" w:rsidRDefault="008C74F5" w:rsidP="002F2B41">
      <w:pPr>
        <w:pStyle w:val="GvdeMetni"/>
        <w:spacing w:before="8"/>
        <w:jc w:val="both"/>
        <w:rPr>
          <w:b/>
          <w:sz w:val="24"/>
          <w:szCs w:val="24"/>
        </w:rPr>
      </w:pPr>
      <w:r w:rsidRPr="00DD0D1F">
        <w:rPr>
          <w:b/>
          <w:sz w:val="24"/>
          <w:szCs w:val="24"/>
        </w:rPr>
        <w:t xml:space="preserve">Genel </w:t>
      </w:r>
      <w:r w:rsidR="00455067" w:rsidRPr="00DD0D1F">
        <w:rPr>
          <w:b/>
          <w:sz w:val="24"/>
          <w:szCs w:val="24"/>
        </w:rPr>
        <w:t>MET</w:t>
      </w:r>
    </w:p>
    <w:p w14:paraId="34EF119E" w14:textId="452D7558" w:rsidR="002F2B41" w:rsidRPr="00DD0D1F" w:rsidRDefault="008C74F5" w:rsidP="002F2B41">
      <w:pPr>
        <w:pStyle w:val="GvdeMetni"/>
        <w:spacing w:before="8"/>
        <w:jc w:val="both"/>
        <w:rPr>
          <w:sz w:val="24"/>
          <w:szCs w:val="24"/>
        </w:rPr>
      </w:pPr>
      <w:r w:rsidRPr="00DD0D1F">
        <w:rPr>
          <w:b/>
          <w:sz w:val="24"/>
          <w:szCs w:val="24"/>
        </w:rPr>
        <w:t xml:space="preserve">MADDE </w:t>
      </w:r>
      <w:r w:rsidR="00EE20C0" w:rsidRPr="00DD0D1F">
        <w:rPr>
          <w:b/>
          <w:sz w:val="24"/>
          <w:szCs w:val="24"/>
        </w:rPr>
        <w:t>7</w:t>
      </w:r>
      <w:r w:rsidR="000D7293" w:rsidRPr="00DD0D1F">
        <w:rPr>
          <w:b/>
          <w:sz w:val="24"/>
          <w:szCs w:val="24"/>
        </w:rPr>
        <w:t>-</w:t>
      </w:r>
      <w:r w:rsidRPr="00DD0D1F">
        <w:rPr>
          <w:sz w:val="24"/>
          <w:szCs w:val="24"/>
        </w:rPr>
        <w:t xml:space="preserve"> (1) Genel M</w:t>
      </w:r>
      <w:r w:rsidR="006934EE" w:rsidRPr="00DD0D1F">
        <w:rPr>
          <w:sz w:val="24"/>
          <w:szCs w:val="24"/>
        </w:rPr>
        <w:t>ET</w:t>
      </w:r>
      <w:r w:rsidRPr="00DD0D1F">
        <w:rPr>
          <w:sz w:val="24"/>
          <w:szCs w:val="24"/>
        </w:rPr>
        <w:t xml:space="preserve"> aşağıdaki hususları içerir.</w:t>
      </w:r>
    </w:p>
    <w:p w14:paraId="5283A1A8" w14:textId="77777777" w:rsidR="008C74F5" w:rsidRPr="00DD0D1F" w:rsidRDefault="008C74F5" w:rsidP="00EB5C8E">
      <w:pPr>
        <w:pStyle w:val="GvdeMetni"/>
        <w:numPr>
          <w:ilvl w:val="0"/>
          <w:numId w:val="137"/>
        </w:numPr>
        <w:jc w:val="both"/>
        <w:rPr>
          <w:sz w:val="24"/>
          <w:szCs w:val="24"/>
        </w:rPr>
      </w:pPr>
      <w:r w:rsidRPr="00DD0D1F">
        <w:rPr>
          <w:sz w:val="24"/>
          <w:szCs w:val="24"/>
        </w:rPr>
        <w:t>Çevre Yönetim Sistemi</w:t>
      </w:r>
    </w:p>
    <w:p w14:paraId="1EDD90E9" w14:textId="6EC4110E" w:rsidR="008C74F5" w:rsidRPr="00DD0D1F" w:rsidRDefault="000307D7" w:rsidP="00EB5C8E">
      <w:pPr>
        <w:pStyle w:val="GvdeMetni"/>
        <w:numPr>
          <w:ilvl w:val="0"/>
          <w:numId w:val="137"/>
        </w:numPr>
        <w:jc w:val="both"/>
        <w:rPr>
          <w:sz w:val="24"/>
          <w:szCs w:val="24"/>
        </w:rPr>
      </w:pPr>
      <w:r w:rsidRPr="00DD0D1F">
        <w:rPr>
          <w:sz w:val="24"/>
          <w:szCs w:val="24"/>
        </w:rPr>
        <w:t>İzleme</w:t>
      </w:r>
    </w:p>
    <w:p w14:paraId="71D07910" w14:textId="77777777" w:rsidR="00487D38" w:rsidRPr="00DD0D1F" w:rsidRDefault="000307D7" w:rsidP="00EB5C8E">
      <w:pPr>
        <w:pStyle w:val="GvdeMetni"/>
        <w:numPr>
          <w:ilvl w:val="0"/>
          <w:numId w:val="137"/>
        </w:numPr>
        <w:jc w:val="both"/>
        <w:rPr>
          <w:sz w:val="24"/>
          <w:szCs w:val="24"/>
        </w:rPr>
      </w:pPr>
      <w:r w:rsidRPr="00DD0D1F">
        <w:rPr>
          <w:sz w:val="24"/>
          <w:szCs w:val="24"/>
        </w:rPr>
        <w:t xml:space="preserve">Havaya </w:t>
      </w:r>
      <w:r w:rsidR="00487D38" w:rsidRPr="00DD0D1F">
        <w:rPr>
          <w:sz w:val="24"/>
          <w:szCs w:val="24"/>
        </w:rPr>
        <w:t>suya emisyonlarla ilgili temel proses parametrelerinin izlenmesi</w:t>
      </w:r>
    </w:p>
    <w:p w14:paraId="350CFD2F" w14:textId="177899C6" w:rsidR="008C74F5" w:rsidRPr="00DD0D1F" w:rsidRDefault="00487D38" w:rsidP="00EB5C8E">
      <w:pPr>
        <w:pStyle w:val="GvdeMetni"/>
        <w:numPr>
          <w:ilvl w:val="0"/>
          <w:numId w:val="137"/>
        </w:numPr>
        <w:jc w:val="both"/>
        <w:rPr>
          <w:sz w:val="24"/>
          <w:szCs w:val="24"/>
        </w:rPr>
      </w:pPr>
      <w:r w:rsidRPr="00DD0D1F">
        <w:rPr>
          <w:sz w:val="24"/>
          <w:szCs w:val="24"/>
        </w:rPr>
        <w:t>Baca Gazı Arıtımından kaynaklanan Suya Emisyonları İzleme</w:t>
      </w:r>
    </w:p>
    <w:p w14:paraId="4E59B2F0" w14:textId="22A0927A" w:rsidR="000D7293" w:rsidRPr="00DD0D1F" w:rsidRDefault="000D7293" w:rsidP="00EB5C8E">
      <w:pPr>
        <w:pStyle w:val="GvdeMetni"/>
        <w:numPr>
          <w:ilvl w:val="0"/>
          <w:numId w:val="137"/>
        </w:numPr>
        <w:jc w:val="both"/>
        <w:rPr>
          <w:sz w:val="24"/>
          <w:szCs w:val="24"/>
        </w:rPr>
      </w:pPr>
      <w:r w:rsidRPr="00DD0D1F">
        <w:rPr>
          <w:sz w:val="24"/>
          <w:szCs w:val="24"/>
        </w:rPr>
        <w:t xml:space="preserve">ç)   Genel </w:t>
      </w:r>
      <w:r w:rsidR="00487D38" w:rsidRPr="00DD0D1F">
        <w:rPr>
          <w:sz w:val="24"/>
          <w:szCs w:val="24"/>
        </w:rPr>
        <w:t>Çevresel ve Yanma Performansı</w:t>
      </w:r>
    </w:p>
    <w:p w14:paraId="62328A3C" w14:textId="1D776FE2" w:rsidR="008C74F5" w:rsidRDefault="008C74F5" w:rsidP="00EB5C8E">
      <w:pPr>
        <w:pStyle w:val="GvdeMetni"/>
        <w:numPr>
          <w:ilvl w:val="0"/>
          <w:numId w:val="137"/>
        </w:numPr>
        <w:jc w:val="both"/>
        <w:rPr>
          <w:sz w:val="24"/>
          <w:szCs w:val="24"/>
        </w:rPr>
      </w:pPr>
      <w:r w:rsidRPr="00DD0D1F">
        <w:rPr>
          <w:sz w:val="24"/>
          <w:szCs w:val="24"/>
        </w:rPr>
        <w:t>Su</w:t>
      </w:r>
      <w:r w:rsidR="00316427">
        <w:rPr>
          <w:sz w:val="24"/>
          <w:szCs w:val="24"/>
        </w:rPr>
        <w:t xml:space="preserve"> Kullanımı ve Suya</w:t>
      </w:r>
      <w:r w:rsidRPr="00DD0D1F">
        <w:rPr>
          <w:sz w:val="24"/>
          <w:szCs w:val="24"/>
        </w:rPr>
        <w:t xml:space="preserve"> Emisyonlar </w:t>
      </w:r>
    </w:p>
    <w:p w14:paraId="747D9708" w14:textId="3B7749F7" w:rsidR="00316427" w:rsidRPr="00DD0D1F" w:rsidRDefault="00316427" w:rsidP="00EB5C8E">
      <w:pPr>
        <w:pStyle w:val="GvdeMetni"/>
        <w:numPr>
          <w:ilvl w:val="0"/>
          <w:numId w:val="137"/>
        </w:numPr>
        <w:jc w:val="both"/>
        <w:rPr>
          <w:sz w:val="24"/>
          <w:szCs w:val="24"/>
        </w:rPr>
      </w:pPr>
      <w:r>
        <w:rPr>
          <w:sz w:val="24"/>
          <w:szCs w:val="24"/>
        </w:rPr>
        <w:t>Enerji Verimliliği</w:t>
      </w:r>
    </w:p>
    <w:p w14:paraId="47EE12F6" w14:textId="15D1B1DA" w:rsidR="008C74F5" w:rsidRPr="00DD0D1F" w:rsidRDefault="008C74F5" w:rsidP="00EB5C8E">
      <w:pPr>
        <w:pStyle w:val="GvdeMetni"/>
        <w:numPr>
          <w:ilvl w:val="0"/>
          <w:numId w:val="137"/>
        </w:numPr>
        <w:jc w:val="both"/>
        <w:rPr>
          <w:sz w:val="24"/>
          <w:szCs w:val="24"/>
        </w:rPr>
      </w:pPr>
      <w:r w:rsidRPr="00DD0D1F">
        <w:rPr>
          <w:sz w:val="24"/>
          <w:szCs w:val="24"/>
        </w:rPr>
        <w:t xml:space="preserve">Atık </w:t>
      </w:r>
      <w:r w:rsidR="00316427">
        <w:rPr>
          <w:sz w:val="24"/>
          <w:szCs w:val="24"/>
        </w:rPr>
        <w:t>Yönetimi</w:t>
      </w:r>
    </w:p>
    <w:p w14:paraId="747D940E" w14:textId="0BF75BC3" w:rsidR="00FE51BC" w:rsidRPr="00DD0D1F" w:rsidRDefault="008C74F5" w:rsidP="00EB5C8E">
      <w:pPr>
        <w:pStyle w:val="GvdeMetni"/>
        <w:numPr>
          <w:ilvl w:val="0"/>
          <w:numId w:val="137"/>
        </w:numPr>
        <w:jc w:val="both"/>
        <w:rPr>
          <w:sz w:val="24"/>
          <w:szCs w:val="24"/>
        </w:rPr>
      </w:pPr>
      <w:r w:rsidRPr="00DD0D1F">
        <w:rPr>
          <w:sz w:val="24"/>
          <w:szCs w:val="24"/>
        </w:rPr>
        <w:t>Gürültü</w:t>
      </w:r>
    </w:p>
    <w:p w14:paraId="2B8808CE" w14:textId="77777777" w:rsidR="007226C8" w:rsidRPr="00DD0D1F" w:rsidRDefault="007226C8" w:rsidP="007226C8">
      <w:pPr>
        <w:pStyle w:val="GvdeMetni"/>
        <w:ind w:left="720"/>
        <w:jc w:val="both"/>
        <w:rPr>
          <w:sz w:val="24"/>
          <w:szCs w:val="24"/>
        </w:rPr>
      </w:pPr>
    </w:p>
    <w:p w14:paraId="74B13727" w14:textId="382C329E" w:rsidR="00FE51BC" w:rsidRPr="00DD0D1F" w:rsidRDefault="009950EB" w:rsidP="00FE51BC">
      <w:pPr>
        <w:pStyle w:val="GvdeMetni"/>
        <w:spacing w:before="8"/>
        <w:jc w:val="both"/>
        <w:rPr>
          <w:b/>
          <w:sz w:val="24"/>
          <w:szCs w:val="24"/>
        </w:rPr>
      </w:pPr>
      <w:r w:rsidRPr="00DD0D1F">
        <w:rPr>
          <w:b/>
          <w:sz w:val="24"/>
          <w:szCs w:val="24"/>
        </w:rPr>
        <w:t>B</w:t>
      </w:r>
      <w:r w:rsidR="005063CB" w:rsidRPr="00DD0D1F">
        <w:rPr>
          <w:b/>
          <w:sz w:val="24"/>
          <w:szCs w:val="24"/>
        </w:rPr>
        <w:t>üyük Yakma Tesisleri, Gazlaştırma ve/veya Sıvılaştırma Tesisleri</w:t>
      </w:r>
      <w:r w:rsidRPr="00DD0D1F">
        <w:rPr>
          <w:b/>
          <w:sz w:val="24"/>
          <w:szCs w:val="24"/>
        </w:rPr>
        <w:t xml:space="preserve"> </w:t>
      </w:r>
      <w:r w:rsidR="008262B1" w:rsidRPr="00DD0D1F">
        <w:rPr>
          <w:b/>
          <w:sz w:val="24"/>
          <w:szCs w:val="24"/>
        </w:rPr>
        <w:t>için</w:t>
      </w:r>
      <w:r w:rsidR="007226C8" w:rsidRPr="00DD0D1F">
        <w:rPr>
          <w:b/>
          <w:sz w:val="24"/>
          <w:szCs w:val="24"/>
        </w:rPr>
        <w:t xml:space="preserve"> </w:t>
      </w:r>
      <w:r w:rsidR="006934EE" w:rsidRPr="00DD0D1F">
        <w:rPr>
          <w:b/>
          <w:sz w:val="24"/>
          <w:szCs w:val="24"/>
        </w:rPr>
        <w:t xml:space="preserve">Sektörel </w:t>
      </w:r>
      <w:r w:rsidR="00A93A3F" w:rsidRPr="00DD0D1F">
        <w:rPr>
          <w:b/>
          <w:sz w:val="24"/>
          <w:szCs w:val="24"/>
        </w:rPr>
        <w:t>MET</w:t>
      </w:r>
    </w:p>
    <w:p w14:paraId="33514916" w14:textId="3B952ADD" w:rsidR="00FE51BC" w:rsidRPr="00DD0D1F" w:rsidRDefault="00FE51BC" w:rsidP="008C74F5">
      <w:pPr>
        <w:pStyle w:val="GvdeMetni"/>
        <w:spacing w:before="8"/>
        <w:jc w:val="both"/>
        <w:rPr>
          <w:sz w:val="24"/>
          <w:szCs w:val="24"/>
        </w:rPr>
      </w:pPr>
      <w:r w:rsidRPr="00DD0D1F">
        <w:rPr>
          <w:b/>
          <w:sz w:val="24"/>
          <w:szCs w:val="24"/>
        </w:rPr>
        <w:t xml:space="preserve">MADDE </w:t>
      </w:r>
      <w:r w:rsidR="00EE20C0" w:rsidRPr="00DD0D1F">
        <w:rPr>
          <w:b/>
          <w:sz w:val="24"/>
          <w:szCs w:val="24"/>
        </w:rPr>
        <w:t>8</w:t>
      </w:r>
      <w:r w:rsidRPr="00DD0D1F">
        <w:rPr>
          <w:b/>
          <w:sz w:val="24"/>
          <w:szCs w:val="24"/>
        </w:rPr>
        <w:t xml:space="preserve"> - </w:t>
      </w:r>
      <w:r w:rsidRPr="00DD0D1F">
        <w:rPr>
          <w:sz w:val="24"/>
          <w:szCs w:val="24"/>
        </w:rPr>
        <w:t>(1)</w:t>
      </w:r>
      <w:r w:rsidR="00AE3608" w:rsidRPr="00DD0D1F">
        <w:rPr>
          <w:sz w:val="24"/>
          <w:szCs w:val="24"/>
        </w:rPr>
        <w:t xml:space="preserve"> Bu madde; </w:t>
      </w:r>
      <w:r w:rsidR="009950EB" w:rsidRPr="00DD0D1F">
        <w:rPr>
          <w:sz w:val="24"/>
          <w:szCs w:val="24"/>
        </w:rPr>
        <w:t>büyük yakma tesisleri</w:t>
      </w:r>
      <w:r w:rsidR="005063CB" w:rsidRPr="00DD0D1F">
        <w:rPr>
          <w:sz w:val="24"/>
          <w:szCs w:val="24"/>
        </w:rPr>
        <w:t xml:space="preserve">, gazlaştırma ve/veya sıvılaştırma tesislerini </w:t>
      </w:r>
      <w:r w:rsidR="00F773DC" w:rsidRPr="00DD0D1F">
        <w:rPr>
          <w:sz w:val="24"/>
          <w:szCs w:val="24"/>
        </w:rPr>
        <w:t>kapsar</w:t>
      </w:r>
      <w:r w:rsidR="00A93A3F" w:rsidRPr="00DD0D1F">
        <w:rPr>
          <w:sz w:val="24"/>
          <w:szCs w:val="24"/>
        </w:rPr>
        <w:t>.</w:t>
      </w:r>
    </w:p>
    <w:p w14:paraId="6229AB0A" w14:textId="0BA0F804" w:rsidR="00F773DC" w:rsidRPr="00DD0D1F" w:rsidRDefault="00F773DC" w:rsidP="006C5D46">
      <w:pPr>
        <w:pStyle w:val="GvdeMetni"/>
        <w:spacing w:before="8"/>
        <w:jc w:val="both"/>
        <w:rPr>
          <w:sz w:val="24"/>
          <w:szCs w:val="24"/>
        </w:rPr>
      </w:pPr>
      <w:r w:rsidRPr="00DD0D1F">
        <w:rPr>
          <w:sz w:val="24"/>
          <w:szCs w:val="24"/>
        </w:rPr>
        <w:t>(2</w:t>
      </w:r>
      <w:r w:rsidR="009A14F1" w:rsidRPr="00DD0D1F">
        <w:rPr>
          <w:sz w:val="24"/>
          <w:szCs w:val="24"/>
        </w:rPr>
        <w:t xml:space="preserve">) </w:t>
      </w:r>
      <w:r w:rsidR="005063CB" w:rsidRPr="00DD0D1F">
        <w:rPr>
          <w:sz w:val="24"/>
          <w:szCs w:val="24"/>
        </w:rPr>
        <w:t xml:space="preserve">Büyük yakma tesisleri, gazlaştırma ve/veya sıvılaştırma tesislerinden </w:t>
      </w:r>
      <w:r w:rsidRPr="00DD0D1F">
        <w:rPr>
          <w:sz w:val="24"/>
          <w:szCs w:val="24"/>
          <w:lang w:val="es-ES" w:eastAsia="es-ES"/>
        </w:rPr>
        <w:t>kayna</w:t>
      </w:r>
      <w:r w:rsidR="00A52DBB" w:rsidRPr="00DD0D1F">
        <w:rPr>
          <w:sz w:val="24"/>
          <w:szCs w:val="24"/>
          <w:lang w:val="es-ES" w:eastAsia="es-ES"/>
        </w:rPr>
        <w:t>klanan emisyonların azaltılması, kaynakların verimli kullanılması, döngüsel ekonomi prensipleri çerçevesinde</w:t>
      </w:r>
      <w:r w:rsidR="001D2B3B" w:rsidRPr="00DD0D1F">
        <w:rPr>
          <w:sz w:val="24"/>
          <w:szCs w:val="24"/>
          <w:lang w:val="es-ES" w:eastAsia="es-ES"/>
        </w:rPr>
        <w:t xml:space="preserve"> atıkların azaltılması</w:t>
      </w:r>
      <w:r w:rsidR="00A52DBB" w:rsidRPr="00DD0D1F">
        <w:rPr>
          <w:sz w:val="24"/>
          <w:szCs w:val="24"/>
          <w:lang w:val="es-ES" w:eastAsia="es-ES"/>
        </w:rPr>
        <w:t xml:space="preserve"> </w:t>
      </w:r>
      <w:r w:rsidRPr="00DD0D1F">
        <w:rPr>
          <w:sz w:val="24"/>
          <w:szCs w:val="24"/>
          <w:lang w:val="es-ES" w:eastAsia="es-ES"/>
        </w:rPr>
        <w:t xml:space="preserve">için </w:t>
      </w:r>
      <w:r w:rsidR="00A93A3F" w:rsidRPr="00DD0D1F">
        <w:rPr>
          <w:sz w:val="24"/>
          <w:szCs w:val="24"/>
        </w:rPr>
        <w:t xml:space="preserve">EK-2’de tanımlanan </w:t>
      </w:r>
      <w:r w:rsidR="00A93A3F" w:rsidRPr="00DD0D1F">
        <w:rPr>
          <w:sz w:val="24"/>
          <w:szCs w:val="24"/>
          <w:lang w:val="es-ES" w:eastAsia="es-ES"/>
        </w:rPr>
        <w:t xml:space="preserve">MET asgari olarak </w:t>
      </w:r>
      <w:r w:rsidRPr="00DD0D1F">
        <w:rPr>
          <w:sz w:val="24"/>
          <w:szCs w:val="24"/>
          <w:lang w:val="es-ES" w:eastAsia="es-ES"/>
        </w:rPr>
        <w:t>aşağıdaki hususları içerir.</w:t>
      </w:r>
    </w:p>
    <w:p w14:paraId="388D021B" w14:textId="77777777" w:rsidR="00316427" w:rsidRDefault="00316427"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Katı Yakıtların Yakılmasına İlişkin MET</w:t>
      </w:r>
    </w:p>
    <w:p w14:paraId="18C54367" w14:textId="44DEF5EB" w:rsidR="00316427" w:rsidRPr="00316427" w:rsidRDefault="00316427" w:rsidP="00EB5C8E">
      <w:pPr>
        <w:pStyle w:val="Balk1"/>
        <w:numPr>
          <w:ilvl w:val="0"/>
          <w:numId w:val="138"/>
        </w:numPr>
        <w:spacing w:line="276" w:lineRule="auto"/>
        <w:rPr>
          <w:rFonts w:eastAsia="Times New Roman" w:cs="Times New Roman"/>
          <w:b w:val="0"/>
          <w:bCs/>
          <w:szCs w:val="24"/>
          <w:lang w:val="es-ES" w:eastAsia="es-ES"/>
        </w:rPr>
      </w:pPr>
      <w:r w:rsidRPr="00316427">
        <w:rPr>
          <w:rFonts w:cs="Times New Roman"/>
          <w:b w:val="0"/>
          <w:bCs/>
        </w:rPr>
        <w:t>Havaya NO</w:t>
      </w:r>
      <w:r w:rsidRPr="00316427">
        <w:rPr>
          <w:rFonts w:cs="Times New Roman"/>
          <w:b w:val="0"/>
          <w:bCs/>
          <w:vertAlign w:val="subscript"/>
        </w:rPr>
        <w:t>X</w:t>
      </w:r>
      <w:r w:rsidRPr="00316427">
        <w:rPr>
          <w:rFonts w:cs="Times New Roman"/>
          <w:b w:val="0"/>
          <w:bCs/>
        </w:rPr>
        <w:t>, N</w:t>
      </w:r>
      <w:r w:rsidRPr="00316427">
        <w:rPr>
          <w:rFonts w:cs="Times New Roman"/>
          <w:b w:val="0"/>
          <w:bCs/>
          <w:vertAlign w:val="subscript"/>
        </w:rPr>
        <w:t>2</w:t>
      </w:r>
      <w:r w:rsidRPr="00316427">
        <w:rPr>
          <w:rFonts w:cs="Times New Roman"/>
          <w:b w:val="0"/>
          <w:bCs/>
        </w:rPr>
        <w:t>O ve CO Emisyonları</w:t>
      </w:r>
    </w:p>
    <w:p w14:paraId="630334B2" w14:textId="1E7122C4" w:rsidR="00316427" w:rsidRDefault="00316427"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Sıvı Yakıtların Yakılmasına İlişkin MET</w:t>
      </w:r>
    </w:p>
    <w:p w14:paraId="754F7AC3" w14:textId="421F30F4" w:rsidR="00316427" w:rsidRDefault="00316427"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Gaz Yakıtların Yakılmasına İlişkin MET</w:t>
      </w:r>
    </w:p>
    <w:p w14:paraId="78C2EEAB" w14:textId="433A8B9C" w:rsidR="004C6D90" w:rsidRPr="004C6D90" w:rsidRDefault="004C6D90"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Çoklu Yakıtların Yakılmasına İlişkin MET</w:t>
      </w:r>
    </w:p>
    <w:p w14:paraId="6426D6B3" w14:textId="77777777" w:rsidR="004C6D90" w:rsidRDefault="004C6D90" w:rsidP="00EB5C8E">
      <w:pPr>
        <w:pStyle w:val="ListeParagraf"/>
        <w:numPr>
          <w:ilvl w:val="0"/>
          <w:numId w:val="138"/>
        </w:numPr>
        <w:rPr>
          <w:rFonts w:cs="Times New Roman"/>
          <w:szCs w:val="24"/>
          <w:lang w:val="es-ES" w:eastAsia="es-ES"/>
        </w:rPr>
      </w:pPr>
      <w:r>
        <w:rPr>
          <w:rFonts w:cs="Times New Roman"/>
          <w:szCs w:val="24"/>
          <w:lang w:val="es-ES" w:eastAsia="es-ES"/>
        </w:rPr>
        <w:t>Atıkların Yakılmasına İlişkin MET</w:t>
      </w:r>
    </w:p>
    <w:p w14:paraId="7C863FDD" w14:textId="77777777" w:rsidR="004C6D90" w:rsidRDefault="004C6D90" w:rsidP="00EB5C8E">
      <w:pPr>
        <w:pStyle w:val="ListeParagraf"/>
        <w:numPr>
          <w:ilvl w:val="0"/>
          <w:numId w:val="138"/>
        </w:numPr>
        <w:rPr>
          <w:rFonts w:cs="Times New Roman"/>
          <w:szCs w:val="24"/>
          <w:lang w:val="es-ES" w:eastAsia="es-ES"/>
        </w:rPr>
      </w:pPr>
      <w:r>
        <w:rPr>
          <w:rFonts w:cs="Times New Roman"/>
          <w:szCs w:val="24"/>
          <w:lang w:val="es-ES" w:eastAsia="es-ES"/>
        </w:rPr>
        <w:t>Gazlaştırmaya İlişkin MET</w:t>
      </w:r>
    </w:p>
    <w:p w14:paraId="4DF9E95B" w14:textId="017BDC49" w:rsidR="009A14F1" w:rsidRPr="00DD0D1F" w:rsidRDefault="004C6D90" w:rsidP="00EB5C8E">
      <w:pPr>
        <w:pStyle w:val="ListeParagraf"/>
        <w:numPr>
          <w:ilvl w:val="0"/>
          <w:numId w:val="138"/>
        </w:numPr>
        <w:rPr>
          <w:rFonts w:cs="Times New Roman"/>
          <w:szCs w:val="24"/>
          <w:lang w:val="es-ES" w:eastAsia="es-ES"/>
        </w:rPr>
      </w:pPr>
      <w:r>
        <w:rPr>
          <w:rFonts w:cs="Times New Roman"/>
          <w:szCs w:val="24"/>
          <w:lang w:val="es-ES" w:eastAsia="es-ES"/>
        </w:rPr>
        <w:t>MET-İESler</w:t>
      </w:r>
    </w:p>
    <w:p w14:paraId="59AA3677" w14:textId="1BE30FC5" w:rsidR="00FE51BC" w:rsidRPr="00DD0D1F" w:rsidRDefault="002D6D0B" w:rsidP="002D6D0B">
      <w:pPr>
        <w:pStyle w:val="GvdeMetni"/>
        <w:spacing w:before="8"/>
        <w:jc w:val="both"/>
        <w:rPr>
          <w:b/>
          <w:sz w:val="24"/>
          <w:szCs w:val="24"/>
        </w:rPr>
      </w:pPr>
      <w:r w:rsidRPr="00DD0D1F">
        <w:rPr>
          <w:sz w:val="24"/>
          <w:szCs w:val="24"/>
        </w:rPr>
        <w:t>(3)</w:t>
      </w:r>
      <w:r w:rsidR="009F15B6" w:rsidRPr="00DD0D1F">
        <w:rPr>
          <w:b/>
          <w:sz w:val="24"/>
          <w:szCs w:val="24"/>
        </w:rPr>
        <w:t xml:space="preserve"> </w:t>
      </w:r>
      <w:r w:rsidR="009F15B6" w:rsidRPr="00DD0D1F">
        <w:rPr>
          <w:sz w:val="24"/>
          <w:szCs w:val="24"/>
        </w:rPr>
        <w:t xml:space="preserve">Büyük yakma tesislerinin uyum durumu puanlama hesaplamasında </w:t>
      </w:r>
      <w:r w:rsidR="00170238" w:rsidRPr="00DD0D1F">
        <w:rPr>
          <w:sz w:val="24"/>
          <w:szCs w:val="24"/>
        </w:rPr>
        <w:t xml:space="preserve">Ek-2’de yer alan </w:t>
      </w:r>
      <w:r w:rsidR="009F15B6" w:rsidRPr="00DD0D1F">
        <w:rPr>
          <w:sz w:val="24"/>
          <w:szCs w:val="24"/>
        </w:rPr>
        <w:t>Kademe 1 ve Kademe 2 MET-İES değerleri kullanılılır.</w:t>
      </w:r>
    </w:p>
    <w:p w14:paraId="53098315" w14:textId="77777777" w:rsidR="0026741B" w:rsidRDefault="0026741B" w:rsidP="008C74F5">
      <w:pPr>
        <w:pStyle w:val="GvdeMetni"/>
        <w:spacing w:before="8"/>
        <w:jc w:val="both"/>
        <w:rPr>
          <w:b/>
          <w:sz w:val="24"/>
          <w:szCs w:val="24"/>
        </w:rPr>
      </w:pPr>
    </w:p>
    <w:p w14:paraId="769B22C8" w14:textId="0C667E57" w:rsidR="00967F54" w:rsidRPr="00DD0D1F" w:rsidRDefault="00967F54" w:rsidP="008C74F5">
      <w:pPr>
        <w:pStyle w:val="GvdeMetni"/>
        <w:spacing w:before="8"/>
        <w:jc w:val="both"/>
        <w:rPr>
          <w:b/>
          <w:sz w:val="24"/>
          <w:szCs w:val="24"/>
        </w:rPr>
      </w:pPr>
      <w:r w:rsidRPr="00DD0D1F">
        <w:rPr>
          <w:b/>
          <w:sz w:val="24"/>
          <w:szCs w:val="24"/>
        </w:rPr>
        <w:t xml:space="preserve">Büyük Yakma Tesisleri için </w:t>
      </w:r>
      <w:r w:rsidR="002D6D0B" w:rsidRPr="00DD0D1F">
        <w:rPr>
          <w:b/>
          <w:sz w:val="24"/>
          <w:szCs w:val="24"/>
        </w:rPr>
        <w:t>özel hükümler</w:t>
      </w:r>
    </w:p>
    <w:p w14:paraId="5AF0C94D" w14:textId="42504B6C" w:rsidR="00967F54" w:rsidRPr="00DD0D1F" w:rsidRDefault="002D6D0B" w:rsidP="00967F54">
      <w:pPr>
        <w:pStyle w:val="GvdeMetni"/>
        <w:numPr>
          <w:ilvl w:val="0"/>
          <w:numId w:val="130"/>
        </w:numPr>
        <w:spacing w:before="8"/>
        <w:jc w:val="both"/>
        <w:rPr>
          <w:sz w:val="24"/>
          <w:szCs w:val="24"/>
        </w:rPr>
      </w:pPr>
      <w:r w:rsidRPr="00DD0D1F">
        <w:rPr>
          <w:sz w:val="24"/>
          <w:szCs w:val="24"/>
        </w:rPr>
        <w:t>Yönetmeliğin 20 nci maddesi çerçevesinde y</w:t>
      </w:r>
      <w:r w:rsidR="009F15B6" w:rsidRPr="00DD0D1F">
        <w:rPr>
          <w:sz w:val="24"/>
          <w:szCs w:val="24"/>
        </w:rPr>
        <w:t>akma tesisleri uyum durumu puanlama hesaplamasında</w:t>
      </w:r>
      <w:r w:rsidRPr="00DD0D1F">
        <w:rPr>
          <w:sz w:val="24"/>
          <w:szCs w:val="24"/>
        </w:rPr>
        <w:t xml:space="preserve"> yakma tesisleri</w:t>
      </w:r>
      <w:r w:rsidR="00170238" w:rsidRPr="00DD0D1F">
        <w:rPr>
          <w:sz w:val="24"/>
          <w:szCs w:val="24"/>
        </w:rPr>
        <w:t>;</w:t>
      </w:r>
    </w:p>
    <w:p w14:paraId="648F0358" w14:textId="55C613A5" w:rsidR="009F15B6" w:rsidRPr="00DD0D1F" w:rsidRDefault="009F15B6" w:rsidP="00EB5C8E">
      <w:pPr>
        <w:pStyle w:val="GvdeMetni"/>
        <w:numPr>
          <w:ilvl w:val="0"/>
          <w:numId w:val="139"/>
        </w:numPr>
        <w:spacing w:before="8"/>
        <w:jc w:val="both"/>
        <w:rPr>
          <w:sz w:val="24"/>
          <w:szCs w:val="24"/>
        </w:rPr>
      </w:pPr>
      <w:r w:rsidRPr="00DD0D1F">
        <w:rPr>
          <w:sz w:val="24"/>
          <w:szCs w:val="24"/>
        </w:rPr>
        <w:t xml:space="preserve">Yerli yakıt </w:t>
      </w:r>
      <w:r w:rsidR="002D6D0B" w:rsidRPr="00DD0D1F">
        <w:rPr>
          <w:sz w:val="24"/>
          <w:szCs w:val="24"/>
        </w:rPr>
        <w:t>kullanılması</w:t>
      </w:r>
      <w:r w:rsidRPr="00DD0D1F">
        <w:rPr>
          <w:sz w:val="24"/>
          <w:szCs w:val="24"/>
        </w:rPr>
        <w:t>,</w:t>
      </w:r>
    </w:p>
    <w:p w14:paraId="3E3E7F9A" w14:textId="5998CFB2" w:rsidR="009F15B6" w:rsidRPr="00DD0D1F" w:rsidRDefault="00F87527" w:rsidP="00EB5C8E">
      <w:pPr>
        <w:pStyle w:val="GvdeMetni"/>
        <w:numPr>
          <w:ilvl w:val="0"/>
          <w:numId w:val="139"/>
        </w:numPr>
        <w:spacing w:before="8"/>
        <w:jc w:val="both"/>
        <w:rPr>
          <w:sz w:val="24"/>
          <w:szCs w:val="24"/>
        </w:rPr>
      </w:pPr>
      <w:r w:rsidRPr="00DD0D1F">
        <w:rPr>
          <w:sz w:val="24"/>
          <w:szCs w:val="24"/>
        </w:rPr>
        <w:t xml:space="preserve">Buhar veya sıcak su halinde bölgesel ısıtma için </w:t>
      </w:r>
      <w:r w:rsidR="00DD0B0D" w:rsidRPr="00DD0D1F">
        <w:rPr>
          <w:sz w:val="24"/>
          <w:szCs w:val="24"/>
        </w:rPr>
        <w:t>dağıtım şebekesine</w:t>
      </w:r>
      <w:r w:rsidRPr="00DD0D1F">
        <w:rPr>
          <w:sz w:val="24"/>
          <w:szCs w:val="24"/>
        </w:rPr>
        <w:t xml:space="preserve"> vermeleri,</w:t>
      </w:r>
    </w:p>
    <w:p w14:paraId="07FCED3E" w14:textId="576A2CFA" w:rsidR="009F15B6" w:rsidRPr="00DD0D1F" w:rsidRDefault="009F15B6" w:rsidP="00EB5C8E">
      <w:pPr>
        <w:pStyle w:val="GvdeMetni"/>
        <w:numPr>
          <w:ilvl w:val="0"/>
          <w:numId w:val="139"/>
        </w:numPr>
        <w:spacing w:before="8"/>
        <w:jc w:val="both"/>
        <w:rPr>
          <w:sz w:val="24"/>
          <w:szCs w:val="24"/>
        </w:rPr>
      </w:pPr>
      <w:r w:rsidRPr="00DD0D1F">
        <w:rPr>
          <w:sz w:val="24"/>
          <w:szCs w:val="24"/>
        </w:rPr>
        <w:t>Küçük izole sistemler olması</w:t>
      </w:r>
      <w:r w:rsidR="002D6D0B" w:rsidRPr="00DD0D1F">
        <w:rPr>
          <w:sz w:val="24"/>
          <w:szCs w:val="24"/>
        </w:rPr>
        <w:t>,</w:t>
      </w:r>
      <w:r w:rsidRPr="00DD0D1F">
        <w:rPr>
          <w:sz w:val="24"/>
          <w:szCs w:val="24"/>
        </w:rPr>
        <w:t xml:space="preserve"> </w:t>
      </w:r>
    </w:p>
    <w:p w14:paraId="655DBB89" w14:textId="196A596A" w:rsidR="000F424A" w:rsidRPr="00DD0D1F" w:rsidRDefault="000F424A" w:rsidP="00EB5C8E">
      <w:pPr>
        <w:pStyle w:val="GvdeMetni"/>
        <w:numPr>
          <w:ilvl w:val="0"/>
          <w:numId w:val="139"/>
        </w:numPr>
        <w:spacing w:before="8"/>
        <w:jc w:val="both"/>
        <w:rPr>
          <w:sz w:val="24"/>
          <w:szCs w:val="24"/>
        </w:rPr>
      </w:pPr>
      <w:r w:rsidRPr="00DD0D1F">
        <w:rPr>
          <w:sz w:val="24"/>
          <w:szCs w:val="24"/>
        </w:rPr>
        <w:t xml:space="preserve">Yatırım maliyetinin </w:t>
      </w:r>
      <w:r w:rsidR="005C5ADC" w:rsidRPr="00DD0D1F">
        <w:rPr>
          <w:sz w:val="24"/>
          <w:szCs w:val="24"/>
        </w:rPr>
        <w:t xml:space="preserve">çevresel </w:t>
      </w:r>
      <w:r w:rsidR="00BA1FD8" w:rsidRPr="00DD0D1F">
        <w:rPr>
          <w:sz w:val="24"/>
          <w:szCs w:val="24"/>
        </w:rPr>
        <w:t>kazanımla</w:t>
      </w:r>
      <w:r w:rsidR="005C5ADC" w:rsidRPr="00DD0D1F">
        <w:rPr>
          <w:sz w:val="24"/>
          <w:szCs w:val="24"/>
        </w:rPr>
        <w:t>rla</w:t>
      </w:r>
      <w:r w:rsidRPr="00DD0D1F">
        <w:rPr>
          <w:sz w:val="24"/>
          <w:szCs w:val="24"/>
        </w:rPr>
        <w:t xml:space="preserve"> orantısız olması</w:t>
      </w:r>
      <w:r w:rsidR="002D6D0B" w:rsidRPr="00DD0D1F">
        <w:rPr>
          <w:sz w:val="24"/>
          <w:szCs w:val="24"/>
        </w:rPr>
        <w:t>,</w:t>
      </w:r>
      <w:r w:rsidRPr="00DD0D1F">
        <w:rPr>
          <w:sz w:val="24"/>
          <w:szCs w:val="24"/>
        </w:rPr>
        <w:t xml:space="preserve"> </w:t>
      </w:r>
    </w:p>
    <w:p w14:paraId="2CE51F99" w14:textId="1208177B" w:rsidR="002D6D0B" w:rsidRPr="00DD0D1F" w:rsidRDefault="009F15B6" w:rsidP="002D6D0B">
      <w:pPr>
        <w:pStyle w:val="GvdeMetni"/>
        <w:spacing w:before="8"/>
        <w:jc w:val="both"/>
        <w:rPr>
          <w:sz w:val="24"/>
          <w:szCs w:val="24"/>
        </w:rPr>
      </w:pPr>
      <w:r w:rsidRPr="00DD0D1F">
        <w:rPr>
          <w:sz w:val="24"/>
          <w:szCs w:val="24"/>
        </w:rPr>
        <w:t xml:space="preserve">halinde MET-İES değerlerinden </w:t>
      </w:r>
      <w:r w:rsidR="00170238" w:rsidRPr="00DD0D1F">
        <w:rPr>
          <w:sz w:val="24"/>
          <w:szCs w:val="24"/>
        </w:rPr>
        <w:t>muaf tutulabilir.</w:t>
      </w:r>
    </w:p>
    <w:p w14:paraId="27BCA47D" w14:textId="30A59264" w:rsidR="00170238" w:rsidRPr="00DD0D1F" w:rsidRDefault="004344AA" w:rsidP="002D6D0B">
      <w:pPr>
        <w:pStyle w:val="GvdeMetni"/>
        <w:numPr>
          <w:ilvl w:val="0"/>
          <w:numId w:val="130"/>
        </w:numPr>
        <w:spacing w:before="8"/>
        <w:ind w:left="0" w:firstLine="284"/>
        <w:jc w:val="both"/>
        <w:rPr>
          <w:sz w:val="24"/>
          <w:szCs w:val="24"/>
        </w:rPr>
      </w:pPr>
      <w:r w:rsidRPr="00DD0D1F">
        <w:rPr>
          <w:sz w:val="24"/>
          <w:szCs w:val="24"/>
        </w:rPr>
        <w:t xml:space="preserve">Muafiyet talepleri SYD </w:t>
      </w:r>
      <w:r w:rsidR="00BA1FD8" w:rsidRPr="00DD0D1F">
        <w:rPr>
          <w:sz w:val="24"/>
          <w:szCs w:val="24"/>
        </w:rPr>
        <w:t>Değerlendirme R</w:t>
      </w:r>
      <w:r w:rsidR="002D6D0B" w:rsidRPr="00DD0D1F">
        <w:rPr>
          <w:sz w:val="24"/>
          <w:szCs w:val="24"/>
        </w:rPr>
        <w:t>aporu ile birlikte</w:t>
      </w:r>
      <w:r w:rsidR="00170238" w:rsidRPr="00DD0D1F">
        <w:rPr>
          <w:sz w:val="24"/>
          <w:szCs w:val="24"/>
        </w:rPr>
        <w:t xml:space="preserve"> </w:t>
      </w:r>
      <w:r w:rsidR="00BA1FD8" w:rsidRPr="00DD0D1F">
        <w:rPr>
          <w:sz w:val="24"/>
          <w:szCs w:val="24"/>
        </w:rPr>
        <w:t xml:space="preserve">sunulan detaylı bilgiler </w:t>
      </w:r>
      <w:r w:rsidRPr="00DD0D1F">
        <w:rPr>
          <w:sz w:val="24"/>
          <w:szCs w:val="24"/>
        </w:rPr>
        <w:t xml:space="preserve">kapsamında </w:t>
      </w:r>
      <w:r w:rsidR="00BA1FD8" w:rsidRPr="00DD0D1F">
        <w:rPr>
          <w:sz w:val="24"/>
          <w:szCs w:val="24"/>
        </w:rPr>
        <w:t>(yakıt analizi,yakma teknolojisi, tesisin faaliyete geçiş tarihi, kalan işletme ömrü, ilave yatırımlar için fizibilite raporu</w:t>
      </w:r>
      <w:r w:rsidR="00A825BE" w:rsidRPr="00DD0D1F">
        <w:rPr>
          <w:sz w:val="24"/>
          <w:szCs w:val="24"/>
        </w:rPr>
        <w:t>, bölgesel ısıtmaya verilen oran</w:t>
      </w:r>
      <w:r w:rsidRPr="00DD0D1F">
        <w:rPr>
          <w:sz w:val="24"/>
          <w:szCs w:val="24"/>
        </w:rPr>
        <w:t xml:space="preserve"> vb.</w:t>
      </w:r>
      <w:r w:rsidR="00BA1FD8" w:rsidRPr="00DD0D1F">
        <w:rPr>
          <w:sz w:val="24"/>
          <w:szCs w:val="24"/>
        </w:rPr>
        <w:t xml:space="preserve">) </w:t>
      </w:r>
      <w:r w:rsidR="002D6D0B" w:rsidRPr="00DD0D1F">
        <w:rPr>
          <w:sz w:val="24"/>
          <w:szCs w:val="24"/>
        </w:rPr>
        <w:t>Bakanlıkça</w:t>
      </w:r>
      <w:r w:rsidRPr="00DD0D1F">
        <w:rPr>
          <w:sz w:val="24"/>
          <w:szCs w:val="24"/>
        </w:rPr>
        <w:t xml:space="preserve"> belirlenen kriterler çerçevesinde</w:t>
      </w:r>
      <w:r w:rsidR="002D6D0B" w:rsidRPr="00DD0D1F">
        <w:rPr>
          <w:sz w:val="24"/>
          <w:szCs w:val="24"/>
        </w:rPr>
        <w:t xml:space="preserve"> değerlendirilir.</w:t>
      </w:r>
    </w:p>
    <w:p w14:paraId="7ED2423C" w14:textId="77777777" w:rsidR="00967F54" w:rsidRPr="00DD0D1F" w:rsidRDefault="00967F54" w:rsidP="008C74F5">
      <w:pPr>
        <w:pStyle w:val="GvdeMetni"/>
        <w:spacing w:before="8"/>
        <w:jc w:val="both"/>
        <w:rPr>
          <w:b/>
          <w:sz w:val="24"/>
          <w:szCs w:val="24"/>
        </w:rPr>
      </w:pPr>
    </w:p>
    <w:p w14:paraId="098FB3E7" w14:textId="1CF5051F" w:rsidR="00B367EC" w:rsidRPr="00DD0D1F" w:rsidRDefault="009950EB" w:rsidP="008C74F5">
      <w:pPr>
        <w:pStyle w:val="GvdeMetni"/>
        <w:spacing w:before="8"/>
        <w:jc w:val="both"/>
        <w:rPr>
          <w:b/>
          <w:sz w:val="24"/>
          <w:szCs w:val="24"/>
        </w:rPr>
      </w:pPr>
      <w:r w:rsidRPr="00DD0D1F">
        <w:rPr>
          <w:b/>
          <w:sz w:val="24"/>
          <w:szCs w:val="24"/>
        </w:rPr>
        <w:t xml:space="preserve">Rafineriler </w:t>
      </w:r>
      <w:r w:rsidR="008C74F5" w:rsidRPr="00DD0D1F">
        <w:rPr>
          <w:b/>
          <w:sz w:val="24"/>
          <w:szCs w:val="24"/>
        </w:rPr>
        <w:t xml:space="preserve">İçin </w:t>
      </w:r>
      <w:r w:rsidR="006934EE" w:rsidRPr="00DD0D1F">
        <w:rPr>
          <w:b/>
          <w:sz w:val="24"/>
          <w:szCs w:val="24"/>
        </w:rPr>
        <w:t xml:space="preserve">Sektörel </w:t>
      </w:r>
      <w:r w:rsidR="00A93A3F" w:rsidRPr="00DD0D1F">
        <w:rPr>
          <w:b/>
          <w:sz w:val="24"/>
          <w:szCs w:val="24"/>
        </w:rPr>
        <w:t>MET</w:t>
      </w:r>
    </w:p>
    <w:p w14:paraId="68F55851" w14:textId="2E60FE69" w:rsidR="00321A40" w:rsidRPr="00DD0D1F" w:rsidRDefault="008C74F5" w:rsidP="000D7293">
      <w:pPr>
        <w:pStyle w:val="Balk1"/>
        <w:numPr>
          <w:ilvl w:val="0"/>
          <w:numId w:val="0"/>
        </w:numPr>
        <w:spacing w:line="276" w:lineRule="auto"/>
        <w:rPr>
          <w:rFonts w:cs="Times New Roman"/>
          <w:b w:val="0"/>
          <w:szCs w:val="24"/>
        </w:rPr>
      </w:pPr>
      <w:r w:rsidRPr="00DD0D1F">
        <w:rPr>
          <w:rFonts w:eastAsia="Times New Roman" w:cs="Times New Roman"/>
          <w:szCs w:val="24"/>
          <w:lang w:val="tr-TR"/>
        </w:rPr>
        <w:t>MADDE</w:t>
      </w:r>
      <w:r w:rsidR="000D7293" w:rsidRPr="00DD0D1F">
        <w:rPr>
          <w:rFonts w:eastAsia="Times New Roman" w:cs="Times New Roman"/>
          <w:szCs w:val="24"/>
          <w:lang w:val="tr-TR"/>
        </w:rPr>
        <w:t xml:space="preserve"> </w:t>
      </w:r>
      <w:r w:rsidR="00EE20C0" w:rsidRPr="00DD0D1F">
        <w:rPr>
          <w:rFonts w:eastAsia="Times New Roman" w:cs="Times New Roman"/>
          <w:szCs w:val="24"/>
          <w:lang w:val="tr-TR"/>
        </w:rPr>
        <w:t>9</w:t>
      </w:r>
      <w:r w:rsidR="000D7293" w:rsidRPr="00DD0D1F">
        <w:rPr>
          <w:rFonts w:eastAsia="Times New Roman" w:cs="Times New Roman"/>
          <w:szCs w:val="24"/>
          <w:lang w:val="tr-TR"/>
        </w:rPr>
        <w:t xml:space="preserve">- </w:t>
      </w:r>
      <w:r w:rsidRPr="00DD0D1F">
        <w:rPr>
          <w:rFonts w:eastAsia="Times New Roman" w:cs="Times New Roman"/>
          <w:szCs w:val="24"/>
          <w:lang w:val="tr-TR"/>
        </w:rPr>
        <w:t xml:space="preserve"> </w:t>
      </w:r>
      <w:r w:rsidRPr="00DD0D1F">
        <w:rPr>
          <w:rFonts w:cs="Times New Roman"/>
          <w:b w:val="0"/>
          <w:szCs w:val="24"/>
        </w:rPr>
        <w:t xml:space="preserve">(1) </w:t>
      </w:r>
      <w:r w:rsidR="00321A40" w:rsidRPr="00DD0D1F">
        <w:rPr>
          <w:rFonts w:cs="Times New Roman"/>
          <w:b w:val="0"/>
          <w:szCs w:val="24"/>
        </w:rPr>
        <w:t xml:space="preserve">Bu madde; </w:t>
      </w:r>
      <w:r w:rsidR="009950EB" w:rsidRPr="00DD0D1F">
        <w:rPr>
          <w:rFonts w:cs="Times New Roman"/>
          <w:b w:val="0"/>
          <w:szCs w:val="24"/>
        </w:rPr>
        <w:t xml:space="preserve">madeni yağ ve gazların </w:t>
      </w:r>
      <w:r w:rsidR="005063CB" w:rsidRPr="00DD0D1F">
        <w:rPr>
          <w:rFonts w:cs="Times New Roman"/>
          <w:b w:val="0"/>
          <w:szCs w:val="24"/>
        </w:rPr>
        <w:t xml:space="preserve">rafinasyon işlemlerinin gerçekleştirildiği tesisleri </w:t>
      </w:r>
      <w:r w:rsidR="00A93A3F" w:rsidRPr="00DD0D1F">
        <w:rPr>
          <w:rFonts w:cs="Times New Roman"/>
          <w:b w:val="0"/>
          <w:szCs w:val="24"/>
        </w:rPr>
        <w:t>kapsar</w:t>
      </w:r>
      <w:r w:rsidR="00A52DBB" w:rsidRPr="00DD0D1F">
        <w:rPr>
          <w:rFonts w:cs="Times New Roman"/>
          <w:b w:val="0"/>
          <w:szCs w:val="24"/>
        </w:rPr>
        <w:t>.</w:t>
      </w:r>
    </w:p>
    <w:p w14:paraId="671C6840" w14:textId="7B84DDA5" w:rsidR="006346F6" w:rsidRDefault="001E0AAC" w:rsidP="006346F6">
      <w:pPr>
        <w:pStyle w:val="GvdeMetni"/>
        <w:numPr>
          <w:ilvl w:val="0"/>
          <w:numId w:val="134"/>
        </w:numPr>
        <w:spacing w:before="8"/>
        <w:jc w:val="both"/>
        <w:rPr>
          <w:sz w:val="24"/>
          <w:szCs w:val="24"/>
          <w:lang w:val="es-ES" w:eastAsia="es-ES"/>
        </w:rPr>
      </w:pPr>
      <w:r w:rsidRPr="00DD0D1F">
        <w:rPr>
          <w:sz w:val="24"/>
          <w:szCs w:val="24"/>
          <w:lang w:val="es-ES" w:eastAsia="es-ES"/>
        </w:rPr>
        <w:t xml:space="preserve">Madeni yağ ve gazların </w:t>
      </w:r>
      <w:r w:rsidR="005063CB" w:rsidRPr="00DD0D1F">
        <w:rPr>
          <w:sz w:val="24"/>
          <w:szCs w:val="24"/>
          <w:lang w:val="es-ES" w:eastAsia="es-ES"/>
        </w:rPr>
        <w:t xml:space="preserve">rafinasyon işlemlerinin gerçekleştirildiği </w:t>
      </w:r>
      <w:r w:rsidRPr="00DD0D1F">
        <w:rPr>
          <w:sz w:val="24"/>
          <w:szCs w:val="24"/>
          <w:lang w:val="es-ES" w:eastAsia="es-ES"/>
        </w:rPr>
        <w:t xml:space="preserve">tesislerden </w:t>
      </w:r>
      <w:r w:rsidR="007C4E1A" w:rsidRPr="00DD0D1F">
        <w:rPr>
          <w:sz w:val="24"/>
          <w:szCs w:val="24"/>
          <w:lang w:val="es-ES" w:eastAsia="es-ES"/>
        </w:rPr>
        <w:t xml:space="preserve">kaynaklanan emisyonların azaltılması, kaynakların verimli kullanılması, döngüsel ekonomi prensipleri çerçevesinde atıkların azaltılması için </w:t>
      </w:r>
      <w:r w:rsidR="007C4E1A" w:rsidRPr="00DD0D1F">
        <w:rPr>
          <w:sz w:val="24"/>
          <w:szCs w:val="24"/>
        </w:rPr>
        <w:t xml:space="preserve">EK-3’de tanımlanan </w:t>
      </w:r>
      <w:r w:rsidR="007C4E1A" w:rsidRPr="00DD0D1F">
        <w:rPr>
          <w:sz w:val="24"/>
          <w:szCs w:val="24"/>
          <w:lang w:val="es-ES" w:eastAsia="es-ES"/>
        </w:rPr>
        <w:t>MET asgari olarak aşağıdaki hususları içerir.</w:t>
      </w:r>
    </w:p>
    <w:p w14:paraId="59116E9B" w14:textId="17946A16" w:rsidR="006346F6" w:rsidRDefault="006346F6" w:rsidP="006346F6">
      <w:pPr>
        <w:pStyle w:val="GvdeMetni"/>
        <w:spacing w:before="8"/>
        <w:ind w:left="360"/>
        <w:jc w:val="both"/>
        <w:rPr>
          <w:szCs w:val="24"/>
          <w:lang w:val="es-ES" w:eastAsia="es-ES"/>
        </w:rPr>
      </w:pPr>
    </w:p>
    <w:p w14:paraId="33B6831E" w14:textId="77777777" w:rsidR="00B91BF9" w:rsidRDefault="00B91BF9" w:rsidP="006346F6">
      <w:pPr>
        <w:pStyle w:val="GvdeMetni"/>
        <w:spacing w:before="8"/>
        <w:ind w:left="360"/>
        <w:jc w:val="both"/>
        <w:rPr>
          <w:szCs w:val="24"/>
          <w:lang w:val="es-ES" w:eastAsia="es-ES"/>
        </w:rPr>
      </w:pPr>
    </w:p>
    <w:p w14:paraId="23F98D5F" w14:textId="0340ABA9" w:rsidR="008C74F5" w:rsidRPr="006346F6" w:rsidRDefault="007712FC" w:rsidP="00B91BF9">
      <w:pPr>
        <w:pStyle w:val="GvdeMetni"/>
        <w:numPr>
          <w:ilvl w:val="0"/>
          <w:numId w:val="136"/>
        </w:numPr>
        <w:spacing w:before="8"/>
        <w:jc w:val="both"/>
        <w:rPr>
          <w:sz w:val="24"/>
          <w:szCs w:val="24"/>
        </w:rPr>
      </w:pPr>
      <w:r w:rsidRPr="00B91BF9">
        <w:rPr>
          <w:sz w:val="24"/>
          <w:szCs w:val="24"/>
        </w:rPr>
        <w:t>Alkilasyon Prosesine İlişkin MET</w:t>
      </w:r>
    </w:p>
    <w:p w14:paraId="131FD49E" w14:textId="55A116D1" w:rsidR="006346F6" w:rsidRPr="00B91BF9" w:rsidRDefault="007712FC" w:rsidP="00B91BF9">
      <w:pPr>
        <w:pStyle w:val="GvdeMetni"/>
        <w:numPr>
          <w:ilvl w:val="0"/>
          <w:numId w:val="136"/>
        </w:numPr>
        <w:spacing w:before="8"/>
        <w:jc w:val="both"/>
        <w:rPr>
          <w:sz w:val="24"/>
          <w:szCs w:val="24"/>
        </w:rPr>
      </w:pPr>
      <w:r w:rsidRPr="00B91BF9">
        <w:rPr>
          <w:sz w:val="24"/>
          <w:szCs w:val="24"/>
        </w:rPr>
        <w:t>Baz Yağı Üretimi Prosesine İlişkin MET</w:t>
      </w:r>
    </w:p>
    <w:p w14:paraId="2F8F7E86" w14:textId="626D3890" w:rsidR="008001B7" w:rsidRPr="00B91BF9" w:rsidRDefault="006346F6" w:rsidP="00B91BF9">
      <w:pPr>
        <w:pStyle w:val="GvdeMetni"/>
        <w:numPr>
          <w:ilvl w:val="0"/>
          <w:numId w:val="136"/>
        </w:numPr>
        <w:spacing w:before="8"/>
        <w:jc w:val="both"/>
        <w:rPr>
          <w:sz w:val="24"/>
          <w:szCs w:val="24"/>
        </w:rPr>
      </w:pPr>
      <w:r w:rsidRPr="00B91BF9">
        <w:rPr>
          <w:sz w:val="24"/>
          <w:szCs w:val="24"/>
        </w:rPr>
        <w:t>Bitüm Üretimi Prosesine İlişkin MET</w:t>
      </w:r>
    </w:p>
    <w:p w14:paraId="26DEA1FD" w14:textId="59E52D16" w:rsidR="008001B7" w:rsidRPr="00B91BF9" w:rsidRDefault="006346F6" w:rsidP="00B91BF9">
      <w:pPr>
        <w:pStyle w:val="GvdeMetni"/>
        <w:spacing w:before="8"/>
        <w:ind w:left="360"/>
        <w:jc w:val="both"/>
        <w:rPr>
          <w:sz w:val="24"/>
          <w:szCs w:val="24"/>
        </w:rPr>
      </w:pPr>
      <w:r w:rsidRPr="00B91BF9">
        <w:rPr>
          <w:sz w:val="24"/>
          <w:szCs w:val="24"/>
        </w:rPr>
        <w:t>ç)   Akışkan Katalitik Parçalama İşlemi Prosesine İlişkin MET</w:t>
      </w:r>
    </w:p>
    <w:p w14:paraId="08CE9591" w14:textId="233CD385" w:rsidR="006346F6" w:rsidRPr="00B91BF9" w:rsidRDefault="006346F6" w:rsidP="00B91BF9">
      <w:pPr>
        <w:pStyle w:val="GvdeMetni"/>
        <w:numPr>
          <w:ilvl w:val="0"/>
          <w:numId w:val="136"/>
        </w:numPr>
        <w:spacing w:before="8"/>
        <w:jc w:val="both"/>
        <w:rPr>
          <w:sz w:val="24"/>
          <w:szCs w:val="24"/>
        </w:rPr>
      </w:pPr>
      <w:r w:rsidRPr="00B91BF9">
        <w:rPr>
          <w:sz w:val="24"/>
          <w:szCs w:val="24"/>
        </w:rPr>
        <w:t>Koklaştırma İşlemi Prosesine İlişkin MET</w:t>
      </w:r>
    </w:p>
    <w:p w14:paraId="3B137F94" w14:textId="77777777" w:rsidR="006346F6" w:rsidRPr="00B91BF9" w:rsidRDefault="006346F6" w:rsidP="00B91BF9">
      <w:pPr>
        <w:pStyle w:val="GvdeMetni"/>
        <w:numPr>
          <w:ilvl w:val="0"/>
          <w:numId w:val="136"/>
        </w:numPr>
        <w:spacing w:before="8"/>
        <w:jc w:val="both"/>
        <w:rPr>
          <w:sz w:val="24"/>
          <w:szCs w:val="24"/>
        </w:rPr>
      </w:pPr>
      <w:r w:rsidRPr="00B91BF9">
        <w:rPr>
          <w:sz w:val="24"/>
          <w:szCs w:val="24"/>
        </w:rPr>
        <w:t>Tuz Giderme Prosesine İlişkin MET</w:t>
      </w:r>
    </w:p>
    <w:p w14:paraId="4FD68F67" w14:textId="69E16BE1" w:rsidR="006346F6" w:rsidRPr="00B91BF9" w:rsidRDefault="006346F6" w:rsidP="00B91BF9">
      <w:pPr>
        <w:pStyle w:val="GvdeMetni"/>
        <w:numPr>
          <w:ilvl w:val="0"/>
          <w:numId w:val="136"/>
        </w:numPr>
        <w:spacing w:before="8"/>
        <w:jc w:val="both"/>
        <w:rPr>
          <w:sz w:val="24"/>
          <w:szCs w:val="24"/>
        </w:rPr>
      </w:pPr>
      <w:r w:rsidRPr="00B91BF9">
        <w:rPr>
          <w:sz w:val="24"/>
          <w:szCs w:val="24"/>
        </w:rPr>
        <w:t xml:space="preserve">Yanma Birimlerine İlişkin MET </w:t>
      </w:r>
    </w:p>
    <w:p w14:paraId="4A5E4F1B" w14:textId="77777777" w:rsidR="00B91BF9" w:rsidRDefault="006346F6" w:rsidP="00B91BF9">
      <w:pPr>
        <w:pStyle w:val="GvdeMetni"/>
        <w:numPr>
          <w:ilvl w:val="0"/>
          <w:numId w:val="136"/>
        </w:numPr>
        <w:spacing w:before="8"/>
        <w:jc w:val="both"/>
        <w:rPr>
          <w:sz w:val="24"/>
          <w:szCs w:val="24"/>
        </w:rPr>
      </w:pPr>
      <w:r w:rsidRPr="00B91BF9">
        <w:rPr>
          <w:sz w:val="24"/>
          <w:szCs w:val="24"/>
        </w:rPr>
        <w:t>Eterleşme Prosesine İlişkin MET</w:t>
      </w:r>
    </w:p>
    <w:p w14:paraId="121CE51A" w14:textId="77777777" w:rsidR="00B91BF9" w:rsidRDefault="00B91BF9" w:rsidP="00B91BF9">
      <w:pPr>
        <w:pStyle w:val="GvdeMetni"/>
        <w:numPr>
          <w:ilvl w:val="0"/>
          <w:numId w:val="136"/>
        </w:numPr>
        <w:spacing w:before="8"/>
        <w:jc w:val="both"/>
        <w:rPr>
          <w:webHidden/>
          <w:sz w:val="24"/>
          <w:szCs w:val="24"/>
        </w:rPr>
      </w:pPr>
      <w:r>
        <w:rPr>
          <w:webHidden/>
          <w:sz w:val="24"/>
          <w:szCs w:val="24"/>
        </w:rPr>
        <w:t>Doğalgaz Rafinerisine İlişkin MET</w:t>
      </w:r>
    </w:p>
    <w:p w14:paraId="171B84CB" w14:textId="77777777" w:rsidR="00B91BF9" w:rsidRDefault="00B91BF9" w:rsidP="00B91BF9">
      <w:pPr>
        <w:pStyle w:val="GvdeMetni"/>
        <w:numPr>
          <w:ilvl w:val="0"/>
          <w:numId w:val="136"/>
        </w:numPr>
        <w:spacing w:before="8"/>
        <w:jc w:val="both"/>
        <w:rPr>
          <w:webHidden/>
          <w:sz w:val="24"/>
          <w:szCs w:val="24"/>
        </w:rPr>
      </w:pPr>
      <w:r>
        <w:rPr>
          <w:webHidden/>
          <w:sz w:val="24"/>
          <w:szCs w:val="24"/>
        </w:rPr>
        <w:t>Damıtma Prosesine İlişkin MET</w:t>
      </w:r>
    </w:p>
    <w:p w14:paraId="28D4E6B8" w14:textId="5ECC69F7" w:rsidR="00912B5C" w:rsidRPr="006346F6" w:rsidRDefault="00B91BF9" w:rsidP="00B91BF9">
      <w:pPr>
        <w:pStyle w:val="GvdeMetni"/>
        <w:numPr>
          <w:ilvl w:val="0"/>
          <w:numId w:val="136"/>
        </w:numPr>
        <w:spacing w:before="8"/>
        <w:jc w:val="both"/>
        <w:rPr>
          <w:sz w:val="24"/>
          <w:szCs w:val="24"/>
        </w:rPr>
      </w:pPr>
      <w:r>
        <w:rPr>
          <w:webHidden/>
          <w:sz w:val="24"/>
          <w:szCs w:val="24"/>
        </w:rPr>
        <w:t>İzlemeye İlşkin MET</w:t>
      </w:r>
      <w:r w:rsidR="0042617E" w:rsidRPr="00B91BF9">
        <w:rPr>
          <w:webHidden/>
          <w:sz w:val="24"/>
          <w:szCs w:val="24"/>
        </w:rPr>
        <w:tab/>
      </w:r>
      <w:hyperlink w:anchor="_Toc134453443" w:history="1"/>
    </w:p>
    <w:p w14:paraId="6F2A5DD2" w14:textId="4D595D6E" w:rsidR="006346F6" w:rsidRDefault="006346F6" w:rsidP="003E7485">
      <w:pPr>
        <w:pStyle w:val="GvdeMetni"/>
        <w:spacing w:before="8"/>
        <w:rPr>
          <w:b/>
          <w:sz w:val="24"/>
          <w:szCs w:val="24"/>
        </w:rPr>
      </w:pPr>
    </w:p>
    <w:p w14:paraId="78622BFC" w14:textId="77777777" w:rsidR="002D733A" w:rsidRDefault="002D733A" w:rsidP="003E7485">
      <w:pPr>
        <w:pStyle w:val="GvdeMetni"/>
        <w:spacing w:before="8"/>
        <w:rPr>
          <w:b/>
          <w:sz w:val="24"/>
          <w:szCs w:val="24"/>
        </w:rPr>
      </w:pPr>
    </w:p>
    <w:p w14:paraId="032091D6" w14:textId="77777777" w:rsidR="006346F6" w:rsidRDefault="006346F6" w:rsidP="003E7485">
      <w:pPr>
        <w:pStyle w:val="GvdeMetni"/>
        <w:spacing w:before="8"/>
        <w:rPr>
          <w:b/>
          <w:sz w:val="24"/>
          <w:szCs w:val="24"/>
        </w:rPr>
      </w:pPr>
    </w:p>
    <w:p w14:paraId="49056B47" w14:textId="475E2E3C" w:rsidR="003E7485" w:rsidRPr="00DD0D1F" w:rsidRDefault="003E7485" w:rsidP="003E7485">
      <w:pPr>
        <w:pStyle w:val="GvdeMetni"/>
        <w:spacing w:before="8"/>
        <w:rPr>
          <w:b/>
          <w:sz w:val="24"/>
          <w:szCs w:val="24"/>
        </w:rPr>
      </w:pPr>
      <w:r w:rsidRPr="00DD0D1F">
        <w:rPr>
          <w:b/>
          <w:sz w:val="24"/>
          <w:szCs w:val="24"/>
        </w:rPr>
        <w:t>İlişkili Diğer Dokümanlar</w:t>
      </w:r>
    </w:p>
    <w:p w14:paraId="6FF14BFF" w14:textId="201CA4F3" w:rsidR="003E7485" w:rsidRPr="00DD0D1F" w:rsidRDefault="003E7485" w:rsidP="003E7485">
      <w:pPr>
        <w:pStyle w:val="GvdeMetni"/>
        <w:spacing w:before="8"/>
        <w:rPr>
          <w:b/>
          <w:sz w:val="24"/>
          <w:szCs w:val="24"/>
        </w:rPr>
      </w:pPr>
      <w:r w:rsidRPr="00DD0D1F">
        <w:rPr>
          <w:b/>
          <w:sz w:val="24"/>
          <w:szCs w:val="24"/>
        </w:rPr>
        <w:t xml:space="preserve">MADDE- </w:t>
      </w:r>
      <w:r w:rsidR="00EE20C0" w:rsidRPr="00DD0D1F">
        <w:rPr>
          <w:b/>
          <w:sz w:val="24"/>
          <w:szCs w:val="24"/>
        </w:rPr>
        <w:t>1</w:t>
      </w:r>
      <w:r w:rsidR="00946950" w:rsidRPr="00DD0D1F">
        <w:rPr>
          <w:b/>
          <w:sz w:val="24"/>
          <w:szCs w:val="24"/>
        </w:rPr>
        <w:t>0</w:t>
      </w:r>
    </w:p>
    <w:p w14:paraId="16FD613D" w14:textId="37081A99" w:rsidR="003E7485" w:rsidRPr="00DD0D1F" w:rsidRDefault="003E7485" w:rsidP="00946950">
      <w:pPr>
        <w:pStyle w:val="GvdeMetni"/>
        <w:numPr>
          <w:ilvl w:val="0"/>
          <w:numId w:val="127"/>
        </w:numPr>
        <w:spacing w:before="8"/>
        <w:jc w:val="both"/>
        <w:rPr>
          <w:sz w:val="24"/>
          <w:szCs w:val="24"/>
        </w:rPr>
      </w:pPr>
      <w:r w:rsidRPr="00DD0D1F">
        <w:rPr>
          <w:sz w:val="24"/>
          <w:szCs w:val="24"/>
        </w:rPr>
        <w:t>Bu t</w:t>
      </w:r>
      <w:r w:rsidR="00946950" w:rsidRPr="00DD0D1F">
        <w:rPr>
          <w:sz w:val="24"/>
          <w:szCs w:val="24"/>
        </w:rPr>
        <w:t>ebliğ kapsamına giren tesislerin</w:t>
      </w:r>
      <w:r w:rsidRPr="00DD0D1F">
        <w:rPr>
          <w:sz w:val="24"/>
          <w:szCs w:val="24"/>
        </w:rPr>
        <w:t xml:space="preserve"> Sanayide Yeşil Dönüşüm Belgelendirme sürecinde ilave değerlendirme gerekmesi halinde aşağıdaki rehber dokümanlardan da yararlanılabilir.  </w:t>
      </w:r>
    </w:p>
    <w:p w14:paraId="11880E58"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Depolamadan Kaynaklanan Emisyonlar Rehber Doküman</w:t>
      </w:r>
    </w:p>
    <w:p w14:paraId="2B9B0DC0"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Enerji Verimliliği Rehber Doküman</w:t>
      </w:r>
    </w:p>
    <w:p w14:paraId="766B5909"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Ekonomi ve Çapraz Medya Etkisi Rehber Doküman</w:t>
      </w:r>
    </w:p>
    <w:p w14:paraId="0F43A9C1"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İzlemenin Genel İlkeleri Rehber Doküman</w:t>
      </w:r>
    </w:p>
    <w:p w14:paraId="49C7265B" w14:textId="5E297B17" w:rsidR="00FF2B16" w:rsidRPr="00DD0D1F" w:rsidRDefault="00FF2B16" w:rsidP="000369FA">
      <w:pPr>
        <w:pStyle w:val="ResimYazs"/>
        <w:rPr>
          <w:rFonts w:cs="Times New Roman"/>
          <w:color w:val="auto"/>
          <w:szCs w:val="24"/>
        </w:rPr>
      </w:pPr>
    </w:p>
    <w:p w14:paraId="311E7BDD" w14:textId="77777777" w:rsidR="002D733A" w:rsidRPr="00E04589" w:rsidRDefault="002D733A" w:rsidP="002D733A">
      <w:pPr>
        <w:pStyle w:val="Balk1"/>
        <w:numPr>
          <w:ilvl w:val="0"/>
          <w:numId w:val="0"/>
        </w:numPr>
        <w:spacing w:line="240" w:lineRule="auto"/>
        <w:ind w:left="432" w:hanging="432"/>
        <w:jc w:val="center"/>
        <w:rPr>
          <w:rFonts w:cs="Times New Roman"/>
          <w:lang w:val="tr-TR"/>
        </w:rPr>
      </w:pPr>
      <w:r w:rsidRPr="00E04589">
        <w:rPr>
          <w:rFonts w:cs="Times New Roman"/>
          <w:lang w:val="tr-TR"/>
        </w:rPr>
        <w:t>ÜÇÜNCÜ</w:t>
      </w:r>
      <w:r w:rsidRPr="00E04589">
        <w:rPr>
          <w:rFonts w:cs="Times New Roman"/>
          <w:spacing w:val="-4"/>
          <w:lang w:val="tr-TR"/>
        </w:rPr>
        <w:t xml:space="preserve"> </w:t>
      </w:r>
      <w:r w:rsidRPr="00E04589">
        <w:rPr>
          <w:rFonts w:cs="Times New Roman"/>
          <w:lang w:val="tr-TR"/>
        </w:rPr>
        <w:t>BÖLÜM</w:t>
      </w:r>
    </w:p>
    <w:p w14:paraId="79828C26" w14:textId="77777777" w:rsidR="002D733A" w:rsidRPr="00E04589" w:rsidRDefault="002D733A" w:rsidP="002D733A">
      <w:pPr>
        <w:pStyle w:val="Balk2"/>
        <w:numPr>
          <w:ilvl w:val="0"/>
          <w:numId w:val="0"/>
        </w:numPr>
        <w:spacing w:before="0" w:after="0" w:line="240" w:lineRule="auto"/>
        <w:jc w:val="center"/>
        <w:rPr>
          <w:rFonts w:cs="Times New Roman"/>
          <w:lang w:val="tr-TR"/>
        </w:rPr>
      </w:pPr>
      <w:r w:rsidRPr="00E04589">
        <w:rPr>
          <w:rFonts w:cs="Times New Roman"/>
          <w:lang w:val="tr-TR"/>
        </w:rPr>
        <w:t>Çeşitli</w:t>
      </w:r>
      <w:r w:rsidRPr="00E04589">
        <w:rPr>
          <w:rFonts w:cs="Times New Roman"/>
          <w:spacing w:val="-3"/>
          <w:lang w:val="tr-TR"/>
        </w:rPr>
        <w:t xml:space="preserve"> </w:t>
      </w:r>
      <w:r w:rsidRPr="00E04589">
        <w:rPr>
          <w:rFonts w:cs="Times New Roman"/>
          <w:lang w:val="tr-TR"/>
        </w:rPr>
        <w:t>ve</w:t>
      </w:r>
      <w:r w:rsidRPr="00E04589">
        <w:rPr>
          <w:rFonts w:cs="Times New Roman"/>
          <w:spacing w:val="-1"/>
          <w:lang w:val="tr-TR"/>
        </w:rPr>
        <w:t xml:space="preserve"> </w:t>
      </w:r>
      <w:r w:rsidRPr="00E04589">
        <w:rPr>
          <w:rFonts w:cs="Times New Roman"/>
          <w:lang w:val="tr-TR"/>
        </w:rPr>
        <w:t>Son</w:t>
      </w:r>
      <w:r w:rsidRPr="00E04589">
        <w:rPr>
          <w:rFonts w:cs="Times New Roman"/>
          <w:spacing w:val="-3"/>
          <w:lang w:val="tr-TR"/>
        </w:rPr>
        <w:t xml:space="preserve"> </w:t>
      </w:r>
      <w:r w:rsidRPr="00E04589">
        <w:rPr>
          <w:rFonts w:cs="Times New Roman"/>
          <w:lang w:val="tr-TR"/>
        </w:rPr>
        <w:t>Hükümler</w:t>
      </w:r>
    </w:p>
    <w:p w14:paraId="204776DB" w14:textId="77777777" w:rsidR="002D733A" w:rsidRPr="00BB563D" w:rsidRDefault="002D733A" w:rsidP="002D733A">
      <w:pPr>
        <w:pStyle w:val="Balk3"/>
        <w:numPr>
          <w:ilvl w:val="0"/>
          <w:numId w:val="0"/>
        </w:numPr>
        <w:spacing w:before="0" w:after="0" w:line="240" w:lineRule="auto"/>
        <w:ind w:left="720" w:hanging="720"/>
        <w:rPr>
          <w:rFonts w:cs="Times New Roman"/>
          <w:lang w:val="tr-TR"/>
        </w:rPr>
      </w:pPr>
      <w:r w:rsidRPr="00BB563D">
        <w:rPr>
          <w:rFonts w:cs="Times New Roman"/>
          <w:lang w:val="tr-TR"/>
        </w:rPr>
        <w:t xml:space="preserve">İdari yaptırımlar </w:t>
      </w:r>
    </w:p>
    <w:p w14:paraId="3BB994E0" w14:textId="5067CA01" w:rsidR="002D733A" w:rsidRPr="002D733A" w:rsidRDefault="002D733A" w:rsidP="002D733A">
      <w:pPr>
        <w:pStyle w:val="Balk3"/>
        <w:numPr>
          <w:ilvl w:val="0"/>
          <w:numId w:val="0"/>
        </w:numPr>
        <w:spacing w:before="0" w:after="0" w:line="240" w:lineRule="auto"/>
        <w:ind w:hanging="11"/>
        <w:rPr>
          <w:rFonts w:cs="Times New Roman"/>
          <w:b w:val="0"/>
          <w:lang w:val="tr-TR"/>
        </w:rPr>
      </w:pPr>
      <w:r w:rsidRPr="00BB563D">
        <w:rPr>
          <w:rFonts w:cs="Times New Roman"/>
          <w:lang w:val="tr-TR"/>
        </w:rPr>
        <w:t xml:space="preserve">MADDE 14- (1) </w:t>
      </w:r>
      <w:r w:rsidRPr="00BB563D">
        <w:rPr>
          <w:rFonts w:cs="Times New Roman"/>
          <w:b w:val="0"/>
          <w:lang w:val="tr-TR"/>
        </w:rPr>
        <w:t xml:space="preserve">Bu </w:t>
      </w:r>
      <w:r>
        <w:rPr>
          <w:rFonts w:cs="Times New Roman"/>
          <w:b w:val="0"/>
          <w:lang w:val="tr-TR"/>
        </w:rPr>
        <w:t>Tebliğ</w:t>
      </w:r>
      <w:r w:rsidRPr="00BB563D">
        <w:rPr>
          <w:rFonts w:cs="Times New Roman"/>
          <w:b w:val="0"/>
          <w:lang w:val="tr-TR"/>
        </w:rPr>
        <w:t xml:space="preserve"> hükümlerine aykırı hareket eden işletmeler hakkında 2872 sayılı</w:t>
      </w:r>
      <w:r>
        <w:rPr>
          <w:rFonts w:cs="Times New Roman"/>
          <w:b w:val="0"/>
          <w:lang w:val="tr-TR"/>
        </w:rPr>
        <w:t xml:space="preserve"> </w:t>
      </w:r>
      <w:r w:rsidRPr="00BB563D">
        <w:rPr>
          <w:rFonts w:cs="Times New Roman"/>
          <w:b w:val="0"/>
          <w:lang w:val="tr-TR"/>
        </w:rPr>
        <w:t>Kanunun 20 nci maddesinde yer alan idari yaptırımlar uygulanır.</w:t>
      </w:r>
    </w:p>
    <w:p w14:paraId="646075F8" w14:textId="67A4E387" w:rsidR="002D733A" w:rsidRPr="002D733A" w:rsidRDefault="002D733A" w:rsidP="002D733A">
      <w:pPr>
        <w:pStyle w:val="Balk3"/>
        <w:numPr>
          <w:ilvl w:val="0"/>
          <w:numId w:val="0"/>
        </w:numPr>
        <w:spacing w:before="0" w:after="0" w:line="240" w:lineRule="auto"/>
        <w:ind w:hanging="11"/>
        <w:rPr>
          <w:rFonts w:cs="Times New Roman"/>
          <w:b w:val="0"/>
          <w:lang w:val="tr-TR"/>
        </w:rPr>
      </w:pPr>
      <w:r w:rsidRPr="006E1E93">
        <w:t>Tereddütlerin giderilmesi</w:t>
      </w:r>
    </w:p>
    <w:p w14:paraId="639A96EA" w14:textId="77777777" w:rsidR="002D733A" w:rsidRDefault="002D733A" w:rsidP="002D733A">
      <w:pPr>
        <w:spacing w:line="240" w:lineRule="auto"/>
        <w:ind w:hanging="11"/>
      </w:pPr>
      <w:r w:rsidRPr="006E1E93">
        <w:rPr>
          <w:b/>
        </w:rPr>
        <w:t xml:space="preserve">MADDE </w:t>
      </w:r>
      <w:r>
        <w:rPr>
          <w:b/>
        </w:rPr>
        <w:t>15</w:t>
      </w:r>
      <w:r w:rsidRPr="006E1E93">
        <w:rPr>
          <w:b/>
        </w:rPr>
        <w:t>-</w:t>
      </w:r>
      <w:r w:rsidRPr="006E1E93">
        <w:t xml:space="preserve"> (1) Bakanlık; bu </w:t>
      </w:r>
      <w:r>
        <w:t>Tebliğ’in</w:t>
      </w:r>
      <w:r w:rsidRPr="006E1E93">
        <w:t xml:space="preserve"> uygulanması ile ilgili tereddütleri gidermeye, uygulamayı düzenlemeye ve bu Yönetmeliğin uygulanmasını sağlamak üzere kılavuzlar, rehberler ve alt düzenleyici işlemler yapmaya yetkilidir. </w:t>
      </w:r>
    </w:p>
    <w:p w14:paraId="3C9C7775" w14:textId="77777777" w:rsidR="002D733A" w:rsidRPr="006E1E93" w:rsidRDefault="002D733A" w:rsidP="002D733A">
      <w:pPr>
        <w:spacing w:line="240" w:lineRule="auto"/>
        <w:ind w:hanging="11"/>
        <w:rPr>
          <w:b/>
        </w:rPr>
      </w:pPr>
      <w:r>
        <w:rPr>
          <w:lang w:val="tr-TR"/>
        </w:rPr>
        <w:tab/>
      </w:r>
      <w:r w:rsidRPr="006E1E93">
        <w:rPr>
          <w:b/>
        </w:rPr>
        <w:t xml:space="preserve">Avrupa Birliği mevzuatına uyum </w:t>
      </w:r>
    </w:p>
    <w:p w14:paraId="599FA549" w14:textId="77777777" w:rsidR="002D733A" w:rsidRPr="006E1E93" w:rsidRDefault="002D733A" w:rsidP="002D733A">
      <w:pPr>
        <w:spacing w:line="240" w:lineRule="auto"/>
        <w:ind w:hanging="11"/>
      </w:pPr>
      <w:r w:rsidRPr="006E1E93">
        <w:rPr>
          <w:b/>
        </w:rPr>
        <w:t xml:space="preserve">MADDE </w:t>
      </w:r>
      <w:r>
        <w:rPr>
          <w:b/>
        </w:rPr>
        <w:t>16</w:t>
      </w:r>
      <w:r w:rsidRPr="006E1E93">
        <w:rPr>
          <w:b/>
        </w:rPr>
        <w:t>-</w:t>
      </w:r>
      <w:r>
        <w:t xml:space="preserve"> (1) Bu Tebliğ</w:t>
      </w:r>
      <w:r w:rsidRPr="006E1E93">
        <w:t xml:space="preserve">, Endüstriyel ve Hayvancılık Emisyonlarına İlişkin 15/7/2024 tarihli ve 2024/1785 sayılı Avrupa Parlamentosu ve Konsey Direktifi ile değiştirilen Endüstriyel Emisyonlara İlişkin 24 /11/2010 tarihli ve 2010/75/AB sayılı Avrupa Parlamentosu ve Konsey Direktifi </w:t>
      </w:r>
      <w:r>
        <w:t xml:space="preserve">dikkate alınarak Avrupa Komisyonu Ortak Araştırmalar Merkezi (JRC) tarafından yayımlanan Mevcut En İyi Teknikler Referans Dokümanları ve Sonuç Dokümanları </w:t>
      </w:r>
      <w:r w:rsidRPr="006E1E93">
        <w:t>uyum</w:t>
      </w:r>
      <w:r>
        <w:t>u</w:t>
      </w:r>
      <w:r w:rsidRPr="006E1E93">
        <w:t xml:space="preserve"> çerçevesinde hazırlanmıştır.</w:t>
      </w:r>
    </w:p>
    <w:p w14:paraId="30E200B9" w14:textId="77777777" w:rsidR="002D733A" w:rsidRDefault="002D733A" w:rsidP="002D733A">
      <w:pPr>
        <w:pStyle w:val="Balk3"/>
        <w:numPr>
          <w:ilvl w:val="0"/>
          <w:numId w:val="0"/>
        </w:numPr>
        <w:spacing w:before="0" w:after="0" w:line="240" w:lineRule="auto"/>
        <w:ind w:hanging="11"/>
        <w:rPr>
          <w:rFonts w:cs="Times New Roman"/>
          <w:lang w:val="tr-TR"/>
        </w:rPr>
      </w:pPr>
      <w:r w:rsidRPr="00E04589">
        <w:rPr>
          <w:rFonts w:cs="Times New Roman"/>
          <w:lang w:val="tr-TR"/>
        </w:rPr>
        <w:t>Yürürlük</w:t>
      </w:r>
    </w:p>
    <w:p w14:paraId="5120E761" w14:textId="55DA404F" w:rsidR="002D733A" w:rsidRPr="00E04589" w:rsidRDefault="002D733A" w:rsidP="002D733A">
      <w:pPr>
        <w:pStyle w:val="Balk3"/>
        <w:numPr>
          <w:ilvl w:val="0"/>
          <w:numId w:val="0"/>
        </w:numPr>
        <w:spacing w:before="0" w:after="0" w:line="240" w:lineRule="auto"/>
        <w:ind w:hanging="11"/>
        <w:rPr>
          <w:rFonts w:cs="Times New Roman"/>
        </w:rPr>
      </w:pPr>
      <w:r w:rsidRPr="00E04589">
        <w:rPr>
          <w:rFonts w:cs="Times New Roman"/>
        </w:rPr>
        <w:t>MADDE</w:t>
      </w:r>
      <w:r w:rsidRPr="00E04589">
        <w:rPr>
          <w:rFonts w:cs="Times New Roman"/>
          <w:spacing w:val="-2"/>
        </w:rPr>
        <w:t xml:space="preserve"> 12</w:t>
      </w:r>
      <w:r w:rsidRPr="00E04589">
        <w:rPr>
          <w:rFonts w:cs="Times New Roman"/>
          <w:spacing w:val="-4"/>
        </w:rPr>
        <w:t>- (1)</w:t>
      </w:r>
      <w:r w:rsidRPr="00E04589">
        <w:rPr>
          <w:rFonts w:cs="Times New Roman"/>
          <w:spacing w:val="-1"/>
        </w:rPr>
        <w:t xml:space="preserve"> </w:t>
      </w:r>
      <w:r w:rsidRPr="002D733A">
        <w:rPr>
          <w:rFonts w:cs="Times New Roman"/>
          <w:b w:val="0"/>
          <w:bCs/>
        </w:rPr>
        <w:t>Bu</w:t>
      </w:r>
      <w:r w:rsidRPr="002D733A">
        <w:rPr>
          <w:rFonts w:cs="Times New Roman"/>
          <w:b w:val="0"/>
          <w:bCs/>
          <w:spacing w:val="-2"/>
        </w:rPr>
        <w:t xml:space="preserve"> </w:t>
      </w:r>
      <w:r w:rsidRPr="002D733A">
        <w:rPr>
          <w:rFonts w:cs="Times New Roman"/>
          <w:b w:val="0"/>
          <w:bCs/>
        </w:rPr>
        <w:t>Tebliğ,</w:t>
      </w:r>
      <w:r w:rsidRPr="002D733A">
        <w:rPr>
          <w:rFonts w:cs="Times New Roman"/>
          <w:b w:val="0"/>
          <w:bCs/>
          <w:spacing w:val="-1"/>
        </w:rPr>
        <w:t xml:space="preserve"> 1/12/2025 </w:t>
      </w:r>
      <w:r w:rsidRPr="002D733A">
        <w:rPr>
          <w:rFonts w:cs="Times New Roman"/>
          <w:b w:val="0"/>
          <w:bCs/>
        </w:rPr>
        <w:t>tarihinde</w:t>
      </w:r>
      <w:r w:rsidRPr="002D733A">
        <w:rPr>
          <w:rFonts w:cs="Times New Roman"/>
          <w:b w:val="0"/>
          <w:bCs/>
          <w:spacing w:val="-1"/>
        </w:rPr>
        <w:t xml:space="preserve"> </w:t>
      </w:r>
      <w:r w:rsidRPr="002D733A">
        <w:rPr>
          <w:rFonts w:cs="Times New Roman"/>
          <w:b w:val="0"/>
          <w:bCs/>
        </w:rPr>
        <w:t>yürürlüğe</w:t>
      </w:r>
      <w:r w:rsidRPr="002D733A">
        <w:rPr>
          <w:rFonts w:cs="Times New Roman"/>
          <w:b w:val="0"/>
          <w:bCs/>
          <w:spacing w:val="-1"/>
        </w:rPr>
        <w:t xml:space="preserve"> </w:t>
      </w:r>
      <w:r w:rsidRPr="002D733A">
        <w:rPr>
          <w:rFonts w:cs="Times New Roman"/>
          <w:b w:val="0"/>
          <w:bCs/>
        </w:rPr>
        <w:t>girer.</w:t>
      </w:r>
    </w:p>
    <w:p w14:paraId="50A46A18" w14:textId="77777777" w:rsidR="002D733A" w:rsidRDefault="002D733A" w:rsidP="002D733A">
      <w:pPr>
        <w:pStyle w:val="Balk3"/>
        <w:numPr>
          <w:ilvl w:val="0"/>
          <w:numId w:val="0"/>
        </w:numPr>
        <w:spacing w:before="0" w:after="0" w:line="240" w:lineRule="auto"/>
        <w:ind w:hanging="11"/>
        <w:rPr>
          <w:rFonts w:cs="Times New Roman"/>
          <w:lang w:val="tr-TR"/>
        </w:rPr>
      </w:pPr>
      <w:r w:rsidRPr="00E04589">
        <w:rPr>
          <w:rFonts w:cs="Times New Roman"/>
          <w:lang w:val="tr-TR"/>
        </w:rPr>
        <w:t>Yürütme</w:t>
      </w:r>
    </w:p>
    <w:p w14:paraId="598B58A7" w14:textId="3A2FA39C" w:rsidR="002D733A" w:rsidRPr="002D733A" w:rsidRDefault="002D733A" w:rsidP="002D733A">
      <w:pPr>
        <w:pStyle w:val="Balk3"/>
        <w:numPr>
          <w:ilvl w:val="0"/>
          <w:numId w:val="0"/>
        </w:numPr>
        <w:spacing w:before="0" w:after="0" w:line="240" w:lineRule="auto"/>
        <w:ind w:hanging="11"/>
        <w:rPr>
          <w:rFonts w:cs="Times New Roman"/>
          <w:b w:val="0"/>
          <w:bCs/>
        </w:rPr>
      </w:pPr>
      <w:r w:rsidRPr="00E04589">
        <w:rPr>
          <w:rFonts w:cs="Times New Roman"/>
        </w:rPr>
        <w:t>MADDE</w:t>
      </w:r>
      <w:r w:rsidRPr="00E04589">
        <w:rPr>
          <w:rFonts w:cs="Times New Roman"/>
          <w:spacing w:val="-2"/>
        </w:rPr>
        <w:t xml:space="preserve"> </w:t>
      </w:r>
      <w:r w:rsidRPr="00E04589">
        <w:rPr>
          <w:rFonts w:cs="Times New Roman"/>
        </w:rPr>
        <w:t>13- (1)</w:t>
      </w:r>
      <w:r w:rsidRPr="00E04589">
        <w:rPr>
          <w:rFonts w:cs="Times New Roman"/>
          <w:spacing w:val="-2"/>
        </w:rPr>
        <w:t xml:space="preserve"> </w:t>
      </w:r>
      <w:r w:rsidRPr="002D733A">
        <w:rPr>
          <w:rFonts w:cs="Times New Roman"/>
          <w:b w:val="0"/>
          <w:bCs/>
        </w:rPr>
        <w:t>Bu</w:t>
      </w:r>
      <w:r w:rsidRPr="002D733A">
        <w:rPr>
          <w:rFonts w:cs="Times New Roman"/>
          <w:b w:val="0"/>
          <w:bCs/>
          <w:spacing w:val="-1"/>
        </w:rPr>
        <w:t xml:space="preserve"> </w:t>
      </w:r>
      <w:r w:rsidRPr="002D733A">
        <w:rPr>
          <w:rFonts w:cs="Times New Roman"/>
          <w:b w:val="0"/>
          <w:bCs/>
        </w:rPr>
        <w:t>Tebliğ</w:t>
      </w:r>
      <w:r w:rsidRPr="002D733A">
        <w:rPr>
          <w:rFonts w:cs="Times New Roman"/>
          <w:b w:val="0"/>
          <w:bCs/>
          <w:spacing w:val="-1"/>
        </w:rPr>
        <w:t xml:space="preserve"> </w:t>
      </w:r>
      <w:r w:rsidRPr="002D733A">
        <w:rPr>
          <w:rFonts w:cs="Times New Roman"/>
          <w:b w:val="0"/>
          <w:bCs/>
        </w:rPr>
        <w:t>hükümlerini</w:t>
      </w:r>
      <w:r w:rsidRPr="002D733A">
        <w:rPr>
          <w:rFonts w:cs="Times New Roman"/>
          <w:b w:val="0"/>
          <w:bCs/>
          <w:spacing w:val="-1"/>
        </w:rPr>
        <w:t xml:space="preserve"> </w:t>
      </w:r>
      <w:r w:rsidRPr="002D733A">
        <w:rPr>
          <w:rFonts w:cs="Times New Roman"/>
          <w:b w:val="0"/>
          <w:bCs/>
        </w:rPr>
        <w:t>Çevre</w:t>
      </w:r>
      <w:r w:rsidRPr="002D733A">
        <w:rPr>
          <w:rFonts w:cs="Times New Roman"/>
          <w:b w:val="0"/>
          <w:bCs/>
          <w:spacing w:val="-1"/>
        </w:rPr>
        <w:t xml:space="preserve">, </w:t>
      </w:r>
      <w:r w:rsidRPr="002D733A">
        <w:rPr>
          <w:rFonts w:cs="Times New Roman"/>
          <w:b w:val="0"/>
          <w:bCs/>
        </w:rPr>
        <w:t>Şehircilik</w:t>
      </w:r>
      <w:r w:rsidRPr="002D733A">
        <w:rPr>
          <w:rFonts w:cs="Times New Roman"/>
          <w:b w:val="0"/>
          <w:bCs/>
          <w:spacing w:val="-1"/>
        </w:rPr>
        <w:t xml:space="preserve"> ve İklim Değişikliği Bakanı </w:t>
      </w:r>
      <w:r w:rsidRPr="002D733A">
        <w:rPr>
          <w:rFonts w:cs="Times New Roman"/>
          <w:b w:val="0"/>
          <w:bCs/>
        </w:rPr>
        <w:t>yürütür.</w:t>
      </w:r>
    </w:p>
    <w:p w14:paraId="51D4F3A1" w14:textId="4E86ED10" w:rsidR="002D733A" w:rsidRDefault="002D733A" w:rsidP="002D733A">
      <w:pPr>
        <w:pStyle w:val="Normaltext"/>
        <w:spacing w:line="240" w:lineRule="auto"/>
        <w:rPr>
          <w:rFonts w:cs="Times New Roman"/>
        </w:rPr>
      </w:pPr>
    </w:p>
    <w:p w14:paraId="2941708E" w14:textId="4E87C716" w:rsidR="002D733A" w:rsidRDefault="002D733A" w:rsidP="002D733A">
      <w:pPr>
        <w:pStyle w:val="Normaltext"/>
        <w:spacing w:line="240" w:lineRule="auto"/>
        <w:rPr>
          <w:rFonts w:cs="Times New Roman"/>
        </w:rPr>
      </w:pPr>
    </w:p>
    <w:p w14:paraId="49ED661E" w14:textId="33735F8C" w:rsidR="002D733A" w:rsidRDefault="002D733A" w:rsidP="002D733A">
      <w:pPr>
        <w:pStyle w:val="Normaltext"/>
        <w:spacing w:line="240" w:lineRule="auto"/>
        <w:rPr>
          <w:rFonts w:cs="Times New Roman"/>
        </w:rPr>
      </w:pPr>
    </w:p>
    <w:p w14:paraId="6C253EBF" w14:textId="6BE50AC3" w:rsidR="002D733A" w:rsidRDefault="002D733A" w:rsidP="002D733A">
      <w:pPr>
        <w:pStyle w:val="Normaltext"/>
        <w:spacing w:line="240" w:lineRule="auto"/>
        <w:rPr>
          <w:rFonts w:cs="Times New Roman"/>
        </w:rPr>
      </w:pPr>
    </w:p>
    <w:p w14:paraId="4CDAD1E7" w14:textId="01B35686" w:rsidR="002D733A" w:rsidRDefault="002D733A" w:rsidP="002D733A">
      <w:pPr>
        <w:pStyle w:val="Normaltext"/>
        <w:spacing w:line="240" w:lineRule="auto"/>
        <w:rPr>
          <w:rFonts w:cs="Times New Roman"/>
        </w:rPr>
      </w:pPr>
    </w:p>
    <w:p w14:paraId="580B10B8" w14:textId="3B8D4BF9" w:rsidR="002D733A" w:rsidRDefault="002D733A" w:rsidP="002D733A">
      <w:pPr>
        <w:pStyle w:val="Normaltext"/>
        <w:spacing w:line="240" w:lineRule="auto"/>
        <w:rPr>
          <w:rFonts w:cs="Times New Roman"/>
        </w:rPr>
      </w:pPr>
    </w:p>
    <w:p w14:paraId="36A853DE" w14:textId="72A63F44" w:rsidR="002D733A" w:rsidRDefault="002D733A" w:rsidP="002D733A">
      <w:pPr>
        <w:pStyle w:val="Normaltext"/>
        <w:spacing w:line="240" w:lineRule="auto"/>
        <w:rPr>
          <w:rFonts w:cs="Times New Roman"/>
        </w:rPr>
      </w:pPr>
    </w:p>
    <w:p w14:paraId="6ED608D0" w14:textId="241D102C" w:rsidR="002D733A" w:rsidRDefault="002D733A" w:rsidP="002D733A">
      <w:pPr>
        <w:pStyle w:val="Normaltext"/>
        <w:spacing w:line="240" w:lineRule="auto"/>
        <w:rPr>
          <w:rFonts w:cs="Times New Roman"/>
        </w:rPr>
      </w:pPr>
    </w:p>
    <w:p w14:paraId="0A021E29" w14:textId="0E4BCAE3" w:rsidR="002D733A" w:rsidRDefault="002D733A" w:rsidP="002D733A">
      <w:pPr>
        <w:pStyle w:val="Normaltext"/>
        <w:spacing w:line="240" w:lineRule="auto"/>
        <w:rPr>
          <w:rFonts w:cs="Times New Roman"/>
        </w:rPr>
      </w:pPr>
    </w:p>
    <w:p w14:paraId="0CB31E97" w14:textId="4EA93C34" w:rsidR="002D733A" w:rsidRDefault="002D733A" w:rsidP="002D733A">
      <w:pPr>
        <w:pStyle w:val="Normaltext"/>
        <w:spacing w:line="240" w:lineRule="auto"/>
        <w:rPr>
          <w:rFonts w:cs="Times New Roman"/>
        </w:rPr>
      </w:pPr>
    </w:p>
    <w:p w14:paraId="77909C54" w14:textId="77777777" w:rsidR="002D733A" w:rsidRDefault="002D733A" w:rsidP="00271AC1">
      <w:pPr>
        <w:pStyle w:val="GvdeMetni"/>
        <w:spacing w:before="8"/>
        <w:jc w:val="right"/>
        <w:rPr>
          <w:b/>
          <w:sz w:val="24"/>
          <w:szCs w:val="24"/>
        </w:rPr>
      </w:pPr>
    </w:p>
    <w:p w14:paraId="7FF4C3A5" w14:textId="7C0F71E0" w:rsidR="002F2B41" w:rsidRPr="00DD0D1F" w:rsidRDefault="00271AC1" w:rsidP="00271AC1">
      <w:pPr>
        <w:pStyle w:val="GvdeMetni"/>
        <w:spacing w:before="8"/>
        <w:jc w:val="right"/>
        <w:rPr>
          <w:b/>
          <w:sz w:val="24"/>
          <w:szCs w:val="24"/>
        </w:rPr>
      </w:pPr>
      <w:r w:rsidRPr="00DD0D1F">
        <w:rPr>
          <w:b/>
          <w:sz w:val="24"/>
          <w:szCs w:val="24"/>
        </w:rPr>
        <w:t>EK-1</w:t>
      </w:r>
    </w:p>
    <w:p w14:paraId="6C029111" w14:textId="77777777" w:rsidR="002F2B41" w:rsidRPr="00DD0D1F" w:rsidRDefault="002F2B41" w:rsidP="004B4D50">
      <w:pPr>
        <w:pStyle w:val="GvdeMetni"/>
        <w:spacing w:before="8"/>
        <w:jc w:val="center"/>
        <w:rPr>
          <w:b/>
          <w:sz w:val="24"/>
          <w:szCs w:val="24"/>
        </w:rPr>
      </w:pPr>
    </w:p>
    <w:p w14:paraId="39842A65" w14:textId="77777777" w:rsidR="005468C4" w:rsidRPr="00DD0D1F" w:rsidRDefault="005468C4" w:rsidP="005468C4">
      <w:pPr>
        <w:pStyle w:val="Balk1"/>
        <w:numPr>
          <w:ilvl w:val="0"/>
          <w:numId w:val="0"/>
        </w:numPr>
        <w:spacing w:before="240"/>
        <w:jc w:val="center"/>
        <w:rPr>
          <w:rFonts w:cs="Times New Roman"/>
          <w:szCs w:val="24"/>
        </w:rPr>
      </w:pPr>
      <w:r w:rsidRPr="00DD0D1F">
        <w:rPr>
          <w:rFonts w:cs="Times New Roman"/>
          <w:szCs w:val="24"/>
        </w:rPr>
        <w:t>BÖLÜM 1</w:t>
      </w:r>
    </w:p>
    <w:p w14:paraId="1E5B29DA" w14:textId="07297747" w:rsidR="005468C4" w:rsidRPr="00DD0D1F" w:rsidRDefault="005468C4" w:rsidP="005468C4">
      <w:pPr>
        <w:pStyle w:val="Balk1"/>
        <w:numPr>
          <w:ilvl w:val="0"/>
          <w:numId w:val="0"/>
        </w:numPr>
        <w:spacing w:before="240"/>
        <w:jc w:val="center"/>
        <w:rPr>
          <w:rFonts w:cs="Times New Roman"/>
          <w:szCs w:val="24"/>
        </w:rPr>
      </w:pPr>
      <w:r w:rsidRPr="00DD0D1F">
        <w:rPr>
          <w:rFonts w:cs="Times New Roman"/>
          <w:szCs w:val="24"/>
        </w:rPr>
        <w:t>GENEL HUSUSLAR</w:t>
      </w:r>
    </w:p>
    <w:p w14:paraId="6D75434A" w14:textId="58EF67BA" w:rsidR="00A341BE" w:rsidRPr="00DD0D1F" w:rsidRDefault="00A341BE" w:rsidP="00A341BE">
      <w:pPr>
        <w:pStyle w:val="Balk1"/>
        <w:numPr>
          <w:ilvl w:val="0"/>
          <w:numId w:val="73"/>
        </w:numPr>
        <w:spacing w:before="240"/>
        <w:rPr>
          <w:rFonts w:cs="Times New Roman"/>
          <w:szCs w:val="24"/>
          <w:lang w:val="nl-NL"/>
        </w:rPr>
      </w:pPr>
      <w:r w:rsidRPr="00DD0D1F">
        <w:rPr>
          <w:rFonts w:cs="Times New Roman"/>
          <w:szCs w:val="24"/>
          <w:lang w:val="nl-NL"/>
        </w:rPr>
        <w:t>Yakma Tesisleri için Genel Hususlar</w:t>
      </w:r>
    </w:p>
    <w:p w14:paraId="46A3640B" w14:textId="7A64FA7F" w:rsidR="00A341BE" w:rsidRPr="00DD0D1F" w:rsidRDefault="00A341BE" w:rsidP="00A341BE">
      <w:pPr>
        <w:pStyle w:val="GvdeMetni"/>
        <w:spacing w:before="126" w:line="360" w:lineRule="auto"/>
        <w:jc w:val="both"/>
        <w:rPr>
          <w:sz w:val="24"/>
          <w:szCs w:val="24"/>
        </w:rPr>
      </w:pPr>
      <w:r w:rsidRPr="00DD0D1F">
        <w:rPr>
          <w:sz w:val="24"/>
          <w:szCs w:val="24"/>
        </w:rPr>
        <w:t>Bu tebliğ yakma tesisleri olarak aşağıdaki prosesleri ve faaliyetleri kapsar:</w:t>
      </w:r>
    </w:p>
    <w:p w14:paraId="0541E513" w14:textId="77777777" w:rsidR="00A341BE" w:rsidRPr="00DD0D1F" w:rsidRDefault="00A341BE" w:rsidP="00A341BE">
      <w:pPr>
        <w:pStyle w:val="ListeParagraf"/>
        <w:widowControl w:val="0"/>
        <w:numPr>
          <w:ilvl w:val="0"/>
          <w:numId w:val="15"/>
        </w:numPr>
        <w:tabs>
          <w:tab w:val="left" w:pos="993"/>
        </w:tabs>
        <w:autoSpaceDE w:val="0"/>
        <w:autoSpaceDN w:val="0"/>
        <w:ind w:left="993" w:right="270" w:hanging="426"/>
        <w:contextualSpacing w:val="0"/>
        <w:rPr>
          <w:rFonts w:cs="Times New Roman"/>
          <w:szCs w:val="24"/>
          <w:lang w:val="tr-TR"/>
        </w:rPr>
      </w:pPr>
      <w:r w:rsidRPr="00DD0D1F">
        <w:rPr>
          <w:rFonts w:cs="Times New Roman"/>
          <w:szCs w:val="24"/>
          <w:lang w:val="tr-TR"/>
        </w:rPr>
        <w:t>1.1: Yalnızca toplam anma ısıl gücü 50 MW veya daha fazla olan yakma tesislerinde gerçekleştirilmek kaydıyla, yakıtların, toplam anma ısıl gücü 50 MW veya daha fazla olan tesislerde yakılması.</w:t>
      </w:r>
    </w:p>
    <w:p w14:paraId="4BFDACAB" w14:textId="77777777" w:rsidR="00A341BE" w:rsidRPr="00DD0D1F" w:rsidRDefault="00A341BE" w:rsidP="00A341BE">
      <w:pPr>
        <w:pStyle w:val="ListeParagraf"/>
        <w:widowControl w:val="0"/>
        <w:numPr>
          <w:ilvl w:val="0"/>
          <w:numId w:val="15"/>
        </w:numPr>
        <w:tabs>
          <w:tab w:val="left" w:pos="993"/>
        </w:tabs>
        <w:autoSpaceDE w:val="0"/>
        <w:autoSpaceDN w:val="0"/>
        <w:spacing w:before="120"/>
        <w:ind w:left="993" w:right="280" w:hanging="426"/>
        <w:contextualSpacing w:val="0"/>
        <w:rPr>
          <w:rFonts w:cs="Times New Roman"/>
          <w:szCs w:val="24"/>
          <w:lang w:val="tr-TR"/>
        </w:rPr>
      </w:pPr>
      <w:r w:rsidRPr="00DD0D1F">
        <w:rPr>
          <w:rFonts w:cs="Times New Roman"/>
          <w:szCs w:val="24"/>
          <w:lang w:val="tr-TR"/>
        </w:rPr>
        <w:t>1.4: Yalnızca bir yakma tesisiyle doğrudan ilişkili olmak kaydıyla, kömür veya diğer yakıtların toplam anma ısıl gücü 20 MW veya daha fazla olan tesislerde gazlaştırılması.</w:t>
      </w:r>
    </w:p>
    <w:p w14:paraId="5DD600C0" w14:textId="77777777" w:rsidR="00A341BE" w:rsidRPr="00DD0D1F" w:rsidRDefault="00A341BE" w:rsidP="00A341BE">
      <w:pPr>
        <w:pStyle w:val="ListeParagraf"/>
        <w:widowControl w:val="0"/>
        <w:numPr>
          <w:ilvl w:val="0"/>
          <w:numId w:val="15"/>
        </w:numPr>
        <w:tabs>
          <w:tab w:val="left" w:pos="993"/>
        </w:tabs>
        <w:autoSpaceDE w:val="0"/>
        <w:autoSpaceDN w:val="0"/>
        <w:spacing w:before="118"/>
        <w:ind w:left="993" w:right="267" w:hanging="426"/>
        <w:contextualSpacing w:val="0"/>
        <w:rPr>
          <w:rFonts w:cs="Times New Roman"/>
          <w:szCs w:val="24"/>
          <w:lang w:val="tr-TR"/>
        </w:rPr>
      </w:pPr>
      <w:r w:rsidRPr="00DD0D1F">
        <w:rPr>
          <w:rFonts w:cs="Times New Roman"/>
          <w:szCs w:val="24"/>
          <w:lang w:val="tr-TR"/>
        </w:rPr>
        <w:t>5.2: Yalnızca yukarıdaki 1.1 kapsamında olan yakma tesislerinde gerçekleştirilmek kaydıyla, tehlikesiz atıklar için kapasitesi saatte 3 tonu aşan veya tehlikeli atıklar için günde 10 tonu aşan beraber yakma tesislerinde atıkların bertarafı veya geri kazanımı.</w:t>
      </w:r>
    </w:p>
    <w:p w14:paraId="75E79D6A" w14:textId="77777777" w:rsidR="00A341BE" w:rsidRPr="00DD0D1F" w:rsidRDefault="00A341BE" w:rsidP="00A341BE">
      <w:pPr>
        <w:pStyle w:val="GvdeMetni"/>
        <w:spacing w:before="5" w:line="360" w:lineRule="auto"/>
        <w:ind w:hanging="800"/>
        <w:jc w:val="both"/>
        <w:rPr>
          <w:sz w:val="24"/>
          <w:szCs w:val="24"/>
        </w:rPr>
      </w:pPr>
    </w:p>
    <w:p w14:paraId="518ED947" w14:textId="77777777" w:rsidR="00A341BE" w:rsidRPr="00DD0D1F" w:rsidRDefault="00A341BE" w:rsidP="00A341BE">
      <w:pPr>
        <w:pStyle w:val="GvdeMetni"/>
        <w:spacing w:line="360" w:lineRule="auto"/>
        <w:ind w:left="567" w:right="269"/>
        <w:jc w:val="both"/>
        <w:rPr>
          <w:sz w:val="24"/>
          <w:szCs w:val="24"/>
        </w:rPr>
      </w:pPr>
      <w:r w:rsidRPr="00DD0D1F">
        <w:rPr>
          <w:sz w:val="24"/>
          <w:szCs w:val="24"/>
        </w:rPr>
        <w:t>Bu bölüm, uygulanan emisyon önleme ve kontrol teknikleri de dahil olmak üzere yukarıda bahsedilen faaliyetlerle doğrudan ilişkili ilk aşama ve son aşama faaliyetlerini kapsamaktadır.</w:t>
      </w:r>
    </w:p>
    <w:p w14:paraId="703256AD" w14:textId="77777777" w:rsidR="00A341BE" w:rsidRPr="00DD0D1F" w:rsidRDefault="00A341BE" w:rsidP="00A341BE">
      <w:pPr>
        <w:pStyle w:val="GvdeMetni"/>
        <w:spacing w:line="360" w:lineRule="auto"/>
        <w:ind w:left="567" w:right="277" w:firstLine="1"/>
        <w:jc w:val="both"/>
        <w:rPr>
          <w:sz w:val="24"/>
          <w:szCs w:val="24"/>
        </w:rPr>
      </w:pPr>
      <w:r w:rsidRPr="00DD0D1F">
        <w:rPr>
          <w:sz w:val="24"/>
          <w:szCs w:val="24"/>
        </w:rPr>
        <w:t>Bu bölümde dikkate alınan yakıtlar, aşağıdakiler dahil olmak üzere herhangi bir katı, sıvı ve/veya gaz halindeki yanıcı malzemedir:</w:t>
      </w:r>
    </w:p>
    <w:p w14:paraId="56341B8A" w14:textId="77777777" w:rsidR="00A341BE" w:rsidRPr="00DD0D1F" w:rsidRDefault="00A341BE" w:rsidP="00A341BE">
      <w:pPr>
        <w:pStyle w:val="ListeParagraf"/>
        <w:widowControl w:val="0"/>
        <w:numPr>
          <w:ilvl w:val="0"/>
          <w:numId w:val="15"/>
        </w:numPr>
        <w:tabs>
          <w:tab w:val="left" w:pos="993"/>
        </w:tabs>
        <w:autoSpaceDE w:val="0"/>
        <w:autoSpaceDN w:val="0"/>
        <w:spacing w:before="1"/>
        <w:ind w:left="993" w:hanging="426"/>
        <w:contextualSpacing w:val="0"/>
        <w:rPr>
          <w:rFonts w:cs="Times New Roman"/>
          <w:szCs w:val="24"/>
          <w:lang w:val="tr-TR"/>
        </w:rPr>
      </w:pPr>
      <w:r w:rsidRPr="00DD0D1F">
        <w:rPr>
          <w:rFonts w:cs="Times New Roman"/>
          <w:szCs w:val="24"/>
          <w:lang w:val="tr-TR"/>
        </w:rPr>
        <w:t>katı yakıtlar (ör. kömür, linyit, turba);</w:t>
      </w:r>
    </w:p>
    <w:p w14:paraId="28115E2B"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hanging="426"/>
        <w:contextualSpacing w:val="0"/>
        <w:rPr>
          <w:rFonts w:cs="Times New Roman"/>
          <w:szCs w:val="24"/>
          <w:lang w:val="tr-TR"/>
        </w:rPr>
      </w:pPr>
      <w:r w:rsidRPr="00DD0D1F">
        <w:rPr>
          <w:rFonts w:cs="Times New Roman"/>
          <w:szCs w:val="24"/>
          <w:lang w:val="tr-TR"/>
        </w:rPr>
        <w:t>biyokütle</w:t>
      </w:r>
    </w:p>
    <w:p w14:paraId="3D5653B7"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hanging="426"/>
        <w:contextualSpacing w:val="0"/>
        <w:rPr>
          <w:rFonts w:cs="Times New Roman"/>
          <w:szCs w:val="24"/>
          <w:lang w:val="tr-TR"/>
        </w:rPr>
      </w:pPr>
      <w:r w:rsidRPr="00DD0D1F">
        <w:rPr>
          <w:rFonts w:cs="Times New Roman"/>
          <w:szCs w:val="24"/>
          <w:lang w:val="tr-TR"/>
        </w:rPr>
        <w:t>sıvı yakıtlar (ör. ağır fuel oil ve gaz yağı);</w:t>
      </w:r>
    </w:p>
    <w:p w14:paraId="33D660E2" w14:textId="77777777" w:rsidR="00A341BE" w:rsidRPr="00DD0D1F" w:rsidRDefault="00A341BE" w:rsidP="00A341BE">
      <w:pPr>
        <w:pStyle w:val="ListeParagraf"/>
        <w:widowControl w:val="0"/>
        <w:numPr>
          <w:ilvl w:val="0"/>
          <w:numId w:val="15"/>
        </w:numPr>
        <w:tabs>
          <w:tab w:val="left" w:pos="993"/>
        </w:tabs>
        <w:autoSpaceDE w:val="0"/>
        <w:autoSpaceDN w:val="0"/>
        <w:spacing w:before="120"/>
        <w:ind w:left="993" w:hanging="426"/>
        <w:contextualSpacing w:val="0"/>
        <w:rPr>
          <w:rFonts w:cs="Times New Roman"/>
          <w:szCs w:val="24"/>
          <w:lang w:val="tr-TR"/>
        </w:rPr>
      </w:pPr>
      <w:r w:rsidRPr="00DD0D1F">
        <w:rPr>
          <w:rFonts w:cs="Times New Roman"/>
          <w:szCs w:val="24"/>
          <w:lang w:val="tr-TR"/>
        </w:rPr>
        <w:t>gaz yakıtlar (ör. doğal gaz, hidrojen içeren gaz ve sentez gazı);</w:t>
      </w:r>
    </w:p>
    <w:p w14:paraId="424F89EE"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right="511" w:hanging="426"/>
        <w:contextualSpacing w:val="0"/>
        <w:rPr>
          <w:rFonts w:cs="Times New Roman"/>
          <w:szCs w:val="24"/>
          <w:lang w:val="tr-TR"/>
        </w:rPr>
      </w:pPr>
      <w:r w:rsidRPr="00DD0D1F">
        <w:rPr>
          <w:rFonts w:cs="Times New Roman"/>
          <w:szCs w:val="24"/>
          <w:lang w:val="tr-TR"/>
        </w:rPr>
        <w:t>endüstriye özgü yakıtlar (ör. kimya ve demir-çelik endüstrilerinden elde edilen yan ürünler);</w:t>
      </w:r>
    </w:p>
    <w:p w14:paraId="006B4269"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right="267" w:hanging="426"/>
        <w:contextualSpacing w:val="0"/>
        <w:rPr>
          <w:rFonts w:cs="Times New Roman"/>
          <w:szCs w:val="24"/>
          <w:lang w:val="tr-TR"/>
        </w:rPr>
      </w:pPr>
      <w:r w:rsidRPr="00DD0D1F">
        <w:rPr>
          <w:rFonts w:cs="Times New Roman"/>
          <w:szCs w:val="24"/>
          <w:lang w:val="tr-TR"/>
        </w:rPr>
        <w:t>Karışık kentsel atıkları ve radyoaktif atıklar ve hayvan karkasları hariç dışındaki atıklar.</w:t>
      </w:r>
    </w:p>
    <w:p w14:paraId="5CD188AD" w14:textId="0CD19F7D" w:rsidR="00A341BE" w:rsidRPr="00DD0D1F" w:rsidRDefault="00A341BE" w:rsidP="00A341BE">
      <w:pPr>
        <w:rPr>
          <w:rFonts w:cs="Times New Roman"/>
          <w:szCs w:val="24"/>
        </w:rPr>
      </w:pPr>
    </w:p>
    <w:p w14:paraId="149E9ADD" w14:textId="037D59EC" w:rsidR="00A341BE" w:rsidRPr="00DD0D1F" w:rsidRDefault="00A341BE" w:rsidP="00A341BE">
      <w:pPr>
        <w:pStyle w:val="GvdeMetni"/>
        <w:spacing w:line="360" w:lineRule="auto"/>
        <w:ind w:left="567" w:right="269"/>
        <w:jc w:val="both"/>
        <w:rPr>
          <w:sz w:val="24"/>
          <w:szCs w:val="24"/>
        </w:rPr>
      </w:pPr>
      <w:r w:rsidRPr="00DD0D1F">
        <w:rPr>
          <w:sz w:val="24"/>
          <w:szCs w:val="24"/>
        </w:rPr>
        <w:t>Bu tebliğin yakma tesisleri bölümü aşağıdakileri ele almamaktadır:</w:t>
      </w:r>
    </w:p>
    <w:p w14:paraId="52D95F8D"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Yakıtların, anma ısıl gücü 15 MW'tan az olan ünitelerde yakılması;</w:t>
      </w:r>
    </w:p>
    <w:p w14:paraId="3A6D7D9C"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açığa çıkan sentez gazının yanmasıyla doğrudan ilişkili olmadığında yakıtların gazlaştırılması;</w:t>
      </w:r>
    </w:p>
    <w:p w14:paraId="547853DE"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madeni yağ ve gazın rafine edilmesiyle doğrudan ilişkili olduğunda, yakıtların gazlaştırılması ve müteakip sentez gazının yakılması;</w:t>
      </w:r>
    </w:p>
    <w:p w14:paraId="5D762B7A"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doğrudan yakma veya gazlaştırma faaliyetleriyle ilgili olmayan ilk ve son aşama faaliyetleri;</w:t>
      </w:r>
    </w:p>
    <w:p w14:paraId="01CCD567"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proses fırınlarında veya ısıtıcılarda yakma işlemi;</w:t>
      </w:r>
    </w:p>
    <w:p w14:paraId="5AC94AD8"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yakma sonrası tesislerde yakma işlemi;</w:t>
      </w:r>
    </w:p>
    <w:p w14:paraId="1ED750A6"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alevlenme;</w:t>
      </w:r>
    </w:p>
    <w:p w14:paraId="62F6A958"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kağıt hamuru, kağıt ve karton üretimine ilişkin MET sonuçları kapsamında olduğu için, kağıt hamuru ve kağıt üretimine yönelik tesisler bünyesinde geri kazanım kazanlarında ve toplam indirgenmiş kükürt brülörlerinde yakma işlemi;</w:t>
      </w:r>
    </w:p>
    <w:p w14:paraId="133E790E"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madeni yağ ve gazın rafine edilmesine ilişkin MET sonuçları kapsamında yer aldığı için, rafineri yakıtlarının rafineri sahasında yakılması;</w:t>
      </w:r>
    </w:p>
    <w:p w14:paraId="09E3EAE0"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atık yakma tesisleri,</w:t>
      </w:r>
    </w:p>
    <w:p w14:paraId="771AECEB" w14:textId="732913A7" w:rsidR="00A341BE" w:rsidRPr="00DD0D1F" w:rsidRDefault="00A341BE" w:rsidP="0039586B">
      <w:pPr>
        <w:pStyle w:val="GvdeMetni"/>
        <w:numPr>
          <w:ilvl w:val="0"/>
          <w:numId w:val="132"/>
        </w:numPr>
        <w:spacing w:line="360" w:lineRule="auto"/>
        <w:ind w:right="269"/>
        <w:jc w:val="both"/>
        <w:rPr>
          <w:sz w:val="24"/>
          <w:szCs w:val="24"/>
        </w:rPr>
      </w:pPr>
      <w:r w:rsidRPr="00DD0D1F">
        <w:rPr>
          <w:sz w:val="24"/>
          <w:szCs w:val="24"/>
        </w:rPr>
        <w:t>ortaya çıkan ısı salınımının %40'ından fazlasının tehlikeli atıklardan kaynaklandığı beraber atık yakma tesisleri,</w:t>
      </w:r>
    </w:p>
    <w:p w14:paraId="60E036AE" w14:textId="58653BA0" w:rsidR="00A341BE" w:rsidRPr="00DD0D1F" w:rsidRDefault="00A341BE" w:rsidP="00A341BE">
      <w:pPr>
        <w:rPr>
          <w:rFonts w:cs="Times New Roman"/>
          <w:szCs w:val="24"/>
        </w:rPr>
      </w:pPr>
    </w:p>
    <w:p w14:paraId="174CACC5" w14:textId="185C26A7" w:rsidR="000369FA" w:rsidRPr="00DD0D1F" w:rsidRDefault="000369FA" w:rsidP="000369FA">
      <w:pPr>
        <w:rPr>
          <w:rFonts w:cs="Times New Roman"/>
          <w:b/>
          <w:szCs w:val="24"/>
        </w:rPr>
      </w:pPr>
      <w:r w:rsidRPr="00DD0D1F">
        <w:rPr>
          <w:rFonts w:cs="Times New Roman"/>
          <w:b/>
          <w:szCs w:val="24"/>
        </w:rPr>
        <w:t>Karbondioksitin Jeolojik Depolanması</w:t>
      </w:r>
    </w:p>
    <w:p w14:paraId="738CB15E" w14:textId="6181A7D5" w:rsidR="000369FA" w:rsidRPr="00DD0D1F" w:rsidRDefault="000369FA" w:rsidP="000369FA">
      <w:pPr>
        <w:rPr>
          <w:rFonts w:cs="Times New Roman"/>
          <w:b/>
          <w:szCs w:val="24"/>
        </w:rPr>
      </w:pPr>
      <w:r w:rsidRPr="00DD0D1F">
        <w:rPr>
          <w:rFonts w:cs="Times New Roman"/>
          <w:szCs w:val="24"/>
        </w:rPr>
        <w:t>Karbondioksitin jeolojik depolanmasına ilişkin 2009/31/AB sayılı Karbondioksitin Jeolojik Depolanması Direktifi çerçevesinde nominal elektrik girdisi 300 MW ve üzerinde olan yakma tesislerinde,</w:t>
      </w:r>
    </w:p>
    <w:p w14:paraId="777D5F00" w14:textId="77777777" w:rsidR="000369FA" w:rsidRPr="00DD0D1F" w:rsidRDefault="000369FA" w:rsidP="000369FA">
      <w:pPr>
        <w:rPr>
          <w:rFonts w:cs="Times New Roman"/>
          <w:szCs w:val="24"/>
        </w:rPr>
      </w:pPr>
      <w:r w:rsidRPr="00DD0D1F">
        <w:rPr>
          <w:rFonts w:cs="Times New Roman"/>
          <w:szCs w:val="24"/>
        </w:rPr>
        <w:t>(a) Uygun depolama sahalarının varlığı,</w:t>
      </w:r>
    </w:p>
    <w:p w14:paraId="1FB28CF2" w14:textId="77777777" w:rsidR="000369FA" w:rsidRPr="00DD0D1F" w:rsidRDefault="000369FA" w:rsidP="000369FA">
      <w:pPr>
        <w:rPr>
          <w:rFonts w:cs="Times New Roman"/>
          <w:szCs w:val="24"/>
        </w:rPr>
      </w:pPr>
      <w:r w:rsidRPr="00DD0D1F">
        <w:rPr>
          <w:rFonts w:cs="Times New Roman"/>
          <w:szCs w:val="24"/>
        </w:rPr>
        <w:t>(b) Taşıma araçlarının teknik ve ekonomik olarak elverişli olması,</w:t>
      </w:r>
    </w:p>
    <w:p w14:paraId="1464006F" w14:textId="0D892580" w:rsidR="000369FA" w:rsidRPr="00DD0D1F" w:rsidRDefault="000369FA" w:rsidP="000369FA">
      <w:pPr>
        <w:rPr>
          <w:rFonts w:cs="Times New Roman"/>
          <w:szCs w:val="24"/>
        </w:rPr>
      </w:pPr>
      <w:r w:rsidRPr="00DD0D1F">
        <w:rPr>
          <w:rFonts w:cs="Times New Roman"/>
          <w:szCs w:val="24"/>
        </w:rPr>
        <w:t xml:space="preserve">(c) Karbondioksit yakalama için donanımda iyileştirme yapmanın teknik ve ekonomik olarak elverişli olması, </w:t>
      </w:r>
    </w:p>
    <w:p w14:paraId="6B6B9A5B" w14:textId="1AB358DA" w:rsidR="000369FA" w:rsidRPr="00DD0D1F" w:rsidRDefault="000369FA" w:rsidP="000369FA">
      <w:pPr>
        <w:rPr>
          <w:rFonts w:cs="Times New Roman"/>
          <w:szCs w:val="24"/>
        </w:rPr>
      </w:pPr>
      <w:r w:rsidRPr="00DD0D1F">
        <w:rPr>
          <w:rFonts w:cs="Times New Roman"/>
          <w:szCs w:val="24"/>
        </w:rPr>
        <w:t>halinde karbonsuzlaşma tedbirleri alınır.</w:t>
      </w:r>
    </w:p>
    <w:p w14:paraId="4CC89B26" w14:textId="33BA1278" w:rsidR="0039586B" w:rsidRPr="00DD0D1F" w:rsidRDefault="0039586B" w:rsidP="00A341BE">
      <w:pPr>
        <w:rPr>
          <w:rFonts w:cs="Times New Roman"/>
          <w:szCs w:val="24"/>
        </w:rPr>
      </w:pPr>
    </w:p>
    <w:p w14:paraId="04635F49" w14:textId="734B3740" w:rsidR="0039586B" w:rsidRPr="00DD0D1F" w:rsidRDefault="0039586B" w:rsidP="00A341BE">
      <w:pPr>
        <w:rPr>
          <w:rFonts w:cs="Times New Roman"/>
          <w:szCs w:val="24"/>
        </w:rPr>
      </w:pPr>
    </w:p>
    <w:p w14:paraId="27939A3F" w14:textId="17B5EF0D" w:rsidR="0039586B" w:rsidRPr="00DD0D1F" w:rsidRDefault="0039586B" w:rsidP="00A341BE">
      <w:pPr>
        <w:rPr>
          <w:rFonts w:cs="Times New Roman"/>
          <w:szCs w:val="24"/>
        </w:rPr>
      </w:pPr>
    </w:p>
    <w:p w14:paraId="39A07515" w14:textId="5BB86950" w:rsidR="0039586B" w:rsidRPr="00DD0D1F" w:rsidRDefault="0039586B" w:rsidP="00A341BE">
      <w:pPr>
        <w:rPr>
          <w:rFonts w:cs="Times New Roman"/>
          <w:szCs w:val="24"/>
        </w:rPr>
      </w:pPr>
    </w:p>
    <w:p w14:paraId="5A04BC28" w14:textId="04C5A6CA" w:rsidR="009370B7" w:rsidRPr="00DD0D1F" w:rsidRDefault="009370B7" w:rsidP="009370B7">
      <w:pPr>
        <w:rPr>
          <w:rFonts w:cs="Times New Roman"/>
          <w:b/>
          <w:szCs w:val="24"/>
        </w:rPr>
      </w:pPr>
      <w:r w:rsidRPr="00DD0D1F">
        <w:rPr>
          <w:rFonts w:cs="Times New Roman"/>
          <w:b/>
          <w:szCs w:val="24"/>
        </w:rPr>
        <w:t>Sektörel Tanımlar</w:t>
      </w:r>
    </w:p>
    <w:p w14:paraId="52BA1E63" w14:textId="10BAE24E" w:rsidR="003E40BF" w:rsidRPr="00DD0D1F" w:rsidRDefault="003E40BF" w:rsidP="003E40BF">
      <w:pPr>
        <w:pStyle w:val="GvdeMetni"/>
        <w:spacing w:before="8"/>
        <w:jc w:val="both"/>
        <w:rPr>
          <w:b/>
          <w:sz w:val="24"/>
          <w:szCs w:val="24"/>
        </w:rPr>
      </w:pPr>
      <w:r w:rsidRPr="00DD0D1F">
        <w:rPr>
          <w:b/>
          <w:sz w:val="24"/>
          <w:szCs w:val="24"/>
        </w:rPr>
        <w:t xml:space="preserve">Büyük Yakma Tesisleri, Gazlaştırma ve/veya Sıvılaştırma Tesisleri </w:t>
      </w:r>
    </w:p>
    <w:p w14:paraId="2D9C425D" w14:textId="7B98E721" w:rsidR="009370B7" w:rsidRPr="00DD0D1F" w:rsidRDefault="009370B7" w:rsidP="009370B7">
      <w:pPr>
        <w:rPr>
          <w:rFonts w:cs="Times New Roman"/>
          <w:szCs w:val="24"/>
        </w:rPr>
      </w:pPr>
    </w:p>
    <w:tbl>
      <w:tblPr>
        <w:tblStyle w:val="TableGrid2"/>
        <w:tblW w:w="5000" w:type="pct"/>
        <w:tblLook w:val="01E0" w:firstRow="1" w:lastRow="1" w:firstColumn="1" w:lastColumn="1" w:noHBand="0" w:noVBand="0"/>
      </w:tblPr>
      <w:tblGrid>
        <w:gridCol w:w="2457"/>
        <w:gridCol w:w="6572"/>
        <w:gridCol w:w="49"/>
      </w:tblGrid>
      <w:tr w:rsidR="003328F9" w:rsidRPr="00DD0D1F" w14:paraId="0926D4DD" w14:textId="77777777" w:rsidTr="003328F9">
        <w:trPr>
          <w:trHeight w:val="230"/>
        </w:trPr>
        <w:tc>
          <w:tcPr>
            <w:tcW w:w="1490" w:type="pct"/>
            <w:vAlign w:val="center"/>
          </w:tcPr>
          <w:p w14:paraId="7D39D84D" w14:textId="77777777" w:rsidR="003328F9" w:rsidRPr="00DD0D1F" w:rsidRDefault="003328F9" w:rsidP="003328F9">
            <w:pPr>
              <w:pStyle w:val="TableParagraph"/>
              <w:spacing w:line="210" w:lineRule="exact"/>
              <w:ind w:left="107"/>
              <w:rPr>
                <w:b/>
                <w:szCs w:val="24"/>
              </w:rPr>
            </w:pPr>
            <w:bookmarkStart w:id="5" w:name="_Hlk156573894"/>
          </w:p>
          <w:p w14:paraId="2F2BF750" w14:textId="77777777" w:rsidR="003328F9" w:rsidRPr="00DD0D1F" w:rsidRDefault="003328F9" w:rsidP="003328F9">
            <w:pPr>
              <w:pStyle w:val="TableParagraph"/>
              <w:spacing w:line="210" w:lineRule="exact"/>
              <w:ind w:left="107"/>
              <w:rPr>
                <w:b/>
                <w:szCs w:val="24"/>
              </w:rPr>
            </w:pPr>
            <w:r w:rsidRPr="00DD0D1F">
              <w:rPr>
                <w:b/>
                <w:szCs w:val="24"/>
              </w:rPr>
              <w:t>Kullanılan terim</w:t>
            </w:r>
            <w:bookmarkEnd w:id="5"/>
          </w:p>
          <w:p w14:paraId="44BB7CEC" w14:textId="77777777" w:rsidR="003328F9" w:rsidRPr="00DD0D1F" w:rsidRDefault="003328F9" w:rsidP="003328F9">
            <w:pPr>
              <w:pStyle w:val="TableParagraph"/>
              <w:spacing w:line="210" w:lineRule="exact"/>
              <w:ind w:left="107"/>
              <w:rPr>
                <w:b/>
                <w:szCs w:val="24"/>
              </w:rPr>
            </w:pPr>
          </w:p>
        </w:tc>
        <w:tc>
          <w:tcPr>
            <w:tcW w:w="3510" w:type="pct"/>
            <w:gridSpan w:val="2"/>
            <w:vAlign w:val="center"/>
          </w:tcPr>
          <w:p w14:paraId="67B440CD" w14:textId="77777777" w:rsidR="003328F9" w:rsidRPr="00DD0D1F" w:rsidRDefault="003328F9" w:rsidP="003328F9">
            <w:pPr>
              <w:pStyle w:val="TableParagraph"/>
              <w:spacing w:line="210" w:lineRule="exact"/>
              <w:ind w:left="2864" w:right="2860"/>
              <w:rPr>
                <w:b/>
                <w:szCs w:val="24"/>
              </w:rPr>
            </w:pPr>
            <w:r w:rsidRPr="00DD0D1F">
              <w:rPr>
                <w:b/>
                <w:szCs w:val="24"/>
              </w:rPr>
              <w:t>Tanım</w:t>
            </w:r>
          </w:p>
        </w:tc>
      </w:tr>
      <w:tr w:rsidR="003328F9" w:rsidRPr="00DD0D1F" w14:paraId="4D9ECDF8" w14:textId="77777777" w:rsidTr="003328F9">
        <w:trPr>
          <w:trHeight w:val="217"/>
        </w:trPr>
        <w:tc>
          <w:tcPr>
            <w:tcW w:w="5000" w:type="pct"/>
            <w:gridSpan w:val="3"/>
            <w:vAlign w:val="center"/>
          </w:tcPr>
          <w:p w14:paraId="31C0D457" w14:textId="77777777" w:rsidR="003328F9" w:rsidRPr="00DD0D1F" w:rsidRDefault="003328F9" w:rsidP="003328F9">
            <w:pPr>
              <w:pStyle w:val="TableParagraph"/>
              <w:spacing w:line="210" w:lineRule="exact"/>
              <w:rPr>
                <w:b/>
                <w:szCs w:val="24"/>
              </w:rPr>
            </w:pPr>
            <w:r w:rsidRPr="00DD0D1F">
              <w:rPr>
                <w:b/>
                <w:szCs w:val="24"/>
              </w:rPr>
              <w:t>Genel terimler</w:t>
            </w:r>
          </w:p>
        </w:tc>
      </w:tr>
      <w:tr w:rsidR="003328F9" w:rsidRPr="00DD0D1F" w14:paraId="77D0174E" w14:textId="77777777" w:rsidTr="003328F9">
        <w:trPr>
          <w:trHeight w:val="460"/>
        </w:trPr>
        <w:tc>
          <w:tcPr>
            <w:tcW w:w="1490" w:type="pct"/>
            <w:vAlign w:val="center"/>
          </w:tcPr>
          <w:p w14:paraId="60507E0E" w14:textId="77777777" w:rsidR="003328F9" w:rsidRPr="00DD0D1F" w:rsidRDefault="003328F9" w:rsidP="003328F9">
            <w:pPr>
              <w:pStyle w:val="TableParagraph"/>
              <w:spacing w:before="108"/>
              <w:ind w:left="107"/>
              <w:rPr>
                <w:szCs w:val="24"/>
              </w:rPr>
            </w:pPr>
            <w:r w:rsidRPr="00DD0D1F">
              <w:rPr>
                <w:szCs w:val="24"/>
              </w:rPr>
              <w:t>Kazan</w:t>
            </w:r>
          </w:p>
        </w:tc>
        <w:tc>
          <w:tcPr>
            <w:tcW w:w="3510" w:type="pct"/>
            <w:gridSpan w:val="2"/>
            <w:vAlign w:val="center"/>
          </w:tcPr>
          <w:p w14:paraId="0B00CC8F" w14:textId="77777777" w:rsidR="003328F9" w:rsidRPr="00DD0D1F" w:rsidRDefault="003328F9" w:rsidP="003328F9">
            <w:pPr>
              <w:pStyle w:val="TableParagraph"/>
              <w:spacing w:line="223" w:lineRule="exact"/>
              <w:ind w:left="108"/>
              <w:rPr>
                <w:szCs w:val="24"/>
              </w:rPr>
            </w:pPr>
            <w:r w:rsidRPr="00DD0D1F">
              <w:rPr>
                <w:szCs w:val="24"/>
              </w:rPr>
              <w:t>Motorlar, gaz türbinleri, proses fırınları veya ısıtıcılar hariç herhangi bir yakma tesisidir.</w:t>
            </w:r>
          </w:p>
          <w:p w14:paraId="38B44BE3" w14:textId="77777777" w:rsidR="003328F9" w:rsidRPr="00DD0D1F" w:rsidRDefault="003328F9" w:rsidP="003328F9">
            <w:pPr>
              <w:pStyle w:val="TableParagraph"/>
              <w:spacing w:line="223" w:lineRule="exact"/>
              <w:ind w:left="108"/>
              <w:rPr>
                <w:szCs w:val="24"/>
              </w:rPr>
            </w:pPr>
          </w:p>
        </w:tc>
      </w:tr>
      <w:tr w:rsidR="003328F9" w:rsidRPr="00DD0D1F" w14:paraId="2E8CC32D" w14:textId="77777777" w:rsidTr="003328F9">
        <w:trPr>
          <w:trHeight w:val="1840"/>
        </w:trPr>
        <w:tc>
          <w:tcPr>
            <w:tcW w:w="1490" w:type="pct"/>
            <w:vAlign w:val="center"/>
          </w:tcPr>
          <w:p w14:paraId="051B155C" w14:textId="77777777" w:rsidR="003328F9" w:rsidRPr="00DD0D1F" w:rsidRDefault="003328F9" w:rsidP="003328F9">
            <w:pPr>
              <w:pStyle w:val="TableParagraph"/>
              <w:rPr>
                <w:szCs w:val="24"/>
              </w:rPr>
            </w:pPr>
          </w:p>
          <w:p w14:paraId="7B0F0E02" w14:textId="77777777" w:rsidR="003328F9" w:rsidRPr="00DD0D1F" w:rsidRDefault="003328F9" w:rsidP="003328F9">
            <w:pPr>
              <w:pStyle w:val="TableParagraph"/>
              <w:rPr>
                <w:szCs w:val="24"/>
              </w:rPr>
            </w:pPr>
          </w:p>
          <w:p w14:paraId="0B996DA6" w14:textId="77777777" w:rsidR="003328F9" w:rsidRPr="00DD0D1F" w:rsidRDefault="003328F9" w:rsidP="003328F9">
            <w:pPr>
              <w:pStyle w:val="TableParagraph"/>
              <w:spacing w:before="178"/>
              <w:ind w:left="107" w:right="317"/>
              <w:rPr>
                <w:szCs w:val="24"/>
              </w:rPr>
            </w:pPr>
            <w:r w:rsidRPr="00DD0D1F">
              <w:rPr>
                <w:szCs w:val="24"/>
              </w:rPr>
              <w:t>Kombine çevrim gaz türbini (CCGT)</w:t>
            </w:r>
          </w:p>
        </w:tc>
        <w:tc>
          <w:tcPr>
            <w:tcW w:w="3510" w:type="pct"/>
            <w:gridSpan w:val="2"/>
            <w:vAlign w:val="center"/>
          </w:tcPr>
          <w:p w14:paraId="181023CB" w14:textId="4D3E79FB" w:rsidR="003328F9" w:rsidRPr="00DD0D1F" w:rsidRDefault="003328F9" w:rsidP="003328F9">
            <w:pPr>
              <w:pStyle w:val="TableParagraph"/>
              <w:ind w:left="108" w:right="99"/>
              <w:rPr>
                <w:szCs w:val="24"/>
              </w:rPr>
            </w:pPr>
            <w:r w:rsidRPr="00DD0D1F">
              <w:rPr>
                <w:szCs w:val="24"/>
              </w:rPr>
              <w:t>Bir CCGT iki termodinamik çevrimin (yani Brayton ve Rankine çevrimleri) kullanıldığı bir yakma tesisidir. Bir CCGT'de, (elektrik üretmek için Brayton çevrimine göre çalışan) bir gaz türbininin baca gazından gelen ısı, buhar üretmek için kullanıldığı bir ısı geri kazanım buhar jeneratöründe (HRSG) faydalı enerjiye dönüştürülür ve buradan (ek elektrik üretmek için Rankine döngüsüne göre çalışan) bir buhar türbininde genleşir.</w:t>
            </w:r>
          </w:p>
          <w:p w14:paraId="3E39D5D9" w14:textId="77777777" w:rsidR="003328F9" w:rsidRPr="00DD0D1F" w:rsidRDefault="003328F9" w:rsidP="003328F9">
            <w:pPr>
              <w:pStyle w:val="TableParagraph"/>
              <w:spacing w:line="230" w:lineRule="exact"/>
              <w:ind w:left="108" w:right="98"/>
              <w:rPr>
                <w:szCs w:val="24"/>
              </w:rPr>
            </w:pPr>
            <w:r w:rsidRPr="00DD0D1F">
              <w:rPr>
                <w:szCs w:val="24"/>
              </w:rPr>
              <w:t>Bu MET sonuçlarının amaçları doğrultusunda, bir CCGT, HRSG ek ateşlemesinin olduğu ve olmadığı konfigürasyonları içermektedir.</w:t>
            </w:r>
          </w:p>
          <w:p w14:paraId="4BCDBB06" w14:textId="77777777" w:rsidR="003328F9" w:rsidRPr="00DD0D1F" w:rsidRDefault="003328F9" w:rsidP="003328F9">
            <w:pPr>
              <w:pStyle w:val="TableParagraph"/>
              <w:spacing w:line="230" w:lineRule="exact"/>
              <w:ind w:left="108" w:right="98"/>
              <w:rPr>
                <w:szCs w:val="24"/>
              </w:rPr>
            </w:pPr>
          </w:p>
        </w:tc>
      </w:tr>
      <w:tr w:rsidR="003328F9" w:rsidRPr="00DD0D1F" w14:paraId="4475C821" w14:textId="77777777" w:rsidTr="003328F9">
        <w:trPr>
          <w:trHeight w:val="1840"/>
        </w:trPr>
        <w:tc>
          <w:tcPr>
            <w:tcW w:w="1490" w:type="pct"/>
            <w:vAlign w:val="center"/>
          </w:tcPr>
          <w:p w14:paraId="692861B3" w14:textId="77777777" w:rsidR="003328F9" w:rsidRPr="00DD0D1F" w:rsidRDefault="003328F9" w:rsidP="003328F9">
            <w:pPr>
              <w:pStyle w:val="TableParagraph"/>
              <w:rPr>
                <w:szCs w:val="24"/>
              </w:rPr>
            </w:pPr>
            <w:r w:rsidRPr="00DD0D1F">
              <w:rPr>
                <w:szCs w:val="24"/>
              </w:rPr>
              <w:t>Yakma tesisi</w:t>
            </w:r>
          </w:p>
        </w:tc>
        <w:tc>
          <w:tcPr>
            <w:tcW w:w="3510" w:type="pct"/>
            <w:gridSpan w:val="2"/>
            <w:vAlign w:val="center"/>
          </w:tcPr>
          <w:p w14:paraId="4D38ED63" w14:textId="77777777" w:rsidR="003328F9" w:rsidRPr="00DD0D1F" w:rsidRDefault="003328F9" w:rsidP="003328F9">
            <w:pPr>
              <w:pStyle w:val="TableParagraph"/>
              <w:ind w:left="108" w:right="105"/>
              <w:rPr>
                <w:szCs w:val="24"/>
              </w:rPr>
            </w:pPr>
            <w:r w:rsidRPr="00DD0D1F">
              <w:rPr>
                <w:szCs w:val="24"/>
              </w:rPr>
              <w:t>Bu şekilde üretilen ısıyı kullanmak için yakıtların oksitlendiği herhangi bir teknik donanımdır. Bu MET sonuçlarının amaçları doğrultusunda, aşağıdakilerden oluşan bir kombinasyon:</w:t>
            </w:r>
          </w:p>
          <w:p w14:paraId="1BF7D53F" w14:textId="071E4BF7" w:rsidR="003328F9" w:rsidRPr="00DD0D1F" w:rsidRDefault="003328F9" w:rsidP="00FF111D">
            <w:pPr>
              <w:pStyle w:val="TableParagraph"/>
              <w:numPr>
                <w:ilvl w:val="0"/>
                <w:numId w:val="16"/>
              </w:numPr>
              <w:tabs>
                <w:tab w:val="left" w:pos="392"/>
              </w:tabs>
              <w:spacing w:before="1"/>
              <w:ind w:right="98" w:hanging="283"/>
              <w:rPr>
                <w:szCs w:val="24"/>
              </w:rPr>
            </w:pPr>
            <w:r w:rsidRPr="00DD0D1F">
              <w:rPr>
                <w:szCs w:val="24"/>
              </w:rPr>
              <w:t>baca gazlarının ortak bir bacadan boşaltıldığı iki veya daha fazla ayrı yakma tesisi veya</w:t>
            </w:r>
          </w:p>
          <w:p w14:paraId="0DBC830B" w14:textId="01C04DF0" w:rsidR="003328F9" w:rsidRPr="00DD0D1F" w:rsidRDefault="003328F9" w:rsidP="00FF111D">
            <w:pPr>
              <w:pStyle w:val="TableParagraph"/>
              <w:numPr>
                <w:ilvl w:val="0"/>
                <w:numId w:val="16"/>
              </w:numPr>
              <w:tabs>
                <w:tab w:val="left" w:pos="392"/>
              </w:tabs>
              <w:spacing w:before="1"/>
              <w:ind w:right="98" w:hanging="283"/>
              <w:rPr>
                <w:szCs w:val="24"/>
              </w:rPr>
            </w:pPr>
            <w:r w:rsidRPr="00DD0D1F">
              <w:rPr>
                <w:szCs w:val="24"/>
              </w:rPr>
              <w:t xml:space="preserve">İlk kez </w:t>
            </w:r>
            <w:r w:rsidR="00533166" w:rsidRPr="00DD0D1F">
              <w:rPr>
                <w:szCs w:val="24"/>
              </w:rPr>
              <w:t>1/06/</w:t>
            </w:r>
            <w:r w:rsidR="00B1191E" w:rsidRPr="00DD0D1F">
              <w:rPr>
                <w:szCs w:val="24"/>
              </w:rPr>
              <w:t xml:space="preserve">1987 </w:t>
            </w:r>
            <w:r w:rsidRPr="00DD0D1F">
              <w:rPr>
                <w:szCs w:val="24"/>
              </w:rPr>
              <w:t xml:space="preserve">tarihinde veya sonrasında izin verilen veya işletmecilerin bu tarihte veya sonrasında izin için eksiksiz bir başvuru ilettikleri; teknik ve ekonomik faktörler dikkate alınarak, </w:t>
            </w:r>
            <w:r w:rsidR="00B1191E" w:rsidRPr="00DD0D1F">
              <w:rPr>
                <w:szCs w:val="24"/>
              </w:rPr>
              <w:t>Bakanlığa</w:t>
            </w:r>
            <w:r w:rsidRPr="00DD0D1F">
              <w:rPr>
                <w:szCs w:val="24"/>
              </w:rPr>
              <w:t xml:space="preserve"> göre baca gazları ortak bir bacadan boşaltılabilecek şekilde kurulmuş ayrı yakma tesisleri</w:t>
            </w:r>
          </w:p>
          <w:p w14:paraId="13FBF678" w14:textId="77777777" w:rsidR="003328F9" w:rsidRPr="00DD0D1F" w:rsidRDefault="003328F9" w:rsidP="003328F9">
            <w:pPr>
              <w:pStyle w:val="TableParagraph"/>
              <w:ind w:left="108"/>
              <w:rPr>
                <w:szCs w:val="24"/>
              </w:rPr>
            </w:pPr>
            <w:r w:rsidRPr="00DD0D1F">
              <w:rPr>
                <w:szCs w:val="24"/>
              </w:rPr>
              <w:t>tek bir yakma tesisi olarak kabul edilmektedir.</w:t>
            </w:r>
          </w:p>
          <w:p w14:paraId="442B1948" w14:textId="499B26D7" w:rsidR="003328F9" w:rsidRPr="00DD0D1F" w:rsidRDefault="003328F9" w:rsidP="00353734">
            <w:pPr>
              <w:pStyle w:val="TableParagraph"/>
              <w:ind w:left="108" w:right="98"/>
              <w:rPr>
                <w:szCs w:val="24"/>
              </w:rPr>
            </w:pPr>
            <w:r w:rsidRPr="00DD0D1F">
              <w:rPr>
                <w:szCs w:val="24"/>
              </w:rPr>
              <w:t>Böyle bir kombinasyonun toplam anma ısıl gücünü hesaplamak için, anma ısıl gücü en</w:t>
            </w:r>
            <w:r w:rsidR="0098277B" w:rsidRPr="00DD0D1F">
              <w:rPr>
                <w:szCs w:val="24"/>
              </w:rPr>
              <w:t xml:space="preserve"> az 15 MW olan ilgili tüm</w:t>
            </w:r>
            <w:r w:rsidR="00353734" w:rsidRPr="00DD0D1F">
              <w:rPr>
                <w:szCs w:val="24"/>
              </w:rPr>
              <w:t xml:space="preserve"> münferit</w:t>
            </w:r>
            <w:r w:rsidR="0098277B" w:rsidRPr="00DD0D1F">
              <w:rPr>
                <w:szCs w:val="24"/>
              </w:rPr>
              <w:t xml:space="preserve"> </w:t>
            </w:r>
            <w:r w:rsidRPr="00DD0D1F">
              <w:rPr>
                <w:szCs w:val="24"/>
              </w:rPr>
              <w:t>yakma tesislerinin kapasiteleri toplanır.</w:t>
            </w:r>
          </w:p>
        </w:tc>
      </w:tr>
      <w:tr w:rsidR="003328F9" w:rsidRPr="00DD0D1F" w14:paraId="242BC04B" w14:textId="77777777" w:rsidTr="003328F9">
        <w:trPr>
          <w:trHeight w:val="541"/>
        </w:trPr>
        <w:tc>
          <w:tcPr>
            <w:tcW w:w="1490" w:type="pct"/>
            <w:vAlign w:val="center"/>
          </w:tcPr>
          <w:p w14:paraId="758B862F" w14:textId="77777777" w:rsidR="003328F9" w:rsidRPr="00DD0D1F" w:rsidRDefault="003328F9" w:rsidP="003328F9">
            <w:pPr>
              <w:pStyle w:val="TableParagraph"/>
              <w:spacing w:line="210" w:lineRule="exact"/>
              <w:ind w:left="107"/>
              <w:rPr>
                <w:szCs w:val="24"/>
              </w:rPr>
            </w:pPr>
            <w:r w:rsidRPr="00DD0D1F">
              <w:rPr>
                <w:szCs w:val="24"/>
              </w:rPr>
              <w:t>Yakma ünitesi</w:t>
            </w:r>
          </w:p>
          <w:p w14:paraId="04A79E02" w14:textId="77777777" w:rsidR="003328F9" w:rsidRPr="00DD0D1F" w:rsidRDefault="003328F9" w:rsidP="003328F9">
            <w:pPr>
              <w:pStyle w:val="TableParagraph"/>
              <w:spacing w:line="210" w:lineRule="exact"/>
              <w:ind w:left="107"/>
              <w:rPr>
                <w:szCs w:val="24"/>
              </w:rPr>
            </w:pPr>
          </w:p>
        </w:tc>
        <w:tc>
          <w:tcPr>
            <w:tcW w:w="3510" w:type="pct"/>
            <w:gridSpan w:val="2"/>
            <w:vAlign w:val="center"/>
          </w:tcPr>
          <w:p w14:paraId="2D65599E" w14:textId="436DC837" w:rsidR="003328F9" w:rsidRPr="00DD0D1F" w:rsidRDefault="00353734" w:rsidP="00353734">
            <w:pPr>
              <w:pStyle w:val="TableParagraph"/>
              <w:spacing w:line="210" w:lineRule="exact"/>
              <w:ind w:left="108"/>
              <w:rPr>
                <w:szCs w:val="24"/>
              </w:rPr>
            </w:pPr>
            <w:r w:rsidRPr="00DD0D1F">
              <w:rPr>
                <w:szCs w:val="24"/>
              </w:rPr>
              <w:t>Münferit</w:t>
            </w:r>
            <w:r w:rsidR="0098277B" w:rsidRPr="00DD0D1F">
              <w:rPr>
                <w:szCs w:val="24"/>
              </w:rPr>
              <w:t xml:space="preserve"> </w:t>
            </w:r>
            <w:r w:rsidR="003328F9" w:rsidRPr="00DD0D1F">
              <w:rPr>
                <w:szCs w:val="24"/>
              </w:rPr>
              <w:t>yakma tesisi</w:t>
            </w:r>
          </w:p>
        </w:tc>
      </w:tr>
      <w:tr w:rsidR="003328F9" w:rsidRPr="00DD0D1F" w14:paraId="632E5528" w14:textId="77777777" w:rsidTr="003328F9">
        <w:trPr>
          <w:trHeight w:val="629"/>
        </w:trPr>
        <w:tc>
          <w:tcPr>
            <w:tcW w:w="1490" w:type="pct"/>
            <w:vAlign w:val="center"/>
          </w:tcPr>
          <w:p w14:paraId="3D7CB212" w14:textId="77777777" w:rsidR="003328F9" w:rsidRPr="00DD0D1F" w:rsidRDefault="003328F9" w:rsidP="003328F9">
            <w:pPr>
              <w:pStyle w:val="TableParagraph"/>
              <w:spacing w:line="223" w:lineRule="exact"/>
              <w:ind w:left="107"/>
              <w:rPr>
                <w:szCs w:val="24"/>
              </w:rPr>
            </w:pPr>
            <w:r w:rsidRPr="00DD0D1F">
              <w:rPr>
                <w:szCs w:val="24"/>
              </w:rPr>
              <w:t>Sürekli ölçüm</w:t>
            </w:r>
          </w:p>
        </w:tc>
        <w:tc>
          <w:tcPr>
            <w:tcW w:w="3510" w:type="pct"/>
            <w:gridSpan w:val="2"/>
            <w:vAlign w:val="center"/>
          </w:tcPr>
          <w:p w14:paraId="73C8388C" w14:textId="77777777" w:rsidR="003328F9" w:rsidRPr="00DD0D1F" w:rsidRDefault="003328F9" w:rsidP="003328F9">
            <w:pPr>
              <w:pStyle w:val="TableParagraph"/>
              <w:spacing w:line="223" w:lineRule="exact"/>
              <w:ind w:left="108"/>
              <w:rPr>
                <w:szCs w:val="24"/>
              </w:rPr>
            </w:pPr>
            <w:r w:rsidRPr="00DD0D1F">
              <w:rPr>
                <w:szCs w:val="24"/>
              </w:rPr>
              <w:t>Sahada daimi olarak kurulmuş otomatik bir ölçüm sistemi kullanarak yapılan ölçümdür.</w:t>
            </w:r>
          </w:p>
        </w:tc>
      </w:tr>
      <w:tr w:rsidR="003328F9" w:rsidRPr="00DD0D1F" w14:paraId="63756D4B" w14:textId="77777777" w:rsidTr="003328F9">
        <w:trPr>
          <w:trHeight w:val="840"/>
        </w:trPr>
        <w:tc>
          <w:tcPr>
            <w:tcW w:w="1490" w:type="pct"/>
            <w:vAlign w:val="center"/>
          </w:tcPr>
          <w:p w14:paraId="0385DAF1" w14:textId="77777777" w:rsidR="003328F9" w:rsidRPr="00DD0D1F" w:rsidRDefault="003328F9" w:rsidP="003328F9">
            <w:pPr>
              <w:pStyle w:val="TableParagraph"/>
              <w:spacing w:before="108"/>
              <w:ind w:left="107"/>
              <w:rPr>
                <w:szCs w:val="24"/>
              </w:rPr>
            </w:pPr>
            <w:r w:rsidRPr="00DD0D1F">
              <w:rPr>
                <w:szCs w:val="24"/>
              </w:rPr>
              <w:t>Doğrudan deşarj</w:t>
            </w:r>
          </w:p>
        </w:tc>
        <w:tc>
          <w:tcPr>
            <w:tcW w:w="3510" w:type="pct"/>
            <w:gridSpan w:val="2"/>
            <w:vAlign w:val="center"/>
          </w:tcPr>
          <w:p w14:paraId="412D093F" w14:textId="77777777" w:rsidR="003328F9" w:rsidRPr="00DD0D1F" w:rsidRDefault="003328F9" w:rsidP="003328F9">
            <w:pPr>
              <w:pStyle w:val="TableParagraph"/>
              <w:spacing w:line="223" w:lineRule="exact"/>
              <w:ind w:left="108"/>
              <w:rPr>
                <w:szCs w:val="24"/>
              </w:rPr>
            </w:pPr>
            <w:r w:rsidRPr="00DD0D1F">
              <w:rPr>
                <w:szCs w:val="24"/>
              </w:rPr>
              <w:t>Emisyonun başka bir son aşama arıtma işlemi olmadan tesisten çıktığı noktada meydana gelen (bir alıcı su ortamına) deşarjdır</w:t>
            </w:r>
          </w:p>
          <w:p w14:paraId="77C88A7A" w14:textId="77777777" w:rsidR="003328F9" w:rsidRPr="00DD0D1F" w:rsidRDefault="003328F9" w:rsidP="003328F9">
            <w:pPr>
              <w:pStyle w:val="TableParagraph"/>
              <w:spacing w:line="223" w:lineRule="exact"/>
              <w:ind w:left="108"/>
              <w:rPr>
                <w:szCs w:val="24"/>
              </w:rPr>
            </w:pPr>
          </w:p>
        </w:tc>
      </w:tr>
      <w:tr w:rsidR="003328F9" w:rsidRPr="00DD0D1F" w14:paraId="112A97B9" w14:textId="77777777" w:rsidTr="003328F9">
        <w:trPr>
          <w:trHeight w:val="878"/>
        </w:trPr>
        <w:tc>
          <w:tcPr>
            <w:tcW w:w="1490" w:type="pct"/>
            <w:vAlign w:val="center"/>
          </w:tcPr>
          <w:p w14:paraId="2AEEC391" w14:textId="65A6AFDC" w:rsidR="003328F9" w:rsidRPr="00DD0D1F" w:rsidRDefault="003328F9" w:rsidP="003328F9">
            <w:pPr>
              <w:pStyle w:val="TableParagraph"/>
              <w:spacing w:line="237" w:lineRule="auto"/>
              <w:ind w:left="107" w:right="317"/>
              <w:rPr>
                <w:szCs w:val="24"/>
              </w:rPr>
            </w:pPr>
            <w:r w:rsidRPr="00DD0D1F">
              <w:rPr>
                <w:szCs w:val="24"/>
              </w:rPr>
              <w:t>Baca gazı kükürt giderme (FGD) sistemi</w:t>
            </w:r>
          </w:p>
        </w:tc>
        <w:tc>
          <w:tcPr>
            <w:tcW w:w="3510" w:type="pct"/>
            <w:gridSpan w:val="2"/>
            <w:vAlign w:val="center"/>
          </w:tcPr>
          <w:p w14:paraId="24D16C0B" w14:textId="77777777" w:rsidR="003328F9" w:rsidRPr="00DD0D1F" w:rsidRDefault="003328F9" w:rsidP="003328F9">
            <w:pPr>
              <w:pStyle w:val="TableParagraph"/>
              <w:spacing w:before="110"/>
              <w:ind w:left="108"/>
              <w:rPr>
                <w:szCs w:val="24"/>
              </w:rPr>
            </w:pPr>
            <w:r w:rsidRPr="00DD0D1F">
              <w:rPr>
                <w:szCs w:val="24"/>
              </w:rPr>
              <w:t>Amacı bir yakma tesisi tarafından yayılan SO</w:t>
            </w:r>
            <w:r w:rsidRPr="00DD0D1F">
              <w:rPr>
                <w:szCs w:val="24"/>
                <w:vertAlign w:val="subscript"/>
              </w:rPr>
              <w:t>X</w:t>
            </w:r>
            <w:r w:rsidRPr="00DD0D1F">
              <w:rPr>
                <w:szCs w:val="24"/>
              </w:rPr>
              <w:t xml:space="preserve"> seviyesini azaltmak olan azaltma teknik(ler)inin birinden veya birkaçından oluşan sistemdir.</w:t>
            </w:r>
          </w:p>
        </w:tc>
      </w:tr>
      <w:tr w:rsidR="003328F9" w:rsidRPr="00DD0D1F" w14:paraId="50B5428D" w14:textId="77777777" w:rsidTr="003328F9">
        <w:trPr>
          <w:trHeight w:val="889"/>
        </w:trPr>
        <w:tc>
          <w:tcPr>
            <w:tcW w:w="1490" w:type="pct"/>
            <w:vAlign w:val="center"/>
          </w:tcPr>
          <w:p w14:paraId="2A0B50C0" w14:textId="46B56882" w:rsidR="003328F9" w:rsidRPr="00DD0D1F" w:rsidRDefault="003328F9" w:rsidP="003328F9">
            <w:pPr>
              <w:pStyle w:val="TableParagraph"/>
              <w:ind w:left="107" w:right="317"/>
              <w:rPr>
                <w:szCs w:val="24"/>
              </w:rPr>
            </w:pPr>
            <w:r w:rsidRPr="00DD0D1F">
              <w:rPr>
                <w:szCs w:val="24"/>
              </w:rPr>
              <w:t>Mevcut baca gazı kükürt giderme (FGD) sistemi</w:t>
            </w:r>
          </w:p>
        </w:tc>
        <w:tc>
          <w:tcPr>
            <w:tcW w:w="3510" w:type="pct"/>
            <w:gridSpan w:val="2"/>
            <w:vAlign w:val="center"/>
          </w:tcPr>
          <w:p w14:paraId="0F25A69A" w14:textId="77777777" w:rsidR="003328F9" w:rsidRPr="00DD0D1F" w:rsidRDefault="003328F9" w:rsidP="003328F9">
            <w:pPr>
              <w:pStyle w:val="TableParagraph"/>
              <w:spacing w:before="5"/>
              <w:rPr>
                <w:szCs w:val="24"/>
              </w:rPr>
            </w:pPr>
          </w:p>
          <w:p w14:paraId="3275150C" w14:textId="3877180C" w:rsidR="003328F9" w:rsidRPr="00DD0D1F" w:rsidRDefault="003328F9" w:rsidP="003328F9">
            <w:pPr>
              <w:pStyle w:val="TableParagraph"/>
              <w:ind w:left="108"/>
              <w:rPr>
                <w:szCs w:val="24"/>
              </w:rPr>
            </w:pPr>
            <w:r w:rsidRPr="00DD0D1F">
              <w:rPr>
                <w:szCs w:val="24"/>
              </w:rPr>
              <w:t>Yeni bir FGD sistemi olmayan bir baca gazı kükürt giderme (FGD) sistemidir.</w:t>
            </w:r>
          </w:p>
        </w:tc>
      </w:tr>
      <w:tr w:rsidR="003328F9" w:rsidRPr="00DD0D1F" w14:paraId="20E4CB9C" w14:textId="77777777" w:rsidTr="003328F9">
        <w:trPr>
          <w:trHeight w:val="1196"/>
        </w:trPr>
        <w:tc>
          <w:tcPr>
            <w:tcW w:w="1490" w:type="pct"/>
            <w:vAlign w:val="center"/>
          </w:tcPr>
          <w:p w14:paraId="54C70937" w14:textId="3CC4D703" w:rsidR="003328F9" w:rsidRPr="00DD0D1F" w:rsidRDefault="003328F9" w:rsidP="003328F9">
            <w:pPr>
              <w:pStyle w:val="TableParagraph"/>
              <w:spacing w:before="108"/>
              <w:ind w:left="107" w:right="317"/>
              <w:rPr>
                <w:szCs w:val="24"/>
              </w:rPr>
            </w:pPr>
            <w:r w:rsidRPr="00DD0D1F">
              <w:rPr>
                <w:szCs w:val="24"/>
              </w:rPr>
              <w:t>Yeni baca gazı kükürt giderme (FGD) sistemi</w:t>
            </w:r>
          </w:p>
        </w:tc>
        <w:tc>
          <w:tcPr>
            <w:tcW w:w="3510" w:type="pct"/>
            <w:gridSpan w:val="2"/>
            <w:vAlign w:val="center"/>
          </w:tcPr>
          <w:p w14:paraId="72B975B1" w14:textId="3CBD0E66" w:rsidR="003328F9" w:rsidRPr="00DD0D1F" w:rsidRDefault="003328F9" w:rsidP="003328F9">
            <w:pPr>
              <w:pStyle w:val="TableParagraph"/>
              <w:ind w:left="108" w:right="102"/>
              <w:rPr>
                <w:szCs w:val="24"/>
              </w:rPr>
            </w:pPr>
            <w:r w:rsidRPr="00DD0D1F">
              <w:rPr>
                <w:szCs w:val="24"/>
              </w:rPr>
              <w:t>Ya yeni bir tesisteki baca gazı kükürt giderme (FGD) sistemidir ya da bu MET sonuçlarının yayınlanmasının ardından mevcut bir tesiste uygulamaya konulan veya tamamen değiştirilen en az bir azaltma tekniğini içeren bir FGD sistemidir.</w:t>
            </w:r>
          </w:p>
          <w:p w14:paraId="4FE50B06" w14:textId="77777777" w:rsidR="003328F9" w:rsidRPr="00DD0D1F" w:rsidRDefault="003328F9" w:rsidP="003328F9">
            <w:pPr>
              <w:pStyle w:val="TableParagraph"/>
              <w:ind w:left="108" w:right="102"/>
              <w:rPr>
                <w:szCs w:val="24"/>
              </w:rPr>
            </w:pPr>
          </w:p>
        </w:tc>
      </w:tr>
      <w:tr w:rsidR="003328F9" w:rsidRPr="00DD0D1F" w14:paraId="356FDEF9" w14:textId="77777777" w:rsidTr="003328F9">
        <w:trPr>
          <w:trHeight w:val="1692"/>
        </w:trPr>
        <w:tc>
          <w:tcPr>
            <w:tcW w:w="1490" w:type="pct"/>
            <w:vAlign w:val="center"/>
          </w:tcPr>
          <w:p w14:paraId="0463DEC4" w14:textId="77777777" w:rsidR="003328F9" w:rsidRPr="00DD0D1F" w:rsidRDefault="003328F9" w:rsidP="003328F9">
            <w:pPr>
              <w:pStyle w:val="TableParagraph"/>
              <w:rPr>
                <w:szCs w:val="24"/>
              </w:rPr>
            </w:pPr>
          </w:p>
          <w:p w14:paraId="0665B66F" w14:textId="77777777" w:rsidR="003328F9" w:rsidRPr="00DD0D1F" w:rsidRDefault="003328F9" w:rsidP="003328F9">
            <w:pPr>
              <w:pStyle w:val="TableParagraph"/>
              <w:spacing w:before="5"/>
              <w:rPr>
                <w:szCs w:val="24"/>
              </w:rPr>
            </w:pPr>
          </w:p>
          <w:p w14:paraId="071480C4" w14:textId="77777777" w:rsidR="003328F9" w:rsidRPr="00DD0D1F" w:rsidRDefault="003328F9" w:rsidP="003328F9">
            <w:pPr>
              <w:pStyle w:val="TableParagraph"/>
              <w:ind w:left="107"/>
              <w:rPr>
                <w:szCs w:val="24"/>
              </w:rPr>
            </w:pPr>
            <w:r w:rsidRPr="00DD0D1F">
              <w:rPr>
                <w:szCs w:val="24"/>
              </w:rPr>
              <w:t>Gaz yağı</w:t>
            </w:r>
          </w:p>
        </w:tc>
        <w:tc>
          <w:tcPr>
            <w:tcW w:w="3510" w:type="pct"/>
            <w:gridSpan w:val="2"/>
            <w:vAlign w:val="center"/>
          </w:tcPr>
          <w:p w14:paraId="389C9AC6" w14:textId="77777777" w:rsidR="003328F9" w:rsidRPr="00DD0D1F" w:rsidRDefault="003328F9" w:rsidP="003328F9">
            <w:pPr>
              <w:pStyle w:val="TableParagraph"/>
              <w:spacing w:line="223" w:lineRule="exact"/>
              <w:ind w:left="108"/>
              <w:rPr>
                <w:szCs w:val="24"/>
              </w:rPr>
            </w:pPr>
            <w:r w:rsidRPr="00DD0D1F">
              <w:rPr>
                <w:szCs w:val="24"/>
              </w:rPr>
              <w:t>2710 19 25, 2710 19 29, 2710 19 47, 2710 19 48, 2710 20 17 veya 2710 20 19 CN Kodları kapsamına giren petrol türevi sıvı yakıtlardır.</w:t>
            </w:r>
          </w:p>
          <w:p w14:paraId="6AEA60EA" w14:textId="77777777" w:rsidR="003328F9" w:rsidRPr="00DD0D1F" w:rsidRDefault="003328F9" w:rsidP="003328F9">
            <w:pPr>
              <w:pStyle w:val="TableParagraph"/>
              <w:spacing w:before="1" w:line="230" w:lineRule="atLeast"/>
              <w:ind w:left="108" w:right="98"/>
              <w:rPr>
                <w:szCs w:val="24"/>
              </w:rPr>
            </w:pPr>
            <w:r w:rsidRPr="00DD0D1F">
              <w:rPr>
                <w:szCs w:val="24"/>
              </w:rPr>
              <w:t>Veya ASTM (Amerikan Test ve Materyaller Topluluğu) D86 yöntemiyle hacimce %65'inden azı (kayıplar dahil) 250 °C'de damıtılan ve hacimce en az %85'i (kayıplar dahil) 350 °C'de damıtılan petrol türevi sıvı yakıtlardır.</w:t>
            </w:r>
          </w:p>
          <w:p w14:paraId="3C94D9AF" w14:textId="77777777" w:rsidR="003328F9" w:rsidRPr="00DD0D1F" w:rsidRDefault="003328F9" w:rsidP="003328F9">
            <w:pPr>
              <w:pStyle w:val="TableParagraph"/>
              <w:spacing w:before="1" w:line="230" w:lineRule="atLeast"/>
              <w:ind w:left="108" w:right="98"/>
              <w:rPr>
                <w:szCs w:val="24"/>
              </w:rPr>
            </w:pPr>
          </w:p>
        </w:tc>
      </w:tr>
      <w:tr w:rsidR="003328F9" w:rsidRPr="00DD0D1F" w14:paraId="1AA644B7" w14:textId="77777777" w:rsidTr="003328F9">
        <w:trPr>
          <w:trHeight w:val="2150"/>
        </w:trPr>
        <w:tc>
          <w:tcPr>
            <w:tcW w:w="1490" w:type="pct"/>
            <w:vAlign w:val="center"/>
          </w:tcPr>
          <w:p w14:paraId="1FC9CC7A" w14:textId="77777777" w:rsidR="003328F9" w:rsidRPr="00DD0D1F" w:rsidRDefault="003328F9" w:rsidP="003328F9">
            <w:pPr>
              <w:pStyle w:val="TableParagraph"/>
              <w:rPr>
                <w:szCs w:val="24"/>
              </w:rPr>
            </w:pPr>
          </w:p>
          <w:p w14:paraId="1BB62BE1" w14:textId="77777777" w:rsidR="003328F9" w:rsidRPr="00DD0D1F" w:rsidRDefault="003328F9" w:rsidP="003328F9">
            <w:pPr>
              <w:pStyle w:val="TableParagraph"/>
              <w:rPr>
                <w:szCs w:val="24"/>
              </w:rPr>
            </w:pPr>
          </w:p>
          <w:p w14:paraId="36BE1C1F" w14:textId="709B48F7" w:rsidR="003328F9" w:rsidRPr="00DD0D1F" w:rsidRDefault="003328F9" w:rsidP="00F0225F">
            <w:pPr>
              <w:pStyle w:val="TableParagraph"/>
              <w:ind w:left="108" w:right="105"/>
              <w:rPr>
                <w:szCs w:val="24"/>
              </w:rPr>
            </w:pPr>
            <w:r w:rsidRPr="00DD0D1F">
              <w:rPr>
                <w:szCs w:val="24"/>
              </w:rPr>
              <w:t>Ağır fuel oil</w:t>
            </w:r>
          </w:p>
        </w:tc>
        <w:tc>
          <w:tcPr>
            <w:tcW w:w="3510" w:type="pct"/>
            <w:gridSpan w:val="2"/>
            <w:vAlign w:val="center"/>
          </w:tcPr>
          <w:p w14:paraId="3649B2BF" w14:textId="77777777" w:rsidR="003328F9" w:rsidRPr="00DD0D1F" w:rsidRDefault="003328F9" w:rsidP="00F0225F">
            <w:pPr>
              <w:pStyle w:val="TableParagraph"/>
              <w:ind w:right="93"/>
              <w:rPr>
                <w:szCs w:val="24"/>
              </w:rPr>
            </w:pPr>
          </w:p>
          <w:p w14:paraId="445B08ED" w14:textId="77777777" w:rsidR="003328F9" w:rsidRPr="00DD0D1F" w:rsidRDefault="003328F9" w:rsidP="00B1191E">
            <w:pPr>
              <w:pStyle w:val="TableParagraph"/>
              <w:ind w:left="110" w:right="93"/>
              <w:rPr>
                <w:szCs w:val="24"/>
              </w:rPr>
            </w:pPr>
            <w:r w:rsidRPr="00DD0D1F">
              <w:rPr>
                <w:szCs w:val="24"/>
              </w:rPr>
              <w:t>2710 19 51-2710 19 68 arasındaki Kodlar, 2710 20 31, 2710 20 35, 2710 20 39 CN Kodları kapsamına giren petrol türevi sıvı yakıtlardır.</w:t>
            </w:r>
          </w:p>
          <w:p w14:paraId="73724722" w14:textId="62F4AD82" w:rsidR="003328F9" w:rsidRPr="00DD0D1F" w:rsidRDefault="003328F9" w:rsidP="00B1191E">
            <w:pPr>
              <w:pStyle w:val="TableParagraph"/>
              <w:ind w:left="110" w:right="93"/>
              <w:rPr>
                <w:szCs w:val="24"/>
              </w:rPr>
            </w:pPr>
            <w:r w:rsidRPr="00DD0D1F">
              <w:rPr>
                <w:szCs w:val="24"/>
              </w:rPr>
              <w:t xml:space="preserve">Veya gaz yağı dışında, damıtma limitleri nedeniyle yakıt olarak kullanılması amaçlanan ağır yakıtlar kategorisine giren ve hacimce %65'inden azı (kayıplar dahil) 250°C'de ASTM D86 yöntemiyle damıtılan herhangi bir petrol türevi sıvı yakıttır. Damıtma ASTM D86 yöntemiyle belirlenemezse, petrol ürünü de ağır </w:t>
            </w:r>
            <w:r w:rsidR="003116F0" w:rsidRPr="00DD0D1F">
              <w:rPr>
                <w:szCs w:val="24"/>
              </w:rPr>
              <w:t>yakıt yağı</w:t>
            </w:r>
            <w:r w:rsidRPr="00DD0D1F">
              <w:rPr>
                <w:szCs w:val="24"/>
              </w:rPr>
              <w:t xml:space="preserve"> olarak sınıflandırılır.</w:t>
            </w:r>
          </w:p>
          <w:p w14:paraId="021FD7CB" w14:textId="77777777" w:rsidR="003328F9" w:rsidRPr="00DD0D1F" w:rsidRDefault="003328F9" w:rsidP="003328F9">
            <w:pPr>
              <w:pStyle w:val="TableParagraph"/>
              <w:ind w:left="108" w:right="95"/>
              <w:rPr>
                <w:szCs w:val="24"/>
              </w:rPr>
            </w:pPr>
          </w:p>
        </w:tc>
      </w:tr>
      <w:tr w:rsidR="003328F9" w:rsidRPr="00DD0D1F" w14:paraId="5D7D8A53" w14:textId="77777777" w:rsidTr="003328F9">
        <w:trPr>
          <w:trHeight w:val="1496"/>
        </w:trPr>
        <w:tc>
          <w:tcPr>
            <w:tcW w:w="1490" w:type="pct"/>
            <w:vAlign w:val="center"/>
          </w:tcPr>
          <w:p w14:paraId="77A6DC46" w14:textId="77777777" w:rsidR="003328F9" w:rsidRPr="00DD0D1F" w:rsidRDefault="003328F9" w:rsidP="003328F9">
            <w:pPr>
              <w:pStyle w:val="TableParagraph"/>
              <w:spacing w:before="5"/>
              <w:rPr>
                <w:szCs w:val="24"/>
              </w:rPr>
            </w:pPr>
          </w:p>
          <w:p w14:paraId="575D5853" w14:textId="77777777" w:rsidR="003328F9" w:rsidRPr="00DD0D1F" w:rsidRDefault="003328F9" w:rsidP="003328F9">
            <w:pPr>
              <w:pStyle w:val="TableParagraph"/>
              <w:ind w:left="108" w:right="105"/>
              <w:rPr>
                <w:szCs w:val="24"/>
              </w:rPr>
            </w:pPr>
            <w:r w:rsidRPr="00DD0D1F">
              <w:rPr>
                <w:szCs w:val="24"/>
              </w:rPr>
              <w:t>Net elektrik verimliliği (yakma ünitesi ve IGCC)</w:t>
            </w:r>
          </w:p>
        </w:tc>
        <w:tc>
          <w:tcPr>
            <w:tcW w:w="3510" w:type="pct"/>
            <w:gridSpan w:val="2"/>
            <w:vAlign w:val="center"/>
          </w:tcPr>
          <w:p w14:paraId="33123B66" w14:textId="77777777" w:rsidR="003328F9" w:rsidRPr="00DD0D1F" w:rsidRDefault="003328F9" w:rsidP="003328F9">
            <w:pPr>
              <w:pStyle w:val="TableParagraph"/>
              <w:ind w:left="110" w:right="93"/>
              <w:rPr>
                <w:szCs w:val="24"/>
              </w:rPr>
            </w:pPr>
            <w:r w:rsidRPr="00DD0D1F">
              <w:rPr>
                <w:szCs w:val="24"/>
              </w:rPr>
              <w:t>Belirli bir süre boyunca yakma ünitesi sınırında net elektrik çıktısı (ana trafonun yüksek gerilim tarafında üretilen elektrik eksi alınan enerji – örneğin yardımcı sistemlerin tüketimi için) ve yakıt/hammadde enerji girdisi (yakıt/hammadde alt ısıl değeri olarak) arasındaki orandır.</w:t>
            </w:r>
          </w:p>
        </w:tc>
      </w:tr>
      <w:tr w:rsidR="003328F9" w:rsidRPr="00DD0D1F" w14:paraId="723F5897" w14:textId="77777777" w:rsidTr="003328F9">
        <w:trPr>
          <w:trHeight w:val="972"/>
        </w:trPr>
        <w:tc>
          <w:tcPr>
            <w:tcW w:w="1490" w:type="pct"/>
            <w:vAlign w:val="center"/>
          </w:tcPr>
          <w:p w14:paraId="34307CED" w14:textId="77777777" w:rsidR="003328F9" w:rsidRPr="00DD0D1F" w:rsidRDefault="003328F9" w:rsidP="003328F9">
            <w:pPr>
              <w:pStyle w:val="TableParagraph"/>
              <w:spacing w:line="223" w:lineRule="exact"/>
              <w:ind w:left="108"/>
              <w:rPr>
                <w:szCs w:val="24"/>
              </w:rPr>
            </w:pPr>
            <w:r w:rsidRPr="00DD0D1F">
              <w:rPr>
                <w:szCs w:val="24"/>
              </w:rPr>
              <w:t>Net mekanik enerji verimliliği</w:t>
            </w:r>
          </w:p>
        </w:tc>
        <w:tc>
          <w:tcPr>
            <w:tcW w:w="3510" w:type="pct"/>
            <w:gridSpan w:val="2"/>
            <w:vAlign w:val="center"/>
          </w:tcPr>
          <w:p w14:paraId="433563B8" w14:textId="77777777" w:rsidR="003328F9" w:rsidRPr="00DD0D1F" w:rsidRDefault="003328F9" w:rsidP="003328F9">
            <w:pPr>
              <w:pStyle w:val="TableParagraph"/>
              <w:spacing w:line="223" w:lineRule="exact"/>
              <w:ind w:left="110"/>
              <w:rPr>
                <w:szCs w:val="24"/>
              </w:rPr>
            </w:pPr>
            <w:r w:rsidRPr="00DD0D1F">
              <w:rPr>
                <w:szCs w:val="24"/>
              </w:rPr>
              <w:t>Yük bağlantısındaki mekanik güç ve yakıt ile sağlanan ısıl güç arasındaki orandır.</w:t>
            </w:r>
          </w:p>
        </w:tc>
      </w:tr>
      <w:tr w:rsidR="003328F9" w:rsidRPr="00DD0D1F" w14:paraId="0E1E2C92" w14:textId="77777777" w:rsidTr="003328F9">
        <w:trPr>
          <w:gridAfter w:val="1"/>
          <w:wAfter w:w="49" w:type="dxa"/>
          <w:trHeight w:val="939"/>
        </w:trPr>
        <w:tc>
          <w:tcPr>
            <w:tcW w:w="1490" w:type="pct"/>
            <w:vAlign w:val="center"/>
          </w:tcPr>
          <w:p w14:paraId="03369564" w14:textId="77777777" w:rsidR="003328F9" w:rsidRPr="00DD0D1F" w:rsidRDefault="003328F9" w:rsidP="003328F9">
            <w:pPr>
              <w:pStyle w:val="TableParagraph"/>
              <w:spacing w:before="5"/>
              <w:rPr>
                <w:szCs w:val="24"/>
              </w:rPr>
            </w:pPr>
          </w:p>
          <w:p w14:paraId="600DCC9B" w14:textId="77777777" w:rsidR="003328F9" w:rsidRPr="00DD0D1F" w:rsidRDefault="003328F9" w:rsidP="003328F9">
            <w:pPr>
              <w:pStyle w:val="TableParagraph"/>
              <w:ind w:left="108" w:right="119"/>
              <w:rPr>
                <w:szCs w:val="24"/>
              </w:rPr>
            </w:pPr>
            <w:r w:rsidRPr="00DD0D1F">
              <w:rPr>
                <w:szCs w:val="24"/>
              </w:rPr>
              <w:t>Net toplam yakıt kullanımı (yakma ünitesi ve IGCC)</w:t>
            </w:r>
          </w:p>
        </w:tc>
        <w:tc>
          <w:tcPr>
            <w:tcW w:w="3484" w:type="pct"/>
            <w:vAlign w:val="center"/>
          </w:tcPr>
          <w:p w14:paraId="0C6F47C1" w14:textId="77777777" w:rsidR="003328F9" w:rsidRPr="00DD0D1F" w:rsidRDefault="003328F9" w:rsidP="003328F9">
            <w:pPr>
              <w:pStyle w:val="TableParagraph"/>
              <w:ind w:left="110" w:right="97"/>
              <w:rPr>
                <w:szCs w:val="24"/>
              </w:rPr>
            </w:pPr>
            <w:r w:rsidRPr="00DD0D1F">
              <w:rPr>
                <w:szCs w:val="24"/>
              </w:rPr>
              <w:t>Belirli bir süre boyunca yakma ünitesi sınırında üretilen net enerji (üretilen elektrik, sıcak su, buhar, mekanik enerji eksi alınan elektrik ve/veya ısıl enerji (ör. yardımcı sistemlerin tüketimi için)) ile yakıt enerjisi girdisi (yakıt alt ısıl değeri olarak) arasındaki orandır.</w:t>
            </w:r>
          </w:p>
          <w:p w14:paraId="242081BE" w14:textId="77777777" w:rsidR="003328F9" w:rsidRPr="00DD0D1F" w:rsidRDefault="003328F9" w:rsidP="003328F9">
            <w:pPr>
              <w:pStyle w:val="TableParagraph"/>
              <w:ind w:left="110" w:right="97"/>
              <w:rPr>
                <w:szCs w:val="24"/>
              </w:rPr>
            </w:pPr>
          </w:p>
        </w:tc>
      </w:tr>
      <w:tr w:rsidR="003328F9" w:rsidRPr="00DD0D1F" w14:paraId="4E1710CB" w14:textId="77777777" w:rsidTr="003328F9">
        <w:trPr>
          <w:gridAfter w:val="1"/>
          <w:wAfter w:w="49" w:type="dxa"/>
          <w:trHeight w:val="1149"/>
        </w:trPr>
        <w:tc>
          <w:tcPr>
            <w:tcW w:w="1490" w:type="pct"/>
            <w:vAlign w:val="center"/>
          </w:tcPr>
          <w:p w14:paraId="36A088A6" w14:textId="77777777" w:rsidR="003328F9" w:rsidRPr="00DD0D1F" w:rsidRDefault="003328F9" w:rsidP="003328F9">
            <w:pPr>
              <w:pStyle w:val="TableParagraph"/>
              <w:spacing w:before="5"/>
              <w:rPr>
                <w:szCs w:val="24"/>
              </w:rPr>
            </w:pPr>
          </w:p>
          <w:p w14:paraId="47A71734" w14:textId="77777777" w:rsidR="003328F9" w:rsidRPr="00DD0D1F" w:rsidRDefault="003328F9" w:rsidP="003328F9">
            <w:pPr>
              <w:pStyle w:val="TableParagraph"/>
              <w:ind w:left="108" w:right="317"/>
              <w:rPr>
                <w:szCs w:val="24"/>
              </w:rPr>
            </w:pPr>
            <w:r w:rsidRPr="00DD0D1F">
              <w:rPr>
                <w:szCs w:val="24"/>
              </w:rPr>
              <w:t>Net toplam yakıt kullanımı (gazlaştırma ünitesi)</w:t>
            </w:r>
          </w:p>
        </w:tc>
        <w:tc>
          <w:tcPr>
            <w:tcW w:w="3484" w:type="pct"/>
            <w:vAlign w:val="center"/>
          </w:tcPr>
          <w:p w14:paraId="703209FE" w14:textId="77777777" w:rsidR="003328F9" w:rsidRPr="00DD0D1F" w:rsidRDefault="003328F9" w:rsidP="003328F9">
            <w:pPr>
              <w:pStyle w:val="TableParagraph"/>
              <w:ind w:left="110" w:right="96"/>
              <w:rPr>
                <w:szCs w:val="24"/>
              </w:rPr>
            </w:pPr>
            <w:r w:rsidRPr="00DD0D1F">
              <w:rPr>
                <w:szCs w:val="24"/>
              </w:rPr>
              <w:t>Belirli bir sürede gazlaştırma ünitesi sınırında net üretilen enerji (üretilen elektrik, sıcak su, buhar, mekanik enerji ve sentez gazı (sentez gazı alt ısıl değeri olarak) eksi alınan elektrik ve/veya ısıl enerji (ör. yardımcı sistemlerin tüketimi için)) ve yakıt hammadde enerji girdisi (yakıt/hammadde alt ısıl değeri olarak) arasındaki orandır.</w:t>
            </w:r>
          </w:p>
          <w:p w14:paraId="4AB648E3" w14:textId="77777777" w:rsidR="003328F9" w:rsidRPr="00DD0D1F" w:rsidRDefault="003328F9" w:rsidP="003328F9">
            <w:pPr>
              <w:pStyle w:val="TableParagraph"/>
              <w:ind w:left="110" w:right="96"/>
              <w:rPr>
                <w:szCs w:val="24"/>
              </w:rPr>
            </w:pPr>
          </w:p>
        </w:tc>
      </w:tr>
      <w:tr w:rsidR="003328F9" w:rsidRPr="00DD0D1F" w14:paraId="403EAA1E" w14:textId="77777777" w:rsidTr="003328F9">
        <w:trPr>
          <w:gridAfter w:val="1"/>
          <w:wAfter w:w="49" w:type="dxa"/>
          <w:trHeight w:val="691"/>
        </w:trPr>
        <w:tc>
          <w:tcPr>
            <w:tcW w:w="1490" w:type="pct"/>
            <w:vAlign w:val="center"/>
          </w:tcPr>
          <w:p w14:paraId="65EC1DE6" w14:textId="77777777" w:rsidR="003328F9" w:rsidRPr="00DD0D1F" w:rsidRDefault="003328F9" w:rsidP="003328F9">
            <w:pPr>
              <w:pStyle w:val="TableParagraph"/>
              <w:spacing w:before="5"/>
              <w:rPr>
                <w:szCs w:val="24"/>
              </w:rPr>
            </w:pPr>
          </w:p>
          <w:p w14:paraId="2E43FECF" w14:textId="77777777" w:rsidR="003328F9" w:rsidRPr="00DD0D1F" w:rsidRDefault="003328F9" w:rsidP="003328F9">
            <w:pPr>
              <w:pStyle w:val="TableParagraph"/>
              <w:ind w:left="108"/>
              <w:rPr>
                <w:szCs w:val="24"/>
              </w:rPr>
            </w:pPr>
            <w:r w:rsidRPr="00DD0D1F">
              <w:rPr>
                <w:szCs w:val="24"/>
              </w:rPr>
              <w:t>Çalışma saatleri</w:t>
            </w:r>
          </w:p>
        </w:tc>
        <w:tc>
          <w:tcPr>
            <w:tcW w:w="3484" w:type="pct"/>
            <w:vAlign w:val="center"/>
          </w:tcPr>
          <w:p w14:paraId="01932784" w14:textId="77777777" w:rsidR="003328F9" w:rsidRPr="00DD0D1F" w:rsidRDefault="003328F9" w:rsidP="003328F9">
            <w:pPr>
              <w:pStyle w:val="TableParagraph"/>
              <w:spacing w:line="223" w:lineRule="exact"/>
              <w:ind w:left="110"/>
              <w:rPr>
                <w:szCs w:val="24"/>
              </w:rPr>
            </w:pPr>
            <w:r w:rsidRPr="00DD0D1F">
              <w:rPr>
                <w:szCs w:val="24"/>
              </w:rPr>
              <w:t>Devreye alma ve devre dışı bırakma süreleri hariç, bir yakma tesisinin tamamen veya kısmen çalıştırıldığı ve havaya emisyonlar yarattığı, saat cinsinden ifade edilen süredir.</w:t>
            </w:r>
          </w:p>
          <w:p w14:paraId="055F9E0A" w14:textId="77777777" w:rsidR="003328F9" w:rsidRPr="00DD0D1F" w:rsidRDefault="003328F9" w:rsidP="003328F9">
            <w:pPr>
              <w:pStyle w:val="TableParagraph"/>
              <w:spacing w:line="223" w:lineRule="exact"/>
              <w:ind w:left="110"/>
              <w:rPr>
                <w:szCs w:val="24"/>
              </w:rPr>
            </w:pPr>
          </w:p>
        </w:tc>
      </w:tr>
      <w:tr w:rsidR="003328F9" w:rsidRPr="00DD0D1F" w14:paraId="69ABDE85" w14:textId="77777777" w:rsidTr="003328F9">
        <w:trPr>
          <w:gridAfter w:val="1"/>
          <w:wAfter w:w="49" w:type="dxa"/>
          <w:trHeight w:val="460"/>
        </w:trPr>
        <w:tc>
          <w:tcPr>
            <w:tcW w:w="1490" w:type="pct"/>
            <w:vAlign w:val="center"/>
          </w:tcPr>
          <w:p w14:paraId="3F1126FC" w14:textId="77777777" w:rsidR="003328F9" w:rsidRPr="00DD0D1F" w:rsidRDefault="003328F9" w:rsidP="003328F9">
            <w:pPr>
              <w:pStyle w:val="TableParagraph"/>
              <w:spacing w:before="108"/>
              <w:ind w:left="108"/>
              <w:rPr>
                <w:szCs w:val="24"/>
              </w:rPr>
            </w:pPr>
            <w:r w:rsidRPr="00DD0D1F">
              <w:rPr>
                <w:szCs w:val="24"/>
              </w:rPr>
              <w:t>Periyodik ölçüm</w:t>
            </w:r>
          </w:p>
        </w:tc>
        <w:tc>
          <w:tcPr>
            <w:tcW w:w="3484" w:type="pct"/>
            <w:vAlign w:val="center"/>
          </w:tcPr>
          <w:p w14:paraId="10116339" w14:textId="77777777" w:rsidR="003328F9" w:rsidRPr="00DD0D1F" w:rsidRDefault="003328F9" w:rsidP="003328F9">
            <w:pPr>
              <w:pStyle w:val="TableParagraph"/>
              <w:spacing w:line="223" w:lineRule="exact"/>
              <w:ind w:left="110"/>
              <w:rPr>
                <w:szCs w:val="24"/>
              </w:rPr>
            </w:pPr>
            <w:r w:rsidRPr="00DD0D1F">
              <w:rPr>
                <w:szCs w:val="24"/>
              </w:rPr>
              <w:t>Belirtilen zaman aralıklarında bir ölçülenin (ölçüme tabi belirli bir miktar) belirlenmesidir.</w:t>
            </w:r>
          </w:p>
          <w:p w14:paraId="061834BD" w14:textId="77777777" w:rsidR="003328F9" w:rsidRPr="00DD0D1F" w:rsidRDefault="003328F9" w:rsidP="003328F9">
            <w:pPr>
              <w:pStyle w:val="TableParagraph"/>
              <w:spacing w:line="223" w:lineRule="exact"/>
              <w:ind w:left="110"/>
              <w:rPr>
                <w:szCs w:val="24"/>
              </w:rPr>
            </w:pPr>
          </w:p>
        </w:tc>
      </w:tr>
      <w:tr w:rsidR="003328F9" w:rsidRPr="00DD0D1F" w14:paraId="2B602F8B" w14:textId="77777777" w:rsidTr="003328F9">
        <w:trPr>
          <w:gridAfter w:val="1"/>
          <w:wAfter w:w="49" w:type="dxa"/>
          <w:trHeight w:val="230"/>
        </w:trPr>
        <w:tc>
          <w:tcPr>
            <w:tcW w:w="1490" w:type="pct"/>
            <w:vAlign w:val="center"/>
          </w:tcPr>
          <w:p w14:paraId="01848670" w14:textId="77777777" w:rsidR="003328F9" w:rsidRPr="00DD0D1F" w:rsidRDefault="003328F9" w:rsidP="003328F9">
            <w:pPr>
              <w:pStyle w:val="TableParagraph"/>
              <w:spacing w:line="210" w:lineRule="exact"/>
              <w:ind w:left="108"/>
              <w:rPr>
                <w:szCs w:val="24"/>
              </w:rPr>
            </w:pPr>
            <w:r w:rsidRPr="00DD0D1F">
              <w:rPr>
                <w:szCs w:val="24"/>
              </w:rPr>
              <w:t>Mevcut tesis</w:t>
            </w:r>
          </w:p>
        </w:tc>
        <w:tc>
          <w:tcPr>
            <w:tcW w:w="3484" w:type="pct"/>
            <w:vAlign w:val="center"/>
          </w:tcPr>
          <w:p w14:paraId="551896DB" w14:textId="7196E2CA" w:rsidR="003328F9" w:rsidRPr="00DD0D1F" w:rsidRDefault="00443C6F" w:rsidP="00443C6F">
            <w:pPr>
              <w:pStyle w:val="TableParagraph"/>
              <w:spacing w:line="210" w:lineRule="exact"/>
              <w:ind w:left="110"/>
              <w:rPr>
                <w:szCs w:val="24"/>
              </w:rPr>
            </w:pPr>
            <w:r w:rsidRPr="00DD0D1F">
              <w:rPr>
                <w:szCs w:val="24"/>
              </w:rPr>
              <w:t xml:space="preserve">Yönetmelik yürürlük tarihi itibariyle faaliyette olan veya çevresel etki değerlendirmesi mevzuatına göre başvurusu bulunan tesis. </w:t>
            </w:r>
          </w:p>
        </w:tc>
      </w:tr>
      <w:tr w:rsidR="003328F9" w:rsidRPr="00DD0D1F" w14:paraId="5DDE9EC3" w14:textId="77777777" w:rsidTr="003328F9">
        <w:trPr>
          <w:gridAfter w:val="1"/>
          <w:wAfter w:w="49" w:type="dxa"/>
          <w:trHeight w:val="688"/>
        </w:trPr>
        <w:tc>
          <w:tcPr>
            <w:tcW w:w="1490" w:type="pct"/>
            <w:vAlign w:val="center"/>
          </w:tcPr>
          <w:p w14:paraId="240CB520" w14:textId="77777777" w:rsidR="003328F9" w:rsidRPr="00DD0D1F" w:rsidRDefault="003328F9" w:rsidP="003328F9">
            <w:pPr>
              <w:pStyle w:val="TableParagraph"/>
              <w:spacing w:before="5"/>
              <w:rPr>
                <w:szCs w:val="24"/>
              </w:rPr>
            </w:pPr>
          </w:p>
          <w:p w14:paraId="168D46FF" w14:textId="77777777" w:rsidR="003328F9" w:rsidRPr="00DD0D1F" w:rsidRDefault="003328F9" w:rsidP="003328F9">
            <w:pPr>
              <w:pStyle w:val="TableParagraph"/>
              <w:ind w:left="108"/>
              <w:rPr>
                <w:szCs w:val="24"/>
              </w:rPr>
            </w:pPr>
            <w:r w:rsidRPr="00DD0D1F">
              <w:rPr>
                <w:szCs w:val="24"/>
              </w:rPr>
              <w:t>Yeni tesis</w:t>
            </w:r>
          </w:p>
        </w:tc>
        <w:tc>
          <w:tcPr>
            <w:tcW w:w="3484" w:type="pct"/>
            <w:vAlign w:val="center"/>
          </w:tcPr>
          <w:p w14:paraId="64EA9227" w14:textId="169C96E6" w:rsidR="00443C6F" w:rsidRPr="00DD0D1F" w:rsidRDefault="00443C6F" w:rsidP="00443C6F">
            <w:pPr>
              <w:pStyle w:val="TableParagraph"/>
              <w:spacing w:line="210" w:lineRule="exact"/>
              <w:ind w:left="110"/>
              <w:rPr>
                <w:szCs w:val="24"/>
              </w:rPr>
            </w:pPr>
            <w:r w:rsidRPr="00DD0D1F">
              <w:rPr>
                <w:szCs w:val="24"/>
              </w:rPr>
              <w:t>Mevcut tesis olmayan bir yakma tesisidir.</w:t>
            </w:r>
          </w:p>
          <w:p w14:paraId="49C3213B" w14:textId="486AFDE6" w:rsidR="003328F9" w:rsidRPr="00DD0D1F" w:rsidRDefault="003328F9" w:rsidP="003328F9">
            <w:pPr>
              <w:pStyle w:val="TableParagraph"/>
              <w:spacing w:line="223" w:lineRule="exact"/>
              <w:ind w:left="110"/>
              <w:rPr>
                <w:szCs w:val="24"/>
              </w:rPr>
            </w:pPr>
          </w:p>
        </w:tc>
      </w:tr>
      <w:tr w:rsidR="003328F9" w:rsidRPr="00DD0D1F" w14:paraId="75AD60B0" w14:textId="77777777" w:rsidTr="003328F9">
        <w:trPr>
          <w:gridAfter w:val="1"/>
          <w:wAfter w:w="49" w:type="dxa"/>
          <w:trHeight w:val="2990"/>
        </w:trPr>
        <w:tc>
          <w:tcPr>
            <w:tcW w:w="1490" w:type="pct"/>
            <w:vAlign w:val="center"/>
          </w:tcPr>
          <w:p w14:paraId="407D7FDF" w14:textId="77777777" w:rsidR="003328F9" w:rsidRPr="00DD0D1F" w:rsidRDefault="003328F9" w:rsidP="003328F9">
            <w:pPr>
              <w:pStyle w:val="TableParagraph"/>
              <w:rPr>
                <w:szCs w:val="24"/>
              </w:rPr>
            </w:pPr>
          </w:p>
          <w:p w14:paraId="299F7078" w14:textId="77777777" w:rsidR="003328F9" w:rsidRPr="00DD0D1F" w:rsidRDefault="003328F9" w:rsidP="003328F9">
            <w:pPr>
              <w:pStyle w:val="TableParagraph"/>
              <w:rPr>
                <w:szCs w:val="24"/>
              </w:rPr>
            </w:pPr>
          </w:p>
          <w:p w14:paraId="64AA78FE" w14:textId="77777777" w:rsidR="003328F9" w:rsidRPr="00DD0D1F" w:rsidRDefault="003328F9" w:rsidP="003328F9">
            <w:pPr>
              <w:pStyle w:val="TableParagraph"/>
              <w:rPr>
                <w:szCs w:val="24"/>
              </w:rPr>
            </w:pPr>
          </w:p>
          <w:p w14:paraId="7AF09A76" w14:textId="77777777" w:rsidR="003328F9" w:rsidRPr="00DD0D1F" w:rsidRDefault="003328F9" w:rsidP="003328F9">
            <w:pPr>
              <w:pStyle w:val="TableParagraph"/>
              <w:rPr>
                <w:szCs w:val="24"/>
              </w:rPr>
            </w:pPr>
          </w:p>
          <w:p w14:paraId="7B629A2C" w14:textId="77777777" w:rsidR="003328F9" w:rsidRPr="00DD0D1F" w:rsidRDefault="003328F9" w:rsidP="003328F9">
            <w:pPr>
              <w:pStyle w:val="TableParagraph"/>
              <w:spacing w:before="4"/>
              <w:rPr>
                <w:szCs w:val="24"/>
              </w:rPr>
            </w:pPr>
          </w:p>
          <w:p w14:paraId="10C18D30" w14:textId="77777777" w:rsidR="003328F9" w:rsidRPr="00DD0D1F" w:rsidRDefault="003328F9" w:rsidP="003328F9">
            <w:pPr>
              <w:pStyle w:val="TableParagraph"/>
              <w:ind w:left="108"/>
              <w:rPr>
                <w:szCs w:val="24"/>
              </w:rPr>
            </w:pPr>
            <w:r w:rsidRPr="00DD0D1F">
              <w:rPr>
                <w:szCs w:val="24"/>
              </w:rPr>
              <w:t>Yakma sonrası tesis</w:t>
            </w:r>
          </w:p>
        </w:tc>
        <w:tc>
          <w:tcPr>
            <w:tcW w:w="3484" w:type="pct"/>
            <w:vAlign w:val="center"/>
          </w:tcPr>
          <w:p w14:paraId="6C522002" w14:textId="56258747" w:rsidR="003328F9" w:rsidRPr="00DD0D1F" w:rsidRDefault="003328F9" w:rsidP="003328F9">
            <w:pPr>
              <w:pStyle w:val="TableParagraph"/>
              <w:ind w:left="110" w:right="97"/>
              <w:rPr>
                <w:szCs w:val="24"/>
              </w:rPr>
            </w:pPr>
            <w:r w:rsidRPr="00DD0D1F">
              <w:rPr>
                <w:szCs w:val="24"/>
              </w:rPr>
              <w:t>Bağımsız bir yakma tesisi olarak çalıştırılmayan, kirletici madde(ler)in (ör. VOC) içeriğinin, üretilen ısı geri kazanılarak veya geri kazanılmadan baca gazından uzaklaştırılması için kullanılan bir termal oksitleyici (ör. artık gaz yakma fırını) gibi yakma yoluyla baca gazlarını arıtmak için tasarlanmış sistemdir. Her bir yakma aşamasının ayrı bir bölme içinde sınırlandırıldığı ve farklı yakma süreci özelliklerine (örneğin, yakıt-hava oranı, sıcaklık profili) sahip olabilecek kademeli yakma teknikleri, yakma işlemine entegre edilmiş kabul edilir ve yakma sonrası tesisler olarak değerlendirilmez. Benzer şekilde, bir proses ısıtıcısında/fırında veya başka bir yakma prosesinde üretilen gazlar daha sonra elektrik, buhar, sıcak su/yağ veya mekanik enerji üretmek için (yardımcı yakıt kullanılarak veya kullanılmadan) enerjik değerlerini geri kazanmak amacıyla ayrı bir yakma tesisinde oksitlenirler; bu sonraki tesis, yakma sonrası tesis olarak kabul edilmez.</w:t>
            </w:r>
          </w:p>
          <w:p w14:paraId="25A2E80F" w14:textId="77777777" w:rsidR="003328F9" w:rsidRPr="00DD0D1F" w:rsidRDefault="003328F9" w:rsidP="003328F9">
            <w:pPr>
              <w:pStyle w:val="TableParagraph"/>
              <w:ind w:left="110" w:right="97"/>
              <w:rPr>
                <w:szCs w:val="24"/>
              </w:rPr>
            </w:pPr>
          </w:p>
        </w:tc>
      </w:tr>
      <w:tr w:rsidR="003328F9" w:rsidRPr="00DD0D1F" w14:paraId="5003E7AA" w14:textId="77777777" w:rsidTr="003328F9">
        <w:trPr>
          <w:gridAfter w:val="1"/>
          <w:wAfter w:w="49" w:type="dxa"/>
          <w:trHeight w:val="1149"/>
        </w:trPr>
        <w:tc>
          <w:tcPr>
            <w:tcW w:w="1490" w:type="pct"/>
            <w:vAlign w:val="center"/>
          </w:tcPr>
          <w:p w14:paraId="17632698" w14:textId="77777777" w:rsidR="003328F9" w:rsidRPr="00DD0D1F" w:rsidRDefault="003328F9" w:rsidP="003328F9">
            <w:pPr>
              <w:pStyle w:val="TableParagraph"/>
              <w:spacing w:before="5"/>
              <w:rPr>
                <w:szCs w:val="24"/>
              </w:rPr>
            </w:pPr>
          </w:p>
          <w:p w14:paraId="51CC4300" w14:textId="77777777" w:rsidR="003328F9" w:rsidRPr="00DD0D1F" w:rsidRDefault="003328F9" w:rsidP="003328F9">
            <w:pPr>
              <w:pStyle w:val="TableParagraph"/>
              <w:ind w:left="108"/>
              <w:rPr>
                <w:szCs w:val="24"/>
              </w:rPr>
            </w:pPr>
            <w:r w:rsidRPr="00DD0D1F">
              <w:rPr>
                <w:szCs w:val="24"/>
              </w:rPr>
              <w:t>Tahmini emisyon izleme sistemi (TEİS)</w:t>
            </w:r>
          </w:p>
        </w:tc>
        <w:tc>
          <w:tcPr>
            <w:tcW w:w="3484" w:type="pct"/>
            <w:vAlign w:val="center"/>
          </w:tcPr>
          <w:p w14:paraId="2433302B" w14:textId="77777777" w:rsidR="003328F9" w:rsidRPr="00DD0D1F" w:rsidRDefault="003328F9" w:rsidP="003328F9">
            <w:pPr>
              <w:pStyle w:val="TableParagraph"/>
              <w:ind w:left="110" w:right="97"/>
              <w:rPr>
                <w:szCs w:val="24"/>
              </w:rPr>
            </w:pPr>
            <w:r w:rsidRPr="00DD0D1F">
              <w:rPr>
                <w:szCs w:val="24"/>
              </w:rPr>
              <w:t>Sürekli olarak bir emisyon kaynağından çıkan bir kirleticinin emisyon konsantrasyonunu, devamlı olarak izlenen bir dizi karakteristik proses parametresi ile olan ilişkisine (örneğin yakıt gazı tüketimi, hava yakıt oranı) göre ve yakıt veya besleme kalitesi verilerine (örneğin kükürt içeriği) göre belirlemek için kullanılan sistemdir.</w:t>
            </w:r>
          </w:p>
          <w:p w14:paraId="5ACB9AF1" w14:textId="77777777" w:rsidR="003328F9" w:rsidRPr="00DD0D1F" w:rsidRDefault="003328F9" w:rsidP="003328F9">
            <w:pPr>
              <w:pStyle w:val="TableParagraph"/>
              <w:ind w:left="110" w:right="97"/>
              <w:rPr>
                <w:szCs w:val="24"/>
              </w:rPr>
            </w:pPr>
          </w:p>
        </w:tc>
      </w:tr>
      <w:tr w:rsidR="003328F9" w:rsidRPr="00DD0D1F" w14:paraId="2C79BBDA" w14:textId="77777777" w:rsidTr="003328F9">
        <w:trPr>
          <w:gridAfter w:val="1"/>
          <w:wAfter w:w="49" w:type="dxa"/>
          <w:trHeight w:val="460"/>
        </w:trPr>
        <w:tc>
          <w:tcPr>
            <w:tcW w:w="1490" w:type="pct"/>
            <w:vAlign w:val="center"/>
          </w:tcPr>
          <w:p w14:paraId="40DB55FA" w14:textId="77777777" w:rsidR="003328F9" w:rsidRPr="00DD0D1F" w:rsidRDefault="003328F9" w:rsidP="003328F9">
            <w:pPr>
              <w:pStyle w:val="TableParagraph"/>
              <w:spacing w:line="228" w:lineRule="exact"/>
              <w:ind w:left="108"/>
              <w:rPr>
                <w:szCs w:val="24"/>
              </w:rPr>
            </w:pPr>
            <w:r w:rsidRPr="00DD0D1F">
              <w:rPr>
                <w:szCs w:val="24"/>
              </w:rPr>
              <w:t>Kimya endüstrisinden kaynaklanan proses yakıtları</w:t>
            </w:r>
          </w:p>
        </w:tc>
        <w:tc>
          <w:tcPr>
            <w:tcW w:w="3484" w:type="pct"/>
            <w:vAlign w:val="center"/>
          </w:tcPr>
          <w:p w14:paraId="397E1CE8" w14:textId="77777777" w:rsidR="003328F9" w:rsidRPr="00DD0D1F" w:rsidRDefault="003328F9" w:rsidP="003328F9">
            <w:pPr>
              <w:pStyle w:val="TableParagraph"/>
              <w:spacing w:line="228" w:lineRule="exact"/>
              <w:ind w:left="110" w:right="99"/>
              <w:rPr>
                <w:szCs w:val="24"/>
              </w:rPr>
            </w:pPr>
            <w:r w:rsidRPr="00DD0D1F">
              <w:rPr>
                <w:szCs w:val="24"/>
              </w:rPr>
              <w:t>(Petro-)kimya endüstrisi tarafından üretilen ve yakma tesislerinde ticari olmayan yakıt olarak kullanılan gaz ve/veya sıvı yan ürünlerdir.</w:t>
            </w:r>
          </w:p>
          <w:p w14:paraId="3627B5E4" w14:textId="77777777" w:rsidR="003328F9" w:rsidRPr="00DD0D1F" w:rsidRDefault="003328F9" w:rsidP="003328F9">
            <w:pPr>
              <w:pStyle w:val="TableParagraph"/>
              <w:spacing w:line="228" w:lineRule="exact"/>
              <w:ind w:left="110" w:right="99"/>
              <w:rPr>
                <w:szCs w:val="24"/>
              </w:rPr>
            </w:pPr>
          </w:p>
        </w:tc>
      </w:tr>
      <w:tr w:rsidR="003328F9" w:rsidRPr="00DD0D1F" w14:paraId="1AACBE3B" w14:textId="77777777" w:rsidTr="003328F9">
        <w:trPr>
          <w:gridAfter w:val="1"/>
          <w:wAfter w:w="49" w:type="dxa"/>
          <w:trHeight w:val="3492"/>
        </w:trPr>
        <w:tc>
          <w:tcPr>
            <w:tcW w:w="1490" w:type="pct"/>
            <w:vAlign w:val="center"/>
          </w:tcPr>
          <w:p w14:paraId="552873BC" w14:textId="77777777" w:rsidR="003328F9" w:rsidRPr="00DD0D1F" w:rsidRDefault="003328F9" w:rsidP="003328F9">
            <w:pPr>
              <w:pStyle w:val="TableParagraph"/>
              <w:rPr>
                <w:szCs w:val="24"/>
              </w:rPr>
            </w:pPr>
          </w:p>
          <w:p w14:paraId="0BECCF76" w14:textId="77777777" w:rsidR="003328F9" w:rsidRPr="00DD0D1F" w:rsidRDefault="003328F9" w:rsidP="003328F9">
            <w:pPr>
              <w:pStyle w:val="TableParagraph"/>
              <w:rPr>
                <w:szCs w:val="24"/>
              </w:rPr>
            </w:pPr>
          </w:p>
          <w:p w14:paraId="16DFA561" w14:textId="77777777" w:rsidR="003328F9" w:rsidRPr="00DD0D1F" w:rsidRDefault="003328F9" w:rsidP="003328F9">
            <w:pPr>
              <w:pStyle w:val="TableParagraph"/>
              <w:rPr>
                <w:szCs w:val="24"/>
              </w:rPr>
            </w:pPr>
          </w:p>
          <w:p w14:paraId="1CD846F8" w14:textId="77777777" w:rsidR="003328F9" w:rsidRPr="00DD0D1F" w:rsidRDefault="003328F9" w:rsidP="003328F9">
            <w:pPr>
              <w:pStyle w:val="TableParagraph"/>
              <w:rPr>
                <w:szCs w:val="24"/>
              </w:rPr>
            </w:pPr>
          </w:p>
          <w:p w14:paraId="30274B92" w14:textId="77777777" w:rsidR="003328F9" w:rsidRPr="00DD0D1F" w:rsidRDefault="003328F9" w:rsidP="003328F9">
            <w:pPr>
              <w:pStyle w:val="TableParagraph"/>
              <w:rPr>
                <w:szCs w:val="24"/>
              </w:rPr>
            </w:pPr>
          </w:p>
          <w:p w14:paraId="6E8AF1B5" w14:textId="77777777" w:rsidR="003328F9" w:rsidRPr="00DD0D1F" w:rsidRDefault="003328F9" w:rsidP="003328F9">
            <w:pPr>
              <w:pStyle w:val="TableParagraph"/>
              <w:rPr>
                <w:szCs w:val="24"/>
              </w:rPr>
            </w:pPr>
          </w:p>
          <w:p w14:paraId="6367AC81" w14:textId="77777777" w:rsidR="003328F9" w:rsidRPr="00DD0D1F" w:rsidRDefault="003328F9" w:rsidP="003328F9">
            <w:pPr>
              <w:pStyle w:val="TableParagraph"/>
              <w:ind w:left="108" w:right="400"/>
              <w:rPr>
                <w:szCs w:val="24"/>
              </w:rPr>
            </w:pPr>
            <w:r w:rsidRPr="00DD0D1F">
              <w:rPr>
                <w:szCs w:val="24"/>
              </w:rPr>
              <w:t>Proses fırınları veya ısıtıcıları</w:t>
            </w:r>
          </w:p>
        </w:tc>
        <w:tc>
          <w:tcPr>
            <w:tcW w:w="3484" w:type="pct"/>
            <w:vAlign w:val="center"/>
          </w:tcPr>
          <w:p w14:paraId="1B51C587" w14:textId="77777777" w:rsidR="003328F9" w:rsidRPr="00DD0D1F" w:rsidRDefault="003328F9" w:rsidP="003328F9">
            <w:pPr>
              <w:pStyle w:val="TableParagraph"/>
              <w:spacing w:line="223" w:lineRule="exact"/>
              <w:ind w:left="110"/>
              <w:rPr>
                <w:szCs w:val="24"/>
              </w:rPr>
            </w:pPr>
            <w:r w:rsidRPr="00DD0D1F">
              <w:rPr>
                <w:szCs w:val="24"/>
              </w:rPr>
              <w:t>Proses fırınları veya ısıtıcıları:</w:t>
            </w:r>
          </w:p>
          <w:p w14:paraId="2B139EC4" w14:textId="77777777" w:rsidR="003328F9" w:rsidRPr="00DD0D1F" w:rsidRDefault="003328F9" w:rsidP="003328F9">
            <w:pPr>
              <w:pStyle w:val="TableParagraph"/>
              <w:spacing w:before="11"/>
              <w:rPr>
                <w:szCs w:val="24"/>
              </w:rPr>
            </w:pPr>
          </w:p>
          <w:p w14:paraId="2ABE8D10" w14:textId="78C3942B" w:rsidR="003328F9" w:rsidRPr="00DD0D1F" w:rsidRDefault="003328F9" w:rsidP="00FF111D">
            <w:pPr>
              <w:pStyle w:val="TableParagraph"/>
              <w:numPr>
                <w:ilvl w:val="0"/>
                <w:numId w:val="17"/>
              </w:numPr>
              <w:tabs>
                <w:tab w:val="left" w:pos="471"/>
              </w:tabs>
              <w:ind w:right="98"/>
              <w:rPr>
                <w:szCs w:val="24"/>
              </w:rPr>
            </w:pPr>
            <w:r w:rsidRPr="00DD0D1F">
              <w:rPr>
                <w:szCs w:val="24"/>
              </w:rPr>
              <w:t>baca gazları doğrudan temaslı ısıtma mekanizması yoluyla nesnelerin veya besleme malzemesinin ısıl işlemi için kullanılan (örneğin çimento ve kireç fırını, cam fırını, asfalt fırını, kurutma prosesi, (petro-)kimya endüstrisinde kullanılan reaktör, demirli metal işleme fırınları) yakma tesisleridir veya</w:t>
            </w:r>
          </w:p>
          <w:p w14:paraId="1F1C45C1" w14:textId="562D76AC" w:rsidR="003328F9" w:rsidRPr="0023138D" w:rsidRDefault="003328F9" w:rsidP="0023138D">
            <w:pPr>
              <w:pStyle w:val="TableParagraph"/>
              <w:numPr>
                <w:ilvl w:val="0"/>
                <w:numId w:val="17"/>
              </w:numPr>
              <w:tabs>
                <w:tab w:val="left" w:pos="469"/>
              </w:tabs>
              <w:ind w:right="92"/>
              <w:rPr>
                <w:szCs w:val="24"/>
              </w:rPr>
            </w:pPr>
            <w:r w:rsidRPr="00DD0D1F">
              <w:rPr>
                <w:szCs w:val="24"/>
              </w:rPr>
              <w:t>radyant ve/veya iletken ısısı, ara bir ısı transfer sıvısı kullanılmadan sert bir duvar üzerinden nesnelere veya besleme malzemesine aktarılan (ör. kok batarya fırını, yüksek fırın sobaları (cowper), buhar parçalama fırını gibi (petro-) kimya endüstrisinde kullanılan bir proses buharını ısıtan fırın ve/veya reaktör, LNG terminallerinde sıvılaştırılmış doğalgazın yeniden gazlaştırılması için kullanılan proses ısıtıcısı gibi) yakma tesisleridir.</w:t>
            </w:r>
          </w:p>
        </w:tc>
      </w:tr>
    </w:tbl>
    <w:p w14:paraId="700A8AFD" w14:textId="77777777" w:rsidR="003328F9" w:rsidRPr="00DD0D1F" w:rsidRDefault="003328F9" w:rsidP="003328F9">
      <w:pPr>
        <w:spacing w:line="217" w:lineRule="exact"/>
        <w:rPr>
          <w:rFonts w:cs="Times New Roman"/>
          <w:szCs w:val="24"/>
          <w:lang w:val="tr-TR"/>
        </w:rPr>
        <w:sectPr w:rsidR="003328F9" w:rsidRPr="00DD0D1F" w:rsidSect="003328F9">
          <w:footerReference w:type="even" r:id="rId11"/>
          <w:footerReference w:type="default" r:id="rId12"/>
          <w:pgSz w:w="11910" w:h="16850"/>
          <w:pgMar w:top="1411" w:right="1411" w:bottom="1411" w:left="1411" w:header="706" w:footer="706" w:gutter="0"/>
          <w:cols w:space="708"/>
          <w:docGrid w:linePitch="326"/>
        </w:sectPr>
      </w:pPr>
    </w:p>
    <w:p w14:paraId="5F82F688" w14:textId="77777777" w:rsidR="003328F9" w:rsidRPr="00DD0D1F" w:rsidRDefault="003328F9" w:rsidP="003328F9">
      <w:pPr>
        <w:pStyle w:val="GvdeMetni"/>
        <w:spacing w:before="2"/>
        <w:rPr>
          <w:sz w:val="24"/>
          <w:szCs w:val="24"/>
        </w:rPr>
      </w:pPr>
    </w:p>
    <w:tbl>
      <w:tblPr>
        <w:tblStyle w:val="TableGrid2"/>
        <w:tblW w:w="9639" w:type="dxa"/>
        <w:tblLayout w:type="fixed"/>
        <w:tblLook w:val="01E0" w:firstRow="1" w:lastRow="1" w:firstColumn="1" w:lastColumn="1" w:noHBand="0" w:noVBand="0"/>
      </w:tblPr>
      <w:tblGrid>
        <w:gridCol w:w="2263"/>
        <w:gridCol w:w="7376"/>
      </w:tblGrid>
      <w:tr w:rsidR="003328F9" w:rsidRPr="00DD0D1F" w14:paraId="25864FAA" w14:textId="77777777" w:rsidTr="003328F9">
        <w:trPr>
          <w:trHeight w:val="257"/>
        </w:trPr>
        <w:tc>
          <w:tcPr>
            <w:tcW w:w="2263" w:type="dxa"/>
            <w:vAlign w:val="center"/>
          </w:tcPr>
          <w:p w14:paraId="3E38AB87" w14:textId="77777777" w:rsidR="003328F9" w:rsidRPr="00DD0D1F" w:rsidRDefault="003328F9" w:rsidP="003328F9">
            <w:pPr>
              <w:pStyle w:val="TableParagraph"/>
              <w:spacing w:line="210" w:lineRule="exact"/>
              <w:ind w:left="107"/>
              <w:rPr>
                <w:b/>
                <w:szCs w:val="24"/>
              </w:rPr>
            </w:pPr>
            <w:r w:rsidRPr="00DD0D1F">
              <w:rPr>
                <w:b/>
                <w:szCs w:val="24"/>
              </w:rPr>
              <w:t>Kullanılan terim</w:t>
            </w:r>
          </w:p>
        </w:tc>
        <w:tc>
          <w:tcPr>
            <w:tcW w:w="7376" w:type="dxa"/>
            <w:vAlign w:val="center"/>
          </w:tcPr>
          <w:p w14:paraId="1F193801" w14:textId="77777777" w:rsidR="003328F9" w:rsidRPr="00DD0D1F" w:rsidRDefault="003328F9" w:rsidP="003328F9">
            <w:pPr>
              <w:pStyle w:val="TableParagraph"/>
              <w:spacing w:line="210" w:lineRule="exact"/>
              <w:ind w:left="2864" w:right="2860"/>
              <w:rPr>
                <w:b/>
                <w:szCs w:val="24"/>
              </w:rPr>
            </w:pPr>
            <w:r w:rsidRPr="00DD0D1F">
              <w:rPr>
                <w:b/>
                <w:szCs w:val="24"/>
              </w:rPr>
              <w:t>Tanım</w:t>
            </w:r>
          </w:p>
        </w:tc>
      </w:tr>
      <w:tr w:rsidR="003328F9" w:rsidRPr="00DD0D1F" w14:paraId="5D5F5515" w14:textId="77777777" w:rsidTr="003328F9">
        <w:trPr>
          <w:trHeight w:val="691"/>
        </w:trPr>
        <w:tc>
          <w:tcPr>
            <w:tcW w:w="2263" w:type="dxa"/>
            <w:vAlign w:val="center"/>
          </w:tcPr>
          <w:p w14:paraId="2CAAE34F" w14:textId="77777777" w:rsidR="003328F9" w:rsidRPr="00DD0D1F" w:rsidRDefault="003328F9" w:rsidP="003328F9">
            <w:pPr>
              <w:pStyle w:val="TableParagraph"/>
              <w:rPr>
                <w:szCs w:val="24"/>
              </w:rPr>
            </w:pPr>
          </w:p>
        </w:tc>
        <w:tc>
          <w:tcPr>
            <w:tcW w:w="7376" w:type="dxa"/>
            <w:vAlign w:val="center"/>
          </w:tcPr>
          <w:p w14:paraId="32DF0A2B" w14:textId="77777777" w:rsidR="003328F9" w:rsidRPr="00DD0D1F" w:rsidRDefault="003328F9" w:rsidP="003328F9">
            <w:pPr>
              <w:pStyle w:val="TableParagraph"/>
              <w:spacing w:line="237" w:lineRule="auto"/>
              <w:ind w:left="108" w:right="99"/>
              <w:rPr>
                <w:szCs w:val="24"/>
              </w:rPr>
            </w:pPr>
            <w:r w:rsidRPr="00DD0D1F">
              <w:rPr>
                <w:szCs w:val="24"/>
              </w:rPr>
              <w:t>İyi enerji geri kazanım uygulamalarının bir sonucu olarak, proses  ısıtıcıları/fırınları, bağlı bir buhar/elektrik üretim sistemine sahip olabilir. Bu, proses ısıtıcısının/fırınının tek başına düşünülemeyecek entegre bir tasarım özelliği olarak kabul edilir.</w:t>
            </w:r>
          </w:p>
          <w:p w14:paraId="3195DD80" w14:textId="77777777" w:rsidR="003328F9" w:rsidRPr="00DD0D1F" w:rsidRDefault="003328F9" w:rsidP="003328F9">
            <w:pPr>
              <w:pStyle w:val="TableParagraph"/>
              <w:spacing w:line="237" w:lineRule="auto"/>
              <w:ind w:left="108" w:right="99"/>
              <w:rPr>
                <w:szCs w:val="24"/>
              </w:rPr>
            </w:pPr>
          </w:p>
        </w:tc>
      </w:tr>
      <w:tr w:rsidR="003328F9" w:rsidRPr="00DD0D1F" w14:paraId="5276F79C" w14:textId="77777777" w:rsidTr="003328F9">
        <w:trPr>
          <w:trHeight w:val="690"/>
        </w:trPr>
        <w:tc>
          <w:tcPr>
            <w:tcW w:w="2263" w:type="dxa"/>
            <w:vAlign w:val="center"/>
          </w:tcPr>
          <w:p w14:paraId="2D5001D0" w14:textId="77777777" w:rsidR="003328F9" w:rsidRPr="00DD0D1F" w:rsidRDefault="003328F9" w:rsidP="003328F9">
            <w:pPr>
              <w:pStyle w:val="TableParagraph"/>
              <w:spacing w:before="5"/>
              <w:rPr>
                <w:szCs w:val="24"/>
              </w:rPr>
            </w:pPr>
          </w:p>
          <w:p w14:paraId="716253B6" w14:textId="77777777" w:rsidR="003328F9" w:rsidRPr="00DD0D1F" w:rsidRDefault="003328F9" w:rsidP="003328F9">
            <w:pPr>
              <w:pStyle w:val="TableParagraph"/>
              <w:ind w:left="107"/>
              <w:rPr>
                <w:szCs w:val="24"/>
              </w:rPr>
            </w:pPr>
            <w:r w:rsidRPr="00DD0D1F">
              <w:rPr>
                <w:szCs w:val="24"/>
              </w:rPr>
              <w:t>Rafineri yakıtları</w:t>
            </w:r>
          </w:p>
        </w:tc>
        <w:tc>
          <w:tcPr>
            <w:tcW w:w="7376" w:type="dxa"/>
            <w:vAlign w:val="center"/>
          </w:tcPr>
          <w:p w14:paraId="64327470" w14:textId="77777777" w:rsidR="003328F9" w:rsidRPr="00DD0D1F" w:rsidRDefault="003328F9" w:rsidP="003328F9">
            <w:pPr>
              <w:pStyle w:val="TableParagraph"/>
              <w:ind w:left="108" w:right="99"/>
              <w:rPr>
                <w:szCs w:val="24"/>
              </w:rPr>
            </w:pPr>
            <w:r w:rsidRPr="00DD0D1F">
              <w:rPr>
                <w:szCs w:val="24"/>
              </w:rPr>
              <w:t>Ham petrolün rafine edilmesinin damıtma ve dönüştürme adımlarından elde edilen katı, sıvı veya gaz halindeki yanıcı maddelerdir. Örneğin, rafineri yakıt gazı (RFG), sentez gazı, rafineri yağları ve pet koktur.</w:t>
            </w:r>
          </w:p>
          <w:p w14:paraId="7EA9C852" w14:textId="77777777" w:rsidR="003328F9" w:rsidRPr="00DD0D1F" w:rsidRDefault="003328F9" w:rsidP="003328F9">
            <w:pPr>
              <w:pStyle w:val="TableParagraph"/>
              <w:ind w:left="108" w:right="99"/>
              <w:rPr>
                <w:szCs w:val="24"/>
              </w:rPr>
            </w:pPr>
          </w:p>
        </w:tc>
      </w:tr>
      <w:tr w:rsidR="003328F9" w:rsidRPr="00DD0D1F" w14:paraId="5544CA25" w14:textId="77777777" w:rsidTr="003328F9">
        <w:trPr>
          <w:trHeight w:val="460"/>
        </w:trPr>
        <w:tc>
          <w:tcPr>
            <w:tcW w:w="2263" w:type="dxa"/>
            <w:vAlign w:val="center"/>
          </w:tcPr>
          <w:p w14:paraId="39060565" w14:textId="77777777" w:rsidR="003328F9" w:rsidRPr="00DD0D1F" w:rsidRDefault="003328F9" w:rsidP="003328F9">
            <w:pPr>
              <w:pStyle w:val="TableParagraph"/>
              <w:spacing w:before="108"/>
              <w:ind w:left="107"/>
              <w:rPr>
                <w:szCs w:val="24"/>
              </w:rPr>
            </w:pPr>
            <w:r w:rsidRPr="00DD0D1F">
              <w:rPr>
                <w:szCs w:val="24"/>
              </w:rPr>
              <w:t>Artıklar</w:t>
            </w:r>
          </w:p>
        </w:tc>
        <w:tc>
          <w:tcPr>
            <w:tcW w:w="7376" w:type="dxa"/>
            <w:vAlign w:val="center"/>
          </w:tcPr>
          <w:p w14:paraId="3709D8D8" w14:textId="4218F881" w:rsidR="003328F9" w:rsidRPr="00DD0D1F" w:rsidRDefault="003328F9" w:rsidP="003328F9">
            <w:pPr>
              <w:pStyle w:val="TableParagraph"/>
              <w:spacing w:line="223" w:lineRule="exact"/>
              <w:ind w:left="108"/>
              <w:rPr>
                <w:szCs w:val="24"/>
              </w:rPr>
            </w:pPr>
            <w:r w:rsidRPr="00DD0D1F">
              <w:rPr>
                <w:szCs w:val="24"/>
              </w:rPr>
              <w:t>Bu belgenin kapsamına giren faaliyetlerden atık veya</w:t>
            </w:r>
            <w:r w:rsidR="00926FE0" w:rsidRPr="00DD0D1F">
              <w:rPr>
                <w:szCs w:val="24"/>
              </w:rPr>
              <w:t xml:space="preserve"> yan ürün olarak üretilen madde.</w:t>
            </w:r>
          </w:p>
          <w:p w14:paraId="0FD0B88E" w14:textId="77777777" w:rsidR="003328F9" w:rsidRPr="00DD0D1F" w:rsidRDefault="003328F9" w:rsidP="003328F9">
            <w:pPr>
              <w:pStyle w:val="TableParagraph"/>
              <w:spacing w:line="223" w:lineRule="exact"/>
              <w:ind w:left="108"/>
              <w:rPr>
                <w:szCs w:val="24"/>
              </w:rPr>
            </w:pPr>
          </w:p>
        </w:tc>
      </w:tr>
      <w:tr w:rsidR="003328F9" w:rsidRPr="00DD0D1F" w14:paraId="366A00F4" w14:textId="77777777" w:rsidTr="003328F9">
        <w:trPr>
          <w:trHeight w:val="1149"/>
        </w:trPr>
        <w:tc>
          <w:tcPr>
            <w:tcW w:w="2263" w:type="dxa"/>
            <w:vAlign w:val="center"/>
          </w:tcPr>
          <w:p w14:paraId="4B0BCDE0" w14:textId="77777777" w:rsidR="003328F9" w:rsidRPr="00DD0D1F" w:rsidRDefault="003328F9" w:rsidP="003328F9">
            <w:pPr>
              <w:pStyle w:val="TableParagraph"/>
              <w:spacing w:before="5"/>
              <w:rPr>
                <w:szCs w:val="24"/>
              </w:rPr>
            </w:pPr>
          </w:p>
          <w:p w14:paraId="1EE5DB73" w14:textId="77777777" w:rsidR="003328F9" w:rsidRPr="00DD0D1F" w:rsidRDefault="003328F9" w:rsidP="00AC75C5">
            <w:pPr>
              <w:pStyle w:val="TableParagraph"/>
              <w:spacing w:line="223" w:lineRule="exact"/>
              <w:ind w:left="108"/>
              <w:rPr>
                <w:szCs w:val="24"/>
              </w:rPr>
            </w:pPr>
            <w:r w:rsidRPr="00DD0D1F">
              <w:rPr>
                <w:szCs w:val="24"/>
              </w:rPr>
              <w:t>Devreye alma ve devre dışı bırakma süresi</w:t>
            </w:r>
          </w:p>
        </w:tc>
        <w:tc>
          <w:tcPr>
            <w:tcW w:w="7376" w:type="dxa"/>
            <w:vAlign w:val="center"/>
          </w:tcPr>
          <w:p w14:paraId="732092C8" w14:textId="24181A25" w:rsidR="003328F9" w:rsidRPr="00DD0D1F" w:rsidRDefault="00E95FF3" w:rsidP="00AC75C5">
            <w:pPr>
              <w:pStyle w:val="TableParagraph"/>
              <w:spacing w:line="223" w:lineRule="exact"/>
              <w:ind w:left="108"/>
              <w:rPr>
                <w:szCs w:val="24"/>
              </w:rPr>
            </w:pPr>
            <w:r w:rsidRPr="00DD0D1F">
              <w:rPr>
                <w:szCs w:val="24"/>
              </w:rPr>
              <w:t>D</w:t>
            </w:r>
            <w:r w:rsidR="003328F9" w:rsidRPr="00DD0D1F">
              <w:rPr>
                <w:szCs w:val="24"/>
              </w:rPr>
              <w:t xml:space="preserve">evreye alma ve devre dışı bırakma sürelerinin belirlenmesine ilişkin </w:t>
            </w:r>
            <w:r w:rsidR="00AC75C5" w:rsidRPr="00DD0D1F">
              <w:rPr>
                <w:szCs w:val="24"/>
              </w:rPr>
              <w:t>2012/249/AB sayılı Komisyon Uygulama Kararı</w:t>
            </w:r>
            <w:r w:rsidR="003328F9" w:rsidRPr="00DD0D1F">
              <w:rPr>
                <w:szCs w:val="24"/>
              </w:rPr>
              <w:t xml:space="preserve"> hükümlerine göre belirlenen tesis işletim süresidir.</w:t>
            </w:r>
          </w:p>
          <w:p w14:paraId="43ABF1DA" w14:textId="77777777" w:rsidR="003328F9" w:rsidRPr="00DD0D1F" w:rsidRDefault="003328F9" w:rsidP="003328F9">
            <w:pPr>
              <w:pStyle w:val="TableParagraph"/>
              <w:ind w:left="108" w:right="101"/>
              <w:rPr>
                <w:szCs w:val="24"/>
              </w:rPr>
            </w:pPr>
          </w:p>
        </w:tc>
      </w:tr>
      <w:tr w:rsidR="003328F9" w:rsidRPr="00DD0D1F" w14:paraId="708ED6E9" w14:textId="77777777" w:rsidTr="0023138D">
        <w:trPr>
          <w:trHeight w:val="642"/>
        </w:trPr>
        <w:tc>
          <w:tcPr>
            <w:tcW w:w="2263" w:type="dxa"/>
            <w:vAlign w:val="center"/>
          </w:tcPr>
          <w:p w14:paraId="1BB3526E" w14:textId="77777777" w:rsidR="003328F9" w:rsidRPr="00DD0D1F" w:rsidRDefault="003328F9" w:rsidP="003328F9">
            <w:pPr>
              <w:pStyle w:val="TableParagraph"/>
              <w:spacing w:line="210" w:lineRule="exact"/>
              <w:ind w:left="107"/>
              <w:rPr>
                <w:szCs w:val="24"/>
              </w:rPr>
            </w:pPr>
            <w:r w:rsidRPr="00DD0D1F">
              <w:rPr>
                <w:szCs w:val="24"/>
              </w:rPr>
              <w:t>Mevcut ünite</w:t>
            </w:r>
          </w:p>
        </w:tc>
        <w:tc>
          <w:tcPr>
            <w:tcW w:w="7376" w:type="dxa"/>
            <w:vAlign w:val="center"/>
          </w:tcPr>
          <w:p w14:paraId="496E0BDE" w14:textId="79ADFB98" w:rsidR="003328F9" w:rsidRPr="00DD0D1F" w:rsidRDefault="00443C6F" w:rsidP="003328F9">
            <w:pPr>
              <w:pStyle w:val="TableParagraph"/>
              <w:spacing w:line="210" w:lineRule="exact"/>
              <w:ind w:left="108"/>
              <w:rPr>
                <w:szCs w:val="24"/>
              </w:rPr>
            </w:pPr>
            <w:r w:rsidRPr="00DD0D1F">
              <w:rPr>
                <w:szCs w:val="24"/>
              </w:rPr>
              <w:t>Yönetmelik yürürlük tarihi itibariyle faaliyette olan veya çevresel etki değerlendirmesi mevzuatına göre başvurusu bulunan ünite.</w:t>
            </w:r>
          </w:p>
          <w:p w14:paraId="1DCA2F8C" w14:textId="77777777" w:rsidR="003328F9" w:rsidRPr="00DD0D1F" w:rsidRDefault="003328F9" w:rsidP="003328F9">
            <w:pPr>
              <w:pStyle w:val="TableParagraph"/>
              <w:spacing w:line="210" w:lineRule="exact"/>
              <w:ind w:left="108"/>
              <w:rPr>
                <w:szCs w:val="24"/>
              </w:rPr>
            </w:pPr>
          </w:p>
        </w:tc>
      </w:tr>
      <w:tr w:rsidR="003328F9" w:rsidRPr="00DD0D1F" w14:paraId="1F97FF16" w14:textId="77777777" w:rsidTr="0023138D">
        <w:trPr>
          <w:trHeight w:val="552"/>
        </w:trPr>
        <w:tc>
          <w:tcPr>
            <w:tcW w:w="2263" w:type="dxa"/>
            <w:vAlign w:val="center"/>
          </w:tcPr>
          <w:p w14:paraId="1707F810" w14:textId="77777777" w:rsidR="003328F9" w:rsidRPr="00DD0D1F" w:rsidRDefault="003328F9" w:rsidP="003328F9">
            <w:pPr>
              <w:pStyle w:val="TableParagraph"/>
              <w:ind w:left="107"/>
              <w:rPr>
                <w:szCs w:val="24"/>
              </w:rPr>
            </w:pPr>
            <w:r w:rsidRPr="00DD0D1F">
              <w:rPr>
                <w:szCs w:val="24"/>
              </w:rPr>
              <w:t>Yeni ünite</w:t>
            </w:r>
          </w:p>
        </w:tc>
        <w:tc>
          <w:tcPr>
            <w:tcW w:w="7376" w:type="dxa"/>
            <w:vAlign w:val="center"/>
          </w:tcPr>
          <w:p w14:paraId="2BE8DDF6" w14:textId="75ECDE75" w:rsidR="003328F9" w:rsidRPr="00DD0D1F" w:rsidRDefault="0023138D" w:rsidP="00AC75C5">
            <w:pPr>
              <w:pStyle w:val="TableParagraph"/>
              <w:ind w:left="108"/>
              <w:rPr>
                <w:szCs w:val="24"/>
              </w:rPr>
            </w:pPr>
            <w:r>
              <w:rPr>
                <w:szCs w:val="24"/>
              </w:rPr>
              <w:t>M</w:t>
            </w:r>
            <w:r w:rsidR="00443C6F" w:rsidRPr="00DD0D1F">
              <w:rPr>
                <w:szCs w:val="24"/>
              </w:rPr>
              <w:t>evcut ünite tanımı dışında kalan ünite</w:t>
            </w:r>
          </w:p>
        </w:tc>
      </w:tr>
      <w:tr w:rsidR="003328F9" w:rsidRPr="00DD0D1F" w14:paraId="2A84F198" w14:textId="77777777" w:rsidTr="003328F9">
        <w:trPr>
          <w:trHeight w:val="458"/>
        </w:trPr>
        <w:tc>
          <w:tcPr>
            <w:tcW w:w="2263" w:type="dxa"/>
            <w:vAlign w:val="center"/>
          </w:tcPr>
          <w:p w14:paraId="2521A4DE" w14:textId="77777777" w:rsidR="003328F9" w:rsidRPr="00DD0D1F" w:rsidRDefault="003328F9" w:rsidP="003328F9">
            <w:pPr>
              <w:pStyle w:val="TableParagraph"/>
              <w:spacing w:before="5"/>
              <w:rPr>
                <w:szCs w:val="24"/>
              </w:rPr>
            </w:pPr>
            <w:r w:rsidRPr="00DD0D1F">
              <w:rPr>
                <w:szCs w:val="24"/>
              </w:rPr>
              <w:t>Geçerli (saatlik ortalama)</w:t>
            </w:r>
          </w:p>
        </w:tc>
        <w:tc>
          <w:tcPr>
            <w:tcW w:w="7376" w:type="dxa"/>
            <w:vAlign w:val="center"/>
          </w:tcPr>
          <w:p w14:paraId="16BEA321" w14:textId="77777777" w:rsidR="003328F9" w:rsidRPr="00DD0D1F" w:rsidRDefault="003328F9" w:rsidP="003328F9">
            <w:pPr>
              <w:pStyle w:val="TableParagraph"/>
              <w:ind w:left="108"/>
              <w:rPr>
                <w:szCs w:val="24"/>
              </w:rPr>
            </w:pPr>
            <w:r w:rsidRPr="00DD0D1F">
              <w:rPr>
                <w:szCs w:val="24"/>
              </w:rPr>
              <w:t>Otomatik ölçüm sisteminde herhangi bir bakım veya arıza olmadığında saatlik ortalama geçerli kabul edilir.</w:t>
            </w:r>
          </w:p>
        </w:tc>
      </w:tr>
    </w:tbl>
    <w:p w14:paraId="49352E6F" w14:textId="77777777" w:rsidR="003328F9" w:rsidRPr="00DD0D1F" w:rsidRDefault="003328F9" w:rsidP="003328F9">
      <w:pPr>
        <w:rPr>
          <w:rFonts w:cs="Times New Roman"/>
          <w:szCs w:val="24"/>
        </w:rPr>
      </w:pPr>
    </w:p>
    <w:p w14:paraId="1843267A" w14:textId="77777777" w:rsidR="003328F9" w:rsidRPr="00DD0D1F" w:rsidRDefault="003328F9" w:rsidP="003328F9">
      <w:pPr>
        <w:rPr>
          <w:rFonts w:cs="Times New Roman"/>
          <w:szCs w:val="24"/>
        </w:rPr>
      </w:pPr>
    </w:p>
    <w:tbl>
      <w:tblPr>
        <w:tblStyle w:val="TableGrid2"/>
        <w:tblW w:w="9656" w:type="dxa"/>
        <w:tblLayout w:type="fixed"/>
        <w:tblLook w:val="01E0" w:firstRow="1" w:lastRow="1" w:firstColumn="1" w:lastColumn="1" w:noHBand="0" w:noVBand="0"/>
      </w:tblPr>
      <w:tblGrid>
        <w:gridCol w:w="2284"/>
        <w:gridCol w:w="7372"/>
      </w:tblGrid>
      <w:tr w:rsidR="003328F9" w:rsidRPr="00DD0D1F" w14:paraId="1CCB26CB" w14:textId="77777777" w:rsidTr="003328F9">
        <w:trPr>
          <w:trHeight w:val="365"/>
        </w:trPr>
        <w:tc>
          <w:tcPr>
            <w:tcW w:w="2279" w:type="dxa"/>
            <w:vAlign w:val="center"/>
          </w:tcPr>
          <w:p w14:paraId="6327DB1A" w14:textId="77777777" w:rsidR="003328F9" w:rsidRPr="00DD0D1F" w:rsidRDefault="003328F9" w:rsidP="003328F9">
            <w:pPr>
              <w:pStyle w:val="TableParagraph"/>
              <w:spacing w:line="210" w:lineRule="exact"/>
              <w:ind w:left="108"/>
              <w:rPr>
                <w:b/>
                <w:szCs w:val="24"/>
              </w:rPr>
            </w:pPr>
            <w:r w:rsidRPr="00DD0D1F">
              <w:rPr>
                <w:b/>
                <w:szCs w:val="24"/>
              </w:rPr>
              <w:t>Kullanılan terim</w:t>
            </w:r>
          </w:p>
        </w:tc>
        <w:tc>
          <w:tcPr>
            <w:tcW w:w="7372" w:type="dxa"/>
            <w:vAlign w:val="center"/>
          </w:tcPr>
          <w:p w14:paraId="0B0D6AE9" w14:textId="77777777" w:rsidR="003328F9" w:rsidRPr="00DD0D1F" w:rsidRDefault="003328F9" w:rsidP="003328F9">
            <w:pPr>
              <w:pStyle w:val="TableParagraph"/>
              <w:tabs>
                <w:tab w:val="left" w:pos="2650"/>
              </w:tabs>
              <w:spacing w:line="210" w:lineRule="exact"/>
              <w:ind w:left="2650" w:right="2647"/>
              <w:rPr>
                <w:b/>
                <w:szCs w:val="24"/>
              </w:rPr>
            </w:pPr>
            <w:r w:rsidRPr="00DD0D1F">
              <w:rPr>
                <w:b/>
                <w:szCs w:val="24"/>
              </w:rPr>
              <w:t>Tanım</w:t>
            </w:r>
          </w:p>
        </w:tc>
      </w:tr>
      <w:tr w:rsidR="003328F9" w:rsidRPr="00DD0D1F" w14:paraId="50A3787B" w14:textId="77777777" w:rsidTr="003328F9">
        <w:trPr>
          <w:trHeight w:val="459"/>
        </w:trPr>
        <w:tc>
          <w:tcPr>
            <w:tcW w:w="9651" w:type="dxa"/>
            <w:gridSpan w:val="2"/>
            <w:vAlign w:val="center"/>
          </w:tcPr>
          <w:p w14:paraId="389BEB6D" w14:textId="77777777" w:rsidR="003328F9" w:rsidRPr="00DD0D1F" w:rsidRDefault="003328F9" w:rsidP="003328F9">
            <w:pPr>
              <w:pStyle w:val="TableParagraph"/>
              <w:tabs>
                <w:tab w:val="left" w:pos="2650"/>
              </w:tabs>
              <w:spacing w:line="210" w:lineRule="exact"/>
              <w:ind w:left="2650" w:right="2647" w:hanging="2516"/>
              <w:rPr>
                <w:b/>
                <w:szCs w:val="24"/>
              </w:rPr>
            </w:pPr>
            <w:r w:rsidRPr="00DD0D1F">
              <w:rPr>
                <w:b/>
                <w:szCs w:val="24"/>
              </w:rPr>
              <w:t>Kirleticiler/ parametreler</w:t>
            </w:r>
          </w:p>
        </w:tc>
      </w:tr>
      <w:tr w:rsidR="003328F9" w:rsidRPr="00DD0D1F" w14:paraId="109EB861" w14:textId="77777777" w:rsidTr="003328F9">
        <w:trPr>
          <w:trHeight w:val="459"/>
        </w:trPr>
        <w:tc>
          <w:tcPr>
            <w:tcW w:w="2279" w:type="dxa"/>
            <w:vAlign w:val="center"/>
          </w:tcPr>
          <w:p w14:paraId="2A51F641" w14:textId="77777777" w:rsidR="003328F9" w:rsidRPr="00DD0D1F" w:rsidRDefault="003328F9" w:rsidP="003328F9">
            <w:pPr>
              <w:pStyle w:val="TableParagraph"/>
              <w:spacing w:line="210" w:lineRule="exact"/>
              <w:ind w:left="108"/>
              <w:rPr>
                <w:szCs w:val="24"/>
              </w:rPr>
            </w:pPr>
            <w:r w:rsidRPr="00DD0D1F">
              <w:rPr>
                <w:szCs w:val="24"/>
              </w:rPr>
              <w:t>As</w:t>
            </w:r>
          </w:p>
        </w:tc>
        <w:tc>
          <w:tcPr>
            <w:tcW w:w="7372" w:type="dxa"/>
            <w:vAlign w:val="center"/>
          </w:tcPr>
          <w:p w14:paraId="2560E0D9" w14:textId="77777777" w:rsidR="003328F9" w:rsidRPr="00DD0D1F" w:rsidRDefault="003328F9" w:rsidP="003328F9">
            <w:pPr>
              <w:pStyle w:val="TableParagraph"/>
              <w:spacing w:line="210" w:lineRule="exact"/>
              <w:ind w:left="107"/>
              <w:rPr>
                <w:szCs w:val="24"/>
              </w:rPr>
            </w:pPr>
            <w:r w:rsidRPr="00DD0D1F">
              <w:rPr>
                <w:szCs w:val="24"/>
              </w:rPr>
              <w:t>As olarak ifade edilen arsenik ve bileşiklerinin hepsi</w:t>
            </w:r>
          </w:p>
        </w:tc>
      </w:tr>
      <w:tr w:rsidR="003328F9" w:rsidRPr="00DD0D1F" w14:paraId="50F703ED" w14:textId="77777777" w:rsidTr="003328F9">
        <w:trPr>
          <w:trHeight w:val="459"/>
        </w:trPr>
        <w:tc>
          <w:tcPr>
            <w:tcW w:w="2279" w:type="dxa"/>
            <w:vAlign w:val="center"/>
          </w:tcPr>
          <w:p w14:paraId="34142905" w14:textId="77777777" w:rsidR="003328F9" w:rsidRPr="00DD0D1F" w:rsidRDefault="003328F9" w:rsidP="003328F9">
            <w:pPr>
              <w:pStyle w:val="TableParagraph"/>
              <w:spacing w:line="210" w:lineRule="exact"/>
              <w:ind w:left="108"/>
              <w:rPr>
                <w:szCs w:val="24"/>
              </w:rPr>
            </w:pPr>
            <w:r w:rsidRPr="00DD0D1F">
              <w:rPr>
                <w:szCs w:val="24"/>
              </w:rPr>
              <w:t>C</w:t>
            </w:r>
            <w:r w:rsidRPr="00DD0D1F">
              <w:rPr>
                <w:szCs w:val="24"/>
                <w:vertAlign w:val="subscript"/>
              </w:rPr>
              <w:t>3</w:t>
            </w:r>
          </w:p>
        </w:tc>
        <w:tc>
          <w:tcPr>
            <w:tcW w:w="7372" w:type="dxa"/>
            <w:vAlign w:val="center"/>
          </w:tcPr>
          <w:p w14:paraId="04767F1C" w14:textId="77777777" w:rsidR="003328F9" w:rsidRPr="00DD0D1F" w:rsidRDefault="003328F9" w:rsidP="003328F9">
            <w:pPr>
              <w:pStyle w:val="TableParagraph"/>
              <w:spacing w:line="210" w:lineRule="exact"/>
              <w:ind w:left="107"/>
              <w:rPr>
                <w:szCs w:val="24"/>
              </w:rPr>
            </w:pPr>
            <w:r w:rsidRPr="00DD0D1F">
              <w:rPr>
                <w:szCs w:val="24"/>
              </w:rPr>
              <w:t>Karbon sayısı üçe eşit olan hidrokarbonlar</w:t>
            </w:r>
          </w:p>
        </w:tc>
      </w:tr>
      <w:tr w:rsidR="003328F9" w:rsidRPr="00DD0D1F" w14:paraId="02CC5A12" w14:textId="77777777" w:rsidTr="003328F9">
        <w:trPr>
          <w:trHeight w:val="459"/>
        </w:trPr>
        <w:tc>
          <w:tcPr>
            <w:tcW w:w="2279" w:type="dxa"/>
            <w:vAlign w:val="center"/>
          </w:tcPr>
          <w:p w14:paraId="2F5E8220" w14:textId="77777777" w:rsidR="003328F9" w:rsidRPr="00DD0D1F" w:rsidRDefault="003328F9" w:rsidP="003328F9">
            <w:pPr>
              <w:pStyle w:val="TableParagraph"/>
              <w:spacing w:line="210" w:lineRule="exact"/>
              <w:ind w:left="108"/>
              <w:rPr>
                <w:szCs w:val="24"/>
              </w:rPr>
            </w:pPr>
            <w:r w:rsidRPr="00DD0D1F">
              <w:rPr>
                <w:szCs w:val="24"/>
              </w:rPr>
              <w:t>C</w:t>
            </w:r>
            <w:r w:rsidRPr="00DD0D1F">
              <w:rPr>
                <w:szCs w:val="24"/>
                <w:vertAlign w:val="subscript"/>
              </w:rPr>
              <w:t>4</w:t>
            </w:r>
            <w:r w:rsidRPr="00DD0D1F">
              <w:rPr>
                <w:szCs w:val="24"/>
              </w:rPr>
              <w:t>+</w:t>
            </w:r>
          </w:p>
        </w:tc>
        <w:tc>
          <w:tcPr>
            <w:tcW w:w="7372" w:type="dxa"/>
            <w:vAlign w:val="center"/>
          </w:tcPr>
          <w:p w14:paraId="57B2D619" w14:textId="77777777" w:rsidR="003328F9" w:rsidRPr="00DD0D1F" w:rsidRDefault="003328F9" w:rsidP="003328F9">
            <w:pPr>
              <w:pStyle w:val="TableParagraph"/>
              <w:spacing w:line="210" w:lineRule="exact"/>
              <w:ind w:left="107"/>
              <w:rPr>
                <w:szCs w:val="24"/>
              </w:rPr>
            </w:pPr>
            <w:r w:rsidRPr="00DD0D1F">
              <w:rPr>
                <w:szCs w:val="24"/>
              </w:rPr>
              <w:t>Karbon sayısı dört veya daha fazla olan hidrokarbonlar</w:t>
            </w:r>
          </w:p>
        </w:tc>
      </w:tr>
      <w:tr w:rsidR="003328F9" w:rsidRPr="00DD0D1F" w14:paraId="471C8DBB" w14:textId="77777777" w:rsidTr="003328F9">
        <w:trPr>
          <w:trHeight w:val="459"/>
        </w:trPr>
        <w:tc>
          <w:tcPr>
            <w:tcW w:w="2279" w:type="dxa"/>
            <w:vAlign w:val="center"/>
          </w:tcPr>
          <w:p w14:paraId="74A827F9" w14:textId="77777777" w:rsidR="003328F9" w:rsidRPr="00DD0D1F" w:rsidRDefault="003328F9" w:rsidP="003328F9">
            <w:pPr>
              <w:pStyle w:val="TableParagraph"/>
              <w:spacing w:line="210" w:lineRule="exact"/>
              <w:ind w:left="108"/>
              <w:rPr>
                <w:szCs w:val="24"/>
              </w:rPr>
            </w:pPr>
            <w:r w:rsidRPr="00DD0D1F">
              <w:rPr>
                <w:szCs w:val="24"/>
              </w:rPr>
              <w:t>Cd</w:t>
            </w:r>
          </w:p>
        </w:tc>
        <w:tc>
          <w:tcPr>
            <w:tcW w:w="7372" w:type="dxa"/>
            <w:vAlign w:val="center"/>
          </w:tcPr>
          <w:p w14:paraId="72126794" w14:textId="77777777" w:rsidR="003328F9" w:rsidRPr="00DD0D1F" w:rsidRDefault="003328F9" w:rsidP="003328F9">
            <w:pPr>
              <w:pStyle w:val="TableParagraph"/>
              <w:spacing w:line="210" w:lineRule="exact"/>
              <w:ind w:left="107"/>
              <w:rPr>
                <w:szCs w:val="24"/>
              </w:rPr>
            </w:pPr>
            <w:r w:rsidRPr="00DD0D1F">
              <w:rPr>
                <w:szCs w:val="24"/>
              </w:rPr>
              <w:t>Cd olarak ifade edilen kadmiyum ve bileşiklerinin hepsi</w:t>
            </w:r>
          </w:p>
        </w:tc>
      </w:tr>
      <w:tr w:rsidR="003328F9" w:rsidRPr="00DD0D1F" w14:paraId="453563EB" w14:textId="77777777" w:rsidTr="003328F9">
        <w:trPr>
          <w:trHeight w:val="459"/>
        </w:trPr>
        <w:tc>
          <w:tcPr>
            <w:tcW w:w="2279" w:type="dxa"/>
            <w:vAlign w:val="center"/>
          </w:tcPr>
          <w:p w14:paraId="2D76073E" w14:textId="77777777" w:rsidR="003328F9" w:rsidRPr="00DD0D1F" w:rsidRDefault="003328F9" w:rsidP="003328F9">
            <w:pPr>
              <w:pStyle w:val="TableParagraph"/>
              <w:spacing w:line="210" w:lineRule="exact"/>
              <w:ind w:left="108"/>
              <w:rPr>
                <w:szCs w:val="24"/>
              </w:rPr>
            </w:pPr>
            <w:r w:rsidRPr="00DD0D1F">
              <w:rPr>
                <w:szCs w:val="24"/>
              </w:rPr>
              <w:t>Cd+Tl</w:t>
            </w:r>
          </w:p>
        </w:tc>
        <w:tc>
          <w:tcPr>
            <w:tcW w:w="7372" w:type="dxa"/>
            <w:vAlign w:val="center"/>
          </w:tcPr>
          <w:p w14:paraId="240093DE" w14:textId="77777777" w:rsidR="003328F9" w:rsidRPr="00DD0D1F" w:rsidRDefault="003328F9" w:rsidP="003328F9">
            <w:pPr>
              <w:pStyle w:val="TableParagraph"/>
              <w:spacing w:line="210" w:lineRule="exact"/>
              <w:ind w:left="107"/>
              <w:rPr>
                <w:szCs w:val="24"/>
              </w:rPr>
            </w:pPr>
            <w:r w:rsidRPr="00DD0D1F">
              <w:rPr>
                <w:szCs w:val="24"/>
              </w:rPr>
              <w:t>Cd+Tl olarak ifade edilen kadmiyum, talyum ve bileşiklerinin hepsi</w:t>
            </w:r>
          </w:p>
        </w:tc>
      </w:tr>
      <w:tr w:rsidR="003328F9" w:rsidRPr="00DD0D1F" w14:paraId="1CFD2434" w14:textId="77777777" w:rsidTr="003328F9">
        <w:trPr>
          <w:trHeight w:val="459"/>
        </w:trPr>
        <w:tc>
          <w:tcPr>
            <w:tcW w:w="2279" w:type="dxa"/>
            <w:vAlign w:val="center"/>
          </w:tcPr>
          <w:p w14:paraId="2C471806" w14:textId="77777777" w:rsidR="003328F9" w:rsidRPr="00DD0D1F" w:rsidRDefault="003328F9" w:rsidP="003328F9">
            <w:pPr>
              <w:pStyle w:val="TableParagraph"/>
              <w:spacing w:line="210" w:lineRule="exact"/>
              <w:ind w:left="108"/>
              <w:rPr>
                <w:szCs w:val="24"/>
              </w:rPr>
            </w:pPr>
            <w:r w:rsidRPr="00DD0D1F">
              <w:rPr>
                <w:szCs w:val="24"/>
              </w:rPr>
              <w:t>CH</w:t>
            </w:r>
            <w:r w:rsidRPr="00DD0D1F">
              <w:rPr>
                <w:szCs w:val="24"/>
                <w:vertAlign w:val="subscript"/>
              </w:rPr>
              <w:t>4</w:t>
            </w:r>
          </w:p>
        </w:tc>
        <w:tc>
          <w:tcPr>
            <w:tcW w:w="7372" w:type="dxa"/>
            <w:vAlign w:val="center"/>
          </w:tcPr>
          <w:p w14:paraId="3E715600" w14:textId="77777777" w:rsidR="003328F9" w:rsidRPr="00DD0D1F" w:rsidRDefault="003328F9" w:rsidP="003328F9">
            <w:pPr>
              <w:pStyle w:val="TableParagraph"/>
              <w:spacing w:line="210" w:lineRule="exact"/>
              <w:ind w:left="107"/>
              <w:rPr>
                <w:szCs w:val="24"/>
              </w:rPr>
            </w:pPr>
            <w:r w:rsidRPr="00DD0D1F">
              <w:rPr>
                <w:szCs w:val="24"/>
              </w:rPr>
              <w:t>Metan</w:t>
            </w:r>
          </w:p>
        </w:tc>
      </w:tr>
      <w:tr w:rsidR="003328F9" w:rsidRPr="00DD0D1F" w14:paraId="7C235C41" w14:textId="77777777" w:rsidTr="003328F9">
        <w:trPr>
          <w:trHeight w:val="459"/>
        </w:trPr>
        <w:tc>
          <w:tcPr>
            <w:tcW w:w="2279" w:type="dxa"/>
            <w:vAlign w:val="center"/>
          </w:tcPr>
          <w:p w14:paraId="3662AF70" w14:textId="77777777" w:rsidR="003328F9" w:rsidRPr="00DD0D1F" w:rsidRDefault="003328F9" w:rsidP="003328F9">
            <w:pPr>
              <w:pStyle w:val="TableParagraph"/>
              <w:spacing w:line="210" w:lineRule="exact"/>
              <w:ind w:left="108"/>
              <w:rPr>
                <w:szCs w:val="24"/>
              </w:rPr>
            </w:pPr>
            <w:r w:rsidRPr="00DD0D1F">
              <w:rPr>
                <w:szCs w:val="24"/>
              </w:rPr>
              <w:t>CO</w:t>
            </w:r>
          </w:p>
        </w:tc>
        <w:tc>
          <w:tcPr>
            <w:tcW w:w="7372" w:type="dxa"/>
            <w:vAlign w:val="center"/>
          </w:tcPr>
          <w:p w14:paraId="02F13FA5" w14:textId="77777777" w:rsidR="003328F9" w:rsidRPr="00DD0D1F" w:rsidRDefault="003328F9" w:rsidP="003328F9">
            <w:pPr>
              <w:pStyle w:val="TableParagraph"/>
              <w:spacing w:line="210" w:lineRule="exact"/>
              <w:ind w:left="107"/>
              <w:rPr>
                <w:szCs w:val="24"/>
              </w:rPr>
            </w:pPr>
            <w:r w:rsidRPr="00DD0D1F">
              <w:rPr>
                <w:szCs w:val="24"/>
              </w:rPr>
              <w:t>Karbonmonoksit</w:t>
            </w:r>
          </w:p>
        </w:tc>
      </w:tr>
      <w:tr w:rsidR="003328F9" w:rsidRPr="00DD0D1F" w14:paraId="32713DF9" w14:textId="77777777" w:rsidTr="003328F9">
        <w:trPr>
          <w:trHeight w:val="459"/>
        </w:trPr>
        <w:tc>
          <w:tcPr>
            <w:tcW w:w="2279" w:type="dxa"/>
            <w:vAlign w:val="center"/>
          </w:tcPr>
          <w:p w14:paraId="7397161C" w14:textId="77777777" w:rsidR="003328F9" w:rsidRPr="00DD0D1F" w:rsidRDefault="003328F9" w:rsidP="003328F9">
            <w:pPr>
              <w:pStyle w:val="TableParagraph"/>
              <w:spacing w:before="110"/>
              <w:ind w:left="108"/>
              <w:rPr>
                <w:szCs w:val="24"/>
              </w:rPr>
            </w:pPr>
            <w:r w:rsidRPr="00DD0D1F">
              <w:rPr>
                <w:szCs w:val="24"/>
              </w:rPr>
              <w:t>COD</w:t>
            </w:r>
          </w:p>
        </w:tc>
        <w:tc>
          <w:tcPr>
            <w:tcW w:w="7372" w:type="dxa"/>
            <w:vAlign w:val="center"/>
          </w:tcPr>
          <w:p w14:paraId="063821B1" w14:textId="77777777" w:rsidR="003328F9" w:rsidRPr="00DD0D1F" w:rsidRDefault="003328F9" w:rsidP="003328F9">
            <w:pPr>
              <w:pStyle w:val="TableParagraph"/>
              <w:spacing w:line="224" w:lineRule="exact"/>
              <w:ind w:left="107"/>
              <w:rPr>
                <w:szCs w:val="24"/>
              </w:rPr>
            </w:pPr>
            <w:r w:rsidRPr="00DD0D1F">
              <w:rPr>
                <w:szCs w:val="24"/>
              </w:rPr>
              <w:t>Kimyasal oksijen ihtiyacı. Organik maddenin karbondioksite toplam oksidasyonu için gerekli oksijen miktarı</w:t>
            </w:r>
          </w:p>
        </w:tc>
      </w:tr>
      <w:tr w:rsidR="003328F9" w:rsidRPr="00DD0D1F" w14:paraId="7BD1D8F3" w14:textId="77777777" w:rsidTr="003328F9">
        <w:trPr>
          <w:trHeight w:val="459"/>
        </w:trPr>
        <w:tc>
          <w:tcPr>
            <w:tcW w:w="2279" w:type="dxa"/>
            <w:vAlign w:val="center"/>
          </w:tcPr>
          <w:p w14:paraId="3D63358D" w14:textId="77777777" w:rsidR="003328F9" w:rsidRPr="00DD0D1F" w:rsidRDefault="003328F9" w:rsidP="003328F9">
            <w:pPr>
              <w:pStyle w:val="TableParagraph"/>
              <w:spacing w:line="210" w:lineRule="exact"/>
              <w:ind w:left="108"/>
              <w:rPr>
                <w:szCs w:val="24"/>
              </w:rPr>
            </w:pPr>
            <w:r w:rsidRPr="00DD0D1F">
              <w:rPr>
                <w:szCs w:val="24"/>
              </w:rPr>
              <w:t>COS</w:t>
            </w:r>
          </w:p>
        </w:tc>
        <w:tc>
          <w:tcPr>
            <w:tcW w:w="7372" w:type="dxa"/>
            <w:vAlign w:val="center"/>
          </w:tcPr>
          <w:p w14:paraId="220A2FA0" w14:textId="77777777" w:rsidR="003328F9" w:rsidRPr="00DD0D1F" w:rsidRDefault="003328F9" w:rsidP="003328F9">
            <w:pPr>
              <w:pStyle w:val="TableParagraph"/>
              <w:spacing w:line="210" w:lineRule="exact"/>
              <w:ind w:left="107"/>
              <w:rPr>
                <w:szCs w:val="24"/>
              </w:rPr>
            </w:pPr>
            <w:r w:rsidRPr="00DD0D1F">
              <w:rPr>
                <w:szCs w:val="24"/>
              </w:rPr>
              <w:t>Karbonil sülfit</w:t>
            </w:r>
          </w:p>
        </w:tc>
      </w:tr>
      <w:tr w:rsidR="003328F9" w:rsidRPr="00DD0D1F" w14:paraId="46910061" w14:textId="77777777" w:rsidTr="003328F9">
        <w:trPr>
          <w:trHeight w:val="459"/>
        </w:trPr>
        <w:tc>
          <w:tcPr>
            <w:tcW w:w="2279" w:type="dxa"/>
            <w:vAlign w:val="center"/>
          </w:tcPr>
          <w:p w14:paraId="3C7CDB96" w14:textId="77777777" w:rsidR="003328F9" w:rsidRPr="00DD0D1F" w:rsidRDefault="003328F9" w:rsidP="003328F9">
            <w:pPr>
              <w:pStyle w:val="TableParagraph"/>
              <w:spacing w:line="210" w:lineRule="exact"/>
              <w:ind w:left="108"/>
              <w:rPr>
                <w:szCs w:val="24"/>
              </w:rPr>
            </w:pPr>
            <w:r w:rsidRPr="00DD0D1F">
              <w:rPr>
                <w:szCs w:val="24"/>
              </w:rPr>
              <w:t>Cr</w:t>
            </w:r>
          </w:p>
        </w:tc>
        <w:tc>
          <w:tcPr>
            <w:tcW w:w="7372" w:type="dxa"/>
            <w:vAlign w:val="center"/>
          </w:tcPr>
          <w:p w14:paraId="1D00E655" w14:textId="77777777" w:rsidR="003328F9" w:rsidRPr="00DD0D1F" w:rsidRDefault="003328F9" w:rsidP="003328F9">
            <w:pPr>
              <w:pStyle w:val="TableParagraph"/>
              <w:spacing w:line="210" w:lineRule="exact"/>
              <w:ind w:left="107"/>
              <w:rPr>
                <w:szCs w:val="24"/>
              </w:rPr>
            </w:pPr>
            <w:r w:rsidRPr="00DD0D1F">
              <w:rPr>
                <w:szCs w:val="24"/>
              </w:rPr>
              <w:t>Cr olarak ifade edilen krom ve bileşiklerinin hepsi</w:t>
            </w:r>
          </w:p>
        </w:tc>
      </w:tr>
      <w:tr w:rsidR="003328F9" w:rsidRPr="00DD0D1F" w14:paraId="3FC6C0DA" w14:textId="77777777" w:rsidTr="003328F9">
        <w:trPr>
          <w:trHeight w:val="459"/>
        </w:trPr>
        <w:tc>
          <w:tcPr>
            <w:tcW w:w="2279" w:type="dxa"/>
            <w:vAlign w:val="center"/>
          </w:tcPr>
          <w:p w14:paraId="43C8573D" w14:textId="77777777" w:rsidR="003328F9" w:rsidRPr="00DD0D1F" w:rsidRDefault="003328F9" w:rsidP="003328F9">
            <w:pPr>
              <w:pStyle w:val="TableParagraph"/>
              <w:spacing w:line="210" w:lineRule="exact"/>
              <w:ind w:left="108"/>
              <w:rPr>
                <w:szCs w:val="24"/>
              </w:rPr>
            </w:pPr>
            <w:r w:rsidRPr="00DD0D1F">
              <w:rPr>
                <w:szCs w:val="24"/>
              </w:rPr>
              <w:t>Cu</w:t>
            </w:r>
          </w:p>
        </w:tc>
        <w:tc>
          <w:tcPr>
            <w:tcW w:w="7372" w:type="dxa"/>
            <w:vAlign w:val="center"/>
          </w:tcPr>
          <w:p w14:paraId="77C79C5E" w14:textId="77777777" w:rsidR="003328F9" w:rsidRPr="00DD0D1F" w:rsidRDefault="003328F9" w:rsidP="003328F9">
            <w:pPr>
              <w:pStyle w:val="TableParagraph"/>
              <w:spacing w:line="210" w:lineRule="exact"/>
              <w:ind w:left="107"/>
              <w:rPr>
                <w:szCs w:val="24"/>
              </w:rPr>
            </w:pPr>
            <w:r w:rsidRPr="00DD0D1F">
              <w:rPr>
                <w:szCs w:val="24"/>
              </w:rPr>
              <w:t>Cu olarak ifade edilen bakır ve bileşiklerinin hepsi</w:t>
            </w:r>
          </w:p>
        </w:tc>
      </w:tr>
      <w:tr w:rsidR="003328F9" w:rsidRPr="00DD0D1F" w14:paraId="71637D31" w14:textId="77777777" w:rsidTr="003328F9">
        <w:trPr>
          <w:trHeight w:val="459"/>
        </w:trPr>
        <w:tc>
          <w:tcPr>
            <w:tcW w:w="2279" w:type="dxa"/>
            <w:vAlign w:val="center"/>
          </w:tcPr>
          <w:p w14:paraId="46E14B07" w14:textId="77777777" w:rsidR="003328F9" w:rsidRPr="00DD0D1F" w:rsidRDefault="003328F9" w:rsidP="003328F9">
            <w:pPr>
              <w:pStyle w:val="TableParagraph"/>
              <w:spacing w:line="210" w:lineRule="exact"/>
              <w:ind w:left="108"/>
              <w:rPr>
                <w:szCs w:val="24"/>
              </w:rPr>
            </w:pPr>
            <w:r w:rsidRPr="00DD0D1F">
              <w:rPr>
                <w:szCs w:val="24"/>
              </w:rPr>
              <w:t>Toz</w:t>
            </w:r>
          </w:p>
        </w:tc>
        <w:tc>
          <w:tcPr>
            <w:tcW w:w="7372" w:type="dxa"/>
            <w:vAlign w:val="center"/>
          </w:tcPr>
          <w:p w14:paraId="4C083198" w14:textId="77777777" w:rsidR="003328F9" w:rsidRPr="00DD0D1F" w:rsidRDefault="003328F9" w:rsidP="003328F9">
            <w:pPr>
              <w:pStyle w:val="TableParagraph"/>
              <w:spacing w:line="210" w:lineRule="exact"/>
              <w:ind w:left="107"/>
              <w:rPr>
                <w:szCs w:val="24"/>
              </w:rPr>
            </w:pPr>
            <w:r w:rsidRPr="00DD0D1F">
              <w:rPr>
                <w:szCs w:val="24"/>
              </w:rPr>
              <w:t>Toplam partikül madde (havadaki)</w:t>
            </w:r>
          </w:p>
        </w:tc>
      </w:tr>
      <w:tr w:rsidR="003328F9" w:rsidRPr="00DD0D1F" w14:paraId="3FAE62DA" w14:textId="77777777" w:rsidTr="003328F9">
        <w:trPr>
          <w:trHeight w:val="334"/>
        </w:trPr>
        <w:tc>
          <w:tcPr>
            <w:tcW w:w="2279" w:type="dxa"/>
            <w:vAlign w:val="center"/>
          </w:tcPr>
          <w:p w14:paraId="10C6AD00" w14:textId="77777777" w:rsidR="003328F9" w:rsidRPr="00DD0D1F" w:rsidRDefault="003328F9" w:rsidP="003328F9">
            <w:pPr>
              <w:pStyle w:val="TableParagraph"/>
              <w:spacing w:line="210" w:lineRule="exact"/>
              <w:ind w:left="108"/>
              <w:rPr>
                <w:szCs w:val="24"/>
              </w:rPr>
            </w:pPr>
            <w:r w:rsidRPr="00DD0D1F">
              <w:rPr>
                <w:szCs w:val="24"/>
              </w:rPr>
              <w:t>Florür</w:t>
            </w:r>
          </w:p>
        </w:tc>
        <w:tc>
          <w:tcPr>
            <w:tcW w:w="7372" w:type="dxa"/>
            <w:vAlign w:val="center"/>
          </w:tcPr>
          <w:p w14:paraId="30E79791" w14:textId="77777777" w:rsidR="003328F9" w:rsidRPr="00DD0D1F" w:rsidRDefault="003328F9" w:rsidP="003328F9">
            <w:pPr>
              <w:pStyle w:val="TableParagraph"/>
              <w:spacing w:line="210" w:lineRule="exact"/>
              <w:ind w:left="107"/>
              <w:rPr>
                <w:szCs w:val="24"/>
              </w:rPr>
            </w:pPr>
            <w:r w:rsidRPr="00DD0D1F">
              <w:rPr>
                <w:szCs w:val="24"/>
              </w:rPr>
              <w:t>F</w:t>
            </w:r>
            <w:r w:rsidRPr="00DD0D1F">
              <w:rPr>
                <w:szCs w:val="24"/>
                <w:vertAlign w:val="superscript"/>
              </w:rPr>
              <w:t>-</w:t>
            </w:r>
            <w:r w:rsidRPr="00DD0D1F">
              <w:rPr>
                <w:szCs w:val="24"/>
              </w:rPr>
              <w:t xml:space="preserve"> olarak ifade edilen çözünmüş florür</w:t>
            </w:r>
          </w:p>
        </w:tc>
      </w:tr>
      <w:tr w:rsidR="003328F9" w:rsidRPr="00DD0D1F" w14:paraId="481F96E9" w14:textId="77777777" w:rsidTr="003328F9">
        <w:trPr>
          <w:trHeight w:val="230"/>
        </w:trPr>
        <w:tc>
          <w:tcPr>
            <w:tcW w:w="2284" w:type="dxa"/>
            <w:vAlign w:val="center"/>
          </w:tcPr>
          <w:p w14:paraId="2013227C" w14:textId="77777777" w:rsidR="003328F9" w:rsidRPr="00DD0D1F" w:rsidRDefault="003328F9" w:rsidP="003328F9">
            <w:pPr>
              <w:pStyle w:val="TableParagraph"/>
              <w:spacing w:line="210" w:lineRule="exact"/>
              <w:ind w:left="108"/>
              <w:rPr>
                <w:szCs w:val="24"/>
              </w:rPr>
            </w:pPr>
            <w:r w:rsidRPr="00DD0D1F">
              <w:rPr>
                <w:szCs w:val="24"/>
              </w:rPr>
              <w:t>H</w:t>
            </w:r>
            <w:r w:rsidRPr="00DD0D1F">
              <w:rPr>
                <w:szCs w:val="24"/>
                <w:vertAlign w:val="subscript"/>
              </w:rPr>
              <w:t>2</w:t>
            </w:r>
            <w:r w:rsidRPr="00DD0D1F">
              <w:rPr>
                <w:szCs w:val="24"/>
              </w:rPr>
              <w:t>S</w:t>
            </w:r>
          </w:p>
        </w:tc>
        <w:tc>
          <w:tcPr>
            <w:tcW w:w="7372" w:type="dxa"/>
            <w:vAlign w:val="center"/>
          </w:tcPr>
          <w:p w14:paraId="191EA7FF" w14:textId="77777777" w:rsidR="003328F9" w:rsidRPr="00DD0D1F" w:rsidRDefault="003328F9" w:rsidP="003328F9">
            <w:pPr>
              <w:pStyle w:val="TableParagraph"/>
              <w:spacing w:line="210" w:lineRule="exact"/>
              <w:ind w:left="107"/>
              <w:rPr>
                <w:szCs w:val="24"/>
              </w:rPr>
            </w:pPr>
            <w:r w:rsidRPr="00DD0D1F">
              <w:rPr>
                <w:szCs w:val="24"/>
              </w:rPr>
              <w:t>Hidrojen sülfid</w:t>
            </w:r>
          </w:p>
        </w:tc>
      </w:tr>
      <w:tr w:rsidR="003328F9" w:rsidRPr="00DD0D1F" w14:paraId="7D58521B" w14:textId="77777777" w:rsidTr="003328F9">
        <w:trPr>
          <w:trHeight w:val="230"/>
        </w:trPr>
        <w:tc>
          <w:tcPr>
            <w:tcW w:w="2284" w:type="dxa"/>
            <w:vAlign w:val="center"/>
          </w:tcPr>
          <w:p w14:paraId="7EED481A" w14:textId="77777777" w:rsidR="003328F9" w:rsidRPr="00DD0D1F" w:rsidRDefault="003328F9" w:rsidP="003328F9">
            <w:pPr>
              <w:pStyle w:val="TableParagraph"/>
              <w:spacing w:line="211" w:lineRule="exact"/>
              <w:ind w:left="108"/>
              <w:rPr>
                <w:szCs w:val="24"/>
              </w:rPr>
            </w:pPr>
            <w:r w:rsidRPr="00DD0D1F">
              <w:rPr>
                <w:szCs w:val="24"/>
              </w:rPr>
              <w:t>HCI</w:t>
            </w:r>
          </w:p>
        </w:tc>
        <w:tc>
          <w:tcPr>
            <w:tcW w:w="7372" w:type="dxa"/>
            <w:vAlign w:val="center"/>
          </w:tcPr>
          <w:p w14:paraId="6FF3F704" w14:textId="77777777" w:rsidR="003328F9" w:rsidRPr="00DD0D1F" w:rsidRDefault="003328F9" w:rsidP="003328F9">
            <w:pPr>
              <w:pStyle w:val="TableParagraph"/>
              <w:spacing w:line="211" w:lineRule="exact"/>
              <w:ind w:left="107"/>
              <w:rPr>
                <w:szCs w:val="24"/>
              </w:rPr>
            </w:pPr>
            <w:r w:rsidRPr="00DD0D1F">
              <w:rPr>
                <w:szCs w:val="24"/>
              </w:rPr>
              <w:t>HCI olarak ifade edilen tüm inorganik gaz klor bileşikleri</w:t>
            </w:r>
          </w:p>
        </w:tc>
      </w:tr>
      <w:tr w:rsidR="003328F9" w:rsidRPr="00DD0D1F" w14:paraId="6FA8C5BF" w14:textId="77777777" w:rsidTr="003328F9">
        <w:trPr>
          <w:trHeight w:val="230"/>
        </w:trPr>
        <w:tc>
          <w:tcPr>
            <w:tcW w:w="2284" w:type="dxa"/>
            <w:vAlign w:val="center"/>
          </w:tcPr>
          <w:p w14:paraId="4052C72D" w14:textId="77777777" w:rsidR="003328F9" w:rsidRPr="00DD0D1F" w:rsidRDefault="003328F9" w:rsidP="003328F9">
            <w:pPr>
              <w:pStyle w:val="TableParagraph"/>
              <w:spacing w:line="210" w:lineRule="exact"/>
              <w:ind w:left="108"/>
              <w:rPr>
                <w:szCs w:val="24"/>
              </w:rPr>
            </w:pPr>
            <w:r w:rsidRPr="00DD0D1F">
              <w:rPr>
                <w:szCs w:val="24"/>
              </w:rPr>
              <w:t>HCN</w:t>
            </w:r>
          </w:p>
        </w:tc>
        <w:tc>
          <w:tcPr>
            <w:tcW w:w="7372" w:type="dxa"/>
            <w:vAlign w:val="center"/>
          </w:tcPr>
          <w:p w14:paraId="42AFDC71" w14:textId="77777777" w:rsidR="003328F9" w:rsidRPr="00DD0D1F" w:rsidRDefault="003328F9" w:rsidP="003328F9">
            <w:pPr>
              <w:pStyle w:val="TableParagraph"/>
              <w:spacing w:line="210" w:lineRule="exact"/>
              <w:ind w:left="107"/>
              <w:rPr>
                <w:szCs w:val="24"/>
              </w:rPr>
            </w:pPr>
            <w:r w:rsidRPr="00DD0D1F">
              <w:rPr>
                <w:szCs w:val="24"/>
              </w:rPr>
              <w:t>Hidrojen siyanür</w:t>
            </w:r>
          </w:p>
        </w:tc>
      </w:tr>
      <w:tr w:rsidR="003328F9" w:rsidRPr="00DD0D1F" w14:paraId="59FB6CC0" w14:textId="77777777" w:rsidTr="003328F9">
        <w:trPr>
          <w:trHeight w:val="230"/>
        </w:trPr>
        <w:tc>
          <w:tcPr>
            <w:tcW w:w="2284" w:type="dxa"/>
            <w:vAlign w:val="center"/>
          </w:tcPr>
          <w:p w14:paraId="38B72367" w14:textId="77777777" w:rsidR="003328F9" w:rsidRPr="00DD0D1F" w:rsidRDefault="003328F9" w:rsidP="003328F9">
            <w:pPr>
              <w:pStyle w:val="TableParagraph"/>
              <w:spacing w:line="210" w:lineRule="exact"/>
              <w:ind w:left="108"/>
              <w:rPr>
                <w:szCs w:val="24"/>
              </w:rPr>
            </w:pPr>
            <w:r w:rsidRPr="00DD0D1F">
              <w:rPr>
                <w:szCs w:val="24"/>
              </w:rPr>
              <w:t>HF</w:t>
            </w:r>
          </w:p>
        </w:tc>
        <w:tc>
          <w:tcPr>
            <w:tcW w:w="7372" w:type="dxa"/>
            <w:vAlign w:val="center"/>
          </w:tcPr>
          <w:p w14:paraId="64D5F95D" w14:textId="77777777" w:rsidR="003328F9" w:rsidRPr="00DD0D1F" w:rsidRDefault="003328F9" w:rsidP="003328F9">
            <w:pPr>
              <w:pStyle w:val="TableParagraph"/>
              <w:spacing w:line="210" w:lineRule="exact"/>
              <w:ind w:left="107"/>
              <w:rPr>
                <w:szCs w:val="24"/>
              </w:rPr>
            </w:pPr>
            <w:r w:rsidRPr="00DD0D1F">
              <w:rPr>
                <w:szCs w:val="24"/>
              </w:rPr>
              <w:t>HF olarak ifade edilen tüm inorganik gaz halindeki flüor bileşikleri</w:t>
            </w:r>
          </w:p>
          <w:p w14:paraId="7FCC418B" w14:textId="77777777" w:rsidR="003328F9" w:rsidRPr="00DD0D1F" w:rsidRDefault="003328F9" w:rsidP="003328F9">
            <w:pPr>
              <w:pStyle w:val="TableParagraph"/>
              <w:spacing w:line="210" w:lineRule="exact"/>
              <w:ind w:left="107"/>
              <w:rPr>
                <w:szCs w:val="24"/>
              </w:rPr>
            </w:pPr>
          </w:p>
        </w:tc>
      </w:tr>
      <w:tr w:rsidR="003328F9" w:rsidRPr="00DD0D1F" w14:paraId="380D089B" w14:textId="77777777" w:rsidTr="003328F9">
        <w:trPr>
          <w:trHeight w:val="230"/>
        </w:trPr>
        <w:tc>
          <w:tcPr>
            <w:tcW w:w="2284" w:type="dxa"/>
            <w:vAlign w:val="center"/>
          </w:tcPr>
          <w:p w14:paraId="1D87FA50" w14:textId="77777777" w:rsidR="003328F9" w:rsidRPr="00DD0D1F" w:rsidRDefault="003328F9" w:rsidP="003328F9">
            <w:pPr>
              <w:pStyle w:val="TableParagraph"/>
              <w:spacing w:line="210" w:lineRule="exact"/>
              <w:ind w:left="108"/>
              <w:rPr>
                <w:szCs w:val="24"/>
              </w:rPr>
            </w:pPr>
            <w:r w:rsidRPr="00DD0D1F">
              <w:rPr>
                <w:szCs w:val="24"/>
              </w:rPr>
              <w:t>Hg</w:t>
            </w:r>
          </w:p>
        </w:tc>
        <w:tc>
          <w:tcPr>
            <w:tcW w:w="7372" w:type="dxa"/>
            <w:vAlign w:val="center"/>
          </w:tcPr>
          <w:p w14:paraId="049A8C82" w14:textId="77777777" w:rsidR="003328F9" w:rsidRPr="00DD0D1F" w:rsidRDefault="003328F9" w:rsidP="003328F9">
            <w:pPr>
              <w:pStyle w:val="TableParagraph"/>
              <w:spacing w:line="210" w:lineRule="exact"/>
              <w:ind w:left="107"/>
              <w:rPr>
                <w:szCs w:val="24"/>
              </w:rPr>
            </w:pPr>
            <w:r w:rsidRPr="00DD0D1F">
              <w:rPr>
                <w:szCs w:val="24"/>
              </w:rPr>
              <w:t>Hg olarak ifade edilen cıva ve bileşiklerinin hepsi</w:t>
            </w:r>
          </w:p>
        </w:tc>
      </w:tr>
      <w:tr w:rsidR="003328F9" w:rsidRPr="00DD0D1F" w14:paraId="04CE4B71" w14:textId="77777777" w:rsidTr="003328F9">
        <w:trPr>
          <w:trHeight w:val="230"/>
        </w:trPr>
        <w:tc>
          <w:tcPr>
            <w:tcW w:w="2284" w:type="dxa"/>
            <w:vAlign w:val="center"/>
          </w:tcPr>
          <w:p w14:paraId="670FF0AE" w14:textId="77777777" w:rsidR="003328F9" w:rsidRPr="00DD0D1F" w:rsidRDefault="003328F9" w:rsidP="003328F9">
            <w:pPr>
              <w:pStyle w:val="TableParagraph"/>
              <w:spacing w:line="210" w:lineRule="exact"/>
              <w:ind w:left="108"/>
              <w:rPr>
                <w:szCs w:val="24"/>
              </w:rPr>
            </w:pPr>
            <w:r w:rsidRPr="00DD0D1F">
              <w:rPr>
                <w:szCs w:val="24"/>
              </w:rPr>
              <w:t>N</w:t>
            </w:r>
            <w:r w:rsidRPr="00DD0D1F">
              <w:rPr>
                <w:szCs w:val="24"/>
                <w:vertAlign w:val="subscript"/>
              </w:rPr>
              <w:t>2</w:t>
            </w:r>
            <w:r w:rsidRPr="00DD0D1F">
              <w:rPr>
                <w:szCs w:val="24"/>
              </w:rPr>
              <w:t>O</w:t>
            </w:r>
          </w:p>
        </w:tc>
        <w:tc>
          <w:tcPr>
            <w:tcW w:w="7372" w:type="dxa"/>
            <w:vAlign w:val="center"/>
          </w:tcPr>
          <w:p w14:paraId="69914343" w14:textId="77777777" w:rsidR="003328F9" w:rsidRPr="00DD0D1F" w:rsidRDefault="003328F9" w:rsidP="003328F9">
            <w:pPr>
              <w:pStyle w:val="TableParagraph"/>
              <w:spacing w:line="210" w:lineRule="exact"/>
              <w:ind w:left="107"/>
              <w:rPr>
                <w:szCs w:val="24"/>
              </w:rPr>
            </w:pPr>
            <w:r w:rsidRPr="00DD0D1F">
              <w:rPr>
                <w:szCs w:val="24"/>
              </w:rPr>
              <w:t>Dinitrojen monoksit (azot oksit)</w:t>
            </w:r>
          </w:p>
        </w:tc>
      </w:tr>
      <w:tr w:rsidR="003328F9" w:rsidRPr="00DD0D1F" w14:paraId="470A4FA6" w14:textId="77777777" w:rsidTr="003328F9">
        <w:trPr>
          <w:trHeight w:val="230"/>
        </w:trPr>
        <w:tc>
          <w:tcPr>
            <w:tcW w:w="2284" w:type="dxa"/>
            <w:vAlign w:val="center"/>
          </w:tcPr>
          <w:p w14:paraId="7930E951" w14:textId="77777777" w:rsidR="003328F9" w:rsidRPr="00DD0D1F" w:rsidRDefault="003328F9" w:rsidP="003328F9">
            <w:pPr>
              <w:pStyle w:val="TableParagraph"/>
              <w:spacing w:line="210" w:lineRule="exact"/>
              <w:ind w:left="108"/>
              <w:rPr>
                <w:szCs w:val="24"/>
              </w:rPr>
            </w:pPr>
            <w:r w:rsidRPr="00DD0D1F">
              <w:rPr>
                <w:szCs w:val="24"/>
              </w:rPr>
              <w:t>NH</w:t>
            </w:r>
            <w:r w:rsidRPr="00DD0D1F">
              <w:rPr>
                <w:szCs w:val="24"/>
                <w:vertAlign w:val="subscript"/>
              </w:rPr>
              <w:t>3</w:t>
            </w:r>
          </w:p>
        </w:tc>
        <w:tc>
          <w:tcPr>
            <w:tcW w:w="7372" w:type="dxa"/>
            <w:vAlign w:val="center"/>
          </w:tcPr>
          <w:p w14:paraId="6473BC43" w14:textId="77777777" w:rsidR="003328F9" w:rsidRPr="00DD0D1F" w:rsidRDefault="003328F9" w:rsidP="003328F9">
            <w:pPr>
              <w:pStyle w:val="TableParagraph"/>
              <w:spacing w:line="210" w:lineRule="exact"/>
              <w:ind w:left="107"/>
              <w:rPr>
                <w:szCs w:val="24"/>
              </w:rPr>
            </w:pPr>
            <w:r w:rsidRPr="00DD0D1F">
              <w:rPr>
                <w:szCs w:val="24"/>
              </w:rPr>
              <w:t>Amonyak</w:t>
            </w:r>
          </w:p>
        </w:tc>
      </w:tr>
      <w:tr w:rsidR="003328F9" w:rsidRPr="00DD0D1F" w14:paraId="7621B1BB" w14:textId="77777777" w:rsidTr="003328F9">
        <w:trPr>
          <w:trHeight w:val="230"/>
        </w:trPr>
        <w:tc>
          <w:tcPr>
            <w:tcW w:w="2284" w:type="dxa"/>
            <w:vAlign w:val="center"/>
          </w:tcPr>
          <w:p w14:paraId="719E7010" w14:textId="77777777" w:rsidR="003328F9" w:rsidRPr="00DD0D1F" w:rsidRDefault="003328F9" w:rsidP="003328F9">
            <w:pPr>
              <w:pStyle w:val="TableParagraph"/>
              <w:spacing w:line="210" w:lineRule="exact"/>
              <w:ind w:left="108"/>
              <w:rPr>
                <w:szCs w:val="24"/>
              </w:rPr>
            </w:pPr>
            <w:r w:rsidRPr="00DD0D1F">
              <w:rPr>
                <w:szCs w:val="24"/>
              </w:rPr>
              <w:t>Ni</w:t>
            </w:r>
          </w:p>
        </w:tc>
        <w:tc>
          <w:tcPr>
            <w:tcW w:w="7372" w:type="dxa"/>
            <w:vAlign w:val="center"/>
          </w:tcPr>
          <w:p w14:paraId="663E1111" w14:textId="77777777" w:rsidR="003328F9" w:rsidRPr="00DD0D1F" w:rsidRDefault="003328F9" w:rsidP="003328F9">
            <w:pPr>
              <w:pStyle w:val="TableParagraph"/>
              <w:spacing w:line="210" w:lineRule="exact"/>
              <w:ind w:left="107"/>
              <w:rPr>
                <w:szCs w:val="24"/>
              </w:rPr>
            </w:pPr>
            <w:r w:rsidRPr="00DD0D1F">
              <w:rPr>
                <w:szCs w:val="24"/>
              </w:rPr>
              <w:t>Ni olarak ifade edilen nikel ve bileşiklerinin hepsi</w:t>
            </w:r>
          </w:p>
        </w:tc>
      </w:tr>
      <w:tr w:rsidR="003328F9" w:rsidRPr="00DD0D1F" w14:paraId="0434ADD1" w14:textId="77777777" w:rsidTr="003328F9">
        <w:trPr>
          <w:trHeight w:val="460"/>
        </w:trPr>
        <w:tc>
          <w:tcPr>
            <w:tcW w:w="2284" w:type="dxa"/>
            <w:vAlign w:val="center"/>
          </w:tcPr>
          <w:p w14:paraId="05AC5D1B" w14:textId="77777777" w:rsidR="003328F9" w:rsidRPr="00DD0D1F" w:rsidRDefault="003328F9" w:rsidP="003328F9">
            <w:pPr>
              <w:pStyle w:val="TableParagraph"/>
              <w:spacing w:before="108"/>
              <w:ind w:left="108"/>
              <w:rPr>
                <w:szCs w:val="24"/>
              </w:rPr>
            </w:pPr>
            <w:r w:rsidRPr="00DD0D1F">
              <w:rPr>
                <w:szCs w:val="24"/>
              </w:rPr>
              <w:t>NO</w:t>
            </w:r>
            <w:r w:rsidRPr="00DD0D1F">
              <w:rPr>
                <w:szCs w:val="24"/>
                <w:vertAlign w:val="subscript"/>
              </w:rPr>
              <w:t>X</w:t>
            </w:r>
          </w:p>
        </w:tc>
        <w:tc>
          <w:tcPr>
            <w:tcW w:w="7372" w:type="dxa"/>
            <w:vAlign w:val="center"/>
          </w:tcPr>
          <w:p w14:paraId="407C8630" w14:textId="77777777" w:rsidR="003328F9" w:rsidRPr="00DD0D1F" w:rsidRDefault="003328F9" w:rsidP="003328F9">
            <w:pPr>
              <w:pStyle w:val="TableParagraph"/>
              <w:spacing w:line="223" w:lineRule="exact"/>
              <w:ind w:left="107"/>
              <w:rPr>
                <w:szCs w:val="24"/>
              </w:rPr>
            </w:pPr>
            <w:r w:rsidRPr="00DD0D1F">
              <w:rPr>
                <w:szCs w:val="24"/>
              </w:rPr>
              <w:t>NO</w:t>
            </w:r>
            <w:r w:rsidRPr="00DD0D1F">
              <w:rPr>
                <w:szCs w:val="24"/>
                <w:vertAlign w:val="subscript"/>
              </w:rPr>
              <w:t>2</w:t>
            </w:r>
            <w:r w:rsidRPr="00DD0D1F">
              <w:rPr>
                <w:szCs w:val="24"/>
              </w:rPr>
              <w:t xml:space="preserve"> olarak ifade edilen azot monoksit (NO) ve azot dioksitin (NO</w:t>
            </w:r>
            <w:r w:rsidRPr="00DD0D1F">
              <w:rPr>
                <w:szCs w:val="24"/>
                <w:vertAlign w:val="subscript"/>
              </w:rPr>
              <w:t>2</w:t>
            </w:r>
            <w:r w:rsidRPr="00DD0D1F">
              <w:rPr>
                <w:szCs w:val="24"/>
              </w:rPr>
              <w:t>) hepsi</w:t>
            </w:r>
          </w:p>
        </w:tc>
      </w:tr>
      <w:tr w:rsidR="003328F9" w:rsidRPr="00DD0D1F" w14:paraId="2CDD62F7" w14:textId="77777777" w:rsidTr="003328F9">
        <w:trPr>
          <w:trHeight w:val="230"/>
        </w:trPr>
        <w:tc>
          <w:tcPr>
            <w:tcW w:w="2284" w:type="dxa"/>
            <w:vAlign w:val="center"/>
          </w:tcPr>
          <w:p w14:paraId="73FCDE40" w14:textId="77777777" w:rsidR="003328F9" w:rsidRPr="00DD0D1F" w:rsidRDefault="003328F9" w:rsidP="003328F9">
            <w:pPr>
              <w:pStyle w:val="TableParagraph"/>
              <w:spacing w:line="210" w:lineRule="exact"/>
              <w:ind w:left="108"/>
              <w:rPr>
                <w:szCs w:val="24"/>
              </w:rPr>
            </w:pPr>
            <w:r w:rsidRPr="00DD0D1F">
              <w:rPr>
                <w:szCs w:val="24"/>
              </w:rPr>
              <w:t>Pb</w:t>
            </w:r>
          </w:p>
        </w:tc>
        <w:tc>
          <w:tcPr>
            <w:tcW w:w="7372" w:type="dxa"/>
            <w:vAlign w:val="center"/>
          </w:tcPr>
          <w:p w14:paraId="46E72759" w14:textId="77777777" w:rsidR="003328F9" w:rsidRPr="00DD0D1F" w:rsidRDefault="003328F9" w:rsidP="003328F9">
            <w:pPr>
              <w:pStyle w:val="TableParagraph"/>
              <w:spacing w:line="210" w:lineRule="exact"/>
              <w:ind w:left="107"/>
              <w:rPr>
                <w:szCs w:val="24"/>
              </w:rPr>
            </w:pPr>
            <w:r w:rsidRPr="00DD0D1F">
              <w:rPr>
                <w:szCs w:val="24"/>
              </w:rPr>
              <w:t>Pb olarak ifade edilen kurşun ve bileşiklerinin hepsi</w:t>
            </w:r>
          </w:p>
        </w:tc>
      </w:tr>
      <w:tr w:rsidR="003328F9" w:rsidRPr="00DD0D1F" w14:paraId="31FEF88C" w14:textId="77777777" w:rsidTr="003328F9">
        <w:trPr>
          <w:trHeight w:val="230"/>
        </w:trPr>
        <w:tc>
          <w:tcPr>
            <w:tcW w:w="2284" w:type="dxa"/>
            <w:vAlign w:val="center"/>
          </w:tcPr>
          <w:p w14:paraId="442A6B35" w14:textId="77777777" w:rsidR="003328F9" w:rsidRPr="00DD0D1F" w:rsidRDefault="003328F9" w:rsidP="003328F9">
            <w:pPr>
              <w:pStyle w:val="TableParagraph"/>
              <w:spacing w:line="210" w:lineRule="exact"/>
              <w:ind w:left="108"/>
              <w:rPr>
                <w:szCs w:val="24"/>
              </w:rPr>
            </w:pPr>
            <w:r w:rsidRPr="00DD0D1F">
              <w:rPr>
                <w:szCs w:val="24"/>
              </w:rPr>
              <w:t>PCDD/F</w:t>
            </w:r>
          </w:p>
        </w:tc>
        <w:tc>
          <w:tcPr>
            <w:tcW w:w="7372" w:type="dxa"/>
            <w:vAlign w:val="center"/>
          </w:tcPr>
          <w:p w14:paraId="2A5FA30D" w14:textId="77777777" w:rsidR="003328F9" w:rsidRPr="00DD0D1F" w:rsidRDefault="003328F9" w:rsidP="003328F9">
            <w:pPr>
              <w:pStyle w:val="TableParagraph"/>
              <w:spacing w:line="210" w:lineRule="exact"/>
              <w:ind w:left="107"/>
              <w:rPr>
                <w:szCs w:val="24"/>
              </w:rPr>
            </w:pPr>
            <w:r w:rsidRPr="00DD0D1F">
              <w:rPr>
                <w:szCs w:val="24"/>
              </w:rPr>
              <w:t>Poliklorlu dibenzo-</w:t>
            </w:r>
            <w:r w:rsidRPr="00DD0D1F">
              <w:rPr>
                <w:i/>
                <w:szCs w:val="24"/>
              </w:rPr>
              <w:t>p</w:t>
            </w:r>
            <w:r w:rsidRPr="00DD0D1F">
              <w:rPr>
                <w:szCs w:val="24"/>
              </w:rPr>
              <w:t>-dioksinler ve –furanlar</w:t>
            </w:r>
          </w:p>
        </w:tc>
      </w:tr>
      <w:tr w:rsidR="003328F9" w:rsidRPr="00DD0D1F" w14:paraId="77997C04" w14:textId="77777777" w:rsidTr="003328F9">
        <w:trPr>
          <w:trHeight w:val="892"/>
        </w:trPr>
        <w:tc>
          <w:tcPr>
            <w:tcW w:w="2284" w:type="dxa"/>
            <w:vAlign w:val="center"/>
          </w:tcPr>
          <w:p w14:paraId="1D91EFFF" w14:textId="77777777" w:rsidR="003328F9" w:rsidRPr="00DD0D1F" w:rsidRDefault="003328F9" w:rsidP="003328F9">
            <w:pPr>
              <w:pStyle w:val="TableParagraph"/>
              <w:spacing w:before="5"/>
              <w:rPr>
                <w:szCs w:val="24"/>
              </w:rPr>
            </w:pPr>
          </w:p>
          <w:p w14:paraId="02B0DB03" w14:textId="77777777" w:rsidR="003328F9" w:rsidRPr="00DD0D1F" w:rsidRDefault="003328F9" w:rsidP="003328F9">
            <w:pPr>
              <w:pStyle w:val="TableParagraph"/>
              <w:ind w:left="108"/>
              <w:rPr>
                <w:szCs w:val="24"/>
              </w:rPr>
            </w:pPr>
            <w:r w:rsidRPr="00DD0D1F">
              <w:rPr>
                <w:szCs w:val="24"/>
              </w:rPr>
              <w:t>RCG</w:t>
            </w:r>
          </w:p>
        </w:tc>
        <w:tc>
          <w:tcPr>
            <w:tcW w:w="7372" w:type="dxa"/>
            <w:vAlign w:val="center"/>
          </w:tcPr>
          <w:p w14:paraId="55CEBF9B" w14:textId="2F8A3C80" w:rsidR="003328F9" w:rsidRPr="00DD0D1F" w:rsidRDefault="003328F9" w:rsidP="003328F9">
            <w:pPr>
              <w:pStyle w:val="TableParagraph"/>
              <w:ind w:left="107" w:right="95"/>
              <w:rPr>
                <w:szCs w:val="24"/>
              </w:rPr>
            </w:pPr>
            <w:r w:rsidRPr="00DD0D1F">
              <w:rPr>
                <w:szCs w:val="24"/>
              </w:rPr>
              <w:t>Baca gazındaki ham konsantrasyondur. SO</w:t>
            </w:r>
            <w:r w:rsidRPr="00DD0D1F">
              <w:rPr>
                <w:szCs w:val="24"/>
                <w:vertAlign w:val="subscript"/>
              </w:rPr>
              <w:t>X</w:t>
            </w:r>
            <w:r w:rsidRPr="00DD0D1F">
              <w:rPr>
                <w:szCs w:val="24"/>
              </w:rPr>
              <w:t xml:space="preserve"> azaltma sisteminin girişinde ham baca</w:t>
            </w:r>
            <w:r w:rsidR="00B1191E" w:rsidRPr="00DD0D1F">
              <w:rPr>
                <w:szCs w:val="24"/>
              </w:rPr>
              <w:t xml:space="preserve"> </w:t>
            </w:r>
            <w:r w:rsidRPr="00DD0D1F">
              <w:rPr>
                <w:szCs w:val="24"/>
              </w:rPr>
              <w:t>gazında, hacim olarak %6 O</w:t>
            </w:r>
            <w:r w:rsidRPr="00DD0D1F">
              <w:rPr>
                <w:szCs w:val="24"/>
                <w:vertAlign w:val="subscript"/>
              </w:rPr>
              <w:t>2</w:t>
            </w:r>
            <w:r w:rsidRPr="00DD0D1F">
              <w:rPr>
                <w:szCs w:val="24"/>
              </w:rPr>
              <w:t xml:space="preserve"> referans oksijen içeriğindeki (Genel Değerlendirmeler Başlık ü altındaki standart koşullar kapsamında) yıllık ortalama SO</w:t>
            </w:r>
            <w:r w:rsidRPr="00DD0D1F">
              <w:rPr>
                <w:szCs w:val="24"/>
                <w:vertAlign w:val="subscript"/>
              </w:rPr>
              <w:t>2</w:t>
            </w:r>
            <w:r w:rsidRPr="00DD0D1F">
              <w:rPr>
                <w:szCs w:val="24"/>
              </w:rPr>
              <w:t xml:space="preserve"> konsantrasyonudur.</w:t>
            </w:r>
          </w:p>
        </w:tc>
      </w:tr>
      <w:tr w:rsidR="003328F9" w:rsidRPr="00DD0D1F" w14:paraId="226B58B3" w14:textId="77777777" w:rsidTr="003328F9">
        <w:trPr>
          <w:trHeight w:val="691"/>
        </w:trPr>
        <w:tc>
          <w:tcPr>
            <w:tcW w:w="2284" w:type="dxa"/>
            <w:vAlign w:val="center"/>
          </w:tcPr>
          <w:p w14:paraId="5637AD13" w14:textId="77777777" w:rsidR="003328F9" w:rsidRPr="00DD0D1F" w:rsidRDefault="003328F9" w:rsidP="003328F9">
            <w:pPr>
              <w:pStyle w:val="TableParagraph"/>
              <w:spacing w:before="108"/>
              <w:ind w:left="108"/>
              <w:rPr>
                <w:szCs w:val="24"/>
              </w:rPr>
            </w:pPr>
            <w:r w:rsidRPr="00DD0D1F">
              <w:rPr>
                <w:szCs w:val="24"/>
              </w:rPr>
              <w:t>Sb+As+Pb+Cr+Co+Cu+Mn+Ni+V</w:t>
            </w:r>
          </w:p>
        </w:tc>
        <w:tc>
          <w:tcPr>
            <w:tcW w:w="7372" w:type="dxa"/>
            <w:vAlign w:val="center"/>
          </w:tcPr>
          <w:p w14:paraId="30F7830D" w14:textId="77777777" w:rsidR="003328F9" w:rsidRPr="00DD0D1F" w:rsidRDefault="003328F9" w:rsidP="003328F9">
            <w:pPr>
              <w:pStyle w:val="TableParagraph"/>
              <w:spacing w:line="237" w:lineRule="auto"/>
              <w:ind w:left="107" w:right="126"/>
              <w:rPr>
                <w:szCs w:val="24"/>
              </w:rPr>
            </w:pPr>
            <w:r w:rsidRPr="00DD0D1F">
              <w:rPr>
                <w:szCs w:val="24"/>
              </w:rPr>
              <w:t>Sb+As+Pb+Cr+Co+Cu+Mn+Ni+V olarak ifade edilen antimon, arsenik, kurşun, krom, kobalt, bakır, manganez, nikel, vanadyum ve bunların bileşiklerinin hepsi</w:t>
            </w:r>
          </w:p>
        </w:tc>
      </w:tr>
      <w:tr w:rsidR="003328F9" w:rsidRPr="00DD0D1F" w14:paraId="59854003" w14:textId="77777777" w:rsidTr="003328F9">
        <w:trPr>
          <w:trHeight w:val="230"/>
        </w:trPr>
        <w:tc>
          <w:tcPr>
            <w:tcW w:w="2284" w:type="dxa"/>
            <w:vAlign w:val="center"/>
          </w:tcPr>
          <w:p w14:paraId="0B368FBD" w14:textId="77777777" w:rsidR="003328F9" w:rsidRPr="00DD0D1F" w:rsidRDefault="003328F9" w:rsidP="003328F9">
            <w:pPr>
              <w:pStyle w:val="TableParagraph"/>
              <w:spacing w:line="210" w:lineRule="exact"/>
              <w:ind w:left="108"/>
              <w:rPr>
                <w:szCs w:val="24"/>
              </w:rPr>
            </w:pPr>
            <w:r w:rsidRPr="00DD0D1F">
              <w:rPr>
                <w:szCs w:val="24"/>
              </w:rPr>
              <w:t>SO</w:t>
            </w:r>
            <w:r w:rsidRPr="00DD0D1F">
              <w:rPr>
                <w:szCs w:val="24"/>
                <w:vertAlign w:val="subscript"/>
              </w:rPr>
              <w:t>2</w:t>
            </w:r>
          </w:p>
        </w:tc>
        <w:tc>
          <w:tcPr>
            <w:tcW w:w="7372" w:type="dxa"/>
            <w:vAlign w:val="center"/>
          </w:tcPr>
          <w:p w14:paraId="47350ECA" w14:textId="77777777" w:rsidR="003328F9" w:rsidRPr="00DD0D1F" w:rsidRDefault="003328F9" w:rsidP="003328F9">
            <w:pPr>
              <w:pStyle w:val="TableParagraph"/>
              <w:spacing w:line="210" w:lineRule="exact"/>
              <w:ind w:left="107"/>
              <w:rPr>
                <w:szCs w:val="24"/>
              </w:rPr>
            </w:pPr>
            <w:r w:rsidRPr="00DD0D1F">
              <w:rPr>
                <w:szCs w:val="24"/>
              </w:rPr>
              <w:t>Kükürt dioksit</w:t>
            </w:r>
          </w:p>
        </w:tc>
      </w:tr>
      <w:tr w:rsidR="003328F9" w:rsidRPr="00DD0D1F" w14:paraId="0C43EAEA" w14:textId="77777777" w:rsidTr="003328F9">
        <w:trPr>
          <w:trHeight w:val="230"/>
        </w:trPr>
        <w:tc>
          <w:tcPr>
            <w:tcW w:w="2284" w:type="dxa"/>
            <w:vAlign w:val="center"/>
          </w:tcPr>
          <w:p w14:paraId="67F58AC1" w14:textId="77777777" w:rsidR="003328F9" w:rsidRPr="00DD0D1F" w:rsidRDefault="003328F9" w:rsidP="003328F9">
            <w:pPr>
              <w:pStyle w:val="TableParagraph"/>
              <w:spacing w:line="210" w:lineRule="exact"/>
              <w:ind w:left="108"/>
              <w:rPr>
                <w:szCs w:val="24"/>
              </w:rPr>
            </w:pPr>
            <w:r w:rsidRPr="00DD0D1F">
              <w:rPr>
                <w:szCs w:val="24"/>
              </w:rPr>
              <w:t>SO</w:t>
            </w:r>
            <w:r w:rsidRPr="00DD0D1F">
              <w:rPr>
                <w:szCs w:val="24"/>
                <w:vertAlign w:val="subscript"/>
              </w:rPr>
              <w:t>3</w:t>
            </w:r>
          </w:p>
        </w:tc>
        <w:tc>
          <w:tcPr>
            <w:tcW w:w="7372" w:type="dxa"/>
            <w:vAlign w:val="center"/>
          </w:tcPr>
          <w:p w14:paraId="51D8FBE2" w14:textId="77777777" w:rsidR="003328F9" w:rsidRPr="00DD0D1F" w:rsidRDefault="003328F9" w:rsidP="003328F9">
            <w:pPr>
              <w:pStyle w:val="TableParagraph"/>
              <w:spacing w:line="210" w:lineRule="exact"/>
              <w:ind w:left="107"/>
              <w:rPr>
                <w:szCs w:val="24"/>
              </w:rPr>
            </w:pPr>
            <w:r w:rsidRPr="00DD0D1F">
              <w:rPr>
                <w:szCs w:val="24"/>
              </w:rPr>
              <w:t>Kükürt trioksit</w:t>
            </w:r>
          </w:p>
        </w:tc>
      </w:tr>
      <w:tr w:rsidR="003328F9" w:rsidRPr="00DD0D1F" w14:paraId="735CA10D" w14:textId="77777777" w:rsidTr="003328F9">
        <w:trPr>
          <w:trHeight w:val="460"/>
        </w:trPr>
        <w:tc>
          <w:tcPr>
            <w:tcW w:w="2284" w:type="dxa"/>
            <w:vAlign w:val="center"/>
          </w:tcPr>
          <w:p w14:paraId="2497D65F" w14:textId="77777777" w:rsidR="003328F9" w:rsidRPr="00DD0D1F" w:rsidRDefault="003328F9" w:rsidP="003328F9">
            <w:pPr>
              <w:pStyle w:val="TableParagraph"/>
              <w:spacing w:before="108"/>
              <w:ind w:left="108"/>
              <w:rPr>
                <w:szCs w:val="24"/>
              </w:rPr>
            </w:pPr>
            <w:r w:rsidRPr="00DD0D1F">
              <w:rPr>
                <w:szCs w:val="24"/>
              </w:rPr>
              <w:t>SO</w:t>
            </w:r>
            <w:r w:rsidRPr="00DD0D1F">
              <w:rPr>
                <w:szCs w:val="24"/>
                <w:vertAlign w:val="subscript"/>
              </w:rPr>
              <w:t>X</w:t>
            </w:r>
          </w:p>
        </w:tc>
        <w:tc>
          <w:tcPr>
            <w:tcW w:w="7372" w:type="dxa"/>
            <w:vAlign w:val="center"/>
          </w:tcPr>
          <w:p w14:paraId="7007B94D" w14:textId="77777777" w:rsidR="003328F9" w:rsidRPr="00DD0D1F" w:rsidRDefault="003328F9" w:rsidP="003328F9">
            <w:pPr>
              <w:pStyle w:val="TableParagraph"/>
              <w:spacing w:line="223" w:lineRule="exact"/>
              <w:ind w:left="107"/>
              <w:rPr>
                <w:szCs w:val="24"/>
              </w:rPr>
            </w:pPr>
            <w:r w:rsidRPr="00DD0D1F">
              <w:rPr>
                <w:szCs w:val="24"/>
              </w:rPr>
              <w:t>SO</w:t>
            </w:r>
            <w:r w:rsidRPr="00DD0D1F">
              <w:rPr>
                <w:szCs w:val="24"/>
                <w:vertAlign w:val="subscript"/>
              </w:rPr>
              <w:t>2</w:t>
            </w:r>
            <w:r w:rsidRPr="00DD0D1F">
              <w:rPr>
                <w:szCs w:val="24"/>
              </w:rPr>
              <w:t xml:space="preserve"> olarak ifade edilen kükürt dioksit (SO</w:t>
            </w:r>
            <w:r w:rsidRPr="00DD0D1F">
              <w:rPr>
                <w:szCs w:val="24"/>
                <w:vertAlign w:val="subscript"/>
              </w:rPr>
              <w:t>2</w:t>
            </w:r>
            <w:r w:rsidRPr="00DD0D1F">
              <w:rPr>
                <w:szCs w:val="24"/>
              </w:rPr>
              <w:t>) ve kükürt trioksitin (SO</w:t>
            </w:r>
            <w:r w:rsidRPr="00DD0D1F">
              <w:rPr>
                <w:szCs w:val="24"/>
                <w:vertAlign w:val="subscript"/>
              </w:rPr>
              <w:t>3</w:t>
            </w:r>
            <w:r w:rsidRPr="00DD0D1F">
              <w:rPr>
                <w:szCs w:val="24"/>
              </w:rPr>
              <w:t>) hepsi</w:t>
            </w:r>
          </w:p>
        </w:tc>
      </w:tr>
      <w:tr w:rsidR="003328F9" w:rsidRPr="00DD0D1F" w14:paraId="5D180531" w14:textId="77777777" w:rsidTr="003328F9">
        <w:trPr>
          <w:trHeight w:val="230"/>
        </w:trPr>
        <w:tc>
          <w:tcPr>
            <w:tcW w:w="2284" w:type="dxa"/>
            <w:vAlign w:val="center"/>
          </w:tcPr>
          <w:p w14:paraId="439B6715" w14:textId="77777777" w:rsidR="003328F9" w:rsidRPr="00DD0D1F" w:rsidRDefault="003328F9" w:rsidP="003328F9">
            <w:pPr>
              <w:pStyle w:val="TableParagraph"/>
              <w:spacing w:line="210" w:lineRule="exact"/>
              <w:ind w:left="108"/>
              <w:rPr>
                <w:szCs w:val="24"/>
              </w:rPr>
            </w:pPr>
            <w:r w:rsidRPr="00DD0D1F">
              <w:rPr>
                <w:szCs w:val="24"/>
              </w:rPr>
              <w:t>Sülfat</w:t>
            </w:r>
          </w:p>
        </w:tc>
        <w:tc>
          <w:tcPr>
            <w:tcW w:w="7372" w:type="dxa"/>
            <w:vAlign w:val="center"/>
          </w:tcPr>
          <w:p w14:paraId="3BCE781B" w14:textId="77777777" w:rsidR="003328F9" w:rsidRPr="00DD0D1F" w:rsidRDefault="003328F9" w:rsidP="003328F9">
            <w:pPr>
              <w:pStyle w:val="TableParagraph"/>
              <w:spacing w:line="156" w:lineRule="exact"/>
              <w:ind w:left="107"/>
              <w:rPr>
                <w:szCs w:val="24"/>
              </w:rPr>
            </w:pPr>
            <w:r w:rsidRPr="00DD0D1F">
              <w:rPr>
                <w:szCs w:val="24"/>
              </w:rPr>
              <w:t>SO</w:t>
            </w:r>
            <w:r w:rsidRPr="00DD0D1F">
              <w:rPr>
                <w:szCs w:val="24"/>
                <w:vertAlign w:val="subscript"/>
              </w:rPr>
              <w:t>4</w:t>
            </w:r>
            <w:r w:rsidRPr="00DD0D1F">
              <w:rPr>
                <w:szCs w:val="24"/>
                <w:vertAlign w:val="superscript"/>
              </w:rPr>
              <w:t>2-</w:t>
            </w:r>
            <w:r w:rsidRPr="00DD0D1F">
              <w:rPr>
                <w:szCs w:val="24"/>
              </w:rPr>
              <w:t>olarak ifade edilen çözünmüş sülfat</w:t>
            </w:r>
          </w:p>
          <w:p w14:paraId="7AE277BA" w14:textId="77777777" w:rsidR="003328F9" w:rsidRPr="00DD0D1F" w:rsidRDefault="003328F9" w:rsidP="003328F9">
            <w:pPr>
              <w:pStyle w:val="TableParagraph"/>
              <w:spacing w:line="54" w:lineRule="exact"/>
              <w:ind w:right="58"/>
              <w:rPr>
                <w:szCs w:val="24"/>
              </w:rPr>
            </w:pPr>
          </w:p>
        </w:tc>
      </w:tr>
      <w:tr w:rsidR="003328F9" w:rsidRPr="00DD0D1F" w14:paraId="0E2EA11D" w14:textId="77777777" w:rsidTr="0023138D">
        <w:trPr>
          <w:trHeight w:val="785"/>
        </w:trPr>
        <w:tc>
          <w:tcPr>
            <w:tcW w:w="2284" w:type="dxa"/>
            <w:vAlign w:val="center"/>
          </w:tcPr>
          <w:p w14:paraId="7D8C14EB" w14:textId="77777777" w:rsidR="003328F9" w:rsidRPr="00DD0D1F" w:rsidRDefault="003328F9" w:rsidP="003328F9">
            <w:pPr>
              <w:pStyle w:val="TableParagraph"/>
              <w:spacing w:before="108"/>
              <w:ind w:left="108"/>
              <w:rPr>
                <w:szCs w:val="24"/>
              </w:rPr>
            </w:pPr>
            <w:r w:rsidRPr="00DD0D1F">
              <w:rPr>
                <w:szCs w:val="24"/>
              </w:rPr>
              <w:t>Kolaylıkla açığa çıkabilen sülfür</w:t>
            </w:r>
          </w:p>
        </w:tc>
        <w:tc>
          <w:tcPr>
            <w:tcW w:w="7372" w:type="dxa"/>
            <w:vAlign w:val="center"/>
          </w:tcPr>
          <w:p w14:paraId="020B7FB3" w14:textId="77777777" w:rsidR="003328F9" w:rsidRPr="00DD0D1F" w:rsidRDefault="003328F9" w:rsidP="003328F9">
            <w:pPr>
              <w:pStyle w:val="TableParagraph"/>
              <w:spacing w:line="223" w:lineRule="exact"/>
              <w:ind w:left="107"/>
              <w:rPr>
                <w:szCs w:val="24"/>
              </w:rPr>
            </w:pPr>
            <w:r w:rsidRPr="00DD0D1F">
              <w:rPr>
                <w:szCs w:val="24"/>
              </w:rPr>
              <w:t>S</w:t>
            </w:r>
            <w:r w:rsidRPr="00DD0D1F">
              <w:rPr>
                <w:szCs w:val="24"/>
                <w:vertAlign w:val="superscript"/>
              </w:rPr>
              <w:t>2-</w:t>
            </w:r>
            <w:r w:rsidRPr="00DD0D1F">
              <w:rPr>
                <w:szCs w:val="24"/>
              </w:rPr>
              <w:t xml:space="preserve"> olarak ifade edilen, çözünmüş sülfürün ve asitleştirme üzerine kolayca açığa çıkan çözünmemiş sülfürlerin hepsi</w:t>
            </w:r>
          </w:p>
        </w:tc>
      </w:tr>
      <w:tr w:rsidR="003328F9" w:rsidRPr="00DD0D1F" w14:paraId="64E5B4B4" w14:textId="77777777" w:rsidTr="003328F9">
        <w:trPr>
          <w:trHeight w:val="539"/>
        </w:trPr>
        <w:tc>
          <w:tcPr>
            <w:tcW w:w="2284" w:type="dxa"/>
            <w:vAlign w:val="center"/>
          </w:tcPr>
          <w:p w14:paraId="2DE79A06" w14:textId="77777777" w:rsidR="003328F9" w:rsidRPr="00DD0D1F" w:rsidRDefault="003328F9" w:rsidP="003328F9">
            <w:pPr>
              <w:pStyle w:val="TableParagraph"/>
              <w:spacing w:line="210" w:lineRule="exact"/>
              <w:ind w:left="108"/>
              <w:rPr>
                <w:szCs w:val="24"/>
              </w:rPr>
            </w:pPr>
            <w:r w:rsidRPr="00DD0D1F">
              <w:rPr>
                <w:szCs w:val="24"/>
              </w:rPr>
              <w:t>Sülfit</w:t>
            </w:r>
          </w:p>
        </w:tc>
        <w:tc>
          <w:tcPr>
            <w:tcW w:w="7372" w:type="dxa"/>
            <w:vAlign w:val="center"/>
          </w:tcPr>
          <w:p w14:paraId="290CA369" w14:textId="77777777" w:rsidR="003328F9" w:rsidRPr="00DD0D1F" w:rsidRDefault="003328F9" w:rsidP="003328F9">
            <w:pPr>
              <w:pStyle w:val="TableParagraph"/>
              <w:spacing w:line="156" w:lineRule="exact"/>
              <w:ind w:left="107"/>
              <w:rPr>
                <w:szCs w:val="24"/>
              </w:rPr>
            </w:pPr>
            <w:r w:rsidRPr="00DD0D1F">
              <w:rPr>
                <w:szCs w:val="24"/>
              </w:rPr>
              <w:t>SO</w:t>
            </w:r>
            <w:r w:rsidRPr="00DD0D1F">
              <w:rPr>
                <w:szCs w:val="24"/>
                <w:vertAlign w:val="subscript"/>
              </w:rPr>
              <w:t xml:space="preserve">3 </w:t>
            </w:r>
            <w:r w:rsidRPr="00DD0D1F">
              <w:rPr>
                <w:szCs w:val="24"/>
                <w:vertAlign w:val="superscript"/>
              </w:rPr>
              <w:t xml:space="preserve">2- </w:t>
            </w:r>
            <w:r w:rsidRPr="00DD0D1F">
              <w:rPr>
                <w:szCs w:val="24"/>
              </w:rPr>
              <w:t>olarak ifade edilen çözünmüş sülfit</w:t>
            </w:r>
          </w:p>
        </w:tc>
      </w:tr>
      <w:tr w:rsidR="003328F9" w:rsidRPr="00DD0D1F" w14:paraId="6DED9AD3" w14:textId="77777777" w:rsidTr="003328F9">
        <w:trPr>
          <w:trHeight w:val="230"/>
        </w:trPr>
        <w:tc>
          <w:tcPr>
            <w:tcW w:w="2284" w:type="dxa"/>
            <w:vAlign w:val="center"/>
          </w:tcPr>
          <w:p w14:paraId="5B525B1E" w14:textId="77777777" w:rsidR="003328F9" w:rsidRPr="00DD0D1F" w:rsidRDefault="003328F9" w:rsidP="003328F9">
            <w:pPr>
              <w:pStyle w:val="TableParagraph"/>
              <w:spacing w:line="210" w:lineRule="exact"/>
              <w:ind w:left="108"/>
              <w:rPr>
                <w:szCs w:val="24"/>
              </w:rPr>
            </w:pPr>
            <w:r w:rsidRPr="00DD0D1F">
              <w:rPr>
                <w:szCs w:val="24"/>
              </w:rPr>
              <w:t>TOC</w:t>
            </w:r>
          </w:p>
        </w:tc>
        <w:tc>
          <w:tcPr>
            <w:tcW w:w="7372" w:type="dxa"/>
            <w:vAlign w:val="center"/>
          </w:tcPr>
          <w:p w14:paraId="017E862A" w14:textId="77777777" w:rsidR="003328F9" w:rsidRPr="00DD0D1F" w:rsidRDefault="003328F9" w:rsidP="003328F9">
            <w:pPr>
              <w:pStyle w:val="TableParagraph"/>
              <w:spacing w:line="210" w:lineRule="exact"/>
              <w:ind w:left="107"/>
              <w:rPr>
                <w:szCs w:val="24"/>
              </w:rPr>
            </w:pPr>
            <w:r w:rsidRPr="00DD0D1F">
              <w:rPr>
                <w:szCs w:val="24"/>
              </w:rPr>
              <w:t>C olarak ifade edilen toplam organik karbon (suda)</w:t>
            </w:r>
          </w:p>
        </w:tc>
      </w:tr>
      <w:tr w:rsidR="003328F9" w:rsidRPr="00DD0D1F" w14:paraId="473726C4" w14:textId="77777777" w:rsidTr="003328F9">
        <w:trPr>
          <w:trHeight w:val="458"/>
        </w:trPr>
        <w:tc>
          <w:tcPr>
            <w:tcW w:w="2284" w:type="dxa"/>
            <w:vAlign w:val="center"/>
          </w:tcPr>
          <w:p w14:paraId="4F5978E1" w14:textId="77777777" w:rsidR="003328F9" w:rsidRPr="00DD0D1F" w:rsidRDefault="003328F9" w:rsidP="003328F9">
            <w:pPr>
              <w:pStyle w:val="TableParagraph"/>
              <w:spacing w:before="108"/>
              <w:ind w:left="108"/>
              <w:rPr>
                <w:szCs w:val="24"/>
              </w:rPr>
            </w:pPr>
            <w:r w:rsidRPr="00DD0D1F">
              <w:rPr>
                <w:szCs w:val="24"/>
              </w:rPr>
              <w:t>TSS</w:t>
            </w:r>
          </w:p>
        </w:tc>
        <w:tc>
          <w:tcPr>
            <w:tcW w:w="7372" w:type="dxa"/>
            <w:vAlign w:val="center"/>
          </w:tcPr>
          <w:p w14:paraId="367F283B" w14:textId="77777777" w:rsidR="003328F9" w:rsidRPr="00DD0D1F" w:rsidRDefault="003328F9" w:rsidP="003328F9">
            <w:pPr>
              <w:pStyle w:val="TableParagraph"/>
              <w:spacing w:line="223" w:lineRule="exact"/>
              <w:ind w:left="107"/>
              <w:rPr>
                <w:szCs w:val="24"/>
              </w:rPr>
            </w:pPr>
            <w:r w:rsidRPr="00DD0D1F">
              <w:rPr>
                <w:szCs w:val="24"/>
              </w:rPr>
              <w:t>Toplam askıdaki katı maddeler. Cam elyaf filtreler ve gravimetri ile filtrasyon yoluyla ölçülen tüm askıda katı maddelerin (sudaki) kütle konsantrasyonu.</w:t>
            </w:r>
          </w:p>
        </w:tc>
      </w:tr>
      <w:tr w:rsidR="003328F9" w:rsidRPr="00DD0D1F" w14:paraId="2D10A7E3" w14:textId="77777777" w:rsidTr="003328F9">
        <w:trPr>
          <w:trHeight w:val="230"/>
        </w:trPr>
        <w:tc>
          <w:tcPr>
            <w:tcW w:w="2284" w:type="dxa"/>
            <w:vAlign w:val="center"/>
          </w:tcPr>
          <w:p w14:paraId="29D7040C" w14:textId="77777777" w:rsidR="003328F9" w:rsidRPr="00DD0D1F" w:rsidRDefault="003328F9" w:rsidP="003328F9">
            <w:pPr>
              <w:pStyle w:val="TableParagraph"/>
              <w:spacing w:line="210" w:lineRule="exact"/>
              <w:ind w:left="108"/>
              <w:rPr>
                <w:szCs w:val="24"/>
              </w:rPr>
            </w:pPr>
            <w:r w:rsidRPr="00DD0D1F">
              <w:rPr>
                <w:szCs w:val="24"/>
              </w:rPr>
              <w:t>TVOC</w:t>
            </w:r>
          </w:p>
        </w:tc>
        <w:tc>
          <w:tcPr>
            <w:tcW w:w="7372" w:type="dxa"/>
            <w:vAlign w:val="center"/>
          </w:tcPr>
          <w:p w14:paraId="38C307D7" w14:textId="77777777" w:rsidR="003328F9" w:rsidRPr="00DD0D1F" w:rsidRDefault="003328F9" w:rsidP="003328F9">
            <w:pPr>
              <w:pStyle w:val="TableParagraph"/>
              <w:spacing w:line="210" w:lineRule="exact"/>
              <w:ind w:left="107"/>
              <w:rPr>
                <w:szCs w:val="24"/>
              </w:rPr>
            </w:pPr>
            <w:r w:rsidRPr="00DD0D1F">
              <w:rPr>
                <w:szCs w:val="24"/>
              </w:rPr>
              <w:t>C olarak ifade edilen toplam uçucu organik karbon (havadaki)</w:t>
            </w:r>
          </w:p>
        </w:tc>
      </w:tr>
      <w:tr w:rsidR="003328F9" w:rsidRPr="00DD0D1F" w14:paraId="47191A01" w14:textId="77777777" w:rsidTr="003328F9">
        <w:trPr>
          <w:trHeight w:val="368"/>
        </w:trPr>
        <w:tc>
          <w:tcPr>
            <w:tcW w:w="2284" w:type="dxa"/>
            <w:vAlign w:val="center"/>
          </w:tcPr>
          <w:p w14:paraId="73056EB4" w14:textId="77777777" w:rsidR="003328F9" w:rsidRPr="00DD0D1F" w:rsidRDefault="003328F9" w:rsidP="003328F9">
            <w:pPr>
              <w:pStyle w:val="TableParagraph"/>
              <w:spacing w:line="210" w:lineRule="exact"/>
              <w:ind w:left="108"/>
              <w:rPr>
                <w:szCs w:val="24"/>
              </w:rPr>
            </w:pPr>
            <w:r w:rsidRPr="00DD0D1F">
              <w:rPr>
                <w:szCs w:val="24"/>
              </w:rPr>
              <w:t>Zn</w:t>
            </w:r>
          </w:p>
        </w:tc>
        <w:tc>
          <w:tcPr>
            <w:tcW w:w="7372" w:type="dxa"/>
            <w:vAlign w:val="center"/>
          </w:tcPr>
          <w:p w14:paraId="3274D4EB" w14:textId="77777777" w:rsidR="003328F9" w:rsidRPr="00DD0D1F" w:rsidRDefault="003328F9" w:rsidP="003328F9">
            <w:pPr>
              <w:pStyle w:val="TableParagraph"/>
              <w:spacing w:line="210" w:lineRule="exact"/>
              <w:ind w:left="107"/>
              <w:rPr>
                <w:szCs w:val="24"/>
              </w:rPr>
            </w:pPr>
            <w:r w:rsidRPr="00DD0D1F">
              <w:rPr>
                <w:szCs w:val="24"/>
              </w:rPr>
              <w:t>Zn olarak ifade edilen çinko ve bileşiklerinin hepsi</w:t>
            </w:r>
          </w:p>
        </w:tc>
      </w:tr>
    </w:tbl>
    <w:p w14:paraId="29078204" w14:textId="77777777" w:rsidR="003328F9" w:rsidRPr="00DD0D1F" w:rsidRDefault="003328F9" w:rsidP="003328F9">
      <w:pPr>
        <w:rPr>
          <w:rFonts w:cs="Times New Roman"/>
          <w:szCs w:val="24"/>
        </w:rPr>
      </w:pPr>
    </w:p>
    <w:p w14:paraId="20138B47" w14:textId="77777777" w:rsidR="003328F9" w:rsidRPr="00DD0D1F" w:rsidRDefault="003328F9" w:rsidP="003328F9">
      <w:pPr>
        <w:pStyle w:val="Balk1"/>
        <w:numPr>
          <w:ilvl w:val="0"/>
          <w:numId w:val="0"/>
        </w:numPr>
        <w:ind w:left="432" w:hanging="432"/>
        <w:rPr>
          <w:rFonts w:cs="Times New Roman"/>
          <w:bCs/>
          <w:i/>
          <w:szCs w:val="24"/>
          <w:lang w:val="tr-TR"/>
        </w:rPr>
      </w:pPr>
      <w:r w:rsidRPr="00DD0D1F">
        <w:rPr>
          <w:rFonts w:cs="Times New Roman"/>
          <w:bCs/>
          <w:i/>
          <w:szCs w:val="24"/>
          <w:lang w:val="tr-TR"/>
        </w:rPr>
        <w:t>KISALTMALAR</w:t>
      </w:r>
    </w:p>
    <w:p w14:paraId="28D2E2A2" w14:textId="3C92E97F" w:rsidR="003328F9" w:rsidRPr="00DD0D1F" w:rsidRDefault="003328F9" w:rsidP="003328F9">
      <w:pPr>
        <w:pStyle w:val="GvdeMetni"/>
        <w:spacing w:before="252"/>
        <w:ind w:left="17"/>
        <w:rPr>
          <w:sz w:val="24"/>
          <w:szCs w:val="24"/>
        </w:rPr>
      </w:pPr>
      <w:r w:rsidRPr="00DD0D1F">
        <w:rPr>
          <w:sz w:val="24"/>
          <w:szCs w:val="24"/>
        </w:rPr>
        <w:t xml:space="preserve">Bu </w:t>
      </w:r>
      <w:r w:rsidR="00926FE0" w:rsidRPr="00DD0D1F">
        <w:rPr>
          <w:sz w:val="24"/>
          <w:szCs w:val="24"/>
        </w:rPr>
        <w:t>tebliğde</w:t>
      </w:r>
      <w:r w:rsidRPr="00DD0D1F">
        <w:rPr>
          <w:sz w:val="24"/>
          <w:szCs w:val="24"/>
        </w:rPr>
        <w:t xml:space="preserve"> amaçları doğrultusunda, aşağıdaki kısaltmalar geçerlidir:</w:t>
      </w:r>
    </w:p>
    <w:tbl>
      <w:tblPr>
        <w:tblStyle w:val="TableGrid2"/>
        <w:tblW w:w="9656" w:type="dxa"/>
        <w:tblLayout w:type="fixed"/>
        <w:tblLook w:val="01E0" w:firstRow="1" w:lastRow="1" w:firstColumn="1" w:lastColumn="1" w:noHBand="0" w:noVBand="0"/>
      </w:tblPr>
      <w:tblGrid>
        <w:gridCol w:w="2284"/>
        <w:gridCol w:w="7372"/>
      </w:tblGrid>
      <w:tr w:rsidR="003328F9" w:rsidRPr="00DD0D1F" w14:paraId="50C00467" w14:textId="77777777" w:rsidTr="003328F9">
        <w:trPr>
          <w:trHeight w:val="232"/>
        </w:trPr>
        <w:tc>
          <w:tcPr>
            <w:tcW w:w="2284" w:type="dxa"/>
            <w:vAlign w:val="center"/>
          </w:tcPr>
          <w:p w14:paraId="3D4D3166" w14:textId="77777777" w:rsidR="003328F9" w:rsidRPr="00DD0D1F" w:rsidRDefault="003328F9" w:rsidP="003328F9">
            <w:pPr>
              <w:pStyle w:val="TableParagraph"/>
              <w:spacing w:before="74"/>
              <w:ind w:left="107"/>
              <w:rPr>
                <w:b/>
                <w:szCs w:val="24"/>
              </w:rPr>
            </w:pPr>
            <w:r w:rsidRPr="00DD0D1F">
              <w:rPr>
                <w:b/>
                <w:szCs w:val="24"/>
              </w:rPr>
              <w:t>Kısaltma</w:t>
            </w:r>
          </w:p>
        </w:tc>
        <w:tc>
          <w:tcPr>
            <w:tcW w:w="7372" w:type="dxa"/>
            <w:vAlign w:val="center"/>
          </w:tcPr>
          <w:p w14:paraId="556CFA02" w14:textId="77777777" w:rsidR="003328F9" w:rsidRPr="00DD0D1F" w:rsidRDefault="003328F9" w:rsidP="003328F9">
            <w:pPr>
              <w:pStyle w:val="TableParagraph"/>
              <w:spacing w:before="74"/>
              <w:ind w:left="2429" w:right="2424"/>
              <w:rPr>
                <w:b/>
                <w:szCs w:val="24"/>
              </w:rPr>
            </w:pPr>
            <w:r w:rsidRPr="00DD0D1F">
              <w:rPr>
                <w:b/>
                <w:szCs w:val="24"/>
              </w:rPr>
              <w:t>Tanım</w:t>
            </w:r>
          </w:p>
        </w:tc>
      </w:tr>
      <w:tr w:rsidR="003328F9" w:rsidRPr="00DD0D1F" w14:paraId="18BADE8C" w14:textId="77777777" w:rsidTr="003328F9">
        <w:trPr>
          <w:trHeight w:val="347"/>
        </w:trPr>
        <w:tc>
          <w:tcPr>
            <w:tcW w:w="2284" w:type="dxa"/>
            <w:vAlign w:val="center"/>
          </w:tcPr>
          <w:p w14:paraId="7175CFE9" w14:textId="117F0FF4" w:rsidR="003328F9" w:rsidRPr="00DD0D1F" w:rsidRDefault="003328F9" w:rsidP="00926FE0">
            <w:pPr>
              <w:pStyle w:val="TableParagraph"/>
              <w:spacing w:before="7"/>
              <w:ind w:left="107"/>
              <w:rPr>
                <w:szCs w:val="24"/>
              </w:rPr>
            </w:pPr>
            <w:r w:rsidRPr="00DD0D1F">
              <w:rPr>
                <w:szCs w:val="24"/>
              </w:rPr>
              <w:t>ASU</w:t>
            </w:r>
            <w:r w:rsidR="00926FE0" w:rsidRPr="00DD0D1F">
              <w:rPr>
                <w:szCs w:val="24"/>
              </w:rPr>
              <w:t xml:space="preserve"> </w:t>
            </w:r>
          </w:p>
        </w:tc>
        <w:tc>
          <w:tcPr>
            <w:tcW w:w="7372" w:type="dxa"/>
            <w:vAlign w:val="center"/>
          </w:tcPr>
          <w:p w14:paraId="4FB61E72" w14:textId="77777777" w:rsidR="003328F9" w:rsidRPr="00DD0D1F" w:rsidRDefault="003328F9" w:rsidP="003328F9">
            <w:pPr>
              <w:pStyle w:val="TableParagraph"/>
              <w:spacing w:before="7"/>
              <w:ind w:left="107"/>
              <w:rPr>
                <w:szCs w:val="24"/>
              </w:rPr>
            </w:pPr>
            <w:r w:rsidRPr="00DD0D1F">
              <w:rPr>
                <w:szCs w:val="24"/>
              </w:rPr>
              <w:t>Hava kaynağı ünitesi</w:t>
            </w:r>
          </w:p>
        </w:tc>
      </w:tr>
      <w:tr w:rsidR="003328F9" w:rsidRPr="00DD0D1F" w14:paraId="31F80704" w14:textId="77777777" w:rsidTr="003328F9">
        <w:trPr>
          <w:trHeight w:val="410"/>
        </w:trPr>
        <w:tc>
          <w:tcPr>
            <w:tcW w:w="2284" w:type="dxa"/>
            <w:vAlign w:val="center"/>
          </w:tcPr>
          <w:p w14:paraId="53F8603F" w14:textId="77777777" w:rsidR="003328F9" w:rsidRPr="00DD0D1F" w:rsidRDefault="003328F9" w:rsidP="003328F9">
            <w:pPr>
              <w:pStyle w:val="TableParagraph"/>
              <w:spacing w:line="222" w:lineRule="exact"/>
              <w:ind w:left="107"/>
              <w:rPr>
                <w:szCs w:val="24"/>
              </w:rPr>
            </w:pPr>
            <w:r w:rsidRPr="00DD0D1F">
              <w:rPr>
                <w:szCs w:val="24"/>
              </w:rPr>
              <w:t>CCGT</w:t>
            </w:r>
          </w:p>
        </w:tc>
        <w:tc>
          <w:tcPr>
            <w:tcW w:w="7372" w:type="dxa"/>
            <w:vAlign w:val="center"/>
          </w:tcPr>
          <w:p w14:paraId="7A914459" w14:textId="77777777" w:rsidR="003328F9" w:rsidRPr="00DD0D1F" w:rsidRDefault="003328F9" w:rsidP="003328F9">
            <w:pPr>
              <w:pStyle w:val="TableParagraph"/>
              <w:spacing w:line="222" w:lineRule="exact"/>
              <w:ind w:left="107"/>
              <w:rPr>
                <w:szCs w:val="24"/>
              </w:rPr>
            </w:pPr>
            <w:r w:rsidRPr="00DD0D1F">
              <w:rPr>
                <w:szCs w:val="24"/>
              </w:rPr>
              <w:t>Ek ateşlemeli veya ateşlemesiz kombine çevrim gaz türbini</w:t>
            </w:r>
          </w:p>
        </w:tc>
      </w:tr>
      <w:tr w:rsidR="003328F9" w:rsidRPr="00DD0D1F" w14:paraId="1828BEC0" w14:textId="77777777" w:rsidTr="003328F9">
        <w:trPr>
          <w:trHeight w:val="385"/>
        </w:trPr>
        <w:tc>
          <w:tcPr>
            <w:tcW w:w="2284" w:type="dxa"/>
            <w:vAlign w:val="center"/>
          </w:tcPr>
          <w:p w14:paraId="1331E186" w14:textId="77777777" w:rsidR="003328F9" w:rsidRPr="00DD0D1F" w:rsidRDefault="003328F9" w:rsidP="003328F9">
            <w:pPr>
              <w:pStyle w:val="TableParagraph"/>
              <w:spacing w:line="224" w:lineRule="exact"/>
              <w:ind w:left="107"/>
              <w:rPr>
                <w:szCs w:val="24"/>
              </w:rPr>
            </w:pPr>
            <w:r w:rsidRPr="00DD0D1F">
              <w:rPr>
                <w:szCs w:val="24"/>
              </w:rPr>
              <w:t>CFB</w:t>
            </w:r>
          </w:p>
        </w:tc>
        <w:tc>
          <w:tcPr>
            <w:tcW w:w="7372" w:type="dxa"/>
            <w:vAlign w:val="center"/>
          </w:tcPr>
          <w:p w14:paraId="7BA58693" w14:textId="77777777" w:rsidR="003328F9" w:rsidRPr="00DD0D1F" w:rsidRDefault="003328F9" w:rsidP="003328F9">
            <w:pPr>
              <w:pStyle w:val="TableParagraph"/>
              <w:spacing w:line="224" w:lineRule="exact"/>
              <w:ind w:left="107"/>
              <w:rPr>
                <w:szCs w:val="24"/>
              </w:rPr>
            </w:pPr>
            <w:r w:rsidRPr="00DD0D1F">
              <w:rPr>
                <w:szCs w:val="24"/>
              </w:rPr>
              <w:t>Dolaşımlı akışkan yatak</w:t>
            </w:r>
          </w:p>
        </w:tc>
      </w:tr>
      <w:tr w:rsidR="003328F9" w:rsidRPr="00DD0D1F" w14:paraId="103F8242" w14:textId="77777777" w:rsidTr="003328F9">
        <w:trPr>
          <w:trHeight w:val="258"/>
        </w:trPr>
        <w:tc>
          <w:tcPr>
            <w:tcW w:w="2284" w:type="dxa"/>
            <w:vAlign w:val="center"/>
          </w:tcPr>
          <w:p w14:paraId="6E2A7D46" w14:textId="77777777" w:rsidR="003328F9" w:rsidRPr="00DD0D1F" w:rsidRDefault="003328F9" w:rsidP="003328F9">
            <w:pPr>
              <w:pStyle w:val="TableParagraph"/>
              <w:spacing w:before="7" w:line="408" w:lineRule="auto"/>
              <w:ind w:left="107"/>
              <w:rPr>
                <w:szCs w:val="24"/>
              </w:rPr>
            </w:pPr>
            <w:bookmarkStart w:id="6" w:name="Acronyms"/>
            <w:bookmarkEnd w:id="6"/>
            <w:r w:rsidRPr="00DD0D1F">
              <w:rPr>
                <w:szCs w:val="24"/>
              </w:rPr>
              <w:t>CHP</w:t>
            </w:r>
          </w:p>
        </w:tc>
        <w:tc>
          <w:tcPr>
            <w:tcW w:w="7372" w:type="dxa"/>
            <w:vAlign w:val="center"/>
          </w:tcPr>
          <w:p w14:paraId="6F14E91A" w14:textId="77777777" w:rsidR="003328F9" w:rsidRPr="00DD0D1F" w:rsidRDefault="003328F9" w:rsidP="003328F9">
            <w:pPr>
              <w:pStyle w:val="TableParagraph"/>
              <w:spacing w:before="7" w:line="408" w:lineRule="auto"/>
              <w:ind w:left="107"/>
              <w:rPr>
                <w:szCs w:val="24"/>
              </w:rPr>
            </w:pPr>
            <w:r w:rsidRPr="00DD0D1F">
              <w:rPr>
                <w:szCs w:val="24"/>
              </w:rPr>
              <w:t>Kombine ısı ve güç</w:t>
            </w:r>
          </w:p>
        </w:tc>
      </w:tr>
      <w:tr w:rsidR="003328F9" w:rsidRPr="00DD0D1F" w14:paraId="5771F42C" w14:textId="77777777" w:rsidTr="003328F9">
        <w:trPr>
          <w:trHeight w:val="244"/>
        </w:trPr>
        <w:tc>
          <w:tcPr>
            <w:tcW w:w="2284" w:type="dxa"/>
            <w:vAlign w:val="center"/>
          </w:tcPr>
          <w:p w14:paraId="6F74E289" w14:textId="77777777" w:rsidR="003328F9" w:rsidRPr="00DD0D1F" w:rsidRDefault="003328F9" w:rsidP="003328F9">
            <w:pPr>
              <w:pStyle w:val="TableParagraph"/>
              <w:spacing w:line="408" w:lineRule="auto"/>
              <w:ind w:left="107"/>
              <w:rPr>
                <w:szCs w:val="24"/>
              </w:rPr>
            </w:pPr>
            <w:r w:rsidRPr="00DD0D1F">
              <w:rPr>
                <w:szCs w:val="24"/>
              </w:rPr>
              <w:t>COG</w:t>
            </w:r>
          </w:p>
        </w:tc>
        <w:tc>
          <w:tcPr>
            <w:tcW w:w="7372" w:type="dxa"/>
            <w:vAlign w:val="center"/>
          </w:tcPr>
          <w:p w14:paraId="72238353" w14:textId="77777777" w:rsidR="003328F9" w:rsidRPr="00DD0D1F" w:rsidRDefault="003328F9" w:rsidP="003328F9">
            <w:pPr>
              <w:pStyle w:val="TableParagraph"/>
              <w:spacing w:line="408" w:lineRule="auto"/>
              <w:ind w:left="107"/>
              <w:rPr>
                <w:szCs w:val="24"/>
              </w:rPr>
            </w:pPr>
            <w:r w:rsidRPr="00DD0D1F">
              <w:rPr>
                <w:szCs w:val="24"/>
              </w:rPr>
              <w:t>Kok fırını gazı</w:t>
            </w:r>
          </w:p>
        </w:tc>
      </w:tr>
      <w:tr w:rsidR="003328F9" w:rsidRPr="00DD0D1F" w14:paraId="171DAE5D" w14:textId="77777777" w:rsidTr="003328F9">
        <w:trPr>
          <w:trHeight w:val="242"/>
        </w:trPr>
        <w:tc>
          <w:tcPr>
            <w:tcW w:w="2284" w:type="dxa"/>
            <w:vAlign w:val="center"/>
          </w:tcPr>
          <w:p w14:paraId="49B120EA" w14:textId="77777777" w:rsidR="003328F9" w:rsidRPr="00DD0D1F" w:rsidRDefault="003328F9" w:rsidP="003328F9">
            <w:pPr>
              <w:pStyle w:val="TableParagraph"/>
              <w:spacing w:line="408" w:lineRule="auto"/>
              <w:ind w:left="107"/>
              <w:rPr>
                <w:szCs w:val="24"/>
              </w:rPr>
            </w:pPr>
            <w:r w:rsidRPr="00DD0D1F">
              <w:rPr>
                <w:szCs w:val="24"/>
              </w:rPr>
              <w:t>COS</w:t>
            </w:r>
          </w:p>
        </w:tc>
        <w:tc>
          <w:tcPr>
            <w:tcW w:w="7372" w:type="dxa"/>
            <w:vAlign w:val="center"/>
          </w:tcPr>
          <w:p w14:paraId="2B487E2F" w14:textId="77777777" w:rsidR="003328F9" w:rsidRPr="00DD0D1F" w:rsidRDefault="003328F9" w:rsidP="003328F9">
            <w:pPr>
              <w:pStyle w:val="TableParagraph"/>
              <w:spacing w:line="408" w:lineRule="auto"/>
              <w:ind w:left="107"/>
              <w:rPr>
                <w:szCs w:val="24"/>
              </w:rPr>
            </w:pPr>
            <w:r w:rsidRPr="00DD0D1F">
              <w:rPr>
                <w:szCs w:val="24"/>
              </w:rPr>
              <w:t>Karbonil sülfit</w:t>
            </w:r>
          </w:p>
        </w:tc>
      </w:tr>
      <w:tr w:rsidR="003328F9" w:rsidRPr="00DD0D1F" w14:paraId="65DCCB7F" w14:textId="77777777" w:rsidTr="003328F9">
        <w:trPr>
          <w:trHeight w:val="261"/>
        </w:trPr>
        <w:tc>
          <w:tcPr>
            <w:tcW w:w="2284" w:type="dxa"/>
            <w:vAlign w:val="center"/>
          </w:tcPr>
          <w:p w14:paraId="68B6DEBA" w14:textId="77777777" w:rsidR="003328F9" w:rsidRPr="00DD0D1F" w:rsidRDefault="003328F9" w:rsidP="003328F9">
            <w:pPr>
              <w:pStyle w:val="TableParagraph"/>
              <w:spacing w:before="10" w:line="408" w:lineRule="auto"/>
              <w:ind w:left="107"/>
              <w:rPr>
                <w:szCs w:val="24"/>
              </w:rPr>
            </w:pPr>
            <w:r w:rsidRPr="00DD0D1F">
              <w:rPr>
                <w:szCs w:val="24"/>
              </w:rPr>
              <w:t>DLN</w:t>
            </w:r>
          </w:p>
        </w:tc>
        <w:tc>
          <w:tcPr>
            <w:tcW w:w="7372" w:type="dxa"/>
            <w:vAlign w:val="center"/>
          </w:tcPr>
          <w:p w14:paraId="4A8B8792" w14:textId="77777777" w:rsidR="003328F9" w:rsidRPr="00DD0D1F" w:rsidRDefault="003328F9" w:rsidP="003328F9">
            <w:pPr>
              <w:pStyle w:val="TableParagraph"/>
              <w:spacing w:before="10" w:line="408" w:lineRule="auto"/>
              <w:ind w:left="107"/>
              <w:rPr>
                <w:szCs w:val="24"/>
              </w:rPr>
            </w:pPr>
            <w:r w:rsidRPr="00DD0D1F">
              <w:rPr>
                <w:szCs w:val="24"/>
              </w:rPr>
              <w:t>Kuru düşük NO</w:t>
            </w:r>
            <w:r w:rsidRPr="00DD0D1F">
              <w:rPr>
                <w:szCs w:val="24"/>
                <w:vertAlign w:val="subscript"/>
              </w:rPr>
              <w:t>X</w:t>
            </w:r>
            <w:r w:rsidRPr="00DD0D1F">
              <w:rPr>
                <w:szCs w:val="24"/>
              </w:rPr>
              <w:t xml:space="preserve"> brülörleri</w:t>
            </w:r>
          </w:p>
        </w:tc>
      </w:tr>
      <w:tr w:rsidR="003328F9" w:rsidRPr="00DD0D1F" w14:paraId="69E36033" w14:textId="77777777" w:rsidTr="003328F9">
        <w:trPr>
          <w:trHeight w:val="244"/>
        </w:trPr>
        <w:tc>
          <w:tcPr>
            <w:tcW w:w="2284" w:type="dxa"/>
            <w:vAlign w:val="center"/>
          </w:tcPr>
          <w:p w14:paraId="6277B0B5" w14:textId="77777777" w:rsidR="003328F9" w:rsidRPr="00DD0D1F" w:rsidRDefault="003328F9" w:rsidP="003328F9">
            <w:pPr>
              <w:pStyle w:val="TableParagraph"/>
              <w:spacing w:line="408" w:lineRule="auto"/>
              <w:ind w:left="107"/>
              <w:rPr>
                <w:szCs w:val="24"/>
              </w:rPr>
            </w:pPr>
            <w:r w:rsidRPr="00DD0D1F">
              <w:rPr>
                <w:szCs w:val="24"/>
              </w:rPr>
              <w:t>DSI</w:t>
            </w:r>
          </w:p>
        </w:tc>
        <w:tc>
          <w:tcPr>
            <w:tcW w:w="7372" w:type="dxa"/>
            <w:vAlign w:val="center"/>
          </w:tcPr>
          <w:p w14:paraId="24C30D56" w14:textId="77777777" w:rsidR="003328F9" w:rsidRPr="00DD0D1F" w:rsidRDefault="003328F9" w:rsidP="003328F9">
            <w:pPr>
              <w:pStyle w:val="TableParagraph"/>
              <w:spacing w:line="408" w:lineRule="auto"/>
              <w:ind w:left="107"/>
              <w:rPr>
                <w:szCs w:val="24"/>
              </w:rPr>
            </w:pPr>
            <w:r w:rsidRPr="00DD0D1F">
              <w:rPr>
                <w:szCs w:val="24"/>
              </w:rPr>
              <w:t>Kanala sorbent enjeksiyonu</w:t>
            </w:r>
          </w:p>
        </w:tc>
      </w:tr>
      <w:tr w:rsidR="003328F9" w:rsidRPr="00DD0D1F" w14:paraId="282276CE" w14:textId="77777777" w:rsidTr="003328F9">
        <w:trPr>
          <w:trHeight w:val="242"/>
        </w:trPr>
        <w:tc>
          <w:tcPr>
            <w:tcW w:w="2284" w:type="dxa"/>
            <w:vAlign w:val="center"/>
          </w:tcPr>
          <w:p w14:paraId="52EE7B10" w14:textId="77777777" w:rsidR="003328F9" w:rsidRPr="00DD0D1F" w:rsidRDefault="003328F9" w:rsidP="003328F9">
            <w:pPr>
              <w:pStyle w:val="TableParagraph"/>
              <w:spacing w:line="408" w:lineRule="auto"/>
              <w:ind w:left="107"/>
              <w:rPr>
                <w:szCs w:val="24"/>
              </w:rPr>
            </w:pPr>
            <w:r w:rsidRPr="00DD0D1F">
              <w:rPr>
                <w:szCs w:val="24"/>
              </w:rPr>
              <w:t>ESP</w:t>
            </w:r>
          </w:p>
        </w:tc>
        <w:tc>
          <w:tcPr>
            <w:tcW w:w="7372" w:type="dxa"/>
            <w:vAlign w:val="center"/>
          </w:tcPr>
          <w:p w14:paraId="21F3FC4A" w14:textId="73DE2988" w:rsidR="003328F9" w:rsidRPr="00DD0D1F" w:rsidRDefault="009A6605" w:rsidP="00F25637">
            <w:pPr>
              <w:pStyle w:val="TableParagraph"/>
              <w:spacing w:line="408" w:lineRule="auto"/>
              <w:ind w:left="107"/>
              <w:rPr>
                <w:szCs w:val="24"/>
              </w:rPr>
            </w:pPr>
            <w:r w:rsidRPr="00DD0D1F">
              <w:rPr>
                <w:szCs w:val="24"/>
              </w:rPr>
              <w:t>Elektrostatik çöktürücü</w:t>
            </w:r>
          </w:p>
        </w:tc>
      </w:tr>
      <w:tr w:rsidR="003328F9" w:rsidRPr="00DD0D1F" w14:paraId="04387333" w14:textId="77777777" w:rsidTr="003328F9">
        <w:trPr>
          <w:trHeight w:val="261"/>
        </w:trPr>
        <w:tc>
          <w:tcPr>
            <w:tcW w:w="2284" w:type="dxa"/>
            <w:vAlign w:val="center"/>
          </w:tcPr>
          <w:p w14:paraId="4D348118" w14:textId="77777777" w:rsidR="003328F9" w:rsidRPr="00DD0D1F" w:rsidRDefault="003328F9" w:rsidP="003328F9">
            <w:pPr>
              <w:pStyle w:val="TableParagraph"/>
              <w:spacing w:before="10" w:line="408" w:lineRule="auto"/>
              <w:ind w:left="107"/>
              <w:rPr>
                <w:szCs w:val="24"/>
              </w:rPr>
            </w:pPr>
            <w:r w:rsidRPr="00DD0D1F">
              <w:rPr>
                <w:szCs w:val="24"/>
              </w:rPr>
              <w:t>FBC</w:t>
            </w:r>
          </w:p>
        </w:tc>
        <w:tc>
          <w:tcPr>
            <w:tcW w:w="7372" w:type="dxa"/>
            <w:vAlign w:val="center"/>
          </w:tcPr>
          <w:p w14:paraId="724961C3" w14:textId="77777777" w:rsidR="003328F9" w:rsidRPr="00DD0D1F" w:rsidRDefault="003328F9" w:rsidP="003328F9">
            <w:pPr>
              <w:pStyle w:val="TableParagraph"/>
              <w:spacing w:before="10" w:line="408" w:lineRule="auto"/>
              <w:ind w:left="107"/>
              <w:rPr>
                <w:szCs w:val="24"/>
              </w:rPr>
            </w:pPr>
            <w:r w:rsidRPr="00DD0D1F">
              <w:rPr>
                <w:szCs w:val="24"/>
              </w:rPr>
              <w:t>Akışkan yataklı yakma</w:t>
            </w:r>
          </w:p>
        </w:tc>
      </w:tr>
      <w:tr w:rsidR="003328F9" w:rsidRPr="00DD0D1F" w14:paraId="4783A400" w14:textId="77777777" w:rsidTr="003328F9">
        <w:trPr>
          <w:trHeight w:val="242"/>
        </w:trPr>
        <w:tc>
          <w:tcPr>
            <w:tcW w:w="2284" w:type="dxa"/>
            <w:vAlign w:val="center"/>
          </w:tcPr>
          <w:p w14:paraId="04A81AA9" w14:textId="77777777" w:rsidR="003328F9" w:rsidRPr="00DD0D1F" w:rsidRDefault="003328F9" w:rsidP="003328F9">
            <w:pPr>
              <w:pStyle w:val="TableParagraph"/>
              <w:spacing w:line="408" w:lineRule="auto"/>
              <w:ind w:left="107"/>
              <w:rPr>
                <w:szCs w:val="24"/>
              </w:rPr>
            </w:pPr>
            <w:r w:rsidRPr="00DD0D1F">
              <w:rPr>
                <w:szCs w:val="24"/>
              </w:rPr>
              <w:t>FGD</w:t>
            </w:r>
          </w:p>
        </w:tc>
        <w:tc>
          <w:tcPr>
            <w:tcW w:w="7372" w:type="dxa"/>
            <w:vAlign w:val="center"/>
          </w:tcPr>
          <w:p w14:paraId="40138289" w14:textId="3C61336E" w:rsidR="003328F9" w:rsidRPr="00DD0D1F" w:rsidRDefault="003328F9" w:rsidP="003328F9">
            <w:pPr>
              <w:pStyle w:val="TableParagraph"/>
              <w:spacing w:line="408" w:lineRule="auto"/>
              <w:ind w:left="107"/>
              <w:rPr>
                <w:szCs w:val="24"/>
              </w:rPr>
            </w:pPr>
            <w:r w:rsidRPr="00DD0D1F">
              <w:rPr>
                <w:szCs w:val="24"/>
              </w:rPr>
              <w:t>Baca gazı kükürt giderme</w:t>
            </w:r>
          </w:p>
        </w:tc>
      </w:tr>
      <w:tr w:rsidR="003328F9" w:rsidRPr="00DD0D1F" w14:paraId="10483C5C" w14:textId="77777777" w:rsidTr="003328F9">
        <w:trPr>
          <w:trHeight w:val="244"/>
        </w:trPr>
        <w:tc>
          <w:tcPr>
            <w:tcW w:w="2284" w:type="dxa"/>
            <w:vAlign w:val="center"/>
          </w:tcPr>
          <w:p w14:paraId="203772DD" w14:textId="77777777" w:rsidR="003328F9" w:rsidRPr="00DD0D1F" w:rsidRDefault="003328F9" w:rsidP="003328F9">
            <w:pPr>
              <w:pStyle w:val="TableParagraph"/>
              <w:spacing w:line="408" w:lineRule="auto"/>
              <w:ind w:left="107"/>
              <w:rPr>
                <w:szCs w:val="24"/>
              </w:rPr>
            </w:pPr>
            <w:r w:rsidRPr="00DD0D1F">
              <w:rPr>
                <w:szCs w:val="24"/>
              </w:rPr>
              <w:t>HFO</w:t>
            </w:r>
          </w:p>
        </w:tc>
        <w:tc>
          <w:tcPr>
            <w:tcW w:w="7372" w:type="dxa"/>
            <w:vAlign w:val="center"/>
          </w:tcPr>
          <w:p w14:paraId="0A3E3A1E" w14:textId="77777777" w:rsidR="003328F9" w:rsidRPr="00DD0D1F" w:rsidRDefault="003328F9" w:rsidP="003328F9">
            <w:pPr>
              <w:pStyle w:val="TableParagraph"/>
              <w:spacing w:line="408" w:lineRule="auto"/>
              <w:ind w:left="107"/>
              <w:rPr>
                <w:szCs w:val="24"/>
              </w:rPr>
            </w:pPr>
            <w:r w:rsidRPr="00DD0D1F">
              <w:rPr>
                <w:szCs w:val="24"/>
              </w:rPr>
              <w:t>Ağır fuel oil</w:t>
            </w:r>
          </w:p>
        </w:tc>
      </w:tr>
      <w:tr w:rsidR="003328F9" w:rsidRPr="00DD0D1F" w14:paraId="173C0BC8" w14:textId="77777777" w:rsidTr="003328F9">
        <w:trPr>
          <w:trHeight w:val="261"/>
        </w:trPr>
        <w:tc>
          <w:tcPr>
            <w:tcW w:w="2284" w:type="dxa"/>
            <w:vAlign w:val="center"/>
          </w:tcPr>
          <w:p w14:paraId="3E405663" w14:textId="77777777" w:rsidR="003328F9" w:rsidRPr="00DD0D1F" w:rsidRDefault="003328F9" w:rsidP="003328F9">
            <w:pPr>
              <w:pStyle w:val="TableParagraph"/>
              <w:spacing w:before="7" w:line="408" w:lineRule="auto"/>
              <w:ind w:left="107"/>
              <w:rPr>
                <w:szCs w:val="24"/>
              </w:rPr>
            </w:pPr>
            <w:r w:rsidRPr="00DD0D1F">
              <w:rPr>
                <w:szCs w:val="24"/>
              </w:rPr>
              <w:t>HRSG</w:t>
            </w:r>
          </w:p>
        </w:tc>
        <w:tc>
          <w:tcPr>
            <w:tcW w:w="7372" w:type="dxa"/>
            <w:vAlign w:val="center"/>
          </w:tcPr>
          <w:p w14:paraId="453ED9F3" w14:textId="77777777" w:rsidR="003328F9" w:rsidRPr="00DD0D1F" w:rsidRDefault="003328F9" w:rsidP="003328F9">
            <w:pPr>
              <w:pStyle w:val="TableParagraph"/>
              <w:spacing w:before="7" w:line="408" w:lineRule="auto"/>
              <w:ind w:left="107"/>
              <w:rPr>
                <w:szCs w:val="24"/>
              </w:rPr>
            </w:pPr>
            <w:r w:rsidRPr="00DD0D1F">
              <w:rPr>
                <w:szCs w:val="24"/>
              </w:rPr>
              <w:t>Isı geri kazanım buhar jeneratörü</w:t>
            </w:r>
          </w:p>
        </w:tc>
      </w:tr>
      <w:tr w:rsidR="003328F9" w:rsidRPr="00DD0D1F" w14:paraId="0EA3652C" w14:textId="77777777" w:rsidTr="003328F9">
        <w:trPr>
          <w:trHeight w:val="242"/>
        </w:trPr>
        <w:tc>
          <w:tcPr>
            <w:tcW w:w="2284" w:type="dxa"/>
            <w:vAlign w:val="center"/>
          </w:tcPr>
          <w:p w14:paraId="759CBC96" w14:textId="77777777" w:rsidR="003328F9" w:rsidRPr="00DD0D1F" w:rsidRDefault="003328F9" w:rsidP="003328F9">
            <w:pPr>
              <w:pStyle w:val="TableParagraph"/>
              <w:spacing w:line="408" w:lineRule="auto"/>
              <w:ind w:left="107"/>
              <w:rPr>
                <w:szCs w:val="24"/>
              </w:rPr>
            </w:pPr>
            <w:r w:rsidRPr="00DD0D1F">
              <w:rPr>
                <w:szCs w:val="24"/>
              </w:rPr>
              <w:t>IGCC</w:t>
            </w:r>
          </w:p>
        </w:tc>
        <w:tc>
          <w:tcPr>
            <w:tcW w:w="7372" w:type="dxa"/>
            <w:vAlign w:val="center"/>
          </w:tcPr>
          <w:p w14:paraId="18FBCAE5" w14:textId="77777777" w:rsidR="003328F9" w:rsidRPr="00DD0D1F" w:rsidRDefault="003328F9" w:rsidP="003328F9">
            <w:pPr>
              <w:pStyle w:val="TableParagraph"/>
              <w:spacing w:line="408" w:lineRule="auto"/>
              <w:ind w:left="107"/>
              <w:rPr>
                <w:szCs w:val="24"/>
              </w:rPr>
            </w:pPr>
            <w:r w:rsidRPr="00DD0D1F">
              <w:rPr>
                <w:szCs w:val="24"/>
              </w:rPr>
              <w:t>Entegre gazlaştırma kombine çevrimi</w:t>
            </w:r>
          </w:p>
        </w:tc>
      </w:tr>
      <w:tr w:rsidR="003328F9" w:rsidRPr="00DD0D1F" w14:paraId="288E90E3" w14:textId="77777777" w:rsidTr="003328F9">
        <w:trPr>
          <w:trHeight w:val="244"/>
        </w:trPr>
        <w:tc>
          <w:tcPr>
            <w:tcW w:w="2284" w:type="dxa"/>
            <w:vAlign w:val="center"/>
          </w:tcPr>
          <w:p w14:paraId="2D6D0262" w14:textId="77777777" w:rsidR="003328F9" w:rsidRPr="00DD0D1F" w:rsidRDefault="003328F9" w:rsidP="003328F9">
            <w:pPr>
              <w:pStyle w:val="TableParagraph"/>
              <w:spacing w:line="408" w:lineRule="auto"/>
              <w:ind w:left="107"/>
              <w:rPr>
                <w:szCs w:val="24"/>
              </w:rPr>
            </w:pPr>
            <w:r w:rsidRPr="00DD0D1F">
              <w:rPr>
                <w:szCs w:val="24"/>
              </w:rPr>
              <w:t>LHV</w:t>
            </w:r>
          </w:p>
        </w:tc>
        <w:tc>
          <w:tcPr>
            <w:tcW w:w="7372" w:type="dxa"/>
            <w:vAlign w:val="center"/>
          </w:tcPr>
          <w:p w14:paraId="4A012252" w14:textId="77777777" w:rsidR="003328F9" w:rsidRPr="00DD0D1F" w:rsidRDefault="003328F9" w:rsidP="003328F9">
            <w:pPr>
              <w:pStyle w:val="TableParagraph"/>
              <w:spacing w:line="408" w:lineRule="auto"/>
              <w:ind w:left="107"/>
              <w:rPr>
                <w:szCs w:val="24"/>
              </w:rPr>
            </w:pPr>
            <w:r w:rsidRPr="00DD0D1F">
              <w:rPr>
                <w:szCs w:val="24"/>
              </w:rPr>
              <w:t>Alt ısı değer</w:t>
            </w:r>
          </w:p>
        </w:tc>
      </w:tr>
      <w:tr w:rsidR="003328F9" w:rsidRPr="00DD0D1F" w14:paraId="5A6AFBDB" w14:textId="77777777" w:rsidTr="003328F9">
        <w:trPr>
          <w:trHeight w:val="258"/>
        </w:trPr>
        <w:tc>
          <w:tcPr>
            <w:tcW w:w="2284" w:type="dxa"/>
            <w:vAlign w:val="center"/>
          </w:tcPr>
          <w:p w14:paraId="005919ED" w14:textId="77777777" w:rsidR="003328F9" w:rsidRPr="00DD0D1F" w:rsidRDefault="003328F9" w:rsidP="003328F9">
            <w:pPr>
              <w:pStyle w:val="TableParagraph"/>
              <w:spacing w:before="7" w:line="408" w:lineRule="auto"/>
              <w:ind w:left="107"/>
              <w:rPr>
                <w:szCs w:val="24"/>
              </w:rPr>
            </w:pPr>
            <w:r w:rsidRPr="00DD0D1F">
              <w:rPr>
                <w:szCs w:val="24"/>
              </w:rPr>
              <w:t>LNB</w:t>
            </w:r>
          </w:p>
        </w:tc>
        <w:tc>
          <w:tcPr>
            <w:tcW w:w="7372" w:type="dxa"/>
            <w:vAlign w:val="center"/>
          </w:tcPr>
          <w:p w14:paraId="75445B2E" w14:textId="77777777" w:rsidR="003328F9" w:rsidRPr="00DD0D1F" w:rsidRDefault="003328F9" w:rsidP="003328F9">
            <w:pPr>
              <w:pStyle w:val="TableParagraph"/>
              <w:spacing w:before="7" w:line="408" w:lineRule="auto"/>
              <w:ind w:left="107"/>
              <w:rPr>
                <w:szCs w:val="24"/>
              </w:rPr>
            </w:pPr>
            <w:r w:rsidRPr="00DD0D1F">
              <w:rPr>
                <w:szCs w:val="24"/>
              </w:rPr>
              <w:t>Düşük NO</w:t>
            </w:r>
            <w:r w:rsidRPr="00DD0D1F">
              <w:rPr>
                <w:szCs w:val="24"/>
                <w:vertAlign w:val="subscript"/>
              </w:rPr>
              <w:t>X</w:t>
            </w:r>
            <w:r w:rsidRPr="00DD0D1F">
              <w:rPr>
                <w:szCs w:val="24"/>
              </w:rPr>
              <w:t xml:space="preserve"> brülörleri</w:t>
            </w:r>
          </w:p>
        </w:tc>
      </w:tr>
      <w:tr w:rsidR="003328F9" w:rsidRPr="00DD0D1F" w14:paraId="2B5FD990" w14:textId="77777777" w:rsidTr="003328F9">
        <w:trPr>
          <w:trHeight w:val="244"/>
        </w:trPr>
        <w:tc>
          <w:tcPr>
            <w:tcW w:w="2284" w:type="dxa"/>
            <w:vAlign w:val="center"/>
          </w:tcPr>
          <w:p w14:paraId="554CEA6E" w14:textId="77777777" w:rsidR="003328F9" w:rsidRPr="00DD0D1F" w:rsidRDefault="003328F9" w:rsidP="003328F9">
            <w:pPr>
              <w:pStyle w:val="TableParagraph"/>
              <w:spacing w:line="408" w:lineRule="auto"/>
              <w:ind w:left="107"/>
              <w:rPr>
                <w:szCs w:val="24"/>
              </w:rPr>
            </w:pPr>
            <w:r w:rsidRPr="00DD0D1F">
              <w:rPr>
                <w:szCs w:val="24"/>
              </w:rPr>
              <w:t>LNG</w:t>
            </w:r>
          </w:p>
        </w:tc>
        <w:tc>
          <w:tcPr>
            <w:tcW w:w="7372" w:type="dxa"/>
            <w:vAlign w:val="center"/>
          </w:tcPr>
          <w:p w14:paraId="02CA710E" w14:textId="77777777" w:rsidR="003328F9" w:rsidRPr="00DD0D1F" w:rsidRDefault="003328F9" w:rsidP="003328F9">
            <w:pPr>
              <w:pStyle w:val="TableParagraph"/>
              <w:spacing w:line="408" w:lineRule="auto"/>
              <w:ind w:left="107"/>
              <w:rPr>
                <w:szCs w:val="24"/>
              </w:rPr>
            </w:pPr>
            <w:r w:rsidRPr="00DD0D1F">
              <w:rPr>
                <w:szCs w:val="24"/>
              </w:rPr>
              <w:t>Sıvılaştırılmış doğal gaz</w:t>
            </w:r>
          </w:p>
        </w:tc>
      </w:tr>
      <w:tr w:rsidR="003328F9" w:rsidRPr="00DD0D1F" w14:paraId="262773B6" w14:textId="77777777" w:rsidTr="003328F9">
        <w:trPr>
          <w:trHeight w:val="241"/>
        </w:trPr>
        <w:tc>
          <w:tcPr>
            <w:tcW w:w="2284" w:type="dxa"/>
            <w:vAlign w:val="center"/>
          </w:tcPr>
          <w:p w14:paraId="172A3AFD" w14:textId="77777777" w:rsidR="003328F9" w:rsidRPr="00DD0D1F" w:rsidRDefault="003328F9" w:rsidP="003328F9">
            <w:pPr>
              <w:pStyle w:val="TableParagraph"/>
              <w:spacing w:line="408" w:lineRule="auto"/>
              <w:ind w:left="107"/>
              <w:rPr>
                <w:szCs w:val="24"/>
              </w:rPr>
            </w:pPr>
            <w:r w:rsidRPr="00DD0D1F">
              <w:rPr>
                <w:szCs w:val="24"/>
              </w:rPr>
              <w:t>OCGT</w:t>
            </w:r>
          </w:p>
        </w:tc>
        <w:tc>
          <w:tcPr>
            <w:tcW w:w="7372" w:type="dxa"/>
            <w:vAlign w:val="center"/>
          </w:tcPr>
          <w:p w14:paraId="4A25C5F0" w14:textId="77777777" w:rsidR="003328F9" w:rsidRPr="00DD0D1F" w:rsidRDefault="003328F9" w:rsidP="003328F9">
            <w:pPr>
              <w:pStyle w:val="TableParagraph"/>
              <w:spacing w:line="408" w:lineRule="auto"/>
              <w:ind w:left="107"/>
              <w:rPr>
                <w:szCs w:val="24"/>
              </w:rPr>
            </w:pPr>
            <w:r w:rsidRPr="00DD0D1F">
              <w:rPr>
                <w:szCs w:val="24"/>
              </w:rPr>
              <w:t>Açık çevrimli gaz türbini</w:t>
            </w:r>
          </w:p>
        </w:tc>
      </w:tr>
      <w:tr w:rsidR="003328F9" w:rsidRPr="00DD0D1F" w14:paraId="03A68D98" w14:textId="77777777" w:rsidTr="003328F9">
        <w:trPr>
          <w:trHeight w:val="261"/>
        </w:trPr>
        <w:tc>
          <w:tcPr>
            <w:tcW w:w="2284" w:type="dxa"/>
            <w:vAlign w:val="center"/>
          </w:tcPr>
          <w:p w14:paraId="528ED9B1" w14:textId="77777777" w:rsidR="003328F9" w:rsidRPr="00DD0D1F" w:rsidRDefault="003328F9" w:rsidP="003328F9">
            <w:pPr>
              <w:pStyle w:val="TableParagraph"/>
              <w:spacing w:before="10" w:line="408" w:lineRule="auto"/>
              <w:ind w:left="107"/>
              <w:rPr>
                <w:szCs w:val="24"/>
              </w:rPr>
            </w:pPr>
            <w:r w:rsidRPr="00DD0D1F">
              <w:rPr>
                <w:szCs w:val="24"/>
              </w:rPr>
              <w:t>NÇKD</w:t>
            </w:r>
          </w:p>
        </w:tc>
        <w:tc>
          <w:tcPr>
            <w:tcW w:w="7372" w:type="dxa"/>
            <w:vAlign w:val="center"/>
          </w:tcPr>
          <w:p w14:paraId="4D424D91" w14:textId="77777777" w:rsidR="003328F9" w:rsidRPr="00DD0D1F" w:rsidRDefault="003328F9" w:rsidP="003328F9">
            <w:pPr>
              <w:pStyle w:val="TableParagraph"/>
              <w:spacing w:before="10" w:line="408" w:lineRule="auto"/>
              <w:ind w:left="107"/>
              <w:rPr>
                <w:szCs w:val="24"/>
              </w:rPr>
            </w:pPr>
            <w:r w:rsidRPr="00DD0D1F">
              <w:rPr>
                <w:szCs w:val="24"/>
              </w:rPr>
              <w:t>Normal çalışma koşulları dışında</w:t>
            </w:r>
          </w:p>
        </w:tc>
      </w:tr>
      <w:tr w:rsidR="003328F9" w:rsidRPr="00DD0D1F" w14:paraId="5E156F61" w14:textId="77777777" w:rsidTr="003328F9">
        <w:trPr>
          <w:trHeight w:val="244"/>
        </w:trPr>
        <w:tc>
          <w:tcPr>
            <w:tcW w:w="2284" w:type="dxa"/>
            <w:vAlign w:val="center"/>
          </w:tcPr>
          <w:p w14:paraId="2792B27F" w14:textId="77777777" w:rsidR="003328F9" w:rsidRPr="00DD0D1F" w:rsidRDefault="003328F9" w:rsidP="003328F9">
            <w:pPr>
              <w:pStyle w:val="TableParagraph"/>
              <w:spacing w:line="408" w:lineRule="auto"/>
              <w:ind w:left="107"/>
              <w:rPr>
                <w:szCs w:val="24"/>
              </w:rPr>
            </w:pPr>
            <w:r w:rsidRPr="00DD0D1F">
              <w:rPr>
                <w:szCs w:val="24"/>
              </w:rPr>
              <w:t>PC</w:t>
            </w:r>
          </w:p>
        </w:tc>
        <w:tc>
          <w:tcPr>
            <w:tcW w:w="7372" w:type="dxa"/>
            <w:vAlign w:val="center"/>
          </w:tcPr>
          <w:p w14:paraId="41D68768" w14:textId="77777777" w:rsidR="003328F9" w:rsidRPr="00DD0D1F" w:rsidRDefault="003328F9" w:rsidP="003328F9">
            <w:pPr>
              <w:pStyle w:val="TableParagraph"/>
              <w:spacing w:line="408" w:lineRule="auto"/>
              <w:ind w:left="107"/>
              <w:rPr>
                <w:szCs w:val="24"/>
              </w:rPr>
            </w:pPr>
            <w:r w:rsidRPr="00DD0D1F">
              <w:rPr>
                <w:szCs w:val="24"/>
              </w:rPr>
              <w:t>Pulverize yakma</w:t>
            </w:r>
          </w:p>
        </w:tc>
      </w:tr>
      <w:tr w:rsidR="003328F9" w:rsidRPr="00DD0D1F" w14:paraId="0ABADA5F" w14:textId="77777777" w:rsidTr="003328F9">
        <w:trPr>
          <w:trHeight w:val="241"/>
        </w:trPr>
        <w:tc>
          <w:tcPr>
            <w:tcW w:w="2284" w:type="dxa"/>
            <w:vAlign w:val="center"/>
          </w:tcPr>
          <w:p w14:paraId="775ECAD4" w14:textId="77777777" w:rsidR="003328F9" w:rsidRPr="00DD0D1F" w:rsidRDefault="003328F9" w:rsidP="003328F9">
            <w:pPr>
              <w:pStyle w:val="TableParagraph"/>
              <w:spacing w:line="408" w:lineRule="auto"/>
              <w:ind w:left="107"/>
              <w:rPr>
                <w:szCs w:val="24"/>
              </w:rPr>
            </w:pPr>
            <w:r w:rsidRPr="00DD0D1F">
              <w:rPr>
                <w:szCs w:val="24"/>
              </w:rPr>
              <w:t>TEİS</w:t>
            </w:r>
          </w:p>
        </w:tc>
        <w:tc>
          <w:tcPr>
            <w:tcW w:w="7372" w:type="dxa"/>
            <w:vAlign w:val="center"/>
          </w:tcPr>
          <w:p w14:paraId="0A982B1E" w14:textId="77777777" w:rsidR="003328F9" w:rsidRPr="00DD0D1F" w:rsidRDefault="003328F9" w:rsidP="003328F9">
            <w:pPr>
              <w:pStyle w:val="TableParagraph"/>
              <w:spacing w:line="408" w:lineRule="auto"/>
              <w:ind w:left="107"/>
              <w:rPr>
                <w:szCs w:val="24"/>
              </w:rPr>
            </w:pPr>
            <w:r w:rsidRPr="00DD0D1F">
              <w:rPr>
                <w:szCs w:val="24"/>
              </w:rPr>
              <w:t xml:space="preserve">Tahmini emisyon izleme sistemi </w:t>
            </w:r>
          </w:p>
        </w:tc>
      </w:tr>
      <w:tr w:rsidR="003328F9" w:rsidRPr="00DD0D1F" w14:paraId="1D4BEACF" w14:textId="77777777" w:rsidTr="003328F9">
        <w:trPr>
          <w:trHeight w:val="261"/>
        </w:trPr>
        <w:tc>
          <w:tcPr>
            <w:tcW w:w="2284" w:type="dxa"/>
            <w:vAlign w:val="center"/>
          </w:tcPr>
          <w:p w14:paraId="3D581207" w14:textId="77777777" w:rsidR="003328F9" w:rsidRPr="00DD0D1F" w:rsidRDefault="003328F9" w:rsidP="003328F9">
            <w:pPr>
              <w:pStyle w:val="TableParagraph"/>
              <w:spacing w:before="10" w:line="408" w:lineRule="auto"/>
              <w:ind w:left="107"/>
              <w:rPr>
                <w:szCs w:val="24"/>
              </w:rPr>
            </w:pPr>
            <w:r w:rsidRPr="00DD0D1F">
              <w:rPr>
                <w:szCs w:val="24"/>
              </w:rPr>
              <w:t>SCR</w:t>
            </w:r>
          </w:p>
        </w:tc>
        <w:tc>
          <w:tcPr>
            <w:tcW w:w="7372" w:type="dxa"/>
            <w:vAlign w:val="center"/>
          </w:tcPr>
          <w:p w14:paraId="76B87420" w14:textId="77777777" w:rsidR="003328F9" w:rsidRPr="00DD0D1F" w:rsidRDefault="003328F9" w:rsidP="003328F9">
            <w:pPr>
              <w:pStyle w:val="TableParagraph"/>
              <w:spacing w:before="10" w:line="408" w:lineRule="auto"/>
              <w:ind w:left="107"/>
              <w:rPr>
                <w:szCs w:val="24"/>
              </w:rPr>
            </w:pPr>
            <w:r w:rsidRPr="00DD0D1F">
              <w:rPr>
                <w:szCs w:val="24"/>
              </w:rPr>
              <w:t>Seçici katalitik indirgeme</w:t>
            </w:r>
          </w:p>
        </w:tc>
      </w:tr>
      <w:tr w:rsidR="003328F9" w:rsidRPr="00DD0D1F" w14:paraId="7AC98D27" w14:textId="77777777" w:rsidTr="003328F9">
        <w:trPr>
          <w:trHeight w:val="242"/>
        </w:trPr>
        <w:tc>
          <w:tcPr>
            <w:tcW w:w="2284" w:type="dxa"/>
            <w:vAlign w:val="center"/>
          </w:tcPr>
          <w:p w14:paraId="047BD25B" w14:textId="77777777" w:rsidR="003328F9" w:rsidRPr="00DD0D1F" w:rsidRDefault="003328F9" w:rsidP="003328F9">
            <w:pPr>
              <w:pStyle w:val="TableParagraph"/>
              <w:spacing w:line="408" w:lineRule="auto"/>
              <w:ind w:left="107"/>
              <w:rPr>
                <w:szCs w:val="24"/>
              </w:rPr>
            </w:pPr>
            <w:r w:rsidRPr="00DD0D1F">
              <w:rPr>
                <w:szCs w:val="24"/>
              </w:rPr>
              <w:t>SDA</w:t>
            </w:r>
          </w:p>
        </w:tc>
        <w:tc>
          <w:tcPr>
            <w:tcW w:w="7372" w:type="dxa"/>
            <w:vAlign w:val="center"/>
          </w:tcPr>
          <w:p w14:paraId="1D41A7A8" w14:textId="77777777" w:rsidR="003328F9" w:rsidRPr="00DD0D1F" w:rsidRDefault="003328F9" w:rsidP="003328F9">
            <w:pPr>
              <w:pStyle w:val="TableParagraph"/>
              <w:spacing w:line="408" w:lineRule="auto"/>
              <w:ind w:left="107"/>
              <w:rPr>
                <w:szCs w:val="24"/>
              </w:rPr>
            </w:pPr>
            <w:r w:rsidRPr="00DD0D1F">
              <w:rPr>
                <w:szCs w:val="24"/>
              </w:rPr>
              <w:t>Sprey kuru emici</w:t>
            </w:r>
          </w:p>
        </w:tc>
      </w:tr>
      <w:tr w:rsidR="003328F9" w:rsidRPr="00DD0D1F" w14:paraId="0DCF699A" w14:textId="77777777" w:rsidTr="003328F9">
        <w:trPr>
          <w:trHeight w:val="261"/>
        </w:trPr>
        <w:tc>
          <w:tcPr>
            <w:tcW w:w="2284" w:type="dxa"/>
            <w:vAlign w:val="center"/>
          </w:tcPr>
          <w:p w14:paraId="2139090E" w14:textId="77777777" w:rsidR="003328F9" w:rsidRPr="00DD0D1F" w:rsidRDefault="003328F9" w:rsidP="003328F9">
            <w:pPr>
              <w:pStyle w:val="TableParagraph"/>
              <w:spacing w:before="10" w:line="408" w:lineRule="auto"/>
              <w:ind w:left="107"/>
              <w:rPr>
                <w:szCs w:val="24"/>
              </w:rPr>
            </w:pPr>
            <w:r w:rsidRPr="00DD0D1F">
              <w:rPr>
                <w:szCs w:val="24"/>
              </w:rPr>
              <w:t>SNCR</w:t>
            </w:r>
          </w:p>
        </w:tc>
        <w:tc>
          <w:tcPr>
            <w:tcW w:w="7372" w:type="dxa"/>
            <w:vAlign w:val="center"/>
          </w:tcPr>
          <w:p w14:paraId="241D298A" w14:textId="77777777" w:rsidR="003328F9" w:rsidRPr="00DD0D1F" w:rsidRDefault="003328F9" w:rsidP="003328F9">
            <w:pPr>
              <w:pStyle w:val="TableParagraph"/>
              <w:spacing w:before="10" w:line="408" w:lineRule="auto"/>
              <w:ind w:left="107"/>
              <w:rPr>
                <w:szCs w:val="24"/>
              </w:rPr>
            </w:pPr>
            <w:r w:rsidRPr="00DD0D1F">
              <w:rPr>
                <w:szCs w:val="24"/>
              </w:rPr>
              <w:t>Seçici katalitik olmayan indirgeme</w:t>
            </w:r>
          </w:p>
        </w:tc>
      </w:tr>
    </w:tbl>
    <w:p w14:paraId="691303F2" w14:textId="286CBA7D" w:rsidR="003328F9" w:rsidRPr="00DD0D1F" w:rsidRDefault="003328F9" w:rsidP="003328F9">
      <w:pPr>
        <w:pStyle w:val="GvdeMetni"/>
        <w:spacing w:before="126" w:line="360" w:lineRule="auto"/>
        <w:jc w:val="both"/>
        <w:rPr>
          <w:sz w:val="24"/>
          <w:szCs w:val="24"/>
          <w:lang w:val="nl-NL"/>
        </w:rPr>
      </w:pPr>
    </w:p>
    <w:p w14:paraId="6E3B02E8" w14:textId="7F84E751" w:rsidR="00A508A2" w:rsidRPr="00DD0D1F" w:rsidRDefault="00A508A2" w:rsidP="003328F9">
      <w:pPr>
        <w:pStyle w:val="GvdeMetni"/>
        <w:spacing w:before="126" w:line="360" w:lineRule="auto"/>
        <w:jc w:val="both"/>
        <w:rPr>
          <w:b/>
          <w:sz w:val="24"/>
          <w:szCs w:val="24"/>
          <w:lang w:val="nl-NL"/>
        </w:rPr>
      </w:pPr>
      <w:r w:rsidRPr="00DD0D1F">
        <w:rPr>
          <w:b/>
          <w:sz w:val="24"/>
          <w:szCs w:val="24"/>
          <w:lang w:val="nl-NL"/>
        </w:rPr>
        <w:t>Rafineriler</w:t>
      </w:r>
    </w:p>
    <w:p w14:paraId="06B1B5CD" w14:textId="0BED5523" w:rsidR="00A508A2" w:rsidRPr="00DD0D1F" w:rsidRDefault="00A508A2" w:rsidP="00A508A2">
      <w:pPr>
        <w:pStyle w:val="GvdeMetni"/>
        <w:spacing w:before="6"/>
        <w:rPr>
          <w:rFonts w:eastAsia="Arial"/>
          <w:sz w:val="24"/>
          <w:szCs w:val="24"/>
        </w:rPr>
      </w:pPr>
      <w:r w:rsidRPr="00DD0D1F">
        <w:rPr>
          <w:rFonts w:eastAsia="Arial"/>
          <w:sz w:val="24"/>
          <w:szCs w:val="24"/>
        </w:rPr>
        <w:t>Bu tebliğ kapsamında aşağıdaki tanımlar geçerlidir: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7"/>
        <w:gridCol w:w="6530"/>
      </w:tblGrid>
      <w:tr w:rsidR="00A508A2" w:rsidRPr="00DD0D1F" w14:paraId="69DECDCE" w14:textId="77777777" w:rsidTr="006D7364">
        <w:trPr>
          <w:trHeight w:val="285"/>
        </w:trPr>
        <w:tc>
          <w:tcPr>
            <w:tcW w:w="1403" w:type="pct"/>
            <w:tcBorders>
              <w:top w:val="single" w:sz="4" w:space="0" w:color="000000"/>
              <w:left w:val="single" w:sz="4" w:space="0" w:color="000000"/>
              <w:bottom w:val="single" w:sz="4" w:space="0" w:color="000000"/>
              <w:right w:val="single" w:sz="4" w:space="0" w:color="000000"/>
            </w:tcBorders>
            <w:hideMark/>
          </w:tcPr>
          <w:p w14:paraId="6A98296D" w14:textId="77777777" w:rsidR="00A508A2" w:rsidRPr="00DD0D1F" w:rsidRDefault="00A508A2" w:rsidP="00A508A2">
            <w:pPr>
              <w:pStyle w:val="TableParagraph"/>
              <w:spacing w:before="26"/>
              <w:ind w:left="75" w:right="152"/>
              <w:jc w:val="center"/>
              <w:rPr>
                <w:b/>
                <w:szCs w:val="24"/>
              </w:rPr>
            </w:pPr>
            <w:r w:rsidRPr="00DD0D1F">
              <w:rPr>
                <w:b/>
                <w:bCs/>
                <w:szCs w:val="24"/>
              </w:rPr>
              <w:t>Kullanılan terim</w:t>
            </w:r>
          </w:p>
        </w:tc>
        <w:tc>
          <w:tcPr>
            <w:tcW w:w="3597" w:type="pct"/>
            <w:tcBorders>
              <w:top w:val="single" w:sz="4" w:space="0" w:color="000000"/>
              <w:left w:val="single" w:sz="4" w:space="0" w:color="000000"/>
              <w:bottom w:val="single" w:sz="4" w:space="0" w:color="000000"/>
              <w:right w:val="single" w:sz="4" w:space="0" w:color="000000"/>
            </w:tcBorders>
            <w:hideMark/>
          </w:tcPr>
          <w:p w14:paraId="6A7A1E06" w14:textId="77777777" w:rsidR="00A508A2" w:rsidRPr="00DD0D1F" w:rsidRDefault="00A508A2" w:rsidP="00A508A2">
            <w:pPr>
              <w:pStyle w:val="TableParagraph"/>
              <w:spacing w:before="26"/>
              <w:ind w:left="75" w:right="152"/>
              <w:jc w:val="center"/>
              <w:rPr>
                <w:b/>
                <w:szCs w:val="24"/>
              </w:rPr>
            </w:pPr>
            <w:r w:rsidRPr="00DD0D1F">
              <w:rPr>
                <w:b/>
                <w:bCs/>
                <w:szCs w:val="24"/>
              </w:rPr>
              <w:t>Tanım</w:t>
            </w:r>
          </w:p>
        </w:tc>
      </w:tr>
      <w:tr w:rsidR="00A508A2" w:rsidRPr="00DD0D1F" w14:paraId="42A3BD5E"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238A3AD1" w14:textId="77777777" w:rsidR="00A508A2" w:rsidRPr="00DD0D1F" w:rsidRDefault="00A508A2" w:rsidP="00A508A2">
            <w:pPr>
              <w:pStyle w:val="TableParagraph"/>
              <w:spacing w:before="108"/>
              <w:ind w:left="107"/>
              <w:rPr>
                <w:szCs w:val="24"/>
              </w:rPr>
            </w:pPr>
            <w:r w:rsidRPr="00DD0D1F">
              <w:rPr>
                <w:szCs w:val="24"/>
              </w:rPr>
              <w:t>Birim</w:t>
            </w:r>
          </w:p>
        </w:tc>
        <w:tc>
          <w:tcPr>
            <w:tcW w:w="3597" w:type="pct"/>
            <w:tcBorders>
              <w:top w:val="single" w:sz="4" w:space="0" w:color="000000"/>
              <w:left w:val="single" w:sz="4" w:space="0" w:color="000000"/>
              <w:bottom w:val="single" w:sz="4" w:space="0" w:color="000000"/>
              <w:right w:val="single" w:sz="4" w:space="0" w:color="000000"/>
            </w:tcBorders>
            <w:hideMark/>
          </w:tcPr>
          <w:p w14:paraId="08FF3BBF" w14:textId="77777777" w:rsidR="00A508A2" w:rsidRPr="00DD0D1F" w:rsidRDefault="00A508A2" w:rsidP="00A508A2">
            <w:pPr>
              <w:pStyle w:val="TableParagraph"/>
              <w:spacing w:line="223" w:lineRule="exact"/>
              <w:ind w:left="107"/>
              <w:rPr>
                <w:szCs w:val="24"/>
              </w:rPr>
            </w:pPr>
            <w:r w:rsidRPr="00DD0D1F">
              <w:rPr>
                <w:szCs w:val="24"/>
              </w:rPr>
              <w:t>Spesifik bir proses faaliyetinin yürütüldüğü tesis segmenti/alt bölümüdür</w:t>
            </w:r>
          </w:p>
        </w:tc>
      </w:tr>
      <w:tr w:rsidR="00A508A2" w:rsidRPr="00DD0D1F" w14:paraId="3F7304FC" w14:textId="77777777" w:rsidTr="006D7364">
        <w:trPr>
          <w:trHeight w:val="414"/>
        </w:trPr>
        <w:tc>
          <w:tcPr>
            <w:tcW w:w="1403" w:type="pct"/>
            <w:tcBorders>
              <w:top w:val="single" w:sz="4" w:space="0" w:color="000000"/>
              <w:left w:val="single" w:sz="4" w:space="0" w:color="000000"/>
              <w:bottom w:val="single" w:sz="4" w:space="0" w:color="000000"/>
              <w:right w:val="single" w:sz="4" w:space="0" w:color="000000"/>
            </w:tcBorders>
          </w:tcPr>
          <w:p w14:paraId="2FC0CA73" w14:textId="77777777" w:rsidR="00B1191E" w:rsidRPr="00DD0D1F" w:rsidRDefault="00B1191E" w:rsidP="00A508A2">
            <w:pPr>
              <w:pStyle w:val="TableParagraph"/>
              <w:ind w:left="107"/>
              <w:rPr>
                <w:szCs w:val="24"/>
              </w:rPr>
            </w:pPr>
          </w:p>
          <w:p w14:paraId="2AEA1AF5" w14:textId="27317777" w:rsidR="00A508A2" w:rsidRPr="00DD0D1F" w:rsidRDefault="00A508A2" w:rsidP="00A508A2">
            <w:pPr>
              <w:pStyle w:val="TableParagraph"/>
              <w:ind w:left="107"/>
              <w:rPr>
                <w:szCs w:val="24"/>
              </w:rPr>
            </w:pPr>
            <w:r w:rsidRPr="00DD0D1F">
              <w:rPr>
                <w:szCs w:val="24"/>
              </w:rPr>
              <w:t>Yeni birim</w:t>
            </w:r>
          </w:p>
        </w:tc>
        <w:tc>
          <w:tcPr>
            <w:tcW w:w="3597" w:type="pct"/>
            <w:tcBorders>
              <w:top w:val="single" w:sz="4" w:space="0" w:color="000000"/>
              <w:left w:val="single" w:sz="4" w:space="0" w:color="000000"/>
              <w:bottom w:val="single" w:sz="4" w:space="0" w:color="000000"/>
              <w:right w:val="single" w:sz="4" w:space="0" w:color="000000"/>
            </w:tcBorders>
            <w:hideMark/>
          </w:tcPr>
          <w:p w14:paraId="08A80C81" w14:textId="77777777" w:rsidR="00B1191E" w:rsidRPr="00DD0D1F" w:rsidRDefault="00B1191E" w:rsidP="00A508A2">
            <w:pPr>
              <w:pStyle w:val="TableParagraph"/>
              <w:ind w:left="107" w:right="98"/>
              <w:rPr>
                <w:szCs w:val="24"/>
              </w:rPr>
            </w:pPr>
          </w:p>
          <w:p w14:paraId="7218E0BF" w14:textId="65805E21" w:rsidR="00A508A2" w:rsidRPr="00DD0D1F" w:rsidRDefault="00B1191E" w:rsidP="00A508A2">
            <w:pPr>
              <w:pStyle w:val="TableParagraph"/>
              <w:ind w:left="107" w:right="98"/>
              <w:rPr>
                <w:szCs w:val="24"/>
              </w:rPr>
            </w:pPr>
            <w:r w:rsidRPr="00DD0D1F">
              <w:rPr>
                <w:szCs w:val="24"/>
              </w:rPr>
              <w:t>Mevcut birim dışında kalan birimi.</w:t>
            </w:r>
          </w:p>
        </w:tc>
      </w:tr>
      <w:tr w:rsidR="00A508A2" w:rsidRPr="00DD0D1F" w14:paraId="044C2A0B" w14:textId="77777777" w:rsidTr="006D7364">
        <w:trPr>
          <w:trHeight w:val="284"/>
        </w:trPr>
        <w:tc>
          <w:tcPr>
            <w:tcW w:w="1403" w:type="pct"/>
            <w:tcBorders>
              <w:top w:val="single" w:sz="4" w:space="0" w:color="000000"/>
              <w:left w:val="single" w:sz="4" w:space="0" w:color="000000"/>
              <w:bottom w:val="single" w:sz="4" w:space="0" w:color="000000"/>
              <w:right w:val="single" w:sz="4" w:space="0" w:color="000000"/>
            </w:tcBorders>
            <w:hideMark/>
          </w:tcPr>
          <w:p w14:paraId="3A930C4B" w14:textId="77777777" w:rsidR="00A508A2" w:rsidRPr="00DD0D1F" w:rsidRDefault="00A508A2" w:rsidP="00A508A2">
            <w:pPr>
              <w:pStyle w:val="TableParagraph"/>
              <w:spacing w:before="18"/>
              <w:ind w:left="107"/>
              <w:rPr>
                <w:szCs w:val="24"/>
              </w:rPr>
            </w:pPr>
            <w:r w:rsidRPr="00DD0D1F">
              <w:rPr>
                <w:szCs w:val="24"/>
              </w:rPr>
              <w:t>Mevcut birim</w:t>
            </w:r>
          </w:p>
        </w:tc>
        <w:tc>
          <w:tcPr>
            <w:tcW w:w="3597" w:type="pct"/>
            <w:tcBorders>
              <w:top w:val="single" w:sz="4" w:space="0" w:color="000000"/>
              <w:left w:val="single" w:sz="4" w:space="0" w:color="000000"/>
              <w:bottom w:val="single" w:sz="4" w:space="0" w:color="000000"/>
              <w:right w:val="single" w:sz="4" w:space="0" w:color="000000"/>
            </w:tcBorders>
            <w:hideMark/>
          </w:tcPr>
          <w:p w14:paraId="364B5D6F" w14:textId="137A0DFB" w:rsidR="00A508A2" w:rsidRPr="00DD0D1F" w:rsidRDefault="00B1191E" w:rsidP="00B1191E">
            <w:pPr>
              <w:pStyle w:val="TableParagraph"/>
              <w:spacing w:before="18"/>
              <w:ind w:left="107"/>
              <w:rPr>
                <w:szCs w:val="24"/>
              </w:rPr>
            </w:pPr>
            <w:r w:rsidRPr="00DD0D1F">
              <w:rPr>
                <w:szCs w:val="24"/>
              </w:rPr>
              <w:t>Yönetmelik yürürlük tarihi itibariyle faaliyette olan veya çevresel etki değerlendirmesi mevzuatına göre başvurusu bulunan birim.</w:t>
            </w:r>
          </w:p>
        </w:tc>
      </w:tr>
      <w:tr w:rsidR="00A508A2" w:rsidRPr="00DD0D1F" w14:paraId="1D3F0049" w14:textId="77777777" w:rsidTr="006D7364">
        <w:trPr>
          <w:trHeight w:val="484"/>
        </w:trPr>
        <w:tc>
          <w:tcPr>
            <w:tcW w:w="1403" w:type="pct"/>
            <w:tcBorders>
              <w:top w:val="single" w:sz="4" w:space="0" w:color="000000"/>
              <w:left w:val="single" w:sz="4" w:space="0" w:color="000000"/>
              <w:bottom w:val="single" w:sz="4" w:space="0" w:color="000000"/>
              <w:right w:val="single" w:sz="4" w:space="0" w:color="000000"/>
            </w:tcBorders>
          </w:tcPr>
          <w:p w14:paraId="78F59CBE" w14:textId="77777777" w:rsidR="00A508A2" w:rsidRPr="00DD0D1F" w:rsidRDefault="00A508A2" w:rsidP="00A508A2">
            <w:pPr>
              <w:pStyle w:val="TableParagraph"/>
              <w:spacing w:before="5"/>
              <w:rPr>
                <w:szCs w:val="24"/>
              </w:rPr>
            </w:pPr>
          </w:p>
          <w:p w14:paraId="018B206F" w14:textId="77777777" w:rsidR="00A508A2" w:rsidRPr="00DD0D1F" w:rsidRDefault="00A508A2" w:rsidP="00A508A2">
            <w:pPr>
              <w:pStyle w:val="TableParagraph"/>
              <w:ind w:left="107"/>
              <w:rPr>
                <w:szCs w:val="24"/>
              </w:rPr>
            </w:pPr>
            <w:r w:rsidRPr="00DD0D1F">
              <w:rPr>
                <w:szCs w:val="24"/>
              </w:rPr>
              <w:t>Proses çıkış gazı</w:t>
            </w:r>
          </w:p>
        </w:tc>
        <w:tc>
          <w:tcPr>
            <w:tcW w:w="3597" w:type="pct"/>
            <w:tcBorders>
              <w:top w:val="single" w:sz="4" w:space="0" w:color="000000"/>
              <w:left w:val="single" w:sz="4" w:space="0" w:color="000000"/>
              <w:bottom w:val="single" w:sz="4" w:space="0" w:color="000000"/>
              <w:right w:val="single" w:sz="4" w:space="0" w:color="000000"/>
            </w:tcBorders>
            <w:hideMark/>
          </w:tcPr>
          <w:p w14:paraId="5167FC18" w14:textId="77777777" w:rsidR="00A508A2" w:rsidRPr="00DD0D1F" w:rsidRDefault="00A508A2" w:rsidP="00A508A2">
            <w:pPr>
              <w:pStyle w:val="TableParagraph"/>
              <w:spacing w:line="223" w:lineRule="exact"/>
              <w:ind w:left="107"/>
              <w:rPr>
                <w:szCs w:val="24"/>
              </w:rPr>
            </w:pPr>
            <w:r w:rsidRPr="00DD0D1F">
              <w:rPr>
                <w:szCs w:val="24"/>
              </w:rPr>
              <w:t>Arıtılması gereken bir prosesten açığa çıkan ve toplanan gazdır; ör. asit gazı giderme biriminde ve kükürt geri kazanım bitiminde (SRU)</w:t>
            </w:r>
          </w:p>
        </w:tc>
      </w:tr>
      <w:tr w:rsidR="00A508A2" w:rsidRPr="00DD0D1F" w14:paraId="57156A54"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14FAAE1D" w14:textId="17B9310C" w:rsidR="00A508A2" w:rsidRPr="00DD0D1F" w:rsidRDefault="00A508A2" w:rsidP="00A508A2">
            <w:pPr>
              <w:pStyle w:val="TableParagraph"/>
              <w:spacing w:before="108"/>
              <w:ind w:left="107"/>
              <w:rPr>
                <w:szCs w:val="24"/>
              </w:rPr>
            </w:pPr>
            <w:r w:rsidRPr="00DD0D1F">
              <w:rPr>
                <w:szCs w:val="24"/>
              </w:rPr>
              <w:t>Baca gazı</w:t>
            </w:r>
          </w:p>
        </w:tc>
        <w:tc>
          <w:tcPr>
            <w:tcW w:w="3597" w:type="pct"/>
            <w:tcBorders>
              <w:top w:val="single" w:sz="4" w:space="0" w:color="000000"/>
              <w:left w:val="single" w:sz="4" w:space="0" w:color="000000"/>
              <w:bottom w:val="single" w:sz="4" w:space="0" w:color="000000"/>
              <w:right w:val="single" w:sz="4" w:space="0" w:color="000000"/>
            </w:tcBorders>
            <w:hideMark/>
          </w:tcPr>
          <w:p w14:paraId="6FF64DD9" w14:textId="77777777" w:rsidR="00A508A2" w:rsidRPr="00DD0D1F" w:rsidRDefault="00A508A2" w:rsidP="00A508A2">
            <w:pPr>
              <w:pStyle w:val="TableParagraph"/>
              <w:spacing w:line="223" w:lineRule="exact"/>
              <w:ind w:left="107"/>
              <w:rPr>
                <w:szCs w:val="24"/>
              </w:rPr>
            </w:pPr>
            <w:r w:rsidRPr="00DD0D1F">
              <w:rPr>
                <w:szCs w:val="24"/>
              </w:rPr>
              <w:t>Genellikle yanma şeklindeki oksitleme adımından sonda birimden çıkan çürük gazdır (ör. rejeneratör, Claus birimi)</w:t>
            </w:r>
          </w:p>
        </w:tc>
      </w:tr>
      <w:tr w:rsidR="00A508A2" w:rsidRPr="00DD0D1F" w14:paraId="3E145499"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6B9CF2F4" w14:textId="77777777" w:rsidR="00A508A2" w:rsidRPr="00DD0D1F" w:rsidRDefault="00A508A2" w:rsidP="00A508A2">
            <w:pPr>
              <w:pStyle w:val="TableParagraph"/>
              <w:spacing w:before="108"/>
              <w:ind w:left="107"/>
              <w:rPr>
                <w:szCs w:val="24"/>
              </w:rPr>
            </w:pPr>
            <w:r w:rsidRPr="00DD0D1F">
              <w:rPr>
                <w:szCs w:val="24"/>
              </w:rPr>
              <w:t>Artık gaz</w:t>
            </w:r>
          </w:p>
        </w:tc>
        <w:tc>
          <w:tcPr>
            <w:tcW w:w="3597" w:type="pct"/>
            <w:tcBorders>
              <w:top w:val="single" w:sz="4" w:space="0" w:color="000000"/>
              <w:left w:val="single" w:sz="4" w:space="0" w:color="000000"/>
              <w:bottom w:val="single" w:sz="4" w:space="0" w:color="000000"/>
              <w:right w:val="single" w:sz="4" w:space="0" w:color="000000"/>
            </w:tcBorders>
            <w:hideMark/>
          </w:tcPr>
          <w:p w14:paraId="7F215DB1" w14:textId="68B72CD0" w:rsidR="00A508A2" w:rsidRPr="00DD0D1F" w:rsidRDefault="00A508A2" w:rsidP="00A508A2">
            <w:pPr>
              <w:pStyle w:val="TableParagraph"/>
              <w:spacing w:line="223" w:lineRule="exact"/>
              <w:ind w:left="107"/>
              <w:rPr>
                <w:szCs w:val="24"/>
              </w:rPr>
            </w:pPr>
            <w:r w:rsidRPr="00DD0D1F">
              <w:rPr>
                <w:szCs w:val="24"/>
              </w:rPr>
              <w:t>SRU'dan (çoğunlukla Claus prosesi) kayna</w:t>
            </w:r>
            <w:r w:rsidR="00B1191E" w:rsidRPr="00DD0D1F">
              <w:rPr>
                <w:szCs w:val="24"/>
              </w:rPr>
              <w:t>klanan çürük gazın genel adıdır.</w:t>
            </w:r>
          </w:p>
        </w:tc>
      </w:tr>
      <w:tr w:rsidR="00A508A2" w:rsidRPr="00DD0D1F" w14:paraId="4C8E48CC"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2CFE50D1" w14:textId="77777777" w:rsidR="00A508A2" w:rsidRPr="00DD0D1F" w:rsidRDefault="00A508A2" w:rsidP="00A508A2">
            <w:pPr>
              <w:pStyle w:val="TableParagraph"/>
              <w:spacing w:before="108"/>
              <w:ind w:left="107"/>
              <w:rPr>
                <w:szCs w:val="24"/>
              </w:rPr>
            </w:pPr>
            <w:r w:rsidRPr="00DD0D1F">
              <w:rPr>
                <w:szCs w:val="24"/>
              </w:rPr>
              <w:t>VOC</w:t>
            </w:r>
          </w:p>
        </w:tc>
        <w:tc>
          <w:tcPr>
            <w:tcW w:w="3597" w:type="pct"/>
            <w:tcBorders>
              <w:top w:val="single" w:sz="4" w:space="0" w:color="000000"/>
              <w:left w:val="single" w:sz="4" w:space="0" w:color="000000"/>
              <w:bottom w:val="single" w:sz="4" w:space="0" w:color="000000"/>
              <w:right w:val="single" w:sz="4" w:space="0" w:color="000000"/>
            </w:tcBorders>
            <w:hideMark/>
          </w:tcPr>
          <w:p w14:paraId="336F3699" w14:textId="3FFFA528" w:rsidR="00A508A2" w:rsidRPr="00DD0D1F" w:rsidRDefault="00B1191E" w:rsidP="00A508A2">
            <w:pPr>
              <w:pStyle w:val="TableParagraph"/>
              <w:spacing w:line="223" w:lineRule="exact"/>
              <w:ind w:left="107"/>
              <w:rPr>
                <w:szCs w:val="24"/>
              </w:rPr>
            </w:pPr>
            <w:r w:rsidRPr="00DD0D1F">
              <w:rPr>
                <w:szCs w:val="24"/>
              </w:rPr>
              <w:t>Yönetmelikte</w:t>
            </w:r>
            <w:r w:rsidR="00A508A2" w:rsidRPr="00DD0D1F">
              <w:rPr>
                <w:szCs w:val="24"/>
              </w:rPr>
              <w:t xml:space="preserve"> tanımlanan uçucu organik bileşiklerdir</w:t>
            </w:r>
          </w:p>
        </w:tc>
      </w:tr>
      <w:tr w:rsidR="00A508A2" w:rsidRPr="00DD0D1F" w14:paraId="5055E941" w14:textId="77777777" w:rsidTr="006D7364">
        <w:trPr>
          <w:trHeight w:val="282"/>
        </w:trPr>
        <w:tc>
          <w:tcPr>
            <w:tcW w:w="1403" w:type="pct"/>
            <w:tcBorders>
              <w:top w:val="single" w:sz="4" w:space="0" w:color="000000"/>
              <w:left w:val="single" w:sz="4" w:space="0" w:color="000000"/>
              <w:bottom w:val="single" w:sz="4" w:space="0" w:color="000000"/>
              <w:right w:val="single" w:sz="4" w:space="0" w:color="000000"/>
            </w:tcBorders>
            <w:hideMark/>
          </w:tcPr>
          <w:p w14:paraId="098BA350" w14:textId="77777777" w:rsidR="00A508A2" w:rsidRPr="00DD0D1F" w:rsidRDefault="00A508A2" w:rsidP="00A508A2">
            <w:pPr>
              <w:pStyle w:val="TableParagraph"/>
              <w:spacing w:before="19"/>
              <w:ind w:left="107"/>
              <w:rPr>
                <w:szCs w:val="24"/>
              </w:rPr>
            </w:pPr>
            <w:r w:rsidRPr="00DD0D1F">
              <w:rPr>
                <w:szCs w:val="24"/>
              </w:rPr>
              <w:t>NMVOC</w:t>
            </w:r>
          </w:p>
        </w:tc>
        <w:tc>
          <w:tcPr>
            <w:tcW w:w="3597" w:type="pct"/>
            <w:tcBorders>
              <w:top w:val="single" w:sz="4" w:space="0" w:color="000000"/>
              <w:left w:val="single" w:sz="4" w:space="0" w:color="000000"/>
              <w:bottom w:val="single" w:sz="4" w:space="0" w:color="000000"/>
              <w:right w:val="single" w:sz="4" w:space="0" w:color="000000"/>
            </w:tcBorders>
            <w:hideMark/>
          </w:tcPr>
          <w:p w14:paraId="4D04E870" w14:textId="77777777" w:rsidR="00A508A2" w:rsidRPr="00DD0D1F" w:rsidRDefault="00A508A2" w:rsidP="00A508A2">
            <w:pPr>
              <w:pStyle w:val="TableParagraph"/>
              <w:spacing w:before="19"/>
              <w:ind w:left="107"/>
              <w:rPr>
                <w:szCs w:val="24"/>
              </w:rPr>
            </w:pPr>
            <w:r w:rsidRPr="00DD0D1F">
              <w:rPr>
                <w:szCs w:val="24"/>
              </w:rPr>
              <w:t>Metan  hariç VOC'dir</w:t>
            </w:r>
          </w:p>
        </w:tc>
      </w:tr>
      <w:tr w:rsidR="00A508A2" w:rsidRPr="00DD0D1F" w14:paraId="1386CAA5" w14:textId="77777777" w:rsidTr="006D7364">
        <w:trPr>
          <w:trHeight w:val="690"/>
        </w:trPr>
        <w:tc>
          <w:tcPr>
            <w:tcW w:w="1403" w:type="pct"/>
            <w:tcBorders>
              <w:top w:val="single" w:sz="4" w:space="0" w:color="000000"/>
              <w:left w:val="single" w:sz="4" w:space="0" w:color="000000"/>
              <w:bottom w:val="single" w:sz="4" w:space="0" w:color="000000"/>
              <w:right w:val="single" w:sz="4" w:space="0" w:color="000000"/>
            </w:tcBorders>
          </w:tcPr>
          <w:p w14:paraId="0AE230EB" w14:textId="77777777" w:rsidR="00A508A2" w:rsidRPr="00DD0D1F" w:rsidRDefault="00A508A2" w:rsidP="00A508A2">
            <w:pPr>
              <w:pStyle w:val="TableParagraph"/>
              <w:spacing w:before="5"/>
              <w:rPr>
                <w:szCs w:val="24"/>
              </w:rPr>
            </w:pPr>
          </w:p>
          <w:p w14:paraId="227B53BB" w14:textId="77777777" w:rsidR="00A508A2" w:rsidRPr="00DD0D1F" w:rsidRDefault="00A508A2" w:rsidP="00A508A2">
            <w:pPr>
              <w:pStyle w:val="TableParagraph"/>
              <w:ind w:left="107"/>
              <w:rPr>
                <w:szCs w:val="24"/>
              </w:rPr>
            </w:pPr>
            <w:r w:rsidRPr="00DD0D1F">
              <w:rPr>
                <w:szCs w:val="24"/>
              </w:rPr>
              <w:t>Difüz VOC emisyonu</w:t>
            </w:r>
          </w:p>
        </w:tc>
        <w:tc>
          <w:tcPr>
            <w:tcW w:w="3597" w:type="pct"/>
            <w:tcBorders>
              <w:top w:val="single" w:sz="4" w:space="0" w:color="000000"/>
              <w:left w:val="single" w:sz="4" w:space="0" w:color="000000"/>
              <w:bottom w:val="single" w:sz="4" w:space="0" w:color="000000"/>
              <w:right w:val="single" w:sz="4" w:space="0" w:color="000000"/>
            </w:tcBorders>
            <w:hideMark/>
          </w:tcPr>
          <w:p w14:paraId="7047F4CA" w14:textId="74BE12E5" w:rsidR="00A508A2" w:rsidRPr="00DD0D1F" w:rsidRDefault="00A508A2" w:rsidP="00A508A2">
            <w:pPr>
              <w:pStyle w:val="TableParagraph"/>
              <w:ind w:left="107"/>
              <w:rPr>
                <w:szCs w:val="24"/>
              </w:rPr>
            </w:pPr>
            <w:r w:rsidRPr="00DD0D1F">
              <w:rPr>
                <w:szCs w:val="24"/>
              </w:rPr>
              <w:t>Bacalar gibi spesifik emisyon noktalarından salınmayan kanalize edilmemiş VOC emisyonlarıdır. Bunlar, 'alan' kaynaklarından (ör. tanklar) veya 'nokta' kaynaklarından (ör. boru flanşları) ortaya çıkabilirler.</w:t>
            </w:r>
          </w:p>
        </w:tc>
      </w:tr>
      <w:tr w:rsidR="00A508A2" w:rsidRPr="00DD0D1F" w14:paraId="375E6B92"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3518C6BA" w14:textId="77777777" w:rsidR="00A508A2" w:rsidRPr="00DD0D1F" w:rsidRDefault="00A508A2" w:rsidP="00A508A2">
            <w:pPr>
              <w:pStyle w:val="TableParagraph"/>
              <w:spacing w:before="108"/>
              <w:ind w:left="107"/>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3597" w:type="pct"/>
            <w:tcBorders>
              <w:top w:val="single" w:sz="4" w:space="0" w:color="000000"/>
              <w:left w:val="single" w:sz="4" w:space="0" w:color="000000"/>
              <w:bottom w:val="single" w:sz="4" w:space="0" w:color="000000"/>
              <w:right w:val="single" w:sz="4" w:space="0" w:color="000000"/>
            </w:tcBorders>
            <w:hideMark/>
          </w:tcPr>
          <w:p w14:paraId="128C9C8C" w14:textId="77777777" w:rsidR="00A508A2" w:rsidRPr="00DD0D1F" w:rsidRDefault="00A508A2" w:rsidP="00A508A2">
            <w:pPr>
              <w:pStyle w:val="TableParagraph"/>
              <w:spacing w:line="223" w:lineRule="exact"/>
              <w:ind w:left="107"/>
              <w:rPr>
                <w:szCs w:val="24"/>
              </w:rPr>
            </w:pPr>
            <w:r w:rsidRPr="00DD0D1F">
              <w:rPr>
                <w:szCs w:val="24"/>
              </w:rPr>
              <w:t>Azot oksit (NO) ile azot dioksitin (NO</w:t>
            </w:r>
            <w:r w:rsidRPr="00DD0D1F">
              <w:rPr>
                <w:szCs w:val="24"/>
                <w:vertAlign w:val="subscript"/>
              </w:rPr>
              <w:t>2</w:t>
            </w:r>
            <w:r w:rsidRPr="00DD0D1F">
              <w:rPr>
                <w:szCs w:val="24"/>
              </w:rPr>
              <w:t>) NO</w:t>
            </w:r>
            <w:r w:rsidRPr="00DD0D1F">
              <w:rPr>
                <w:szCs w:val="24"/>
                <w:vertAlign w:val="subscript"/>
              </w:rPr>
              <w:t xml:space="preserve">2 </w:t>
            </w:r>
            <w:r w:rsidRPr="00DD0D1F">
              <w:rPr>
                <w:szCs w:val="24"/>
              </w:rPr>
              <w:t>olarak ifade edilen toplamıdır.</w:t>
            </w:r>
          </w:p>
        </w:tc>
      </w:tr>
      <w:tr w:rsidR="00A508A2" w:rsidRPr="00DD0D1F" w14:paraId="150A3DEB" w14:textId="77777777" w:rsidTr="006D7364">
        <w:trPr>
          <w:trHeight w:val="458"/>
        </w:trPr>
        <w:tc>
          <w:tcPr>
            <w:tcW w:w="1403" w:type="pct"/>
            <w:tcBorders>
              <w:top w:val="single" w:sz="4" w:space="0" w:color="000000"/>
              <w:left w:val="single" w:sz="4" w:space="0" w:color="000000"/>
              <w:bottom w:val="single" w:sz="4" w:space="0" w:color="000000"/>
              <w:right w:val="single" w:sz="4" w:space="0" w:color="000000"/>
            </w:tcBorders>
            <w:hideMark/>
          </w:tcPr>
          <w:p w14:paraId="3C51892B" w14:textId="77777777" w:rsidR="00A508A2" w:rsidRPr="00DD0D1F" w:rsidRDefault="00A508A2" w:rsidP="00A508A2">
            <w:pPr>
              <w:pStyle w:val="TableParagraph"/>
              <w:spacing w:before="108"/>
              <w:ind w:left="107"/>
              <w:rPr>
                <w:szCs w:val="24"/>
              </w:rPr>
            </w:pPr>
            <w:r w:rsidRPr="00DD0D1F">
              <w:rPr>
                <w:szCs w:val="24"/>
              </w:rPr>
              <w:t>SO</w:t>
            </w:r>
            <w:r w:rsidRPr="00DD0D1F">
              <w:rPr>
                <w:szCs w:val="24"/>
                <w:vertAlign w:val="subscript"/>
              </w:rPr>
              <w:t xml:space="preserve">2 </w:t>
            </w:r>
            <w:r w:rsidRPr="00DD0D1F">
              <w:rPr>
                <w:szCs w:val="24"/>
              </w:rPr>
              <w:t>olarak ifade edilen SO</w:t>
            </w:r>
            <w:r w:rsidRPr="00DD0D1F">
              <w:rPr>
                <w:szCs w:val="24"/>
                <w:vertAlign w:val="subscript"/>
              </w:rPr>
              <w:t>X</w:t>
            </w:r>
          </w:p>
        </w:tc>
        <w:tc>
          <w:tcPr>
            <w:tcW w:w="3597" w:type="pct"/>
            <w:tcBorders>
              <w:top w:val="single" w:sz="4" w:space="0" w:color="000000"/>
              <w:left w:val="single" w:sz="4" w:space="0" w:color="000000"/>
              <w:bottom w:val="single" w:sz="4" w:space="0" w:color="000000"/>
              <w:right w:val="single" w:sz="4" w:space="0" w:color="000000"/>
            </w:tcBorders>
            <w:hideMark/>
          </w:tcPr>
          <w:p w14:paraId="1F081B41" w14:textId="77777777" w:rsidR="00A508A2" w:rsidRPr="00DD0D1F" w:rsidRDefault="00A508A2" w:rsidP="00A508A2">
            <w:pPr>
              <w:pStyle w:val="TableParagraph"/>
              <w:spacing w:line="223" w:lineRule="exact"/>
              <w:ind w:left="107"/>
              <w:rPr>
                <w:szCs w:val="24"/>
              </w:rPr>
            </w:pPr>
            <w:r w:rsidRPr="00DD0D1F">
              <w:rPr>
                <w:szCs w:val="24"/>
              </w:rPr>
              <w:t>Kükürt dioksit oksit (SO</w:t>
            </w:r>
            <w:r w:rsidRPr="00DD0D1F">
              <w:rPr>
                <w:szCs w:val="24"/>
                <w:vertAlign w:val="subscript"/>
              </w:rPr>
              <w:t>2</w:t>
            </w:r>
            <w:r w:rsidRPr="00DD0D1F">
              <w:rPr>
                <w:szCs w:val="24"/>
              </w:rPr>
              <w:t>) ile kükürt trioksitin (SO</w:t>
            </w:r>
            <w:r w:rsidRPr="00DD0D1F">
              <w:rPr>
                <w:szCs w:val="24"/>
                <w:vertAlign w:val="subscript"/>
              </w:rPr>
              <w:t>3</w:t>
            </w:r>
            <w:r w:rsidRPr="00DD0D1F">
              <w:rPr>
                <w:szCs w:val="24"/>
              </w:rPr>
              <w:t>) SO</w:t>
            </w:r>
            <w:r w:rsidRPr="00DD0D1F">
              <w:rPr>
                <w:szCs w:val="24"/>
                <w:vertAlign w:val="subscript"/>
              </w:rPr>
              <w:t xml:space="preserve">2 </w:t>
            </w:r>
            <w:r w:rsidRPr="00DD0D1F">
              <w:rPr>
                <w:szCs w:val="24"/>
              </w:rPr>
              <w:t>olarak ifade edilen toplamıdır.</w:t>
            </w:r>
          </w:p>
        </w:tc>
      </w:tr>
      <w:tr w:rsidR="00A508A2" w:rsidRPr="00DD0D1F" w14:paraId="48C25E2B"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44F627C7" w14:textId="77777777" w:rsidR="00A508A2" w:rsidRPr="00DD0D1F" w:rsidRDefault="00A508A2" w:rsidP="00A508A2">
            <w:pPr>
              <w:pStyle w:val="TableParagraph"/>
              <w:spacing w:before="110"/>
              <w:ind w:left="107"/>
              <w:rPr>
                <w:szCs w:val="24"/>
              </w:rPr>
            </w:pPr>
            <w:r w:rsidRPr="00DD0D1F">
              <w:rPr>
                <w:szCs w:val="24"/>
              </w:rPr>
              <w:t>H</w:t>
            </w:r>
            <w:r w:rsidRPr="00DD0D1F">
              <w:rPr>
                <w:szCs w:val="24"/>
                <w:vertAlign w:val="subscript"/>
              </w:rPr>
              <w:t>2</w:t>
            </w:r>
            <w:r w:rsidRPr="00DD0D1F">
              <w:rPr>
                <w:szCs w:val="24"/>
              </w:rPr>
              <w:t>S</w:t>
            </w:r>
          </w:p>
        </w:tc>
        <w:tc>
          <w:tcPr>
            <w:tcW w:w="3597" w:type="pct"/>
            <w:tcBorders>
              <w:top w:val="single" w:sz="4" w:space="0" w:color="000000"/>
              <w:left w:val="single" w:sz="4" w:space="0" w:color="000000"/>
              <w:bottom w:val="single" w:sz="4" w:space="0" w:color="000000"/>
              <w:right w:val="single" w:sz="4" w:space="0" w:color="000000"/>
            </w:tcBorders>
            <w:hideMark/>
          </w:tcPr>
          <w:p w14:paraId="3260DB1B" w14:textId="77777777" w:rsidR="00A508A2" w:rsidRPr="00DD0D1F" w:rsidRDefault="00A508A2" w:rsidP="00A508A2">
            <w:pPr>
              <w:pStyle w:val="TableParagraph"/>
              <w:spacing w:line="224" w:lineRule="exact"/>
              <w:ind w:left="107"/>
              <w:rPr>
                <w:szCs w:val="24"/>
              </w:rPr>
            </w:pPr>
            <w:r w:rsidRPr="00DD0D1F">
              <w:rPr>
                <w:szCs w:val="24"/>
              </w:rPr>
              <w:t>Hidrojen sülfürdür. Karbonil sülfür ve merkaptan hariçtir.</w:t>
            </w:r>
          </w:p>
        </w:tc>
      </w:tr>
      <w:tr w:rsidR="00A508A2" w:rsidRPr="00DD0D1F" w14:paraId="3C7F3603" w14:textId="77777777" w:rsidTr="006D7364">
        <w:trPr>
          <w:trHeight w:val="285"/>
        </w:trPr>
        <w:tc>
          <w:tcPr>
            <w:tcW w:w="1403" w:type="pct"/>
            <w:tcBorders>
              <w:top w:val="single" w:sz="4" w:space="0" w:color="000000"/>
              <w:left w:val="single" w:sz="4" w:space="0" w:color="000000"/>
              <w:bottom w:val="single" w:sz="4" w:space="0" w:color="000000"/>
              <w:right w:val="single" w:sz="4" w:space="0" w:color="000000"/>
            </w:tcBorders>
            <w:hideMark/>
          </w:tcPr>
          <w:p w14:paraId="63A37CC6" w14:textId="77777777" w:rsidR="00A508A2" w:rsidRPr="00DD0D1F" w:rsidRDefault="00A508A2" w:rsidP="00A508A2">
            <w:pPr>
              <w:pStyle w:val="TableParagraph"/>
              <w:spacing w:before="22"/>
              <w:ind w:left="107"/>
              <w:rPr>
                <w:szCs w:val="24"/>
              </w:rPr>
            </w:pPr>
            <w:r w:rsidRPr="00DD0D1F">
              <w:rPr>
                <w:szCs w:val="24"/>
              </w:rPr>
              <w:t>HCl olarak ifade edilen hidrojen klorür</w:t>
            </w:r>
          </w:p>
        </w:tc>
        <w:tc>
          <w:tcPr>
            <w:tcW w:w="3597" w:type="pct"/>
            <w:tcBorders>
              <w:top w:val="single" w:sz="4" w:space="0" w:color="000000"/>
              <w:left w:val="single" w:sz="4" w:space="0" w:color="000000"/>
              <w:bottom w:val="single" w:sz="4" w:space="0" w:color="000000"/>
              <w:right w:val="single" w:sz="4" w:space="0" w:color="000000"/>
            </w:tcBorders>
            <w:hideMark/>
          </w:tcPr>
          <w:p w14:paraId="11F69A04" w14:textId="77777777" w:rsidR="00A508A2" w:rsidRPr="00DD0D1F" w:rsidRDefault="00A508A2" w:rsidP="00A508A2">
            <w:pPr>
              <w:pStyle w:val="TableParagraph"/>
              <w:spacing w:before="22"/>
              <w:ind w:left="107"/>
              <w:rPr>
                <w:szCs w:val="24"/>
              </w:rPr>
            </w:pPr>
            <w:r w:rsidRPr="00DD0D1F">
              <w:rPr>
                <w:szCs w:val="24"/>
              </w:rPr>
              <w:t>HCl olarak ifade edilen bütün gaz klorürlerdir.</w:t>
            </w:r>
          </w:p>
        </w:tc>
      </w:tr>
      <w:tr w:rsidR="00A508A2" w:rsidRPr="00DD0D1F" w14:paraId="6B841E44" w14:textId="77777777" w:rsidTr="006D7364">
        <w:trPr>
          <w:trHeight w:val="282"/>
        </w:trPr>
        <w:tc>
          <w:tcPr>
            <w:tcW w:w="1403" w:type="pct"/>
            <w:tcBorders>
              <w:top w:val="single" w:sz="4" w:space="0" w:color="000000"/>
              <w:left w:val="single" w:sz="4" w:space="0" w:color="000000"/>
              <w:bottom w:val="single" w:sz="4" w:space="0" w:color="000000"/>
              <w:right w:val="single" w:sz="4" w:space="0" w:color="000000"/>
            </w:tcBorders>
            <w:hideMark/>
          </w:tcPr>
          <w:p w14:paraId="7747F185" w14:textId="77777777" w:rsidR="00A508A2" w:rsidRPr="00DD0D1F" w:rsidRDefault="00A508A2" w:rsidP="00A508A2">
            <w:pPr>
              <w:pStyle w:val="TableParagraph"/>
              <w:spacing w:before="19"/>
              <w:ind w:left="107"/>
              <w:rPr>
                <w:szCs w:val="24"/>
              </w:rPr>
            </w:pPr>
            <w:r w:rsidRPr="00DD0D1F">
              <w:rPr>
                <w:szCs w:val="24"/>
              </w:rPr>
              <w:t>HF olarak ifade edilen hidrojen florür</w:t>
            </w:r>
          </w:p>
        </w:tc>
        <w:tc>
          <w:tcPr>
            <w:tcW w:w="3597" w:type="pct"/>
            <w:tcBorders>
              <w:top w:val="single" w:sz="4" w:space="0" w:color="000000"/>
              <w:left w:val="single" w:sz="4" w:space="0" w:color="000000"/>
              <w:bottom w:val="single" w:sz="4" w:space="0" w:color="000000"/>
              <w:right w:val="single" w:sz="4" w:space="0" w:color="000000"/>
            </w:tcBorders>
            <w:hideMark/>
          </w:tcPr>
          <w:p w14:paraId="1E0972C1" w14:textId="77777777" w:rsidR="00A508A2" w:rsidRPr="00DD0D1F" w:rsidRDefault="00A508A2" w:rsidP="00A508A2">
            <w:pPr>
              <w:pStyle w:val="TableParagraph"/>
              <w:spacing w:before="19"/>
              <w:ind w:left="107"/>
              <w:rPr>
                <w:szCs w:val="24"/>
              </w:rPr>
            </w:pPr>
            <w:r w:rsidRPr="00DD0D1F">
              <w:rPr>
                <w:szCs w:val="24"/>
              </w:rPr>
              <w:t>HF olarak ifade edilen bütün hidrojen florürlerdir.</w:t>
            </w:r>
          </w:p>
        </w:tc>
      </w:tr>
      <w:tr w:rsidR="00A508A2" w:rsidRPr="00DD0D1F" w14:paraId="2F50E99A" w14:textId="77777777" w:rsidTr="006D7364">
        <w:trPr>
          <w:trHeight w:val="690"/>
        </w:trPr>
        <w:tc>
          <w:tcPr>
            <w:tcW w:w="1403" w:type="pct"/>
            <w:tcBorders>
              <w:top w:val="single" w:sz="4" w:space="0" w:color="000000"/>
              <w:left w:val="single" w:sz="4" w:space="0" w:color="000000"/>
              <w:bottom w:val="single" w:sz="4" w:space="0" w:color="000000"/>
              <w:right w:val="single" w:sz="4" w:space="0" w:color="000000"/>
            </w:tcBorders>
          </w:tcPr>
          <w:p w14:paraId="468A13D5" w14:textId="77777777" w:rsidR="00A508A2" w:rsidRPr="00DD0D1F" w:rsidRDefault="00A508A2" w:rsidP="00A508A2">
            <w:pPr>
              <w:pStyle w:val="TableParagraph"/>
              <w:spacing w:before="5"/>
              <w:rPr>
                <w:szCs w:val="24"/>
              </w:rPr>
            </w:pPr>
          </w:p>
          <w:p w14:paraId="3A27B968" w14:textId="77777777" w:rsidR="00A508A2" w:rsidRPr="00DD0D1F" w:rsidRDefault="00A508A2" w:rsidP="00A508A2">
            <w:pPr>
              <w:pStyle w:val="TableParagraph"/>
              <w:ind w:left="107"/>
              <w:rPr>
                <w:szCs w:val="24"/>
              </w:rPr>
            </w:pPr>
            <w:r w:rsidRPr="00DD0D1F">
              <w:rPr>
                <w:szCs w:val="24"/>
              </w:rPr>
              <w:t>FCC birimi</w:t>
            </w:r>
          </w:p>
        </w:tc>
        <w:tc>
          <w:tcPr>
            <w:tcW w:w="3597" w:type="pct"/>
            <w:tcBorders>
              <w:top w:val="single" w:sz="4" w:space="0" w:color="000000"/>
              <w:left w:val="single" w:sz="4" w:space="0" w:color="000000"/>
              <w:bottom w:val="single" w:sz="4" w:space="0" w:color="000000"/>
              <w:right w:val="single" w:sz="4" w:space="0" w:color="000000"/>
            </w:tcBorders>
            <w:hideMark/>
          </w:tcPr>
          <w:p w14:paraId="21009B42" w14:textId="15BE27CA" w:rsidR="00A508A2" w:rsidRPr="00DD0D1F" w:rsidRDefault="009A6605" w:rsidP="005A4911">
            <w:pPr>
              <w:pStyle w:val="TableParagraph"/>
              <w:ind w:left="107" w:right="102"/>
              <w:rPr>
                <w:szCs w:val="24"/>
              </w:rPr>
            </w:pPr>
            <w:r w:rsidRPr="00DD0D1F">
              <w:rPr>
                <w:szCs w:val="24"/>
              </w:rPr>
              <w:t xml:space="preserve">Sıvı </w:t>
            </w:r>
            <w:r w:rsidR="005A4911" w:rsidRPr="00DD0D1F">
              <w:rPr>
                <w:szCs w:val="24"/>
              </w:rPr>
              <w:t xml:space="preserve">katalitik </w:t>
            </w:r>
            <w:r w:rsidR="00A508A2" w:rsidRPr="00DD0D1F">
              <w:rPr>
                <w:szCs w:val="24"/>
              </w:rPr>
              <w:t xml:space="preserve"> parçalama: büyük hidrokarbon moleküllerini daha hafif molekülleri halinde parçalamak için usu ve katalizör kullanılarak ağır hidrokarbonların yükseltilmesini amaçlayan dönüştürme prosesidir.</w:t>
            </w:r>
          </w:p>
        </w:tc>
      </w:tr>
      <w:tr w:rsidR="00A508A2" w:rsidRPr="00DD0D1F" w14:paraId="62ED8461" w14:textId="77777777" w:rsidTr="006D7364">
        <w:trPr>
          <w:trHeight w:val="282"/>
        </w:trPr>
        <w:tc>
          <w:tcPr>
            <w:tcW w:w="1403" w:type="pct"/>
            <w:tcBorders>
              <w:top w:val="single" w:sz="4" w:space="0" w:color="000000"/>
              <w:left w:val="single" w:sz="4" w:space="0" w:color="000000"/>
              <w:bottom w:val="single" w:sz="4" w:space="0" w:color="000000"/>
              <w:right w:val="single" w:sz="4" w:space="0" w:color="000000"/>
            </w:tcBorders>
            <w:hideMark/>
          </w:tcPr>
          <w:p w14:paraId="4E1E7C61" w14:textId="77777777" w:rsidR="00A508A2" w:rsidRPr="00DD0D1F" w:rsidRDefault="00A508A2" w:rsidP="00A508A2">
            <w:pPr>
              <w:pStyle w:val="TableParagraph"/>
              <w:spacing w:before="19"/>
              <w:ind w:left="107"/>
              <w:rPr>
                <w:szCs w:val="24"/>
              </w:rPr>
            </w:pPr>
            <w:r w:rsidRPr="00DD0D1F">
              <w:rPr>
                <w:szCs w:val="24"/>
              </w:rPr>
              <w:t>SRU</w:t>
            </w:r>
          </w:p>
        </w:tc>
        <w:tc>
          <w:tcPr>
            <w:tcW w:w="3597" w:type="pct"/>
            <w:tcBorders>
              <w:top w:val="single" w:sz="4" w:space="0" w:color="000000"/>
              <w:left w:val="single" w:sz="4" w:space="0" w:color="000000"/>
              <w:bottom w:val="single" w:sz="4" w:space="0" w:color="000000"/>
              <w:right w:val="single" w:sz="4" w:space="0" w:color="000000"/>
            </w:tcBorders>
            <w:hideMark/>
          </w:tcPr>
          <w:p w14:paraId="0296815D" w14:textId="77777777" w:rsidR="00A508A2" w:rsidRPr="00DD0D1F" w:rsidRDefault="00A508A2" w:rsidP="00A508A2">
            <w:pPr>
              <w:pStyle w:val="TableParagraph"/>
              <w:spacing w:before="19"/>
              <w:ind w:left="107"/>
              <w:rPr>
                <w:szCs w:val="24"/>
              </w:rPr>
            </w:pPr>
            <w:r w:rsidRPr="00DD0D1F">
              <w:rPr>
                <w:szCs w:val="24"/>
              </w:rPr>
              <w:t>Kükürt geri kazanım birimidir</w:t>
            </w:r>
          </w:p>
        </w:tc>
      </w:tr>
      <w:tr w:rsidR="00A508A2" w:rsidRPr="00DD0D1F" w14:paraId="10737524" w14:textId="77777777" w:rsidTr="006D7364">
        <w:trPr>
          <w:trHeight w:val="921"/>
        </w:trPr>
        <w:tc>
          <w:tcPr>
            <w:tcW w:w="1403" w:type="pct"/>
            <w:tcBorders>
              <w:top w:val="single" w:sz="4" w:space="0" w:color="000000"/>
              <w:left w:val="single" w:sz="4" w:space="0" w:color="000000"/>
              <w:bottom w:val="single" w:sz="4" w:space="0" w:color="000000"/>
              <w:right w:val="single" w:sz="4" w:space="0" w:color="000000"/>
            </w:tcBorders>
          </w:tcPr>
          <w:p w14:paraId="4CFC74E7" w14:textId="77777777" w:rsidR="00A508A2" w:rsidRPr="00DD0D1F" w:rsidRDefault="00A508A2" w:rsidP="00A508A2">
            <w:pPr>
              <w:pStyle w:val="TableParagraph"/>
              <w:spacing w:before="5"/>
              <w:rPr>
                <w:szCs w:val="24"/>
              </w:rPr>
            </w:pPr>
          </w:p>
          <w:p w14:paraId="0C1D8F79" w14:textId="77777777" w:rsidR="00A508A2" w:rsidRPr="00DD0D1F" w:rsidRDefault="00A508A2" w:rsidP="00A508A2">
            <w:pPr>
              <w:pStyle w:val="TableParagraph"/>
              <w:ind w:left="107"/>
              <w:rPr>
                <w:szCs w:val="24"/>
              </w:rPr>
            </w:pPr>
            <w:r w:rsidRPr="00DD0D1F">
              <w:rPr>
                <w:szCs w:val="24"/>
              </w:rPr>
              <w:t>Rafineri yakıtı</w:t>
            </w:r>
          </w:p>
        </w:tc>
        <w:tc>
          <w:tcPr>
            <w:tcW w:w="3597" w:type="pct"/>
            <w:tcBorders>
              <w:top w:val="single" w:sz="4" w:space="0" w:color="000000"/>
              <w:left w:val="single" w:sz="4" w:space="0" w:color="000000"/>
              <w:bottom w:val="single" w:sz="4" w:space="0" w:color="000000"/>
              <w:right w:val="single" w:sz="4" w:space="0" w:color="000000"/>
            </w:tcBorders>
            <w:hideMark/>
          </w:tcPr>
          <w:p w14:paraId="6515C85B" w14:textId="77777777" w:rsidR="00A508A2" w:rsidRPr="00DD0D1F" w:rsidRDefault="00A508A2" w:rsidP="00A508A2">
            <w:pPr>
              <w:pStyle w:val="TableParagraph"/>
              <w:spacing w:line="235" w:lineRule="auto"/>
              <w:ind w:left="107"/>
              <w:rPr>
                <w:szCs w:val="24"/>
              </w:rPr>
            </w:pPr>
            <w:r w:rsidRPr="00DD0D1F">
              <w:rPr>
                <w:szCs w:val="24"/>
              </w:rPr>
              <w:t>Ham petrolün rafine edilmesindeki damıtma ve dönüştürme adımlarından açığa çıkan katı, sıvı veya gaz haldeki yanıcı malzemedir.</w:t>
            </w:r>
          </w:p>
          <w:p w14:paraId="0FB43C21" w14:textId="77777777" w:rsidR="00A508A2" w:rsidRPr="00DD0D1F" w:rsidRDefault="00A508A2" w:rsidP="00A508A2">
            <w:pPr>
              <w:pStyle w:val="TableParagraph"/>
              <w:spacing w:line="230" w:lineRule="atLeast"/>
              <w:ind w:left="107"/>
              <w:rPr>
                <w:szCs w:val="24"/>
              </w:rPr>
            </w:pPr>
            <w:r w:rsidRPr="00DD0D1F">
              <w:rPr>
                <w:szCs w:val="24"/>
              </w:rPr>
              <w:t>Örnekleri arasında rafineri yakıt gazı (RFG), sentez gazı ve rafineri yağları, petrol koku bulunur.</w:t>
            </w:r>
          </w:p>
        </w:tc>
      </w:tr>
      <w:tr w:rsidR="00A508A2" w:rsidRPr="00DD0D1F" w14:paraId="58640AEE" w14:textId="77777777" w:rsidTr="006D7364">
        <w:trPr>
          <w:trHeight w:val="461"/>
        </w:trPr>
        <w:tc>
          <w:tcPr>
            <w:tcW w:w="1403" w:type="pct"/>
            <w:tcBorders>
              <w:top w:val="single" w:sz="4" w:space="0" w:color="000000"/>
              <w:left w:val="single" w:sz="4" w:space="0" w:color="000000"/>
              <w:bottom w:val="single" w:sz="4" w:space="0" w:color="000000"/>
              <w:right w:val="single" w:sz="4" w:space="0" w:color="000000"/>
            </w:tcBorders>
            <w:hideMark/>
          </w:tcPr>
          <w:p w14:paraId="38618D91" w14:textId="77777777" w:rsidR="00A508A2" w:rsidRPr="00DD0D1F" w:rsidRDefault="00A508A2" w:rsidP="00A508A2">
            <w:pPr>
              <w:pStyle w:val="TableParagraph"/>
              <w:spacing w:before="109"/>
              <w:ind w:left="107"/>
              <w:rPr>
                <w:szCs w:val="24"/>
              </w:rPr>
            </w:pPr>
            <w:r w:rsidRPr="00DD0D1F">
              <w:rPr>
                <w:szCs w:val="24"/>
              </w:rPr>
              <w:t>RFG</w:t>
            </w:r>
          </w:p>
        </w:tc>
        <w:tc>
          <w:tcPr>
            <w:tcW w:w="3597" w:type="pct"/>
            <w:tcBorders>
              <w:top w:val="single" w:sz="4" w:space="0" w:color="000000"/>
              <w:left w:val="single" w:sz="4" w:space="0" w:color="000000"/>
              <w:bottom w:val="single" w:sz="4" w:space="0" w:color="000000"/>
              <w:right w:val="single" w:sz="4" w:space="0" w:color="000000"/>
            </w:tcBorders>
          </w:tcPr>
          <w:p w14:paraId="1180C2F4" w14:textId="77777777" w:rsidR="00A508A2" w:rsidRPr="00DD0D1F" w:rsidRDefault="00A508A2" w:rsidP="00A508A2">
            <w:pPr>
              <w:pStyle w:val="TableParagraph"/>
              <w:spacing w:line="223" w:lineRule="exact"/>
              <w:ind w:left="107"/>
              <w:rPr>
                <w:szCs w:val="24"/>
              </w:rPr>
            </w:pPr>
            <w:r w:rsidRPr="00DD0D1F">
              <w:rPr>
                <w:szCs w:val="24"/>
              </w:rPr>
              <w:t>Rafineri yakıt gazı: damıtma veya dönüştürme birimlerinden elde edilen ve yakıt olarak kullanılan çıkış gazlarıdır.</w:t>
            </w:r>
          </w:p>
          <w:p w14:paraId="13C3C4DD" w14:textId="77777777" w:rsidR="00A508A2" w:rsidRPr="00DD0D1F" w:rsidRDefault="00A508A2" w:rsidP="00A508A2">
            <w:pPr>
              <w:pStyle w:val="TableParagraph"/>
              <w:spacing w:before="1" w:line="217" w:lineRule="exact"/>
              <w:ind w:left="107"/>
              <w:rPr>
                <w:szCs w:val="24"/>
              </w:rPr>
            </w:pPr>
          </w:p>
        </w:tc>
      </w:tr>
      <w:tr w:rsidR="00A508A2" w:rsidRPr="00DD0D1F" w14:paraId="3388845C" w14:textId="77777777" w:rsidTr="006D7364">
        <w:trPr>
          <w:trHeight w:val="688"/>
        </w:trPr>
        <w:tc>
          <w:tcPr>
            <w:tcW w:w="1403" w:type="pct"/>
            <w:tcBorders>
              <w:top w:val="single" w:sz="4" w:space="0" w:color="000000"/>
              <w:left w:val="single" w:sz="4" w:space="0" w:color="000000"/>
              <w:bottom w:val="single" w:sz="4" w:space="0" w:color="000000"/>
              <w:right w:val="single" w:sz="4" w:space="0" w:color="000000"/>
            </w:tcBorders>
          </w:tcPr>
          <w:p w14:paraId="11043297" w14:textId="77777777" w:rsidR="00A508A2" w:rsidRPr="00DD0D1F" w:rsidRDefault="00A508A2" w:rsidP="00A508A2">
            <w:pPr>
              <w:pStyle w:val="TableParagraph"/>
              <w:spacing w:before="5"/>
              <w:rPr>
                <w:szCs w:val="24"/>
              </w:rPr>
            </w:pPr>
          </w:p>
          <w:p w14:paraId="6915946F" w14:textId="77777777" w:rsidR="00A508A2" w:rsidRPr="00DD0D1F" w:rsidRDefault="00A508A2" w:rsidP="00A508A2">
            <w:pPr>
              <w:pStyle w:val="TableParagraph"/>
              <w:ind w:left="107"/>
              <w:rPr>
                <w:szCs w:val="24"/>
              </w:rPr>
            </w:pPr>
            <w:r w:rsidRPr="00DD0D1F">
              <w:rPr>
                <w:szCs w:val="24"/>
              </w:rPr>
              <w:t>Yanma birimi</w:t>
            </w:r>
          </w:p>
        </w:tc>
        <w:tc>
          <w:tcPr>
            <w:tcW w:w="3597" w:type="pct"/>
            <w:tcBorders>
              <w:top w:val="single" w:sz="4" w:space="0" w:color="000000"/>
              <w:left w:val="single" w:sz="4" w:space="0" w:color="000000"/>
              <w:bottom w:val="single" w:sz="4" w:space="0" w:color="000000"/>
              <w:right w:val="single" w:sz="4" w:space="0" w:color="000000"/>
            </w:tcBorders>
            <w:hideMark/>
          </w:tcPr>
          <w:p w14:paraId="7BEC4E65" w14:textId="77777777" w:rsidR="00A508A2" w:rsidRPr="00DD0D1F" w:rsidRDefault="00A508A2" w:rsidP="00A508A2">
            <w:pPr>
              <w:pStyle w:val="TableParagraph"/>
              <w:spacing w:line="223" w:lineRule="exact"/>
              <w:ind w:left="107"/>
              <w:rPr>
                <w:szCs w:val="24"/>
              </w:rPr>
            </w:pPr>
            <w:r w:rsidRPr="00DD0D1F">
              <w:rPr>
                <w:szCs w:val="24"/>
              </w:rPr>
              <w:t>Kazanlar (CO kazanları hariç), fırınlar ve gaz türbinleri gibi rafineri sahasında enerji üretimi amacıyla rafineri gazlarını tek başına veya başka yakıtlarla birlikte yeken birimdir.</w:t>
            </w:r>
          </w:p>
        </w:tc>
      </w:tr>
      <w:tr w:rsidR="00A508A2" w:rsidRPr="00DD0D1F" w14:paraId="18A3DC1D" w14:textId="77777777" w:rsidTr="006D7364">
        <w:trPr>
          <w:trHeight w:val="690"/>
        </w:trPr>
        <w:tc>
          <w:tcPr>
            <w:tcW w:w="1403" w:type="pct"/>
            <w:tcBorders>
              <w:top w:val="single" w:sz="4" w:space="0" w:color="000000"/>
              <w:left w:val="single" w:sz="4" w:space="0" w:color="000000"/>
              <w:bottom w:val="single" w:sz="4" w:space="0" w:color="000000"/>
              <w:right w:val="single" w:sz="4" w:space="0" w:color="000000"/>
            </w:tcBorders>
          </w:tcPr>
          <w:p w14:paraId="174A8714" w14:textId="77777777" w:rsidR="00A508A2" w:rsidRPr="00DD0D1F" w:rsidRDefault="00A508A2" w:rsidP="00A508A2">
            <w:pPr>
              <w:pStyle w:val="TableParagraph"/>
              <w:spacing w:before="5"/>
              <w:rPr>
                <w:szCs w:val="24"/>
              </w:rPr>
            </w:pPr>
          </w:p>
          <w:p w14:paraId="212CD2F3" w14:textId="77777777" w:rsidR="00A508A2" w:rsidRPr="00DD0D1F" w:rsidRDefault="00A508A2" w:rsidP="00A508A2">
            <w:pPr>
              <w:pStyle w:val="TableParagraph"/>
              <w:ind w:left="107"/>
              <w:rPr>
                <w:szCs w:val="24"/>
              </w:rPr>
            </w:pPr>
            <w:r w:rsidRPr="00DD0D1F">
              <w:rPr>
                <w:szCs w:val="24"/>
              </w:rPr>
              <w:t>Sürekli ölçüm</w:t>
            </w:r>
          </w:p>
        </w:tc>
        <w:tc>
          <w:tcPr>
            <w:tcW w:w="3597" w:type="pct"/>
            <w:tcBorders>
              <w:top w:val="single" w:sz="4" w:space="0" w:color="000000"/>
              <w:left w:val="single" w:sz="4" w:space="0" w:color="000000"/>
              <w:bottom w:val="single" w:sz="4" w:space="0" w:color="000000"/>
              <w:right w:val="single" w:sz="4" w:space="0" w:color="000000"/>
            </w:tcBorders>
            <w:hideMark/>
          </w:tcPr>
          <w:p w14:paraId="4FA56F18" w14:textId="77777777" w:rsidR="00A508A2" w:rsidRPr="00DD0D1F" w:rsidRDefault="00A508A2" w:rsidP="00A508A2">
            <w:pPr>
              <w:pStyle w:val="TableParagraph"/>
              <w:tabs>
                <w:tab w:val="left" w:pos="452"/>
                <w:tab w:val="left" w:pos="1620"/>
                <w:tab w:val="left" w:pos="2591"/>
                <w:tab w:val="left" w:pos="3732"/>
                <w:tab w:val="left" w:pos="4579"/>
              </w:tabs>
              <w:ind w:left="107" w:right="102"/>
              <w:rPr>
                <w:szCs w:val="24"/>
              </w:rPr>
            </w:pPr>
            <w:r w:rsidRPr="00DD0D1F">
              <w:rPr>
                <w:szCs w:val="24"/>
              </w:rPr>
              <w:t>Sahaya kalıcı olarak montajı yapılan 'otomatik ölçüm sisteminin' (AMS) veya 'sürekli emisyon izleme sisteminin' (CEMS) kullanıldığı ölçümdür</w:t>
            </w:r>
          </w:p>
        </w:tc>
      </w:tr>
      <w:tr w:rsidR="00A508A2" w:rsidRPr="00DD0D1F" w14:paraId="2D4F1C6D" w14:textId="77777777" w:rsidTr="006D7364">
        <w:trPr>
          <w:trHeight w:val="523"/>
        </w:trPr>
        <w:tc>
          <w:tcPr>
            <w:tcW w:w="1403" w:type="pct"/>
            <w:tcBorders>
              <w:top w:val="single" w:sz="4" w:space="0" w:color="000000"/>
              <w:left w:val="single" w:sz="4" w:space="0" w:color="000000"/>
              <w:bottom w:val="single" w:sz="4" w:space="0" w:color="000000"/>
              <w:right w:val="single" w:sz="4" w:space="0" w:color="000000"/>
            </w:tcBorders>
            <w:hideMark/>
          </w:tcPr>
          <w:p w14:paraId="614009B1" w14:textId="77777777" w:rsidR="00A508A2" w:rsidRPr="00DD0D1F" w:rsidRDefault="00A508A2" w:rsidP="00A508A2">
            <w:pPr>
              <w:pStyle w:val="TableParagraph"/>
              <w:spacing w:before="108"/>
              <w:ind w:left="107"/>
              <w:rPr>
                <w:szCs w:val="24"/>
              </w:rPr>
            </w:pPr>
            <w:r w:rsidRPr="00DD0D1F">
              <w:rPr>
                <w:szCs w:val="24"/>
              </w:rPr>
              <w:t>Periyodik ölçüm</w:t>
            </w:r>
          </w:p>
        </w:tc>
        <w:tc>
          <w:tcPr>
            <w:tcW w:w="3597" w:type="pct"/>
            <w:tcBorders>
              <w:top w:val="single" w:sz="4" w:space="0" w:color="000000"/>
              <w:left w:val="single" w:sz="4" w:space="0" w:color="000000"/>
              <w:bottom w:val="single" w:sz="4" w:space="0" w:color="000000"/>
              <w:right w:val="single" w:sz="4" w:space="0" w:color="000000"/>
            </w:tcBorders>
            <w:hideMark/>
          </w:tcPr>
          <w:p w14:paraId="70C0BE3D" w14:textId="77777777" w:rsidR="00A508A2" w:rsidRPr="00DD0D1F" w:rsidRDefault="00A508A2" w:rsidP="00A508A2">
            <w:pPr>
              <w:pStyle w:val="TableParagraph"/>
              <w:spacing w:line="223" w:lineRule="exact"/>
              <w:ind w:left="107"/>
              <w:rPr>
                <w:szCs w:val="24"/>
              </w:rPr>
            </w:pPr>
            <w:r w:rsidRPr="00DD0D1F">
              <w:rPr>
                <w:szCs w:val="24"/>
              </w:rPr>
              <w:t>Manüel veya otomatik referans yöntemleri kullanılarak, ölçülen büyüklüğün belirtilen zaman aralıklarında tayinidir.</w:t>
            </w:r>
          </w:p>
        </w:tc>
      </w:tr>
      <w:tr w:rsidR="00A508A2" w:rsidRPr="00DD0D1F" w14:paraId="649D6181" w14:textId="77777777" w:rsidTr="006D7364">
        <w:trPr>
          <w:trHeight w:val="1258"/>
        </w:trPr>
        <w:tc>
          <w:tcPr>
            <w:tcW w:w="1403" w:type="pct"/>
            <w:tcBorders>
              <w:top w:val="single" w:sz="4" w:space="0" w:color="000000"/>
              <w:left w:val="single" w:sz="4" w:space="0" w:color="000000"/>
              <w:bottom w:val="single" w:sz="4" w:space="0" w:color="000000"/>
              <w:right w:val="single" w:sz="4" w:space="0" w:color="000000"/>
            </w:tcBorders>
          </w:tcPr>
          <w:p w14:paraId="4F025B96" w14:textId="77777777" w:rsidR="00A508A2" w:rsidRPr="00DD0D1F" w:rsidRDefault="00A508A2" w:rsidP="00A508A2">
            <w:pPr>
              <w:pStyle w:val="TableParagraph"/>
              <w:rPr>
                <w:szCs w:val="24"/>
              </w:rPr>
            </w:pPr>
          </w:p>
          <w:p w14:paraId="2880691A" w14:textId="77777777" w:rsidR="00A508A2" w:rsidRPr="00DD0D1F" w:rsidRDefault="00A508A2" w:rsidP="00A508A2">
            <w:pPr>
              <w:pStyle w:val="TableParagraph"/>
              <w:rPr>
                <w:szCs w:val="24"/>
              </w:rPr>
            </w:pPr>
          </w:p>
          <w:p w14:paraId="614CDB97" w14:textId="77777777" w:rsidR="00A508A2" w:rsidRPr="00DD0D1F" w:rsidRDefault="00A508A2" w:rsidP="00A508A2">
            <w:pPr>
              <w:pStyle w:val="TableParagraph"/>
              <w:spacing w:before="176"/>
              <w:ind w:left="107"/>
              <w:rPr>
                <w:szCs w:val="24"/>
              </w:rPr>
            </w:pPr>
            <w:r w:rsidRPr="00DD0D1F">
              <w:rPr>
                <w:szCs w:val="24"/>
              </w:rPr>
              <w:t>Havaya yayılan emisyonların dolaylı izlemesi</w:t>
            </w:r>
          </w:p>
        </w:tc>
        <w:tc>
          <w:tcPr>
            <w:tcW w:w="3597" w:type="pct"/>
            <w:tcBorders>
              <w:top w:val="single" w:sz="4" w:space="0" w:color="000000"/>
              <w:left w:val="single" w:sz="4" w:space="0" w:color="000000"/>
              <w:bottom w:val="single" w:sz="4" w:space="0" w:color="000000"/>
              <w:right w:val="single" w:sz="4" w:space="0" w:color="000000"/>
            </w:tcBorders>
            <w:hideMark/>
          </w:tcPr>
          <w:p w14:paraId="5C912531" w14:textId="1C97709F" w:rsidR="00A508A2" w:rsidRPr="00DD0D1F" w:rsidRDefault="00A508A2" w:rsidP="00A508A2">
            <w:pPr>
              <w:pStyle w:val="TableParagraph"/>
              <w:ind w:left="107" w:right="98"/>
              <w:jc w:val="both"/>
              <w:rPr>
                <w:szCs w:val="24"/>
              </w:rPr>
            </w:pPr>
            <w:r w:rsidRPr="00DD0D1F">
              <w:rPr>
                <w:szCs w:val="24"/>
              </w:rPr>
              <w:t>İndikatör parametrelerin (besleme/yakıttaki O</w:t>
            </w:r>
            <w:r w:rsidRPr="00DD0D1F">
              <w:rPr>
                <w:b/>
                <w:bCs/>
                <w:szCs w:val="24"/>
                <w:vertAlign w:val="subscript"/>
              </w:rPr>
              <w:t>2</w:t>
            </w:r>
            <w:r w:rsidR="00DD5924" w:rsidRPr="00DD0D1F">
              <w:rPr>
                <w:szCs w:val="24"/>
              </w:rPr>
              <w:t xml:space="preserve"> içeriği , kükürt veya azot içeriği </w:t>
            </w:r>
            <w:r w:rsidRPr="00DD0D1F">
              <w:rPr>
                <w:szCs w:val="24"/>
              </w:rPr>
              <w:t>gibi) ölçümlerinin uygun bir kombinasyonu yoluyla elde edilen bir kirleticinin baca gazındaki emisyon yoğunluğunun tahmini, hesaplamaları ve periyodik baca ölçüml</w:t>
            </w:r>
            <w:r w:rsidR="00EF43D0" w:rsidRPr="00DD0D1F">
              <w:rPr>
                <w:szCs w:val="24"/>
              </w:rPr>
              <w:t xml:space="preserve">eridir. </w:t>
            </w:r>
            <w:r w:rsidR="00DD5924" w:rsidRPr="00DD0D1F">
              <w:rPr>
                <w:szCs w:val="24"/>
              </w:rPr>
              <w:t xml:space="preserve">Yakıttaki C içeriğine </w:t>
            </w:r>
            <w:r w:rsidRPr="00DD0D1F">
              <w:rPr>
                <w:szCs w:val="24"/>
              </w:rPr>
              <w:t>dayalı emisyon oranlarının kullanımı, dolaylı izlemeye örnektir.</w:t>
            </w:r>
          </w:p>
          <w:p w14:paraId="474CB3E0" w14:textId="77777777" w:rsidR="00A508A2" w:rsidRPr="00DD0D1F" w:rsidRDefault="00A508A2" w:rsidP="00A508A2">
            <w:pPr>
              <w:pStyle w:val="TableParagraph"/>
              <w:spacing w:line="230" w:lineRule="exact"/>
              <w:ind w:left="107" w:right="102"/>
              <w:jc w:val="both"/>
              <w:rPr>
                <w:szCs w:val="24"/>
              </w:rPr>
            </w:pPr>
            <w:r w:rsidRPr="00DD0D1F">
              <w:rPr>
                <w:szCs w:val="24"/>
              </w:rPr>
              <w:t xml:space="preserve"> Diğer bir dolaylı izleme örneği ise PEMS kullanımıdır.</w:t>
            </w:r>
          </w:p>
        </w:tc>
      </w:tr>
      <w:tr w:rsidR="00A508A2" w:rsidRPr="00DD0D1F" w14:paraId="62171350" w14:textId="77777777" w:rsidTr="006D7364">
        <w:trPr>
          <w:trHeight w:val="1149"/>
        </w:trPr>
        <w:tc>
          <w:tcPr>
            <w:tcW w:w="1403" w:type="pct"/>
            <w:tcBorders>
              <w:top w:val="single" w:sz="4" w:space="0" w:color="000000"/>
              <w:left w:val="single" w:sz="4" w:space="0" w:color="000000"/>
              <w:bottom w:val="single" w:sz="4" w:space="0" w:color="000000"/>
              <w:right w:val="single" w:sz="4" w:space="0" w:color="000000"/>
            </w:tcBorders>
          </w:tcPr>
          <w:p w14:paraId="04B2767F" w14:textId="77777777" w:rsidR="00A508A2" w:rsidRPr="00DD0D1F" w:rsidRDefault="00A508A2" w:rsidP="00A508A2">
            <w:pPr>
              <w:pStyle w:val="TableParagraph"/>
              <w:spacing w:before="5"/>
              <w:rPr>
                <w:szCs w:val="24"/>
              </w:rPr>
            </w:pPr>
          </w:p>
          <w:p w14:paraId="4D789770" w14:textId="77777777" w:rsidR="00A508A2" w:rsidRPr="00DD0D1F" w:rsidRDefault="00A508A2" w:rsidP="00A508A2">
            <w:pPr>
              <w:pStyle w:val="TableParagraph"/>
              <w:ind w:left="107" w:right="602"/>
              <w:rPr>
                <w:szCs w:val="24"/>
              </w:rPr>
            </w:pPr>
            <w:r w:rsidRPr="00DD0D1F">
              <w:rPr>
                <w:szCs w:val="24"/>
              </w:rPr>
              <w:t>Öngörücü Emisyon izleme sistemi (PEMS)</w:t>
            </w:r>
          </w:p>
        </w:tc>
        <w:tc>
          <w:tcPr>
            <w:tcW w:w="3597" w:type="pct"/>
            <w:tcBorders>
              <w:top w:val="single" w:sz="4" w:space="0" w:color="000000"/>
              <w:left w:val="single" w:sz="4" w:space="0" w:color="000000"/>
              <w:bottom w:val="single" w:sz="4" w:space="0" w:color="000000"/>
              <w:right w:val="single" w:sz="4" w:space="0" w:color="000000"/>
            </w:tcBorders>
            <w:hideMark/>
          </w:tcPr>
          <w:p w14:paraId="26569176" w14:textId="384667E1" w:rsidR="00A508A2" w:rsidRPr="00DD0D1F" w:rsidRDefault="00A508A2" w:rsidP="00DD5924">
            <w:pPr>
              <w:pStyle w:val="TableParagraph"/>
              <w:ind w:left="107" w:right="95"/>
              <w:jc w:val="both"/>
              <w:rPr>
                <w:szCs w:val="24"/>
              </w:rPr>
            </w:pPr>
            <w:r w:rsidRPr="00DD0D1F">
              <w:rPr>
                <w:szCs w:val="24"/>
              </w:rPr>
              <w:t>Bir kirleticinin; bir emisyon kaynağının bir dizi sürekli izlenen proses parametresi (ör. yakıt gazı tüketimi, hava/yakıt oranı) veya besleme kalites</w:t>
            </w:r>
            <w:r w:rsidR="00B1191E" w:rsidRPr="00DD0D1F">
              <w:rPr>
                <w:szCs w:val="24"/>
              </w:rPr>
              <w:t xml:space="preserve">i verileri (ör. kükürt </w:t>
            </w:r>
            <w:r w:rsidR="00DD5924" w:rsidRPr="00DD0D1F">
              <w:rPr>
                <w:szCs w:val="24"/>
              </w:rPr>
              <w:t>içeriği</w:t>
            </w:r>
            <w:r w:rsidRPr="00DD0D1F">
              <w:rPr>
                <w:szCs w:val="24"/>
              </w:rPr>
              <w:t>) ile olan ilişkisine dayalı olarak emisyon yoğunluğunun belirlendiği sistemdir</w:t>
            </w:r>
          </w:p>
        </w:tc>
      </w:tr>
      <w:tr w:rsidR="00A508A2" w:rsidRPr="00DD0D1F" w14:paraId="32A0D419"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2A4CCDCA" w14:textId="77777777" w:rsidR="00A508A2" w:rsidRPr="00DD0D1F" w:rsidRDefault="00A508A2" w:rsidP="00A508A2">
            <w:pPr>
              <w:pStyle w:val="TableParagraph"/>
              <w:spacing w:line="223" w:lineRule="exact"/>
              <w:ind w:left="107"/>
              <w:rPr>
                <w:szCs w:val="24"/>
              </w:rPr>
            </w:pPr>
            <w:r w:rsidRPr="00DD0D1F">
              <w:rPr>
                <w:szCs w:val="24"/>
              </w:rPr>
              <w:t xml:space="preserve">Uçucu sıvı hidrokarbon </w:t>
            </w:r>
          </w:p>
          <w:p w14:paraId="5F7F7D2C" w14:textId="77777777" w:rsidR="00A508A2" w:rsidRPr="00DD0D1F" w:rsidRDefault="00A508A2" w:rsidP="00A508A2">
            <w:pPr>
              <w:pStyle w:val="TableParagraph"/>
              <w:spacing w:line="223" w:lineRule="exact"/>
              <w:ind w:left="107"/>
              <w:rPr>
                <w:szCs w:val="24"/>
              </w:rPr>
            </w:pPr>
            <w:r w:rsidRPr="00DD0D1F">
              <w:rPr>
                <w:szCs w:val="24"/>
              </w:rPr>
              <w:t>bileşikleri</w:t>
            </w:r>
          </w:p>
        </w:tc>
        <w:tc>
          <w:tcPr>
            <w:tcW w:w="3597" w:type="pct"/>
            <w:tcBorders>
              <w:top w:val="single" w:sz="4" w:space="0" w:color="000000"/>
              <w:left w:val="single" w:sz="4" w:space="0" w:color="000000"/>
              <w:bottom w:val="single" w:sz="4" w:space="0" w:color="000000"/>
              <w:right w:val="single" w:sz="4" w:space="0" w:color="000000"/>
            </w:tcBorders>
            <w:hideMark/>
          </w:tcPr>
          <w:p w14:paraId="38F1E311" w14:textId="77777777" w:rsidR="00A508A2" w:rsidRPr="00DD0D1F" w:rsidRDefault="00A508A2" w:rsidP="00A508A2">
            <w:pPr>
              <w:pStyle w:val="TableParagraph"/>
              <w:spacing w:line="223" w:lineRule="exact"/>
              <w:ind w:left="107"/>
              <w:rPr>
                <w:szCs w:val="24"/>
              </w:rPr>
            </w:pPr>
            <w:r w:rsidRPr="00DD0D1F">
              <w:rPr>
                <w:szCs w:val="24"/>
              </w:rPr>
              <w:t>Reid buhar basıncının (RVP) 4 kPa'dan fazla olduğu nafta ve aromatikler gibi petrol türevleridir</w:t>
            </w:r>
          </w:p>
        </w:tc>
      </w:tr>
      <w:tr w:rsidR="00A508A2" w:rsidRPr="00DD0D1F" w14:paraId="51CF648C"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5EF5A383" w14:textId="77777777" w:rsidR="00A508A2" w:rsidRPr="00DD0D1F" w:rsidRDefault="00A508A2" w:rsidP="00A508A2">
            <w:pPr>
              <w:pStyle w:val="TableParagraph"/>
              <w:spacing w:before="108"/>
              <w:ind w:left="107"/>
              <w:rPr>
                <w:szCs w:val="24"/>
              </w:rPr>
            </w:pPr>
            <w:r w:rsidRPr="00DD0D1F">
              <w:rPr>
                <w:szCs w:val="24"/>
              </w:rPr>
              <w:t>Geri kazanım oranı</w:t>
            </w:r>
          </w:p>
        </w:tc>
        <w:tc>
          <w:tcPr>
            <w:tcW w:w="3597" w:type="pct"/>
            <w:tcBorders>
              <w:top w:val="single" w:sz="4" w:space="0" w:color="000000"/>
              <w:left w:val="single" w:sz="4" w:space="0" w:color="000000"/>
              <w:bottom w:val="single" w:sz="4" w:space="0" w:color="000000"/>
              <w:right w:val="single" w:sz="4" w:space="0" w:color="000000"/>
            </w:tcBorders>
            <w:hideMark/>
          </w:tcPr>
          <w:p w14:paraId="108ED007" w14:textId="77777777" w:rsidR="00A508A2" w:rsidRPr="00DD0D1F" w:rsidRDefault="00A508A2" w:rsidP="00A508A2">
            <w:pPr>
              <w:pStyle w:val="TableParagraph"/>
              <w:spacing w:line="223" w:lineRule="exact"/>
              <w:ind w:left="107"/>
              <w:rPr>
                <w:szCs w:val="24"/>
              </w:rPr>
            </w:pPr>
            <w:r w:rsidRPr="00DD0D1F">
              <w:rPr>
                <w:szCs w:val="24"/>
              </w:rPr>
              <w:t>Buhar geri kazanım birimine (VRU) aktarılan buharlardan geri kazanılan NMVOC yüzdesidir</w:t>
            </w:r>
          </w:p>
        </w:tc>
      </w:tr>
    </w:tbl>
    <w:p w14:paraId="1C513E0E" w14:textId="77777777" w:rsidR="00A508A2" w:rsidRPr="00DD0D1F" w:rsidRDefault="00A508A2" w:rsidP="006736E7">
      <w:pPr>
        <w:pStyle w:val="Balk1"/>
        <w:numPr>
          <w:ilvl w:val="0"/>
          <w:numId w:val="0"/>
        </w:numPr>
        <w:tabs>
          <w:tab w:val="left" w:pos="2154"/>
          <w:tab w:val="left" w:pos="2155"/>
        </w:tabs>
        <w:spacing w:line="276" w:lineRule="auto"/>
        <w:ind w:right="1173"/>
        <w:rPr>
          <w:rFonts w:cs="Times New Roman"/>
          <w:szCs w:val="24"/>
          <w:lang w:val="tr-TR"/>
        </w:rPr>
      </w:pPr>
    </w:p>
    <w:p w14:paraId="28AB0F01" w14:textId="77777777" w:rsidR="00A508A2" w:rsidRPr="00DD0D1F" w:rsidRDefault="00A508A2" w:rsidP="003328F9">
      <w:pPr>
        <w:pStyle w:val="GvdeMetni"/>
        <w:spacing w:before="126" w:line="360" w:lineRule="auto"/>
        <w:jc w:val="both"/>
        <w:rPr>
          <w:sz w:val="24"/>
          <w:szCs w:val="24"/>
          <w:lang w:val="nl-NL"/>
        </w:rPr>
      </w:pPr>
    </w:p>
    <w:p w14:paraId="7874641A" w14:textId="71E031B1" w:rsidR="001D4884" w:rsidRPr="00DD0D1F" w:rsidRDefault="001D4884" w:rsidP="009370B7">
      <w:pPr>
        <w:rPr>
          <w:rFonts w:cs="Times New Roman"/>
          <w:b/>
          <w:szCs w:val="24"/>
        </w:rPr>
      </w:pPr>
      <w:r w:rsidRPr="00DD0D1F">
        <w:rPr>
          <w:rFonts w:cs="Times New Roman"/>
          <w:b/>
          <w:szCs w:val="24"/>
        </w:rPr>
        <w:t>Sektörel Referans Koşullar</w:t>
      </w:r>
    </w:p>
    <w:p w14:paraId="40DF3DA0" w14:textId="00EA54F0" w:rsidR="003328F9" w:rsidRPr="00DD0D1F" w:rsidRDefault="00A508A2" w:rsidP="009370B7">
      <w:pPr>
        <w:rPr>
          <w:rFonts w:cs="Times New Roman"/>
          <w:b/>
          <w:szCs w:val="24"/>
        </w:rPr>
      </w:pPr>
      <w:r w:rsidRPr="00DD0D1F">
        <w:rPr>
          <w:rFonts w:cs="Times New Roman"/>
          <w:b/>
          <w:szCs w:val="24"/>
        </w:rPr>
        <w:t xml:space="preserve">Büyük Yakma Tesisleri </w:t>
      </w:r>
    </w:p>
    <w:p w14:paraId="2EF54AFF" w14:textId="77777777" w:rsidR="003328F9" w:rsidRPr="00DD0D1F" w:rsidRDefault="003328F9" w:rsidP="003328F9">
      <w:pPr>
        <w:tabs>
          <w:tab w:val="left" w:pos="7338"/>
        </w:tabs>
        <w:ind w:right="227"/>
        <w:rPr>
          <w:rFonts w:cs="Times New Roman"/>
          <w:b/>
          <w:szCs w:val="24"/>
          <w:lang w:val="tr-TR"/>
        </w:rPr>
      </w:pPr>
      <w:r w:rsidRPr="00DD0D1F">
        <w:rPr>
          <w:rFonts w:cs="Times New Roman"/>
          <w:b/>
          <w:szCs w:val="24"/>
          <w:lang w:val="tr-TR"/>
        </w:rPr>
        <w:t>Mevcut en iyi tekniklerle ilişkili emisyon seviyeleri (MET-İES'ler)</w:t>
      </w:r>
    </w:p>
    <w:p w14:paraId="134AF3D4" w14:textId="77777777" w:rsidR="003328F9" w:rsidRPr="00DD0D1F" w:rsidRDefault="003328F9" w:rsidP="003328F9">
      <w:pPr>
        <w:tabs>
          <w:tab w:val="left" w:pos="7338"/>
        </w:tabs>
        <w:ind w:right="227"/>
        <w:rPr>
          <w:rFonts w:cs="Times New Roman"/>
          <w:szCs w:val="24"/>
          <w:lang w:val="tr-TR"/>
        </w:rPr>
      </w:pPr>
      <w:r w:rsidRPr="00DD0D1F">
        <w:rPr>
          <w:rFonts w:cs="Times New Roman"/>
          <w:szCs w:val="24"/>
          <w:lang w:val="tr-TR"/>
        </w:rPr>
        <w:t>Mevcut en iyi tekniklerle ilişkili emisyon seviyelerinin (MET-İES'ler) farklı ortalama dönemleri için verildiği durumlarda, bu MET-İES'lerin tümüne uyulur.</w:t>
      </w:r>
    </w:p>
    <w:p w14:paraId="3D78C1AA" w14:textId="62CF0FB6" w:rsidR="003328F9" w:rsidRPr="00DD0D1F" w:rsidRDefault="003328F9" w:rsidP="003328F9">
      <w:pPr>
        <w:tabs>
          <w:tab w:val="left" w:pos="7338"/>
        </w:tabs>
        <w:ind w:right="227"/>
        <w:rPr>
          <w:rFonts w:cs="Times New Roman"/>
          <w:szCs w:val="24"/>
          <w:lang w:val="tr-TR"/>
        </w:rPr>
      </w:pPr>
      <w:r w:rsidRPr="00DD0D1F">
        <w:rPr>
          <w:rFonts w:cs="Times New Roman"/>
          <w:szCs w:val="24"/>
          <w:lang w:val="tr-TR"/>
        </w:rPr>
        <w:t xml:space="preserve">Bu </w:t>
      </w:r>
      <w:r w:rsidR="0023138D">
        <w:rPr>
          <w:rFonts w:cs="Times New Roman"/>
          <w:szCs w:val="24"/>
          <w:lang w:val="tr-TR"/>
        </w:rPr>
        <w:t>tebliğde</w:t>
      </w:r>
      <w:r w:rsidRPr="00DD0D1F">
        <w:rPr>
          <w:rFonts w:cs="Times New Roman"/>
          <w:szCs w:val="24"/>
          <w:lang w:val="tr-TR"/>
        </w:rPr>
        <w:t xml:space="preserve"> belirtilen MET-İES, 500 saat/yılın altında çalıştırılan acil durum motorları, sıvı yakıtla ve gazla çalışan türbinler için bu tür bir acil kullanım MET-İE</w:t>
      </w:r>
      <w:r w:rsidR="0023138D">
        <w:rPr>
          <w:rFonts w:cs="Times New Roman"/>
          <w:szCs w:val="24"/>
          <w:lang w:val="tr-TR"/>
        </w:rPr>
        <w:t>S</w:t>
      </w:r>
      <w:r w:rsidRPr="00DD0D1F">
        <w:rPr>
          <w:rFonts w:cs="Times New Roman"/>
          <w:szCs w:val="24"/>
          <w:lang w:val="tr-TR"/>
        </w:rPr>
        <w:t xml:space="preserve"> ile uyumlu olmadığında geçerli olmaz.</w:t>
      </w:r>
    </w:p>
    <w:p w14:paraId="11FEEBA3" w14:textId="02D95086" w:rsidR="003328F9" w:rsidRPr="00DD0D1F" w:rsidRDefault="003328F9" w:rsidP="003328F9">
      <w:pPr>
        <w:tabs>
          <w:tab w:val="left" w:pos="7338"/>
        </w:tabs>
        <w:ind w:right="227"/>
        <w:rPr>
          <w:rFonts w:cs="Times New Roman"/>
          <w:b/>
          <w:szCs w:val="24"/>
          <w:lang w:val="tr-TR"/>
        </w:rPr>
      </w:pPr>
      <w:r w:rsidRPr="00DD0D1F">
        <w:rPr>
          <w:rFonts w:cs="Times New Roman"/>
          <w:b/>
          <w:szCs w:val="24"/>
          <w:lang w:val="tr-TR"/>
        </w:rPr>
        <w:t>Havaya emisyonlar için MET-İES</w:t>
      </w:r>
    </w:p>
    <w:p w14:paraId="1E03E008" w14:textId="0A75B27B" w:rsidR="003328F9" w:rsidRPr="00DD0D1F" w:rsidRDefault="003328F9" w:rsidP="00926FE0">
      <w:pPr>
        <w:tabs>
          <w:tab w:val="left" w:pos="7338"/>
        </w:tabs>
        <w:ind w:right="227"/>
        <w:rPr>
          <w:rFonts w:cs="Times New Roman"/>
          <w:szCs w:val="24"/>
        </w:rPr>
      </w:pPr>
      <w:r w:rsidRPr="00DD0D1F">
        <w:rPr>
          <w:rFonts w:cs="Times New Roman"/>
          <w:szCs w:val="24"/>
          <w:lang w:val="tr-TR"/>
        </w:rPr>
        <w:t xml:space="preserve">Bu </w:t>
      </w:r>
      <w:r w:rsidR="00926FE0" w:rsidRPr="00DD0D1F">
        <w:rPr>
          <w:rFonts w:cs="Times New Roman"/>
          <w:szCs w:val="24"/>
          <w:lang w:val="tr-TR"/>
        </w:rPr>
        <w:t>tebliğde</w:t>
      </w:r>
      <w:r w:rsidRPr="00DD0D1F">
        <w:rPr>
          <w:rFonts w:cs="Times New Roman"/>
          <w:szCs w:val="24"/>
          <w:lang w:val="tr-TR"/>
        </w:rPr>
        <w:t xml:space="preserve"> havaya emisyonlar için mevcut en iyi tekniklerle ilişkili emisyon seviyeleri (MET-İES'ler), aşağıdaki standart koşullar altında baca gazı hacmi başına yayılan madde kütlesi olarak belirtilen konsantrasyonları ifade eder: 273,15 K sıcaklıkta ve 101,3 kPa basınçta olan ve mg/Nm</w:t>
      </w:r>
      <w:r w:rsidRPr="00DD0D1F">
        <w:rPr>
          <w:rFonts w:cs="Times New Roman"/>
          <w:szCs w:val="24"/>
          <w:vertAlign w:val="superscript"/>
          <w:lang w:val="tr-TR"/>
        </w:rPr>
        <w:t>3</w:t>
      </w:r>
      <w:r w:rsidRPr="00DD0D1F">
        <w:rPr>
          <w:rFonts w:cs="Times New Roman"/>
          <w:szCs w:val="24"/>
          <w:lang w:val="tr-TR"/>
        </w:rPr>
        <w:t>, µg/Nm</w:t>
      </w:r>
      <w:r w:rsidRPr="00DD0D1F">
        <w:rPr>
          <w:rFonts w:cs="Times New Roman"/>
          <w:szCs w:val="24"/>
          <w:vertAlign w:val="superscript"/>
          <w:lang w:val="tr-TR"/>
        </w:rPr>
        <w:t>3</w:t>
      </w:r>
      <w:r w:rsidRPr="00DD0D1F">
        <w:rPr>
          <w:rFonts w:cs="Times New Roman"/>
          <w:szCs w:val="24"/>
          <w:lang w:val="tr-TR"/>
        </w:rPr>
        <w:t xml:space="preserve"> veya ng I-TEQ/Nm</w:t>
      </w:r>
      <w:r w:rsidRPr="00DD0D1F">
        <w:rPr>
          <w:rFonts w:cs="Times New Roman"/>
          <w:szCs w:val="24"/>
          <w:vertAlign w:val="superscript"/>
          <w:lang w:val="tr-TR"/>
        </w:rPr>
        <w:t xml:space="preserve">3 </w:t>
      </w:r>
      <w:r w:rsidRPr="00DD0D1F">
        <w:rPr>
          <w:rFonts w:cs="Times New Roman"/>
          <w:szCs w:val="24"/>
          <w:lang w:val="tr-TR"/>
        </w:rPr>
        <w:t>birimleriyle ifade edilen kuru gaz.</w:t>
      </w:r>
      <w:bookmarkStart w:id="7" w:name="General_considerations"/>
      <w:bookmarkEnd w:id="7"/>
      <w:r w:rsidR="00926FE0" w:rsidRPr="00DD0D1F">
        <w:rPr>
          <w:rFonts w:cs="Times New Roman"/>
          <w:szCs w:val="24"/>
          <w:lang w:val="tr-TR"/>
        </w:rPr>
        <w:t xml:space="preserve"> </w:t>
      </w:r>
      <w:r w:rsidRPr="00DD0D1F">
        <w:rPr>
          <w:rFonts w:cs="Times New Roman"/>
          <w:szCs w:val="24"/>
        </w:rPr>
        <w:t>Havaya emisyonlar için MET-İES'ler ilişkili izleme</w:t>
      </w:r>
      <w:r w:rsidR="00926FE0" w:rsidRPr="00DD0D1F">
        <w:rPr>
          <w:rFonts w:cs="Times New Roman"/>
          <w:szCs w:val="24"/>
        </w:rPr>
        <w:t xml:space="preserve"> koşulları MET 4'te verilmekte</w:t>
      </w:r>
    </w:p>
    <w:p w14:paraId="15B65B84" w14:textId="77777777" w:rsidR="003328F9" w:rsidRPr="00DD0D1F" w:rsidRDefault="003328F9" w:rsidP="003328F9">
      <w:pPr>
        <w:pStyle w:val="GvdeMetni"/>
        <w:ind w:right="652"/>
        <w:jc w:val="both"/>
        <w:rPr>
          <w:sz w:val="24"/>
          <w:szCs w:val="24"/>
        </w:rPr>
      </w:pPr>
      <w:r w:rsidRPr="00DD0D1F">
        <w:rPr>
          <w:sz w:val="24"/>
          <w:szCs w:val="24"/>
        </w:rPr>
        <w:t xml:space="preserve">Bu tebliğde MET-İES'leri ifade etmek için kullanılan </w:t>
      </w:r>
      <w:bookmarkStart w:id="8" w:name="_Hlk156574006"/>
      <w:r w:rsidRPr="00DD0D1F">
        <w:rPr>
          <w:sz w:val="24"/>
          <w:szCs w:val="24"/>
        </w:rPr>
        <w:t xml:space="preserve">oksijen referans koşulları </w:t>
      </w:r>
      <w:bookmarkEnd w:id="8"/>
      <w:r w:rsidRPr="00DD0D1F">
        <w:rPr>
          <w:sz w:val="24"/>
          <w:szCs w:val="24"/>
        </w:rPr>
        <w:t>aşağıdaki tabloda gösterilmektedir.</w:t>
      </w:r>
    </w:p>
    <w:p w14:paraId="0FE18ACF" w14:textId="77777777" w:rsidR="003328F9" w:rsidRPr="00DD0D1F" w:rsidRDefault="003328F9" w:rsidP="003328F9">
      <w:pPr>
        <w:pStyle w:val="ResimYazs"/>
        <w:rPr>
          <w:rFonts w:cs="Times New Roman"/>
          <w:color w:val="auto"/>
          <w:szCs w:val="24"/>
          <w:lang w:val="tr-TR"/>
        </w:rPr>
      </w:pPr>
      <w:r w:rsidRPr="00DD0D1F">
        <w:rPr>
          <w:rFonts w:cs="Times New Roman"/>
          <w:color w:val="auto"/>
          <w:szCs w:val="24"/>
          <w:lang w:val="tr-TR"/>
        </w:rPr>
        <w:t xml:space="preserve">   </w:t>
      </w:r>
    </w:p>
    <w:p w14:paraId="5A96CEFC" w14:textId="77777777" w:rsidR="003328F9" w:rsidRPr="00DD0D1F" w:rsidRDefault="003328F9" w:rsidP="003328F9">
      <w:pPr>
        <w:pStyle w:val="GvdeMetni"/>
        <w:spacing w:before="5"/>
        <w:rPr>
          <w:sz w:val="24"/>
          <w:szCs w:val="24"/>
        </w:rPr>
      </w:pPr>
    </w:p>
    <w:tbl>
      <w:tblPr>
        <w:tblStyle w:val="TableGrid2"/>
        <w:tblW w:w="0" w:type="auto"/>
        <w:tblLayout w:type="fixed"/>
        <w:tblLook w:val="01E0" w:firstRow="1" w:lastRow="1" w:firstColumn="1" w:lastColumn="1" w:noHBand="0" w:noVBand="0"/>
      </w:tblPr>
      <w:tblGrid>
        <w:gridCol w:w="4956"/>
        <w:gridCol w:w="4541"/>
      </w:tblGrid>
      <w:tr w:rsidR="003328F9" w:rsidRPr="00DD0D1F" w14:paraId="4C0CC959" w14:textId="77777777" w:rsidTr="003328F9">
        <w:trPr>
          <w:trHeight w:val="340"/>
        </w:trPr>
        <w:tc>
          <w:tcPr>
            <w:tcW w:w="4956" w:type="dxa"/>
          </w:tcPr>
          <w:p w14:paraId="668F84B1" w14:textId="77777777" w:rsidR="003328F9" w:rsidRPr="00DD0D1F" w:rsidRDefault="003328F9" w:rsidP="003328F9">
            <w:pPr>
              <w:pStyle w:val="TableParagraph"/>
              <w:spacing w:before="53" w:line="276" w:lineRule="auto"/>
              <w:ind w:left="1462" w:right="1450"/>
              <w:jc w:val="center"/>
              <w:rPr>
                <w:b/>
                <w:szCs w:val="24"/>
              </w:rPr>
            </w:pPr>
            <w:r w:rsidRPr="00DD0D1F">
              <w:rPr>
                <w:b/>
                <w:szCs w:val="24"/>
              </w:rPr>
              <w:t>Faaliyet</w:t>
            </w:r>
          </w:p>
        </w:tc>
        <w:tc>
          <w:tcPr>
            <w:tcW w:w="4541" w:type="dxa"/>
          </w:tcPr>
          <w:p w14:paraId="2AE270C4" w14:textId="77777777" w:rsidR="003328F9" w:rsidRPr="00DD0D1F" w:rsidRDefault="003328F9" w:rsidP="003328F9">
            <w:pPr>
              <w:pStyle w:val="TableParagraph"/>
              <w:spacing w:before="48" w:line="276" w:lineRule="auto"/>
              <w:ind w:left="492" w:right="485"/>
              <w:jc w:val="center"/>
              <w:rPr>
                <w:szCs w:val="24"/>
              </w:rPr>
            </w:pPr>
            <w:r w:rsidRPr="00DD0D1F">
              <w:rPr>
                <w:b/>
                <w:szCs w:val="24"/>
              </w:rPr>
              <w:t xml:space="preserve">Referans oksijen seviyesi </w:t>
            </w:r>
            <w:r w:rsidRPr="00DD0D1F">
              <w:rPr>
                <w:szCs w:val="24"/>
              </w:rPr>
              <w:t>(O</w:t>
            </w:r>
            <w:r w:rsidRPr="00DD0D1F">
              <w:rPr>
                <w:szCs w:val="24"/>
                <w:vertAlign w:val="subscript"/>
              </w:rPr>
              <w:t>R</w:t>
            </w:r>
            <w:r w:rsidRPr="00DD0D1F">
              <w:rPr>
                <w:szCs w:val="24"/>
              </w:rPr>
              <w:t>)</w:t>
            </w:r>
          </w:p>
        </w:tc>
      </w:tr>
      <w:tr w:rsidR="003328F9" w:rsidRPr="00DD0D1F" w14:paraId="23BE20AC" w14:textId="77777777" w:rsidTr="003328F9">
        <w:trPr>
          <w:trHeight w:val="230"/>
        </w:trPr>
        <w:tc>
          <w:tcPr>
            <w:tcW w:w="4956" w:type="dxa"/>
          </w:tcPr>
          <w:p w14:paraId="21953360" w14:textId="77777777" w:rsidR="003328F9" w:rsidRPr="00DD0D1F" w:rsidRDefault="003328F9" w:rsidP="003328F9">
            <w:pPr>
              <w:pStyle w:val="TableParagraph"/>
              <w:spacing w:line="276" w:lineRule="auto"/>
              <w:ind w:left="110"/>
              <w:rPr>
                <w:szCs w:val="24"/>
              </w:rPr>
            </w:pPr>
            <w:r w:rsidRPr="00DD0D1F">
              <w:rPr>
                <w:szCs w:val="24"/>
              </w:rPr>
              <w:t>Katı yakıtların yakılması</w:t>
            </w:r>
          </w:p>
        </w:tc>
        <w:tc>
          <w:tcPr>
            <w:tcW w:w="4541" w:type="dxa"/>
            <w:vMerge w:val="restart"/>
          </w:tcPr>
          <w:p w14:paraId="73E0ADC2" w14:textId="77777777" w:rsidR="003328F9" w:rsidRPr="00DD0D1F" w:rsidRDefault="003328F9" w:rsidP="003328F9">
            <w:pPr>
              <w:pStyle w:val="TableParagraph"/>
              <w:spacing w:before="3" w:line="276" w:lineRule="auto"/>
              <w:jc w:val="center"/>
              <w:rPr>
                <w:szCs w:val="24"/>
              </w:rPr>
            </w:pPr>
          </w:p>
          <w:p w14:paraId="0D76DB0C" w14:textId="77777777" w:rsidR="003328F9" w:rsidRPr="00DD0D1F" w:rsidRDefault="003328F9" w:rsidP="003328F9">
            <w:pPr>
              <w:pStyle w:val="TableParagraph"/>
              <w:spacing w:line="276" w:lineRule="auto"/>
              <w:ind w:left="492" w:right="485"/>
              <w:jc w:val="center"/>
              <w:rPr>
                <w:szCs w:val="24"/>
              </w:rPr>
            </w:pPr>
            <w:r w:rsidRPr="00DD0D1F">
              <w:rPr>
                <w:szCs w:val="24"/>
              </w:rPr>
              <w:t>hacim olarak %6</w:t>
            </w:r>
          </w:p>
        </w:tc>
      </w:tr>
      <w:tr w:rsidR="003328F9" w:rsidRPr="00DD0D1F" w14:paraId="57CF460A" w14:textId="77777777" w:rsidTr="003328F9">
        <w:trPr>
          <w:trHeight w:val="458"/>
        </w:trPr>
        <w:tc>
          <w:tcPr>
            <w:tcW w:w="4956" w:type="dxa"/>
          </w:tcPr>
          <w:p w14:paraId="4FF81AA2" w14:textId="77777777" w:rsidR="003328F9" w:rsidRPr="00DD0D1F" w:rsidRDefault="003328F9" w:rsidP="003328F9">
            <w:pPr>
              <w:pStyle w:val="TableParagraph"/>
              <w:spacing w:line="276" w:lineRule="auto"/>
              <w:ind w:left="110"/>
              <w:rPr>
                <w:szCs w:val="24"/>
              </w:rPr>
            </w:pPr>
            <w:r w:rsidRPr="00DD0D1F">
              <w:rPr>
                <w:szCs w:val="24"/>
              </w:rPr>
              <w:t>Sıvı ve/veya gaz yakıtlarla birlikte katı yakıtların yakılması</w:t>
            </w:r>
          </w:p>
        </w:tc>
        <w:tc>
          <w:tcPr>
            <w:tcW w:w="4541" w:type="dxa"/>
            <w:vMerge/>
          </w:tcPr>
          <w:p w14:paraId="7C22A2DF" w14:textId="77777777" w:rsidR="003328F9" w:rsidRPr="00DD0D1F" w:rsidRDefault="003328F9" w:rsidP="003328F9">
            <w:pPr>
              <w:spacing w:line="276" w:lineRule="auto"/>
              <w:jc w:val="center"/>
              <w:rPr>
                <w:rFonts w:cs="Times New Roman"/>
                <w:szCs w:val="24"/>
                <w:lang w:val="tr-TR"/>
              </w:rPr>
            </w:pPr>
          </w:p>
        </w:tc>
      </w:tr>
      <w:tr w:rsidR="003328F9" w:rsidRPr="00DD0D1F" w14:paraId="1C75D3B0" w14:textId="77777777" w:rsidTr="003328F9">
        <w:trPr>
          <w:trHeight w:val="230"/>
        </w:trPr>
        <w:tc>
          <w:tcPr>
            <w:tcW w:w="4956" w:type="dxa"/>
          </w:tcPr>
          <w:p w14:paraId="45BEBF61" w14:textId="77777777" w:rsidR="003328F9" w:rsidRPr="00DD0D1F" w:rsidRDefault="003328F9" w:rsidP="003328F9">
            <w:pPr>
              <w:pStyle w:val="TableParagraph"/>
              <w:spacing w:line="276" w:lineRule="auto"/>
              <w:ind w:left="110"/>
              <w:rPr>
                <w:szCs w:val="24"/>
              </w:rPr>
            </w:pPr>
            <w:r w:rsidRPr="00DD0D1F">
              <w:rPr>
                <w:szCs w:val="24"/>
              </w:rPr>
              <w:t>Atıkların beraber yakılması</w:t>
            </w:r>
          </w:p>
        </w:tc>
        <w:tc>
          <w:tcPr>
            <w:tcW w:w="4541" w:type="dxa"/>
            <w:vMerge/>
          </w:tcPr>
          <w:p w14:paraId="41C0CC99" w14:textId="77777777" w:rsidR="003328F9" w:rsidRPr="00DD0D1F" w:rsidRDefault="003328F9" w:rsidP="003328F9">
            <w:pPr>
              <w:spacing w:line="276" w:lineRule="auto"/>
              <w:jc w:val="center"/>
              <w:rPr>
                <w:rFonts w:cs="Times New Roman"/>
                <w:szCs w:val="24"/>
                <w:lang w:val="tr-TR"/>
              </w:rPr>
            </w:pPr>
          </w:p>
        </w:tc>
      </w:tr>
      <w:tr w:rsidR="003328F9" w:rsidRPr="00DD0D1F" w14:paraId="1EA5A241" w14:textId="77777777" w:rsidTr="003328F9">
        <w:trPr>
          <w:trHeight w:val="690"/>
        </w:trPr>
        <w:tc>
          <w:tcPr>
            <w:tcW w:w="4956" w:type="dxa"/>
          </w:tcPr>
          <w:p w14:paraId="6F46D310" w14:textId="77777777" w:rsidR="003328F9" w:rsidRPr="00DD0D1F" w:rsidRDefault="003328F9" w:rsidP="003328F9">
            <w:pPr>
              <w:pStyle w:val="TableParagraph"/>
              <w:spacing w:line="276" w:lineRule="auto"/>
              <w:ind w:left="110"/>
              <w:rPr>
                <w:szCs w:val="24"/>
              </w:rPr>
            </w:pPr>
            <w:r w:rsidRPr="00DD0D1F">
              <w:rPr>
                <w:szCs w:val="24"/>
              </w:rPr>
              <w:t>Sıvı ve/veya gaz yakıtların bir gaz türbini veya motor dışında yakılması</w:t>
            </w:r>
          </w:p>
        </w:tc>
        <w:tc>
          <w:tcPr>
            <w:tcW w:w="4541" w:type="dxa"/>
          </w:tcPr>
          <w:p w14:paraId="0B1BFBA3" w14:textId="77777777" w:rsidR="003328F9" w:rsidRPr="00DD0D1F" w:rsidRDefault="003328F9" w:rsidP="003328F9">
            <w:pPr>
              <w:pStyle w:val="TableParagraph"/>
              <w:spacing w:before="5" w:line="276" w:lineRule="auto"/>
              <w:jc w:val="center"/>
              <w:rPr>
                <w:szCs w:val="24"/>
              </w:rPr>
            </w:pPr>
          </w:p>
          <w:p w14:paraId="4B914234" w14:textId="77777777" w:rsidR="003328F9" w:rsidRPr="00DD0D1F" w:rsidRDefault="003328F9" w:rsidP="003328F9">
            <w:pPr>
              <w:pStyle w:val="TableParagraph"/>
              <w:spacing w:line="276" w:lineRule="auto"/>
              <w:ind w:left="492" w:right="485"/>
              <w:jc w:val="center"/>
              <w:rPr>
                <w:szCs w:val="24"/>
              </w:rPr>
            </w:pPr>
            <w:r w:rsidRPr="00DD0D1F">
              <w:rPr>
                <w:szCs w:val="24"/>
              </w:rPr>
              <w:t>hacim olarak %3</w:t>
            </w:r>
          </w:p>
        </w:tc>
      </w:tr>
      <w:tr w:rsidR="003328F9" w:rsidRPr="00DD0D1F" w14:paraId="3CCFACC9" w14:textId="77777777" w:rsidTr="003328F9">
        <w:trPr>
          <w:trHeight w:val="691"/>
        </w:trPr>
        <w:tc>
          <w:tcPr>
            <w:tcW w:w="4956" w:type="dxa"/>
          </w:tcPr>
          <w:p w14:paraId="534E5787" w14:textId="77777777" w:rsidR="003328F9" w:rsidRPr="00DD0D1F" w:rsidRDefault="003328F9" w:rsidP="003328F9">
            <w:pPr>
              <w:pStyle w:val="TableParagraph"/>
              <w:spacing w:line="276" w:lineRule="auto"/>
              <w:ind w:left="110"/>
              <w:rPr>
                <w:szCs w:val="24"/>
              </w:rPr>
            </w:pPr>
            <w:r w:rsidRPr="00DD0D1F">
              <w:rPr>
                <w:szCs w:val="24"/>
              </w:rPr>
              <w:t>Sıvı ve/veya gaz yakıtların bir gaz türbini veya motorda yakılması</w:t>
            </w:r>
          </w:p>
        </w:tc>
        <w:tc>
          <w:tcPr>
            <w:tcW w:w="4541" w:type="dxa"/>
            <w:vMerge w:val="restart"/>
          </w:tcPr>
          <w:p w14:paraId="7F80AD8E" w14:textId="77777777" w:rsidR="003328F9" w:rsidRPr="00DD0D1F" w:rsidRDefault="003328F9" w:rsidP="003328F9">
            <w:pPr>
              <w:pStyle w:val="TableParagraph"/>
              <w:spacing w:before="10" w:line="276" w:lineRule="auto"/>
              <w:jc w:val="center"/>
              <w:rPr>
                <w:szCs w:val="24"/>
              </w:rPr>
            </w:pPr>
          </w:p>
          <w:p w14:paraId="068F26C9" w14:textId="77777777" w:rsidR="003328F9" w:rsidRPr="00DD0D1F" w:rsidRDefault="003328F9" w:rsidP="003328F9">
            <w:pPr>
              <w:pStyle w:val="TableParagraph"/>
              <w:spacing w:line="276" w:lineRule="auto"/>
              <w:ind w:left="492" w:right="485"/>
              <w:jc w:val="center"/>
              <w:rPr>
                <w:szCs w:val="24"/>
              </w:rPr>
            </w:pPr>
            <w:r w:rsidRPr="00DD0D1F">
              <w:rPr>
                <w:szCs w:val="24"/>
              </w:rPr>
              <w:t>hacim olarak %15</w:t>
            </w:r>
          </w:p>
        </w:tc>
      </w:tr>
      <w:tr w:rsidR="003328F9" w:rsidRPr="00DD0D1F" w14:paraId="152EF756" w14:textId="77777777" w:rsidTr="003328F9">
        <w:trPr>
          <w:trHeight w:val="230"/>
        </w:trPr>
        <w:tc>
          <w:tcPr>
            <w:tcW w:w="4956" w:type="dxa"/>
          </w:tcPr>
          <w:p w14:paraId="0624649A" w14:textId="77777777" w:rsidR="003328F9" w:rsidRPr="00DD0D1F" w:rsidRDefault="003328F9" w:rsidP="003328F9">
            <w:pPr>
              <w:pStyle w:val="TableParagraph"/>
              <w:spacing w:line="276" w:lineRule="auto"/>
              <w:ind w:left="110"/>
              <w:rPr>
                <w:szCs w:val="24"/>
              </w:rPr>
            </w:pPr>
            <w:r w:rsidRPr="00DD0D1F">
              <w:rPr>
                <w:szCs w:val="24"/>
              </w:rPr>
              <w:t>IGCC tesislerinde yakma</w:t>
            </w:r>
          </w:p>
        </w:tc>
        <w:tc>
          <w:tcPr>
            <w:tcW w:w="4541" w:type="dxa"/>
            <w:vMerge/>
          </w:tcPr>
          <w:p w14:paraId="3D3429A8" w14:textId="77777777" w:rsidR="003328F9" w:rsidRPr="00DD0D1F" w:rsidRDefault="003328F9" w:rsidP="003328F9">
            <w:pPr>
              <w:spacing w:line="276" w:lineRule="auto"/>
              <w:rPr>
                <w:rFonts w:cs="Times New Roman"/>
                <w:szCs w:val="24"/>
                <w:lang w:val="tr-TR"/>
              </w:rPr>
            </w:pPr>
          </w:p>
        </w:tc>
      </w:tr>
    </w:tbl>
    <w:p w14:paraId="45D367E6" w14:textId="77777777" w:rsidR="003328F9" w:rsidRPr="00DD0D1F" w:rsidRDefault="003328F9" w:rsidP="003328F9">
      <w:pPr>
        <w:pStyle w:val="GvdeMetni"/>
        <w:rPr>
          <w:sz w:val="24"/>
          <w:szCs w:val="24"/>
        </w:rPr>
      </w:pPr>
    </w:p>
    <w:p w14:paraId="5A45AB3C" w14:textId="77777777" w:rsidR="003328F9" w:rsidRPr="00DD0D1F" w:rsidRDefault="003328F9" w:rsidP="003328F9">
      <w:pPr>
        <w:pStyle w:val="GvdeMetni"/>
        <w:spacing w:before="6"/>
        <w:rPr>
          <w:sz w:val="24"/>
          <w:szCs w:val="24"/>
        </w:rPr>
      </w:pPr>
    </w:p>
    <w:p w14:paraId="3DC6FDFB" w14:textId="77777777" w:rsidR="003328F9" w:rsidRPr="00DD0D1F" w:rsidRDefault="003328F9" w:rsidP="003328F9">
      <w:pPr>
        <w:pStyle w:val="GvdeMetni"/>
        <w:ind w:left="233"/>
        <w:rPr>
          <w:sz w:val="24"/>
          <w:szCs w:val="24"/>
        </w:rPr>
      </w:pPr>
      <w:r w:rsidRPr="00DD0D1F">
        <w:rPr>
          <w:sz w:val="24"/>
          <w:szCs w:val="24"/>
        </w:rPr>
        <w:t>Referans oksijen seviyesindeki emisyon konsantrasyonu aşağıdaki formül ile hesaplanır.</w:t>
      </w:r>
    </w:p>
    <w:p w14:paraId="160A5037" w14:textId="77777777" w:rsidR="003328F9" w:rsidRPr="00DD0D1F" w:rsidRDefault="003328F9" w:rsidP="003328F9">
      <w:pPr>
        <w:pStyle w:val="GvdeMetni"/>
        <w:spacing w:before="5"/>
        <w:rPr>
          <w:sz w:val="24"/>
          <w:szCs w:val="24"/>
        </w:rPr>
      </w:pPr>
    </w:p>
    <w:tbl>
      <w:tblPr>
        <w:tblStyle w:val="TableNormal0"/>
        <w:tblW w:w="0" w:type="auto"/>
        <w:tblInd w:w="3042" w:type="dxa"/>
        <w:tblLayout w:type="fixed"/>
        <w:tblLook w:val="01E0" w:firstRow="1" w:lastRow="1" w:firstColumn="1" w:lastColumn="1" w:noHBand="0" w:noVBand="0"/>
      </w:tblPr>
      <w:tblGrid>
        <w:gridCol w:w="681"/>
        <w:gridCol w:w="1051"/>
        <w:gridCol w:w="1166"/>
      </w:tblGrid>
      <w:tr w:rsidR="003328F9" w:rsidRPr="00DD0D1F" w14:paraId="01461D4E" w14:textId="77777777" w:rsidTr="003328F9">
        <w:trPr>
          <w:trHeight w:val="520"/>
        </w:trPr>
        <w:tc>
          <w:tcPr>
            <w:tcW w:w="681" w:type="dxa"/>
          </w:tcPr>
          <w:p w14:paraId="24B41324" w14:textId="77777777" w:rsidR="003328F9" w:rsidRPr="00DD0D1F" w:rsidRDefault="003328F9" w:rsidP="003328F9">
            <w:pPr>
              <w:pStyle w:val="TableParagraph"/>
              <w:spacing w:before="137"/>
              <w:ind w:left="107"/>
              <w:rPr>
                <w:szCs w:val="24"/>
              </w:rPr>
            </w:pPr>
            <w:r w:rsidRPr="00DD0D1F">
              <w:rPr>
                <w:szCs w:val="24"/>
              </w:rPr>
              <w:t>E</w:t>
            </w:r>
            <w:r w:rsidRPr="00DD0D1F">
              <w:rPr>
                <w:szCs w:val="24"/>
                <w:vertAlign w:val="subscript"/>
              </w:rPr>
              <w:t>R</w:t>
            </w:r>
            <w:r w:rsidRPr="00DD0D1F">
              <w:rPr>
                <w:szCs w:val="24"/>
              </w:rPr>
              <w:t xml:space="preserve"> =</w:t>
            </w:r>
          </w:p>
        </w:tc>
        <w:tc>
          <w:tcPr>
            <w:tcW w:w="1051" w:type="dxa"/>
          </w:tcPr>
          <w:p w14:paraId="2B4F18A8" w14:textId="77777777" w:rsidR="003328F9" w:rsidRPr="00DD0D1F" w:rsidRDefault="003328F9" w:rsidP="003328F9">
            <w:pPr>
              <w:pStyle w:val="TableParagraph"/>
              <w:spacing w:line="223" w:lineRule="exact"/>
              <w:ind w:left="206"/>
              <w:rPr>
                <w:szCs w:val="24"/>
              </w:rPr>
            </w:pPr>
            <w:r w:rsidRPr="00DD0D1F">
              <w:rPr>
                <w:szCs w:val="24"/>
                <w:u w:val="single"/>
              </w:rPr>
              <w:t>21 – O</w:t>
            </w:r>
            <w:r w:rsidRPr="00DD0D1F">
              <w:rPr>
                <w:szCs w:val="24"/>
                <w:vertAlign w:val="subscript"/>
              </w:rPr>
              <w:t>R</w:t>
            </w:r>
          </w:p>
          <w:p w14:paraId="1471B0F0" w14:textId="77777777" w:rsidR="003328F9" w:rsidRPr="00DD0D1F" w:rsidRDefault="003328F9" w:rsidP="003328F9">
            <w:pPr>
              <w:pStyle w:val="TableParagraph"/>
              <w:ind w:left="206"/>
              <w:rPr>
                <w:szCs w:val="24"/>
              </w:rPr>
            </w:pPr>
            <w:r w:rsidRPr="00DD0D1F">
              <w:rPr>
                <w:szCs w:val="24"/>
              </w:rPr>
              <w:t>21 – O</w:t>
            </w:r>
            <w:r w:rsidRPr="00DD0D1F">
              <w:rPr>
                <w:szCs w:val="24"/>
                <w:vertAlign w:val="subscript"/>
              </w:rPr>
              <w:t>M</w:t>
            </w:r>
          </w:p>
        </w:tc>
        <w:tc>
          <w:tcPr>
            <w:tcW w:w="1166" w:type="dxa"/>
          </w:tcPr>
          <w:p w14:paraId="689D9ABC" w14:textId="77777777" w:rsidR="003328F9" w:rsidRPr="00DD0D1F" w:rsidRDefault="003328F9" w:rsidP="003328F9">
            <w:pPr>
              <w:pStyle w:val="TableParagraph"/>
              <w:tabs>
                <w:tab w:val="left" w:pos="550"/>
              </w:tabs>
              <w:spacing w:before="128"/>
              <w:ind w:left="224"/>
              <w:rPr>
                <w:szCs w:val="24"/>
              </w:rPr>
            </w:pPr>
            <w:r w:rsidRPr="00DD0D1F">
              <w:rPr>
                <w:szCs w:val="24"/>
              </w:rPr>
              <w:t>×</w:t>
            </w:r>
            <w:r w:rsidRPr="00DD0D1F">
              <w:rPr>
                <w:szCs w:val="24"/>
              </w:rPr>
              <w:tab/>
              <w:t>E</w:t>
            </w:r>
            <w:r w:rsidRPr="00DD0D1F">
              <w:rPr>
                <w:szCs w:val="24"/>
                <w:vertAlign w:val="subscript"/>
              </w:rPr>
              <w:t>M</w:t>
            </w:r>
          </w:p>
        </w:tc>
      </w:tr>
    </w:tbl>
    <w:p w14:paraId="79DEE83D" w14:textId="77777777" w:rsidR="003328F9" w:rsidRPr="00DD0D1F" w:rsidRDefault="003328F9" w:rsidP="003328F9">
      <w:pPr>
        <w:pStyle w:val="GvdeMetni"/>
        <w:spacing w:before="91"/>
        <w:ind w:left="233" w:right="-110"/>
        <w:rPr>
          <w:sz w:val="24"/>
          <w:szCs w:val="24"/>
        </w:rPr>
      </w:pPr>
      <w:r w:rsidRPr="00DD0D1F">
        <w:rPr>
          <w:sz w:val="24"/>
          <w:szCs w:val="24"/>
        </w:rPr>
        <w:t>Burada:</w:t>
      </w:r>
    </w:p>
    <w:p w14:paraId="7780611F" w14:textId="77777777" w:rsidR="003328F9" w:rsidRPr="00DD0D1F" w:rsidRDefault="003328F9" w:rsidP="003328F9">
      <w:pPr>
        <w:pStyle w:val="GvdeMetni"/>
        <w:spacing w:before="120"/>
        <w:ind w:left="232" w:right="3315"/>
        <w:rPr>
          <w:sz w:val="24"/>
          <w:szCs w:val="24"/>
        </w:rPr>
      </w:pPr>
      <w:r w:rsidRPr="00DD0D1F">
        <w:rPr>
          <w:sz w:val="24"/>
          <w:szCs w:val="24"/>
        </w:rPr>
        <w:t>E</w:t>
      </w:r>
      <w:r w:rsidRPr="00DD0D1F">
        <w:rPr>
          <w:sz w:val="24"/>
          <w:szCs w:val="24"/>
          <w:vertAlign w:val="subscript"/>
        </w:rPr>
        <w:t>R</w:t>
      </w:r>
      <w:r w:rsidRPr="00DD0D1F">
        <w:rPr>
          <w:sz w:val="24"/>
          <w:szCs w:val="24"/>
        </w:rPr>
        <w:t>:          O</w:t>
      </w:r>
      <w:r w:rsidRPr="00DD0D1F">
        <w:rPr>
          <w:sz w:val="24"/>
          <w:szCs w:val="24"/>
          <w:vertAlign w:val="subscript"/>
        </w:rPr>
        <w:t xml:space="preserve">R </w:t>
      </w:r>
      <w:r w:rsidRPr="00DD0D1F">
        <w:rPr>
          <w:sz w:val="24"/>
          <w:szCs w:val="24"/>
        </w:rPr>
        <w:t>referans oksijen seviyesindeki emisyon konsantrasyonu;</w:t>
      </w:r>
    </w:p>
    <w:p w14:paraId="131ADC79" w14:textId="77777777" w:rsidR="003328F9" w:rsidRPr="00DD0D1F" w:rsidRDefault="003328F9" w:rsidP="003328F9">
      <w:pPr>
        <w:pStyle w:val="GvdeMetni"/>
        <w:spacing w:before="120"/>
        <w:ind w:left="232" w:right="3315"/>
        <w:rPr>
          <w:sz w:val="24"/>
          <w:szCs w:val="24"/>
        </w:rPr>
      </w:pPr>
      <w:r w:rsidRPr="00DD0D1F">
        <w:rPr>
          <w:sz w:val="24"/>
          <w:szCs w:val="24"/>
        </w:rPr>
        <w:t>O</w:t>
      </w:r>
      <w:r w:rsidRPr="00DD0D1F">
        <w:rPr>
          <w:sz w:val="24"/>
          <w:szCs w:val="24"/>
          <w:vertAlign w:val="subscript"/>
        </w:rPr>
        <w:t>R</w:t>
      </w:r>
      <w:r w:rsidRPr="00DD0D1F">
        <w:rPr>
          <w:sz w:val="24"/>
          <w:szCs w:val="24"/>
        </w:rPr>
        <w:t>:          hacim olarak %'de referans oksijen seviyesi;</w:t>
      </w:r>
    </w:p>
    <w:p w14:paraId="0888CB54" w14:textId="77777777" w:rsidR="003328F9" w:rsidRPr="00DD0D1F" w:rsidRDefault="003328F9" w:rsidP="003328F9">
      <w:pPr>
        <w:pStyle w:val="GvdeMetni"/>
        <w:spacing w:before="120"/>
        <w:ind w:left="232"/>
        <w:rPr>
          <w:sz w:val="24"/>
          <w:szCs w:val="24"/>
        </w:rPr>
      </w:pPr>
      <w:r w:rsidRPr="00DD0D1F">
        <w:rPr>
          <w:sz w:val="24"/>
          <w:szCs w:val="24"/>
        </w:rPr>
        <w:t>E</w:t>
      </w:r>
      <w:r w:rsidRPr="00DD0D1F">
        <w:rPr>
          <w:sz w:val="24"/>
          <w:szCs w:val="24"/>
          <w:vertAlign w:val="subscript"/>
        </w:rPr>
        <w:t>M</w:t>
      </w:r>
      <w:r w:rsidRPr="00DD0D1F">
        <w:rPr>
          <w:sz w:val="24"/>
          <w:szCs w:val="24"/>
        </w:rPr>
        <w:t>:          ölçülen emisyon konsantrasyonu;</w:t>
      </w:r>
    </w:p>
    <w:p w14:paraId="02ECFFEE" w14:textId="77777777" w:rsidR="003328F9" w:rsidRPr="00DD0D1F" w:rsidRDefault="003328F9" w:rsidP="003328F9">
      <w:pPr>
        <w:pStyle w:val="GvdeMetni"/>
        <w:spacing w:before="120"/>
        <w:ind w:left="232"/>
        <w:rPr>
          <w:sz w:val="24"/>
          <w:szCs w:val="24"/>
        </w:rPr>
      </w:pPr>
      <w:r w:rsidRPr="00DD0D1F">
        <w:rPr>
          <w:sz w:val="24"/>
          <w:szCs w:val="24"/>
        </w:rPr>
        <w:t>O</w:t>
      </w:r>
      <w:r w:rsidRPr="00DD0D1F">
        <w:rPr>
          <w:sz w:val="24"/>
          <w:szCs w:val="24"/>
          <w:vertAlign w:val="subscript"/>
        </w:rPr>
        <w:t>M</w:t>
      </w:r>
      <w:r w:rsidRPr="00DD0D1F">
        <w:rPr>
          <w:sz w:val="24"/>
          <w:szCs w:val="24"/>
        </w:rPr>
        <w:t>:          hacim olarak %'de ölçülen oksijen seviyesi.</w:t>
      </w:r>
    </w:p>
    <w:p w14:paraId="5922F998" w14:textId="77777777" w:rsidR="003328F9" w:rsidRPr="00DD0D1F" w:rsidRDefault="003328F9" w:rsidP="003328F9">
      <w:pPr>
        <w:rPr>
          <w:rFonts w:cs="Times New Roman"/>
          <w:szCs w:val="24"/>
          <w:lang w:val="tr-TR"/>
        </w:rPr>
      </w:pPr>
    </w:p>
    <w:p w14:paraId="2DCE1589" w14:textId="77777777" w:rsidR="003328F9" w:rsidRPr="00DD0D1F" w:rsidRDefault="003328F9" w:rsidP="005A4911">
      <w:pPr>
        <w:pStyle w:val="Normaltext"/>
        <w:rPr>
          <w:rFonts w:cs="Times New Roman"/>
          <w:szCs w:val="24"/>
        </w:rPr>
      </w:pPr>
      <w:r w:rsidRPr="00DD0D1F">
        <w:rPr>
          <w:rFonts w:cs="Times New Roman"/>
          <w:szCs w:val="24"/>
        </w:rPr>
        <w:t>Ortalama dönemleri için aşağıdaki tanımlar geçerlidir:</w:t>
      </w:r>
    </w:p>
    <w:p w14:paraId="561D0707" w14:textId="77777777" w:rsidR="003328F9" w:rsidRPr="00DD0D1F" w:rsidRDefault="003328F9" w:rsidP="003328F9">
      <w:pPr>
        <w:pStyle w:val="GvdeMetni"/>
        <w:spacing w:before="157"/>
        <w:ind w:left="-142" w:firstLine="165"/>
        <w:jc w:val="center"/>
        <w:rPr>
          <w:sz w:val="24"/>
          <w:szCs w:val="24"/>
        </w:rPr>
      </w:pPr>
    </w:p>
    <w:tbl>
      <w:tblPr>
        <w:tblStyle w:val="TableGrid2"/>
        <w:tblW w:w="9356" w:type="dxa"/>
        <w:tblLayout w:type="fixed"/>
        <w:tblLook w:val="01E0" w:firstRow="1" w:lastRow="1" w:firstColumn="1" w:lastColumn="1" w:noHBand="0" w:noVBand="0"/>
      </w:tblPr>
      <w:tblGrid>
        <w:gridCol w:w="4247"/>
        <w:gridCol w:w="5109"/>
      </w:tblGrid>
      <w:tr w:rsidR="003328F9" w:rsidRPr="00DD0D1F" w14:paraId="67F2A49C" w14:textId="77777777" w:rsidTr="003328F9">
        <w:trPr>
          <w:trHeight w:val="230"/>
        </w:trPr>
        <w:tc>
          <w:tcPr>
            <w:tcW w:w="4247" w:type="dxa"/>
          </w:tcPr>
          <w:p w14:paraId="32A384B7" w14:textId="77777777" w:rsidR="003328F9" w:rsidRPr="00DD0D1F" w:rsidRDefault="003328F9" w:rsidP="003328F9">
            <w:pPr>
              <w:pStyle w:val="TableParagraph"/>
              <w:spacing w:line="276" w:lineRule="auto"/>
              <w:ind w:left="602"/>
              <w:jc w:val="center"/>
              <w:rPr>
                <w:b/>
                <w:szCs w:val="24"/>
              </w:rPr>
            </w:pPr>
            <w:r w:rsidRPr="00DD0D1F">
              <w:rPr>
                <w:b/>
                <w:szCs w:val="24"/>
              </w:rPr>
              <w:t>Ortalama dönemi</w:t>
            </w:r>
          </w:p>
        </w:tc>
        <w:tc>
          <w:tcPr>
            <w:tcW w:w="5109" w:type="dxa"/>
          </w:tcPr>
          <w:p w14:paraId="46272CE8" w14:textId="77777777" w:rsidR="003328F9" w:rsidRPr="00DD0D1F" w:rsidRDefault="003328F9" w:rsidP="003328F9">
            <w:pPr>
              <w:pStyle w:val="TableParagraph"/>
              <w:spacing w:line="276" w:lineRule="auto"/>
              <w:jc w:val="center"/>
              <w:rPr>
                <w:b/>
                <w:szCs w:val="24"/>
              </w:rPr>
            </w:pPr>
            <w:r w:rsidRPr="00DD0D1F">
              <w:rPr>
                <w:b/>
                <w:szCs w:val="24"/>
              </w:rPr>
              <w:t>Tanım</w:t>
            </w:r>
          </w:p>
        </w:tc>
      </w:tr>
      <w:tr w:rsidR="003328F9" w:rsidRPr="00DD0D1F" w14:paraId="2F9B5298" w14:textId="77777777" w:rsidTr="003328F9">
        <w:trPr>
          <w:trHeight w:val="460"/>
        </w:trPr>
        <w:tc>
          <w:tcPr>
            <w:tcW w:w="4247" w:type="dxa"/>
          </w:tcPr>
          <w:p w14:paraId="62A1D6D3" w14:textId="77777777" w:rsidR="003328F9" w:rsidRPr="00DD0D1F" w:rsidRDefault="003328F9" w:rsidP="003328F9">
            <w:pPr>
              <w:pStyle w:val="TableParagraph"/>
              <w:spacing w:before="108" w:line="276" w:lineRule="auto"/>
              <w:ind w:left="390"/>
              <w:jc w:val="both"/>
              <w:rPr>
                <w:szCs w:val="24"/>
              </w:rPr>
            </w:pPr>
            <w:r w:rsidRPr="00DD0D1F">
              <w:rPr>
                <w:szCs w:val="24"/>
              </w:rPr>
              <w:t>Günlük ortalama</w:t>
            </w:r>
          </w:p>
        </w:tc>
        <w:tc>
          <w:tcPr>
            <w:tcW w:w="5109" w:type="dxa"/>
          </w:tcPr>
          <w:p w14:paraId="75BB5AE7" w14:textId="77777777" w:rsidR="003328F9" w:rsidRPr="00DD0D1F" w:rsidRDefault="003328F9" w:rsidP="003328F9">
            <w:pPr>
              <w:pStyle w:val="TableParagraph"/>
              <w:spacing w:line="276" w:lineRule="auto"/>
              <w:ind w:left="107"/>
              <w:jc w:val="both"/>
              <w:rPr>
                <w:szCs w:val="24"/>
              </w:rPr>
            </w:pPr>
            <w:r w:rsidRPr="00DD0D1F">
              <w:rPr>
                <w:szCs w:val="24"/>
              </w:rPr>
              <w:t>Sürekli ölçümler ile elde edilen geçerli saatlik ortalamaların 24 saatlik bir süredeki ortalama değeri</w:t>
            </w:r>
          </w:p>
        </w:tc>
      </w:tr>
      <w:tr w:rsidR="003328F9" w:rsidRPr="00DD0D1F" w14:paraId="05315B0D" w14:textId="77777777" w:rsidTr="003328F9">
        <w:trPr>
          <w:trHeight w:val="460"/>
        </w:trPr>
        <w:tc>
          <w:tcPr>
            <w:tcW w:w="4247" w:type="dxa"/>
          </w:tcPr>
          <w:p w14:paraId="74BC62AA" w14:textId="77777777" w:rsidR="003328F9" w:rsidRPr="00DD0D1F" w:rsidRDefault="003328F9" w:rsidP="003328F9">
            <w:pPr>
              <w:pStyle w:val="TableParagraph"/>
              <w:spacing w:before="108" w:line="276" w:lineRule="auto"/>
              <w:ind w:left="390"/>
              <w:jc w:val="both"/>
              <w:rPr>
                <w:szCs w:val="24"/>
              </w:rPr>
            </w:pPr>
            <w:r w:rsidRPr="00DD0D1F">
              <w:rPr>
                <w:szCs w:val="24"/>
              </w:rPr>
              <w:t>Yıllık ortalama</w:t>
            </w:r>
          </w:p>
        </w:tc>
        <w:tc>
          <w:tcPr>
            <w:tcW w:w="5109" w:type="dxa"/>
          </w:tcPr>
          <w:p w14:paraId="7A21FE9A" w14:textId="77777777" w:rsidR="003328F9" w:rsidRPr="00DD0D1F" w:rsidRDefault="003328F9" w:rsidP="003328F9">
            <w:pPr>
              <w:pStyle w:val="TableParagraph"/>
              <w:spacing w:line="276" w:lineRule="auto"/>
              <w:ind w:left="107"/>
              <w:jc w:val="both"/>
              <w:rPr>
                <w:szCs w:val="24"/>
              </w:rPr>
            </w:pPr>
            <w:r w:rsidRPr="00DD0D1F">
              <w:rPr>
                <w:szCs w:val="24"/>
              </w:rPr>
              <w:t>Sürekli ölçümler ile elde edilen geçerli saatlik ortalamaların bir yıllık süredeki ortalama değeri</w:t>
            </w:r>
          </w:p>
        </w:tc>
      </w:tr>
      <w:tr w:rsidR="003328F9" w:rsidRPr="00DD0D1F" w14:paraId="29BDDAAB" w14:textId="77777777" w:rsidTr="003328F9">
        <w:trPr>
          <w:trHeight w:val="460"/>
        </w:trPr>
        <w:tc>
          <w:tcPr>
            <w:tcW w:w="4247" w:type="dxa"/>
          </w:tcPr>
          <w:p w14:paraId="517EB400" w14:textId="77777777" w:rsidR="003328F9" w:rsidRPr="00DD0D1F" w:rsidRDefault="003328F9" w:rsidP="003328F9">
            <w:pPr>
              <w:pStyle w:val="TableParagraph"/>
              <w:spacing w:line="276" w:lineRule="auto"/>
              <w:ind w:left="390"/>
              <w:jc w:val="both"/>
              <w:rPr>
                <w:szCs w:val="24"/>
              </w:rPr>
            </w:pPr>
            <w:r w:rsidRPr="00DD0D1F">
              <w:rPr>
                <w:szCs w:val="24"/>
              </w:rPr>
              <w:t>Numune alma periyodunda ortalama</w:t>
            </w:r>
          </w:p>
        </w:tc>
        <w:tc>
          <w:tcPr>
            <w:tcW w:w="5109" w:type="dxa"/>
          </w:tcPr>
          <w:p w14:paraId="04CC3946" w14:textId="77777777" w:rsidR="003328F9" w:rsidRPr="00DD0D1F" w:rsidRDefault="003328F9" w:rsidP="003328F9">
            <w:pPr>
              <w:pStyle w:val="TableParagraph"/>
              <w:spacing w:line="276" w:lineRule="auto"/>
              <w:ind w:left="107"/>
              <w:jc w:val="both"/>
              <w:rPr>
                <w:szCs w:val="24"/>
              </w:rPr>
            </w:pPr>
            <w:r w:rsidRPr="00DD0D1F">
              <w:rPr>
                <w:szCs w:val="24"/>
              </w:rPr>
              <w:t>En az 30'ar dakikalık üç ardışık ölçümün ortalama değeri (</w:t>
            </w:r>
            <w:r w:rsidRPr="00DD0D1F">
              <w:rPr>
                <w:szCs w:val="24"/>
                <w:vertAlign w:val="superscript"/>
              </w:rPr>
              <w:t>1</w:t>
            </w:r>
            <w:r w:rsidRPr="00DD0D1F">
              <w:rPr>
                <w:szCs w:val="24"/>
              </w:rPr>
              <w:t>)</w:t>
            </w:r>
          </w:p>
        </w:tc>
      </w:tr>
      <w:tr w:rsidR="003328F9" w:rsidRPr="00DD0D1F" w14:paraId="7200FACA" w14:textId="77777777" w:rsidTr="003328F9">
        <w:trPr>
          <w:trHeight w:val="688"/>
        </w:trPr>
        <w:tc>
          <w:tcPr>
            <w:tcW w:w="4247" w:type="dxa"/>
          </w:tcPr>
          <w:p w14:paraId="737A9A59" w14:textId="77777777" w:rsidR="003328F9" w:rsidRPr="00DD0D1F" w:rsidRDefault="003328F9" w:rsidP="003328F9">
            <w:pPr>
              <w:pStyle w:val="TableParagraph"/>
              <w:spacing w:before="108" w:line="276" w:lineRule="auto"/>
              <w:ind w:left="390" w:right="46"/>
              <w:jc w:val="both"/>
              <w:rPr>
                <w:szCs w:val="24"/>
              </w:rPr>
            </w:pPr>
            <w:r w:rsidRPr="00DD0D1F">
              <w:rPr>
                <w:szCs w:val="24"/>
              </w:rPr>
              <w:t>Bir yılda alınan numunelerin ortalaması</w:t>
            </w:r>
          </w:p>
        </w:tc>
        <w:tc>
          <w:tcPr>
            <w:tcW w:w="5109" w:type="dxa"/>
          </w:tcPr>
          <w:p w14:paraId="41804C6E" w14:textId="77777777" w:rsidR="003328F9" w:rsidRPr="00DD0D1F" w:rsidRDefault="003328F9" w:rsidP="003328F9">
            <w:pPr>
              <w:pStyle w:val="TableParagraph"/>
              <w:spacing w:line="276" w:lineRule="auto"/>
              <w:ind w:left="107"/>
              <w:jc w:val="both"/>
              <w:rPr>
                <w:szCs w:val="24"/>
              </w:rPr>
            </w:pPr>
            <w:r w:rsidRPr="00DD0D1F">
              <w:rPr>
                <w:szCs w:val="24"/>
              </w:rPr>
              <w:t>Her parametre için ayarlanan izleme sıklığı ile yapılan periyodik ölçümlerin bir yıl boyunca elde edilen değerlerinin ortalaması</w:t>
            </w:r>
          </w:p>
        </w:tc>
      </w:tr>
      <w:tr w:rsidR="003328F9" w:rsidRPr="00DD0D1F" w14:paraId="250B62DD" w14:textId="77777777" w:rsidTr="003328F9">
        <w:trPr>
          <w:trHeight w:val="414"/>
        </w:trPr>
        <w:tc>
          <w:tcPr>
            <w:tcW w:w="9356" w:type="dxa"/>
            <w:gridSpan w:val="2"/>
          </w:tcPr>
          <w:p w14:paraId="2AA207A1" w14:textId="77777777" w:rsidR="003328F9" w:rsidRPr="00DD0D1F" w:rsidRDefault="003328F9" w:rsidP="003328F9">
            <w:pPr>
              <w:pStyle w:val="TableParagraph"/>
              <w:spacing w:line="276" w:lineRule="auto"/>
              <w:ind w:left="288"/>
              <w:jc w:val="both"/>
              <w:rPr>
                <w:szCs w:val="24"/>
              </w:rPr>
            </w:pPr>
            <w:r w:rsidRPr="00DD0D1F">
              <w:rPr>
                <w:szCs w:val="24"/>
                <w:vertAlign w:val="superscript"/>
              </w:rPr>
              <w:t>(1)</w:t>
            </w:r>
            <w:r w:rsidRPr="00DD0D1F">
              <w:rPr>
                <w:szCs w:val="24"/>
              </w:rPr>
              <w:t xml:space="preserve"> Numune alma veya analitik sınırlamalar nedeniyle 30 dakikalık ölçümün uygun olmadığı herhangi bir parametre için uygun bir numune alma süresi kullanılır. PCDD/F için 6 ila 8 saatlik bir numune alma periyodu kullanılır.</w:t>
            </w:r>
          </w:p>
        </w:tc>
      </w:tr>
    </w:tbl>
    <w:p w14:paraId="40DC74AD" w14:textId="77777777" w:rsidR="003328F9" w:rsidRPr="00DD0D1F" w:rsidRDefault="003328F9" w:rsidP="003328F9">
      <w:pPr>
        <w:pStyle w:val="Balk3"/>
        <w:numPr>
          <w:ilvl w:val="0"/>
          <w:numId w:val="0"/>
        </w:numPr>
        <w:spacing w:before="91"/>
        <w:rPr>
          <w:rFonts w:cs="Times New Roman"/>
          <w:lang w:val="tr-TR"/>
        </w:rPr>
      </w:pPr>
      <w:r w:rsidRPr="00DD0D1F">
        <w:rPr>
          <w:rFonts w:cs="Times New Roman"/>
          <w:lang w:val="tr-TR"/>
        </w:rPr>
        <w:t>Suya emisyonlar için MET-İES'ler</w:t>
      </w:r>
    </w:p>
    <w:p w14:paraId="6474FA1F" w14:textId="5E90E206" w:rsidR="003328F9" w:rsidRPr="00DD0D1F" w:rsidRDefault="003328F9" w:rsidP="005A4911">
      <w:pPr>
        <w:pStyle w:val="Normaltext"/>
        <w:rPr>
          <w:rFonts w:cs="Times New Roman"/>
          <w:szCs w:val="24"/>
        </w:rPr>
      </w:pPr>
      <w:r w:rsidRPr="00DD0D1F">
        <w:rPr>
          <w:rFonts w:cs="Times New Roman"/>
          <w:szCs w:val="24"/>
        </w:rPr>
        <w:t xml:space="preserve">Bu </w:t>
      </w:r>
      <w:r w:rsidR="00926FE0" w:rsidRPr="00DD0D1F">
        <w:rPr>
          <w:rFonts w:cs="Times New Roman"/>
          <w:szCs w:val="24"/>
        </w:rPr>
        <w:t>tebliğde</w:t>
      </w:r>
      <w:r w:rsidRPr="00DD0D1F">
        <w:rPr>
          <w:rFonts w:cs="Times New Roman"/>
          <w:szCs w:val="24"/>
        </w:rPr>
        <w:t xml:space="preserve"> suya emisyonlar için mevcut en iyi tekniklerle ilişkili emisyon seviyeleri (MET-İES'ler), su hacmi başına yayılan madde kütlesi olarak belirtilen ve µg/l, mg/l </w:t>
      </w:r>
      <w:r w:rsidRPr="00DD0D1F">
        <w:rPr>
          <w:rStyle w:val="NormaltextChar"/>
          <w:rFonts w:cs="Times New Roman"/>
          <w:szCs w:val="24"/>
        </w:rPr>
        <w:t>veya g/l cinsinden gösterilen konsantrasyonları ifade eder. MET-İES'ler günlük ortalamaları, yani 24 saatlik akışla orantılı kompozit numuneleri ifade eder. Yeterli akış stabilitesinin gösterilebilmesi koşuluyla, zamanla orantılı kompozit numuneler</w:t>
      </w:r>
      <w:r w:rsidR="007B11FD" w:rsidRPr="00DD0D1F">
        <w:rPr>
          <w:rFonts w:cs="Times New Roman"/>
          <w:szCs w:val="24"/>
        </w:rPr>
        <w:t xml:space="preserve"> kullanılır.</w:t>
      </w:r>
      <w:r w:rsidRPr="00DD0D1F">
        <w:rPr>
          <w:rFonts w:cs="Times New Roman"/>
          <w:szCs w:val="24"/>
        </w:rPr>
        <w:t xml:space="preserve"> </w:t>
      </w:r>
    </w:p>
    <w:p w14:paraId="76AC58F7" w14:textId="77777777" w:rsidR="003328F9" w:rsidRPr="00DD0D1F" w:rsidRDefault="003328F9" w:rsidP="005A4911">
      <w:pPr>
        <w:pStyle w:val="Normaltext"/>
        <w:rPr>
          <w:rFonts w:cs="Times New Roman"/>
          <w:szCs w:val="24"/>
        </w:rPr>
      </w:pPr>
      <w:r w:rsidRPr="00DD0D1F">
        <w:rPr>
          <w:rFonts w:cs="Times New Roman"/>
          <w:szCs w:val="24"/>
        </w:rPr>
        <w:t>Su emisyonları için MET-İES'lerle ilişkili izleme koşulları MET 5'te verilmektedir.</w:t>
      </w:r>
    </w:p>
    <w:p w14:paraId="4CDDF68A" w14:textId="77777777" w:rsidR="003328F9" w:rsidRPr="00DD0D1F" w:rsidRDefault="003328F9" w:rsidP="005A4911">
      <w:pPr>
        <w:pStyle w:val="Normaltext"/>
        <w:rPr>
          <w:rFonts w:cs="Times New Roman"/>
          <w:szCs w:val="24"/>
        </w:rPr>
      </w:pPr>
      <w:r w:rsidRPr="00DD0D1F">
        <w:rPr>
          <w:rFonts w:cs="Times New Roman"/>
          <w:szCs w:val="24"/>
        </w:rPr>
        <w:t>Mevcut en iyi tekniklerle ilişkili enerji verimliliği seviyeleri (MET-İEVS'ler)</w:t>
      </w:r>
    </w:p>
    <w:p w14:paraId="7A47DAE1" w14:textId="2499EA8B" w:rsidR="003328F9" w:rsidRPr="00DD0D1F" w:rsidRDefault="003328F9" w:rsidP="005A4911">
      <w:pPr>
        <w:pStyle w:val="Normaltext"/>
        <w:rPr>
          <w:rFonts w:cs="Times New Roman"/>
          <w:szCs w:val="24"/>
        </w:rPr>
      </w:pPr>
      <w:r w:rsidRPr="00DD0D1F">
        <w:rPr>
          <w:rFonts w:cs="Times New Roman"/>
          <w:szCs w:val="24"/>
        </w:rPr>
        <w:t>Mevcut en iyi tekniklerle ilişkili bir enerji verimliliği seviyesi (MET-İEVS), yakma ünitesinin net enerji çıktısı/çıktıları ile yakma ünitesinin yakıt/hammadde enerji girdisi tasarım değeri arasındaki oranı ifade eder. Net enerji çıktısı/çıktıları, yardımcı sistemler (ör. baca gazı arıtma sistemleri) dahil olmak üzere yakma, gazlaştırma veya IGCC ünite sınırlarında ve tam yükte çalıştırılan ünite için belirlenir.</w:t>
      </w:r>
    </w:p>
    <w:p w14:paraId="31A4E645" w14:textId="77777777" w:rsidR="003328F9" w:rsidRPr="00DD0D1F" w:rsidRDefault="003328F9" w:rsidP="005A4911">
      <w:pPr>
        <w:pStyle w:val="Normaltext"/>
        <w:rPr>
          <w:rFonts w:cs="Times New Roman"/>
          <w:szCs w:val="24"/>
        </w:rPr>
      </w:pPr>
      <w:r w:rsidRPr="00DD0D1F">
        <w:rPr>
          <w:rFonts w:cs="Times New Roman"/>
          <w:szCs w:val="24"/>
        </w:rPr>
        <w:t>Kombine ısı ve güç (CHP) santralleri olması halinde:</w:t>
      </w:r>
    </w:p>
    <w:p w14:paraId="1E22BAB6" w14:textId="10B53A5C" w:rsidR="003328F9" w:rsidRPr="00DD0D1F" w:rsidRDefault="00CE3C46" w:rsidP="005A4911">
      <w:pPr>
        <w:pStyle w:val="Normaltext"/>
        <w:rPr>
          <w:rFonts w:cs="Times New Roman"/>
          <w:szCs w:val="24"/>
        </w:rPr>
      </w:pPr>
      <w:r w:rsidRPr="00DD0D1F">
        <w:rPr>
          <w:rFonts w:cs="Times New Roman"/>
          <w:szCs w:val="24"/>
        </w:rPr>
        <w:t>N</w:t>
      </w:r>
      <w:r w:rsidR="003328F9" w:rsidRPr="00DD0D1F">
        <w:rPr>
          <w:rFonts w:cs="Times New Roman"/>
          <w:szCs w:val="24"/>
        </w:rPr>
        <w:t>et toplam yakıt kullanımına ilişkin MET-İEVS, tam yükte çalıştırılan ve birincil olarak ısı kaynağını ve ikincil olarak ise üretilebilecek kalan gücü azami seviyeye çıkaracak şekilde ayarlanan yakma ünitesini ifade eder;</w:t>
      </w:r>
    </w:p>
    <w:p w14:paraId="3561A332" w14:textId="77777777" w:rsidR="003328F9" w:rsidRPr="00DD0D1F" w:rsidRDefault="003328F9" w:rsidP="005A4911">
      <w:pPr>
        <w:pStyle w:val="Normaltext"/>
        <w:rPr>
          <w:rFonts w:cs="Times New Roman"/>
          <w:szCs w:val="24"/>
        </w:rPr>
      </w:pPr>
      <w:r w:rsidRPr="00DD0D1F">
        <w:rPr>
          <w:rFonts w:cs="Times New Roman"/>
          <w:szCs w:val="24"/>
        </w:rPr>
        <w:t>Net elektrik verimliliğine ilişkin MET-İEVS, yalnızca tam yükte elektrik üreten yakma ünitesini ifade eder.</w:t>
      </w:r>
    </w:p>
    <w:p w14:paraId="7DBE8F26" w14:textId="77777777" w:rsidR="003328F9" w:rsidRPr="00DD0D1F" w:rsidRDefault="003328F9" w:rsidP="005A4911">
      <w:pPr>
        <w:pStyle w:val="Normaltext"/>
        <w:rPr>
          <w:rFonts w:cs="Times New Roman"/>
          <w:szCs w:val="24"/>
        </w:rPr>
      </w:pPr>
      <w:r w:rsidRPr="00DD0D1F">
        <w:rPr>
          <w:rFonts w:cs="Times New Roman"/>
          <w:szCs w:val="24"/>
        </w:rPr>
        <w:t>MET-İEVS'ler yüzde olarak gösterilir. Yakıt/hammadde enerji girdisi, alt ısıl değer (LHV) olarak ifade edilir.</w:t>
      </w:r>
    </w:p>
    <w:p w14:paraId="53526571" w14:textId="26BC1887" w:rsidR="003328F9" w:rsidRPr="00DD0D1F" w:rsidRDefault="003328F9" w:rsidP="005A4911">
      <w:pPr>
        <w:pStyle w:val="Normaltext"/>
        <w:rPr>
          <w:rFonts w:cs="Times New Roman"/>
          <w:szCs w:val="24"/>
        </w:rPr>
      </w:pPr>
      <w:r w:rsidRPr="00DD0D1F">
        <w:rPr>
          <w:rFonts w:cs="Times New Roman"/>
          <w:szCs w:val="24"/>
        </w:rPr>
        <w:t xml:space="preserve">MET-İEVS'ler ile ilişkili izleme </w:t>
      </w:r>
      <w:r w:rsidR="007B11FD" w:rsidRPr="00DD0D1F">
        <w:rPr>
          <w:rFonts w:cs="Times New Roman"/>
          <w:szCs w:val="24"/>
        </w:rPr>
        <w:t>koşulları MET 2'de verilmiştir.</w:t>
      </w:r>
    </w:p>
    <w:p w14:paraId="1B0A6F07" w14:textId="6CFEDE76" w:rsidR="003328F9" w:rsidRPr="00DD0D1F" w:rsidRDefault="003328F9" w:rsidP="003328F9">
      <w:pPr>
        <w:pStyle w:val="Balk3"/>
        <w:numPr>
          <w:ilvl w:val="0"/>
          <w:numId w:val="0"/>
        </w:numPr>
        <w:ind w:left="720" w:right="227" w:hanging="720"/>
        <w:rPr>
          <w:rFonts w:eastAsiaTheme="minorHAnsi" w:cs="Times New Roman"/>
          <w:b w:val="0"/>
          <w:bCs/>
          <w:lang w:val="tr-TR"/>
        </w:rPr>
      </w:pPr>
      <w:r w:rsidRPr="00DD0D1F">
        <w:rPr>
          <w:rFonts w:eastAsiaTheme="minorHAnsi" w:cs="Times New Roman"/>
          <w:b w:val="0"/>
          <w:bCs/>
          <w:lang w:val="tr-TR"/>
        </w:rPr>
        <w:t>Toplam Anma Isıl Gücüne Göre Yakma Tesislerinin/Ünitelerinin Sınıflandırılması</w:t>
      </w:r>
    </w:p>
    <w:p w14:paraId="7A522440" w14:textId="3C9AA145" w:rsidR="003328F9" w:rsidRPr="00DD0D1F" w:rsidRDefault="003328F9" w:rsidP="005A4911">
      <w:pPr>
        <w:pStyle w:val="Normaltext"/>
        <w:rPr>
          <w:rFonts w:cs="Times New Roman"/>
          <w:szCs w:val="24"/>
        </w:rPr>
      </w:pPr>
      <w:r w:rsidRPr="00DD0D1F">
        <w:rPr>
          <w:rFonts w:cs="Times New Roman"/>
          <w:szCs w:val="24"/>
        </w:rPr>
        <w:t xml:space="preserve">Bu sınıflandırmada, MET amaçları doğrultusunda, toplam anma ısıl güç için bir değer aralığı belirtildiğinde bu, 'aralığın alt </w:t>
      </w:r>
      <w:r w:rsidR="00A504E5" w:rsidRPr="00DD0D1F">
        <w:rPr>
          <w:rFonts w:cs="Times New Roman"/>
          <w:szCs w:val="24"/>
          <w:lang w:val="tr-TR"/>
        </w:rPr>
        <w:t xml:space="preserve">sınırına </w:t>
      </w:r>
      <w:r w:rsidRPr="00DD0D1F">
        <w:rPr>
          <w:rFonts w:cs="Times New Roman"/>
          <w:szCs w:val="24"/>
        </w:rPr>
        <w:t xml:space="preserve">eşit veya ondan büyük ve aralığın üst </w:t>
      </w:r>
      <w:r w:rsidR="00A504E5" w:rsidRPr="00DD0D1F">
        <w:rPr>
          <w:rFonts w:cs="Times New Roman"/>
          <w:szCs w:val="24"/>
          <w:lang w:val="tr-TR"/>
        </w:rPr>
        <w:t>sınırı</w:t>
      </w:r>
      <w:r w:rsidRPr="00DD0D1F">
        <w:rPr>
          <w:rFonts w:cs="Times New Roman"/>
          <w:szCs w:val="24"/>
        </w:rPr>
        <w:t>ndan düşük' olarak okunmalıdır. Örneğin, 100–300 MWth’lik tesis sınıfı şu şekilde okunmalıdır: toplam anma ısıl gücü 100 MW'a eşit veya daha yüksek ve 300 MW'tan düşük olan yakma tesisleri.</w:t>
      </w:r>
    </w:p>
    <w:p w14:paraId="6DD9B7AB" w14:textId="52C3677C" w:rsidR="00A508A2" w:rsidRPr="00DD0D1F" w:rsidRDefault="003328F9" w:rsidP="005A4911">
      <w:pPr>
        <w:pStyle w:val="Normaltext"/>
        <w:rPr>
          <w:rFonts w:cs="Times New Roman"/>
          <w:szCs w:val="24"/>
        </w:rPr>
      </w:pPr>
      <w:r w:rsidRPr="00DD0D1F">
        <w:rPr>
          <w:rFonts w:cs="Times New Roman"/>
          <w:szCs w:val="24"/>
        </w:rPr>
        <w:t xml:space="preserve">Baca gazı deşarjı bir ya da daha fazla ayrı kanaldan ancak ortak bir bacadan yapılan bir yakma tesisi bölümünün 1500 saat/yıl’dan az çalıştırılması durumunda tesisin bu bölümü MET sonuçlarının amaçları doğrultusunda ayrı değerlendirilir. Tesisin tüm bölümleri için MET-İES’ler, tesisin toplam anma ısıl gücüne göre geçerlidir. Bu gibi durumlarda, bu kanalların her birinden geçen emisyonlar ayrı ayrı izlenir. </w:t>
      </w:r>
      <w:bookmarkStart w:id="9" w:name="10.1_General_BAT_conclusions"/>
      <w:bookmarkStart w:id="10" w:name="_bookmark38"/>
      <w:bookmarkEnd w:id="9"/>
      <w:bookmarkEnd w:id="10"/>
    </w:p>
    <w:p w14:paraId="2BE9B3EA" w14:textId="7D2A8A56" w:rsidR="00A508A2" w:rsidRPr="00DD0D1F" w:rsidRDefault="00BE2126" w:rsidP="007D7613">
      <w:pPr>
        <w:pStyle w:val="Normaltext"/>
        <w:rPr>
          <w:rFonts w:cs="Times New Roman"/>
          <w:b/>
          <w:szCs w:val="24"/>
        </w:rPr>
      </w:pPr>
      <w:r w:rsidRPr="00DD0D1F">
        <w:rPr>
          <w:rFonts w:cs="Times New Roman"/>
          <w:b/>
          <w:szCs w:val="24"/>
        </w:rPr>
        <w:t>RAFİNERİ</w:t>
      </w:r>
      <w:r w:rsidR="00094F4A" w:rsidRPr="00DD0D1F">
        <w:rPr>
          <w:rFonts w:cs="Times New Roman"/>
          <w:b/>
          <w:szCs w:val="24"/>
        </w:rPr>
        <w:t>LER</w:t>
      </w:r>
    </w:p>
    <w:p w14:paraId="3FA7DBD1" w14:textId="77777777" w:rsidR="00A508A2" w:rsidRPr="00DD0D1F" w:rsidRDefault="00A508A2" w:rsidP="00A508A2">
      <w:pPr>
        <w:rPr>
          <w:rFonts w:cs="Times New Roman"/>
          <w:b/>
          <w:bCs/>
          <w:szCs w:val="24"/>
          <w:lang w:val="tr-TR"/>
        </w:rPr>
      </w:pPr>
      <w:bookmarkStart w:id="11" w:name="_bookmark857"/>
      <w:bookmarkEnd w:id="11"/>
      <w:r w:rsidRPr="00DD0D1F">
        <w:rPr>
          <w:rFonts w:cs="Times New Roman"/>
          <w:b/>
          <w:bCs/>
          <w:szCs w:val="24"/>
          <w:lang w:val="tr-TR"/>
        </w:rPr>
        <w:t>Havaya yayılan emisyonlar için ortalama süreler ve referans koşullar</w:t>
      </w:r>
    </w:p>
    <w:p w14:paraId="25A8C987" w14:textId="751620A5" w:rsidR="00A508A2" w:rsidRPr="00DD0D1F" w:rsidRDefault="00316427" w:rsidP="00A508A2">
      <w:pPr>
        <w:rPr>
          <w:rFonts w:cs="Times New Roman"/>
          <w:szCs w:val="24"/>
          <w:lang w:val="tr-TR"/>
        </w:rPr>
      </w:pPr>
      <w:r>
        <w:rPr>
          <w:rFonts w:cs="Times New Roman"/>
          <w:szCs w:val="24"/>
          <w:lang w:val="tr-TR"/>
        </w:rPr>
        <w:t>B</w:t>
      </w:r>
      <w:r w:rsidR="00A508A2" w:rsidRPr="00DD0D1F">
        <w:rPr>
          <w:rFonts w:cs="Times New Roman"/>
          <w:szCs w:val="24"/>
          <w:lang w:val="tr-TR"/>
        </w:rPr>
        <w:t xml:space="preserve">u </w:t>
      </w:r>
      <w:r w:rsidR="007D7613" w:rsidRPr="00DD0D1F">
        <w:rPr>
          <w:rFonts w:cs="Times New Roman"/>
          <w:szCs w:val="24"/>
          <w:lang w:val="tr-TR"/>
        </w:rPr>
        <w:t>Tebliğde</w:t>
      </w:r>
      <w:r w:rsidR="00A508A2" w:rsidRPr="00DD0D1F">
        <w:rPr>
          <w:rFonts w:cs="Times New Roman"/>
          <w:szCs w:val="24"/>
          <w:lang w:val="tr-TR"/>
        </w:rPr>
        <w:t xml:space="preserve"> yer verilen havaya yayılan emisyonlar bakımından mevcut en iyi tekniklerle (MET-</w:t>
      </w:r>
      <w:r w:rsidR="007D7613" w:rsidRPr="00DD0D1F">
        <w:rPr>
          <w:rFonts w:cs="Times New Roman"/>
          <w:szCs w:val="24"/>
          <w:lang w:val="tr-TR"/>
        </w:rPr>
        <w:t>İES</w:t>
      </w:r>
      <w:r w:rsidR="00A508A2" w:rsidRPr="00DD0D1F">
        <w:rPr>
          <w:rFonts w:cs="Times New Roman"/>
          <w:szCs w:val="24"/>
          <w:lang w:val="tr-TR"/>
        </w:rPr>
        <w:t>) ilişkili olan emisyon düzeyleri, yayılan maddenin şu standart koşullarda atık gaz hacmi başına düşen kütlesi cinsinden ifade edilen yoğunluklara atıf yapar: kuru gaz; 273.15 K sıcaklık ve 101.3 kPa basınçta.</w:t>
      </w:r>
    </w:p>
    <w:p w14:paraId="57480966" w14:textId="77777777" w:rsidR="00A508A2" w:rsidRPr="00DD0D1F" w:rsidRDefault="00A508A2" w:rsidP="00A508A2">
      <w:pPr>
        <w:rPr>
          <w:rFonts w:cs="Times New Roman"/>
          <w:szCs w:val="24"/>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9"/>
        <w:gridCol w:w="5918"/>
      </w:tblGrid>
      <w:tr w:rsidR="00A508A2" w:rsidRPr="00DD0D1F" w14:paraId="6191A013" w14:textId="77777777" w:rsidTr="00A508A2">
        <w:trPr>
          <w:trHeight w:val="690"/>
        </w:trPr>
        <w:tc>
          <w:tcPr>
            <w:tcW w:w="1740" w:type="pct"/>
            <w:tcBorders>
              <w:top w:val="single" w:sz="4" w:space="0" w:color="000000"/>
              <w:left w:val="single" w:sz="4" w:space="0" w:color="000000"/>
              <w:bottom w:val="single" w:sz="4" w:space="0" w:color="000000"/>
              <w:right w:val="single" w:sz="4" w:space="0" w:color="000000"/>
            </w:tcBorders>
          </w:tcPr>
          <w:p w14:paraId="019D613B" w14:textId="77777777" w:rsidR="00A508A2" w:rsidRPr="00DD0D1F" w:rsidRDefault="00A508A2" w:rsidP="00A508A2">
            <w:pPr>
              <w:pStyle w:val="TableParagraph"/>
              <w:spacing w:before="5"/>
              <w:rPr>
                <w:szCs w:val="24"/>
              </w:rPr>
            </w:pPr>
          </w:p>
          <w:p w14:paraId="0DA7B960" w14:textId="77777777" w:rsidR="00A508A2" w:rsidRPr="00DD0D1F" w:rsidRDefault="00A508A2" w:rsidP="00A508A2">
            <w:pPr>
              <w:pStyle w:val="TableParagraph"/>
              <w:ind w:left="107"/>
              <w:rPr>
                <w:szCs w:val="24"/>
              </w:rPr>
            </w:pPr>
            <w:r w:rsidRPr="00DD0D1F">
              <w:rPr>
                <w:szCs w:val="24"/>
              </w:rPr>
              <w:t>Sürekli ölçümler için</w:t>
            </w:r>
          </w:p>
        </w:tc>
        <w:tc>
          <w:tcPr>
            <w:tcW w:w="3260" w:type="pct"/>
            <w:tcBorders>
              <w:top w:val="single" w:sz="4" w:space="0" w:color="000000"/>
              <w:left w:val="single" w:sz="4" w:space="0" w:color="000000"/>
              <w:bottom w:val="single" w:sz="4" w:space="0" w:color="000000"/>
              <w:right w:val="single" w:sz="4" w:space="0" w:color="000000"/>
            </w:tcBorders>
          </w:tcPr>
          <w:p w14:paraId="767F6067" w14:textId="6146750E" w:rsidR="00A508A2" w:rsidRPr="00DD0D1F" w:rsidRDefault="00A508A2" w:rsidP="00A508A2">
            <w:pPr>
              <w:pStyle w:val="TableParagraph"/>
              <w:spacing w:line="223" w:lineRule="exact"/>
              <w:ind w:left="107"/>
              <w:rPr>
                <w:szCs w:val="24"/>
              </w:rPr>
            </w:pPr>
            <w:r w:rsidRPr="00DD0D1F">
              <w:rPr>
                <w:szCs w:val="24"/>
              </w:rPr>
              <w:t>MET-</w:t>
            </w:r>
            <w:r w:rsidR="007D7613" w:rsidRPr="00DD0D1F">
              <w:rPr>
                <w:szCs w:val="24"/>
              </w:rPr>
              <w:t>İES</w:t>
            </w:r>
            <w:r w:rsidRPr="00DD0D1F">
              <w:rPr>
                <w:szCs w:val="24"/>
              </w:rPr>
              <w:t>, bir aylık dönemde ölçülen bütün geçerli saatlik ortalama değerlerin ortalaması olan aylık ortalama değerlere atıf yapar</w:t>
            </w:r>
          </w:p>
          <w:p w14:paraId="0FA25488" w14:textId="77777777" w:rsidR="00A508A2" w:rsidRPr="00DD0D1F" w:rsidRDefault="00A508A2" w:rsidP="00A508A2">
            <w:pPr>
              <w:pStyle w:val="TableParagraph"/>
              <w:spacing w:line="230" w:lineRule="atLeast"/>
              <w:ind w:left="107" w:right="73"/>
              <w:rPr>
                <w:szCs w:val="24"/>
              </w:rPr>
            </w:pPr>
          </w:p>
        </w:tc>
      </w:tr>
      <w:tr w:rsidR="00A508A2" w:rsidRPr="00DD0D1F" w14:paraId="1645D0A2" w14:textId="77777777" w:rsidTr="00A508A2">
        <w:trPr>
          <w:trHeight w:val="640"/>
        </w:trPr>
        <w:tc>
          <w:tcPr>
            <w:tcW w:w="1740" w:type="pct"/>
            <w:tcBorders>
              <w:top w:val="single" w:sz="4" w:space="0" w:color="000000"/>
              <w:left w:val="single" w:sz="4" w:space="0" w:color="000000"/>
              <w:bottom w:val="single" w:sz="4" w:space="0" w:color="000000"/>
              <w:right w:val="single" w:sz="4" w:space="0" w:color="000000"/>
            </w:tcBorders>
          </w:tcPr>
          <w:p w14:paraId="2AB6DB5C" w14:textId="77777777" w:rsidR="00A508A2" w:rsidRPr="00DD0D1F" w:rsidRDefault="00A508A2" w:rsidP="00A508A2">
            <w:pPr>
              <w:pStyle w:val="TableParagraph"/>
              <w:spacing w:before="4"/>
              <w:rPr>
                <w:szCs w:val="24"/>
              </w:rPr>
            </w:pPr>
          </w:p>
          <w:p w14:paraId="440A25D3" w14:textId="77777777" w:rsidR="00A508A2" w:rsidRPr="00DD0D1F" w:rsidRDefault="00A508A2" w:rsidP="00A508A2">
            <w:pPr>
              <w:pStyle w:val="TableParagraph"/>
              <w:ind w:left="107"/>
              <w:rPr>
                <w:szCs w:val="24"/>
              </w:rPr>
            </w:pPr>
            <w:r w:rsidRPr="00DD0D1F">
              <w:rPr>
                <w:szCs w:val="24"/>
              </w:rPr>
              <w:t>Periyodik ölçümler için</w:t>
            </w:r>
          </w:p>
        </w:tc>
        <w:tc>
          <w:tcPr>
            <w:tcW w:w="3260" w:type="pct"/>
            <w:tcBorders>
              <w:top w:val="single" w:sz="4" w:space="0" w:color="000000"/>
              <w:left w:val="single" w:sz="4" w:space="0" w:color="000000"/>
              <w:bottom w:val="single" w:sz="4" w:space="0" w:color="000000"/>
              <w:right w:val="single" w:sz="4" w:space="0" w:color="000000"/>
            </w:tcBorders>
            <w:hideMark/>
          </w:tcPr>
          <w:p w14:paraId="5459DB7B" w14:textId="51D6E749" w:rsidR="00A508A2" w:rsidRPr="00DD0D1F" w:rsidRDefault="00A508A2" w:rsidP="007D7613">
            <w:pPr>
              <w:pStyle w:val="TableParagraph"/>
              <w:spacing w:before="84"/>
              <w:ind w:left="107"/>
              <w:rPr>
                <w:szCs w:val="24"/>
              </w:rPr>
            </w:pPr>
            <w:r w:rsidRPr="00DD0D1F">
              <w:rPr>
                <w:szCs w:val="24"/>
              </w:rPr>
              <w:t>MET-</w:t>
            </w:r>
            <w:r w:rsidR="007D7613" w:rsidRPr="00DD0D1F">
              <w:rPr>
                <w:szCs w:val="24"/>
              </w:rPr>
              <w:t>İES</w:t>
            </w:r>
            <w:r w:rsidRPr="00DD0D1F">
              <w:rPr>
                <w:szCs w:val="24"/>
              </w:rPr>
              <w:t>, en az 30'ar dakikalık üç adet küçük numunenin ortalama değerine atıf yapar</w:t>
            </w:r>
          </w:p>
        </w:tc>
      </w:tr>
    </w:tbl>
    <w:p w14:paraId="0F618D41" w14:textId="11AF3D01" w:rsidR="00A508A2" w:rsidRPr="00DD0D1F" w:rsidRDefault="009A6605" w:rsidP="00A508A2">
      <w:pPr>
        <w:pStyle w:val="GvdeMetni"/>
        <w:spacing w:before="91"/>
        <w:rPr>
          <w:sz w:val="24"/>
          <w:szCs w:val="24"/>
        </w:rPr>
      </w:pPr>
      <w:r w:rsidRPr="00DD0D1F">
        <w:rPr>
          <w:sz w:val="24"/>
          <w:szCs w:val="24"/>
        </w:rPr>
        <w:t xml:space="preserve">Yanma, katalitik </w:t>
      </w:r>
      <w:r w:rsidR="00A508A2" w:rsidRPr="00DD0D1F">
        <w:rPr>
          <w:sz w:val="24"/>
          <w:szCs w:val="24"/>
        </w:rPr>
        <w:t>parçalama prosesleri ve atık gaz kükürt geri kazanım üniteleri ile ilgili olarak, oksijen referans koşulları Tablo 1'de verilmektedir.</w:t>
      </w:r>
    </w:p>
    <w:p w14:paraId="2C74A525" w14:textId="77777777" w:rsidR="00A508A2" w:rsidRPr="00DD0D1F" w:rsidRDefault="00A508A2" w:rsidP="00A508A2">
      <w:pPr>
        <w:pStyle w:val="GvdeMetni"/>
        <w:rPr>
          <w:sz w:val="24"/>
          <w:szCs w:val="24"/>
        </w:rPr>
      </w:pPr>
    </w:p>
    <w:p w14:paraId="11F04E91" w14:textId="77777777" w:rsidR="00A508A2" w:rsidRPr="00DD0D1F" w:rsidRDefault="00A508A2" w:rsidP="00A508A2">
      <w:pPr>
        <w:pStyle w:val="GvdeMetni"/>
        <w:spacing w:before="3"/>
        <w:rPr>
          <w:sz w:val="24"/>
          <w:szCs w:val="24"/>
        </w:rPr>
      </w:pPr>
    </w:p>
    <w:p w14:paraId="4B02C726" w14:textId="1569EA80" w:rsidR="00A508A2" w:rsidRPr="00DD0D1F" w:rsidRDefault="00A508A2" w:rsidP="00A508A2">
      <w:pPr>
        <w:pStyle w:val="ResimYazs"/>
        <w:jc w:val="left"/>
        <w:rPr>
          <w:rFonts w:cs="Times New Roman"/>
          <w:color w:val="auto"/>
          <w:szCs w:val="24"/>
          <w:lang w:val="tr-TR"/>
        </w:rPr>
      </w:pPr>
      <w:bookmarkStart w:id="12" w:name="_bookmark858"/>
      <w:bookmarkEnd w:id="12"/>
      <w:r w:rsidRPr="00DD0D1F">
        <w:rPr>
          <w:rFonts w:cs="Times New Roman"/>
          <w:color w:val="auto"/>
          <w:szCs w:val="24"/>
          <w:lang w:val="tr-TR"/>
        </w:rPr>
        <w:t xml:space="preserve">Tablo </w:t>
      </w:r>
      <w:r w:rsidRPr="00DD0D1F">
        <w:rPr>
          <w:rFonts w:cs="Times New Roman"/>
          <w:color w:val="auto"/>
          <w:szCs w:val="24"/>
        </w:rPr>
        <w:fldChar w:fldCharType="begin"/>
      </w:r>
      <w:r w:rsidRPr="00DD0D1F">
        <w:rPr>
          <w:rFonts w:cs="Times New Roman"/>
          <w:color w:val="auto"/>
          <w:szCs w:val="24"/>
          <w:lang w:val="tr-TR"/>
        </w:rPr>
        <w:instrText xml:space="preserve"> SEQ Tablo \* ARABIC </w:instrText>
      </w:r>
      <w:r w:rsidRPr="00DD0D1F">
        <w:rPr>
          <w:rFonts w:cs="Times New Roman"/>
          <w:color w:val="auto"/>
          <w:szCs w:val="24"/>
        </w:rPr>
        <w:fldChar w:fldCharType="separate"/>
      </w:r>
      <w:r w:rsidR="00CB2106" w:rsidRPr="00DD0D1F">
        <w:rPr>
          <w:rFonts w:cs="Times New Roman"/>
          <w:noProof/>
          <w:color w:val="auto"/>
          <w:szCs w:val="24"/>
          <w:lang w:val="tr-TR"/>
        </w:rPr>
        <w:t>1</w:t>
      </w:r>
      <w:r w:rsidRPr="00DD0D1F">
        <w:rPr>
          <w:rFonts w:cs="Times New Roman"/>
          <w:color w:val="auto"/>
          <w:szCs w:val="24"/>
        </w:rPr>
        <w:fldChar w:fldCharType="end"/>
      </w:r>
      <w:r w:rsidRPr="00DD0D1F">
        <w:rPr>
          <w:rFonts w:cs="Times New Roman"/>
          <w:color w:val="auto"/>
          <w:szCs w:val="24"/>
          <w:lang w:val="tr-TR"/>
        </w:rPr>
        <w:t xml:space="preserve"> </w:t>
      </w:r>
      <w:r w:rsidRPr="00DD0D1F">
        <w:rPr>
          <w:rFonts w:cs="Times New Roman"/>
          <w:bCs/>
          <w:color w:val="auto"/>
          <w:szCs w:val="24"/>
          <w:lang w:val="tr-TR"/>
        </w:rPr>
        <w:t xml:space="preserve">Havaya yayılan emisyonlar bakımından </w:t>
      </w:r>
      <w:r w:rsidR="007D7613" w:rsidRPr="00DD0D1F">
        <w:rPr>
          <w:rFonts w:cs="Times New Roman"/>
          <w:bCs/>
          <w:color w:val="auto"/>
          <w:szCs w:val="24"/>
          <w:lang w:val="tr-TR"/>
        </w:rPr>
        <w:t>MET_İES</w:t>
      </w:r>
      <w:r w:rsidRPr="00DD0D1F">
        <w:rPr>
          <w:rFonts w:cs="Times New Roman"/>
          <w:bCs/>
          <w:color w:val="auto"/>
          <w:szCs w:val="24"/>
          <w:lang w:val="tr-TR"/>
        </w:rPr>
        <w:t xml:space="preserve"> referans koşulları</w:t>
      </w:r>
    </w:p>
    <w:p w14:paraId="449ED8AB"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4"/>
        <w:gridCol w:w="1144"/>
        <w:gridCol w:w="3549"/>
      </w:tblGrid>
      <w:tr w:rsidR="00A508A2" w:rsidRPr="00DD0D1F" w14:paraId="6074A571" w14:textId="77777777" w:rsidTr="00A508A2">
        <w:trPr>
          <w:trHeight w:val="285"/>
        </w:trPr>
        <w:tc>
          <w:tcPr>
            <w:tcW w:w="2415" w:type="pct"/>
            <w:tcBorders>
              <w:top w:val="single" w:sz="4" w:space="0" w:color="000000"/>
              <w:left w:val="single" w:sz="4" w:space="0" w:color="000000"/>
              <w:bottom w:val="single" w:sz="4" w:space="0" w:color="000000"/>
              <w:right w:val="single" w:sz="4" w:space="0" w:color="000000"/>
            </w:tcBorders>
            <w:hideMark/>
          </w:tcPr>
          <w:p w14:paraId="1CEAE620" w14:textId="77777777" w:rsidR="00A508A2" w:rsidRPr="00DD0D1F" w:rsidRDefault="00A508A2" w:rsidP="00A508A2">
            <w:pPr>
              <w:pStyle w:val="TableParagraph"/>
              <w:spacing w:before="26"/>
              <w:ind w:right="176"/>
              <w:jc w:val="center"/>
              <w:rPr>
                <w:b/>
                <w:szCs w:val="24"/>
              </w:rPr>
            </w:pPr>
            <w:r w:rsidRPr="00DD0D1F">
              <w:rPr>
                <w:b/>
                <w:bCs/>
                <w:szCs w:val="24"/>
              </w:rPr>
              <w:t>Faaliyetler</w:t>
            </w:r>
          </w:p>
        </w:tc>
        <w:tc>
          <w:tcPr>
            <w:tcW w:w="630" w:type="pct"/>
            <w:tcBorders>
              <w:top w:val="single" w:sz="4" w:space="0" w:color="000000"/>
              <w:left w:val="single" w:sz="4" w:space="0" w:color="000000"/>
              <w:bottom w:val="single" w:sz="4" w:space="0" w:color="000000"/>
              <w:right w:val="single" w:sz="4" w:space="0" w:color="000000"/>
            </w:tcBorders>
            <w:hideMark/>
          </w:tcPr>
          <w:p w14:paraId="7A8B1078" w14:textId="77777777" w:rsidR="00A508A2" w:rsidRPr="00DD0D1F" w:rsidRDefault="00A508A2" w:rsidP="00A508A2">
            <w:pPr>
              <w:pStyle w:val="TableParagraph"/>
              <w:spacing w:before="26"/>
              <w:ind w:left="145" w:right="142"/>
              <w:jc w:val="center"/>
              <w:rPr>
                <w:b/>
                <w:szCs w:val="24"/>
              </w:rPr>
            </w:pPr>
            <w:r w:rsidRPr="00DD0D1F">
              <w:rPr>
                <w:b/>
                <w:bCs/>
                <w:szCs w:val="24"/>
              </w:rPr>
              <w:t>Birim</w:t>
            </w:r>
          </w:p>
        </w:tc>
        <w:tc>
          <w:tcPr>
            <w:tcW w:w="1955" w:type="pct"/>
            <w:tcBorders>
              <w:top w:val="single" w:sz="4" w:space="0" w:color="000000"/>
              <w:left w:val="single" w:sz="4" w:space="0" w:color="000000"/>
              <w:bottom w:val="single" w:sz="4" w:space="0" w:color="000000"/>
              <w:right w:val="single" w:sz="4" w:space="0" w:color="000000"/>
            </w:tcBorders>
            <w:hideMark/>
          </w:tcPr>
          <w:p w14:paraId="4403CA4C" w14:textId="77777777" w:rsidR="00A508A2" w:rsidRPr="00DD0D1F" w:rsidRDefault="00A508A2" w:rsidP="00A508A2">
            <w:pPr>
              <w:pStyle w:val="TableParagraph"/>
              <w:spacing w:before="26"/>
              <w:ind w:left="340" w:right="337"/>
              <w:jc w:val="center"/>
              <w:rPr>
                <w:b/>
                <w:szCs w:val="24"/>
              </w:rPr>
            </w:pPr>
            <w:r w:rsidRPr="00DD0D1F">
              <w:rPr>
                <w:b/>
                <w:bCs/>
                <w:szCs w:val="24"/>
              </w:rPr>
              <w:t>Oksijen referans koşulları</w:t>
            </w:r>
          </w:p>
        </w:tc>
      </w:tr>
      <w:tr w:rsidR="00A508A2" w:rsidRPr="00DD0D1F" w14:paraId="60BCA034" w14:textId="77777777" w:rsidTr="00A508A2">
        <w:trPr>
          <w:trHeight w:val="688"/>
        </w:trPr>
        <w:tc>
          <w:tcPr>
            <w:tcW w:w="2415" w:type="pct"/>
            <w:tcBorders>
              <w:top w:val="single" w:sz="4" w:space="0" w:color="000000"/>
              <w:left w:val="single" w:sz="4" w:space="0" w:color="000000"/>
              <w:bottom w:val="single" w:sz="4" w:space="0" w:color="000000"/>
              <w:right w:val="single" w:sz="4" w:space="0" w:color="000000"/>
            </w:tcBorders>
          </w:tcPr>
          <w:p w14:paraId="75FBC61A" w14:textId="77777777" w:rsidR="00A508A2" w:rsidRPr="00DD0D1F" w:rsidRDefault="00A508A2" w:rsidP="00A508A2">
            <w:pPr>
              <w:pStyle w:val="TableParagraph"/>
              <w:spacing w:line="223" w:lineRule="exact"/>
              <w:ind w:left="107"/>
              <w:rPr>
                <w:szCs w:val="24"/>
              </w:rPr>
            </w:pPr>
            <w:r w:rsidRPr="00DD0D1F">
              <w:rPr>
                <w:szCs w:val="24"/>
              </w:rPr>
              <w:t>Gaz türbinleri ve motorları haricinde akar yakıt veya gaz yakıt kullanılan yanma ünitesi</w:t>
            </w:r>
          </w:p>
          <w:p w14:paraId="56EBBC6B" w14:textId="77777777" w:rsidR="00A508A2" w:rsidRPr="00DD0D1F" w:rsidRDefault="00A508A2" w:rsidP="00A508A2">
            <w:pPr>
              <w:pStyle w:val="TableParagraph"/>
              <w:spacing w:line="230" w:lineRule="atLeast"/>
              <w:ind w:left="107" w:right="74"/>
              <w:rPr>
                <w:szCs w:val="24"/>
              </w:rPr>
            </w:pPr>
          </w:p>
        </w:tc>
        <w:tc>
          <w:tcPr>
            <w:tcW w:w="630" w:type="pct"/>
            <w:tcBorders>
              <w:top w:val="single" w:sz="4" w:space="0" w:color="000000"/>
              <w:left w:val="single" w:sz="4" w:space="0" w:color="000000"/>
              <w:bottom w:val="single" w:sz="4" w:space="0" w:color="000000"/>
              <w:right w:val="single" w:sz="4" w:space="0" w:color="000000"/>
            </w:tcBorders>
          </w:tcPr>
          <w:p w14:paraId="2CA84125" w14:textId="77777777" w:rsidR="00A508A2" w:rsidRPr="00DD0D1F" w:rsidRDefault="00A508A2" w:rsidP="00A508A2">
            <w:pPr>
              <w:pStyle w:val="TableParagraph"/>
              <w:spacing w:before="5"/>
              <w:rPr>
                <w:b/>
                <w:szCs w:val="24"/>
              </w:rPr>
            </w:pPr>
          </w:p>
          <w:p w14:paraId="4DD7EDF9" w14:textId="77777777" w:rsidR="00A508A2" w:rsidRPr="00DD0D1F" w:rsidRDefault="00A508A2" w:rsidP="00A508A2">
            <w:pPr>
              <w:pStyle w:val="TableParagraph"/>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tcPr>
          <w:p w14:paraId="6FD158DF" w14:textId="77777777" w:rsidR="00A508A2" w:rsidRPr="00DD0D1F" w:rsidRDefault="00A508A2" w:rsidP="00A508A2">
            <w:pPr>
              <w:pStyle w:val="TableParagraph"/>
              <w:spacing w:before="5"/>
              <w:rPr>
                <w:b/>
                <w:szCs w:val="24"/>
              </w:rPr>
            </w:pPr>
          </w:p>
          <w:p w14:paraId="4D4B6709" w14:textId="77777777" w:rsidR="00A508A2" w:rsidRPr="00DD0D1F" w:rsidRDefault="00A508A2" w:rsidP="00A508A2">
            <w:pPr>
              <w:pStyle w:val="TableParagraph"/>
              <w:ind w:left="337" w:right="337"/>
              <w:jc w:val="center"/>
              <w:rPr>
                <w:szCs w:val="24"/>
              </w:rPr>
            </w:pPr>
            <w:r w:rsidRPr="00DD0D1F">
              <w:rPr>
                <w:szCs w:val="24"/>
              </w:rPr>
              <w:t>Hacmen %3 oksijen</w:t>
            </w:r>
          </w:p>
        </w:tc>
      </w:tr>
      <w:tr w:rsidR="00A508A2" w:rsidRPr="00DD0D1F" w14:paraId="290635E4" w14:textId="77777777" w:rsidTr="00A508A2">
        <w:trPr>
          <w:trHeight w:val="285"/>
        </w:trPr>
        <w:tc>
          <w:tcPr>
            <w:tcW w:w="2415" w:type="pct"/>
            <w:tcBorders>
              <w:top w:val="single" w:sz="4" w:space="0" w:color="000000"/>
              <w:left w:val="single" w:sz="4" w:space="0" w:color="000000"/>
              <w:bottom w:val="single" w:sz="4" w:space="0" w:color="000000"/>
              <w:right w:val="single" w:sz="4" w:space="0" w:color="000000"/>
            </w:tcBorders>
            <w:hideMark/>
          </w:tcPr>
          <w:p w14:paraId="3F5AE639" w14:textId="77777777" w:rsidR="00A508A2" w:rsidRPr="00DD0D1F" w:rsidRDefault="00A508A2" w:rsidP="00A508A2">
            <w:pPr>
              <w:pStyle w:val="TableParagraph"/>
              <w:spacing w:before="22"/>
              <w:ind w:left="107"/>
              <w:rPr>
                <w:szCs w:val="24"/>
              </w:rPr>
            </w:pPr>
            <w:r w:rsidRPr="00DD0D1F">
              <w:rPr>
                <w:szCs w:val="24"/>
              </w:rPr>
              <w:t>Katı yakıt kullanılan yanma ünitesi</w:t>
            </w:r>
          </w:p>
        </w:tc>
        <w:tc>
          <w:tcPr>
            <w:tcW w:w="630" w:type="pct"/>
            <w:tcBorders>
              <w:top w:val="single" w:sz="4" w:space="0" w:color="000000"/>
              <w:left w:val="single" w:sz="4" w:space="0" w:color="000000"/>
              <w:bottom w:val="single" w:sz="4" w:space="0" w:color="000000"/>
              <w:right w:val="single" w:sz="4" w:space="0" w:color="000000"/>
            </w:tcBorders>
            <w:hideMark/>
          </w:tcPr>
          <w:p w14:paraId="1D3EF1CD" w14:textId="77777777" w:rsidR="00A508A2" w:rsidRPr="00DD0D1F" w:rsidRDefault="00A508A2" w:rsidP="00A508A2">
            <w:pPr>
              <w:pStyle w:val="TableParagraph"/>
              <w:spacing w:before="22"/>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12CEF7D4" w14:textId="77777777" w:rsidR="00A508A2" w:rsidRPr="00DD0D1F" w:rsidRDefault="00A508A2" w:rsidP="00A508A2">
            <w:pPr>
              <w:pStyle w:val="TableParagraph"/>
              <w:spacing w:before="22"/>
              <w:ind w:left="337" w:right="337"/>
              <w:jc w:val="center"/>
              <w:rPr>
                <w:szCs w:val="24"/>
              </w:rPr>
            </w:pPr>
            <w:r w:rsidRPr="00DD0D1F">
              <w:rPr>
                <w:szCs w:val="24"/>
              </w:rPr>
              <w:t>Hacmen %6 oksijen</w:t>
            </w:r>
          </w:p>
        </w:tc>
      </w:tr>
      <w:tr w:rsidR="00A508A2" w:rsidRPr="00DD0D1F" w14:paraId="6FF9D63E" w14:textId="77777777" w:rsidTr="00A508A2">
        <w:trPr>
          <w:trHeight w:val="408"/>
        </w:trPr>
        <w:tc>
          <w:tcPr>
            <w:tcW w:w="2415" w:type="pct"/>
            <w:tcBorders>
              <w:top w:val="single" w:sz="4" w:space="0" w:color="000000"/>
              <w:left w:val="single" w:sz="4" w:space="0" w:color="000000"/>
              <w:bottom w:val="single" w:sz="4" w:space="0" w:color="000000"/>
              <w:right w:val="single" w:sz="4" w:space="0" w:color="000000"/>
            </w:tcBorders>
            <w:hideMark/>
          </w:tcPr>
          <w:p w14:paraId="6E4E364E" w14:textId="77777777" w:rsidR="00A508A2" w:rsidRPr="00DD0D1F" w:rsidRDefault="00A508A2" w:rsidP="00A508A2">
            <w:pPr>
              <w:pStyle w:val="TableParagraph"/>
              <w:spacing w:line="223" w:lineRule="exact"/>
              <w:ind w:left="107"/>
              <w:rPr>
                <w:szCs w:val="24"/>
              </w:rPr>
            </w:pPr>
            <w:r w:rsidRPr="00DD0D1F">
              <w:rPr>
                <w:szCs w:val="24"/>
              </w:rPr>
              <w:t>Gaz türbinleri (kombine çevrim gaz türbinleri - CCGT dahil olmak üzere) ve motorları</w:t>
            </w:r>
          </w:p>
        </w:tc>
        <w:tc>
          <w:tcPr>
            <w:tcW w:w="630" w:type="pct"/>
            <w:tcBorders>
              <w:top w:val="single" w:sz="4" w:space="0" w:color="000000"/>
              <w:left w:val="single" w:sz="4" w:space="0" w:color="000000"/>
              <w:bottom w:val="single" w:sz="4" w:space="0" w:color="000000"/>
              <w:right w:val="single" w:sz="4" w:space="0" w:color="000000"/>
            </w:tcBorders>
            <w:hideMark/>
          </w:tcPr>
          <w:p w14:paraId="49863D4E" w14:textId="77777777" w:rsidR="00A508A2" w:rsidRPr="00DD0D1F" w:rsidRDefault="00A508A2" w:rsidP="00A508A2">
            <w:pPr>
              <w:pStyle w:val="TableParagraph"/>
              <w:spacing w:before="108"/>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3DEAB3A0" w14:textId="77777777" w:rsidR="00A508A2" w:rsidRPr="00DD0D1F" w:rsidRDefault="00A508A2" w:rsidP="00A508A2">
            <w:pPr>
              <w:pStyle w:val="TableParagraph"/>
              <w:spacing w:before="108"/>
              <w:ind w:left="337" w:right="337"/>
              <w:jc w:val="center"/>
              <w:rPr>
                <w:szCs w:val="24"/>
              </w:rPr>
            </w:pPr>
            <w:r w:rsidRPr="00DD0D1F">
              <w:rPr>
                <w:szCs w:val="24"/>
              </w:rPr>
              <w:t>Hacmen %15 oksijen</w:t>
            </w:r>
          </w:p>
        </w:tc>
      </w:tr>
      <w:tr w:rsidR="00A508A2" w:rsidRPr="00DD0D1F" w14:paraId="617ADCFE" w14:textId="77777777" w:rsidTr="00A508A2">
        <w:trPr>
          <w:trHeight w:val="282"/>
        </w:trPr>
        <w:tc>
          <w:tcPr>
            <w:tcW w:w="2415" w:type="pct"/>
            <w:tcBorders>
              <w:top w:val="single" w:sz="4" w:space="0" w:color="000000"/>
              <w:left w:val="single" w:sz="4" w:space="0" w:color="000000"/>
              <w:bottom w:val="single" w:sz="4" w:space="0" w:color="000000"/>
              <w:right w:val="single" w:sz="4" w:space="0" w:color="000000"/>
            </w:tcBorders>
            <w:hideMark/>
          </w:tcPr>
          <w:p w14:paraId="5E9CEF8C" w14:textId="74EDB7A5" w:rsidR="00A508A2" w:rsidRPr="00DD0D1F" w:rsidRDefault="0098277B" w:rsidP="00A508A2">
            <w:pPr>
              <w:pStyle w:val="TableParagraph"/>
              <w:spacing w:before="19"/>
              <w:ind w:left="107"/>
              <w:rPr>
                <w:szCs w:val="24"/>
              </w:rPr>
            </w:pPr>
            <w:r w:rsidRPr="00DD0D1F">
              <w:rPr>
                <w:szCs w:val="24"/>
              </w:rPr>
              <w:t xml:space="preserve">Katalitik </w:t>
            </w:r>
            <w:r w:rsidR="00A508A2" w:rsidRPr="00DD0D1F">
              <w:rPr>
                <w:szCs w:val="24"/>
              </w:rPr>
              <w:t>parçalama (Catalytic cracking) prosesi (rejeneratör)</w:t>
            </w:r>
          </w:p>
        </w:tc>
        <w:tc>
          <w:tcPr>
            <w:tcW w:w="630" w:type="pct"/>
            <w:tcBorders>
              <w:top w:val="single" w:sz="4" w:space="0" w:color="000000"/>
              <w:left w:val="single" w:sz="4" w:space="0" w:color="000000"/>
              <w:bottom w:val="single" w:sz="4" w:space="0" w:color="000000"/>
              <w:right w:val="single" w:sz="4" w:space="0" w:color="000000"/>
            </w:tcBorders>
            <w:hideMark/>
          </w:tcPr>
          <w:p w14:paraId="459EC4C5" w14:textId="77777777" w:rsidR="00A508A2" w:rsidRPr="00DD0D1F" w:rsidRDefault="00A508A2" w:rsidP="00A508A2">
            <w:pPr>
              <w:pStyle w:val="TableParagraph"/>
              <w:spacing w:before="19"/>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76EF9D85" w14:textId="77777777" w:rsidR="00A508A2" w:rsidRPr="00DD0D1F" w:rsidRDefault="00A508A2" w:rsidP="00A508A2">
            <w:pPr>
              <w:pStyle w:val="TableParagraph"/>
              <w:spacing w:before="19"/>
              <w:ind w:left="337" w:right="337"/>
              <w:jc w:val="center"/>
              <w:rPr>
                <w:szCs w:val="24"/>
              </w:rPr>
            </w:pPr>
            <w:r w:rsidRPr="00DD0D1F">
              <w:rPr>
                <w:szCs w:val="24"/>
              </w:rPr>
              <w:t>Hacmen %3 oksijen</w:t>
            </w:r>
          </w:p>
        </w:tc>
      </w:tr>
      <w:tr w:rsidR="00A508A2" w:rsidRPr="00DD0D1F" w14:paraId="335164EF" w14:textId="77777777" w:rsidTr="00A508A2">
        <w:trPr>
          <w:trHeight w:val="285"/>
        </w:trPr>
        <w:tc>
          <w:tcPr>
            <w:tcW w:w="2415" w:type="pct"/>
            <w:tcBorders>
              <w:top w:val="single" w:sz="4" w:space="0" w:color="000000"/>
              <w:left w:val="single" w:sz="4" w:space="0" w:color="000000"/>
              <w:bottom w:val="single" w:sz="4" w:space="0" w:color="000000"/>
              <w:right w:val="single" w:sz="4" w:space="0" w:color="000000"/>
            </w:tcBorders>
            <w:hideMark/>
          </w:tcPr>
          <w:p w14:paraId="417CE8D8" w14:textId="77777777" w:rsidR="00A508A2" w:rsidRPr="00DD0D1F" w:rsidRDefault="00A508A2" w:rsidP="00A508A2">
            <w:pPr>
              <w:pStyle w:val="TableParagraph"/>
              <w:spacing w:before="22"/>
              <w:ind w:left="107"/>
              <w:rPr>
                <w:szCs w:val="24"/>
              </w:rPr>
            </w:pPr>
            <w:r w:rsidRPr="00DD0D1F">
              <w:rPr>
                <w:szCs w:val="24"/>
              </w:rPr>
              <w:t>Atık gaz kükürt geri kazanım ünitesi (</w:t>
            </w:r>
            <w:r w:rsidRPr="00DD0D1F">
              <w:rPr>
                <w:szCs w:val="24"/>
                <w:vertAlign w:val="superscript"/>
              </w:rPr>
              <w:t>1</w:t>
            </w:r>
            <w:r w:rsidRPr="00DD0D1F">
              <w:rPr>
                <w:szCs w:val="24"/>
              </w:rPr>
              <w:t>)</w:t>
            </w:r>
          </w:p>
        </w:tc>
        <w:tc>
          <w:tcPr>
            <w:tcW w:w="630" w:type="pct"/>
            <w:tcBorders>
              <w:top w:val="single" w:sz="4" w:space="0" w:color="000000"/>
              <w:left w:val="single" w:sz="4" w:space="0" w:color="000000"/>
              <w:bottom w:val="single" w:sz="4" w:space="0" w:color="000000"/>
              <w:right w:val="single" w:sz="4" w:space="0" w:color="000000"/>
            </w:tcBorders>
            <w:hideMark/>
          </w:tcPr>
          <w:p w14:paraId="6FFD87DF" w14:textId="77777777" w:rsidR="00A508A2" w:rsidRPr="00DD0D1F" w:rsidRDefault="00A508A2" w:rsidP="00A508A2">
            <w:pPr>
              <w:pStyle w:val="TableParagraph"/>
              <w:spacing w:before="22"/>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6C527B4F" w14:textId="77777777" w:rsidR="00A508A2" w:rsidRPr="00DD0D1F" w:rsidRDefault="00A508A2" w:rsidP="00A508A2">
            <w:pPr>
              <w:pStyle w:val="TableParagraph"/>
              <w:spacing w:before="22"/>
              <w:ind w:left="337" w:right="337"/>
              <w:jc w:val="center"/>
              <w:rPr>
                <w:szCs w:val="24"/>
              </w:rPr>
            </w:pPr>
            <w:r w:rsidRPr="00DD0D1F">
              <w:rPr>
                <w:szCs w:val="24"/>
              </w:rPr>
              <w:t>Hacmen %3 oksijen</w:t>
            </w:r>
          </w:p>
        </w:tc>
      </w:tr>
      <w:tr w:rsidR="00A508A2" w:rsidRPr="00DD0D1F" w14:paraId="32081A3A" w14:textId="77777777" w:rsidTr="00A508A2">
        <w:trPr>
          <w:trHeight w:val="282"/>
        </w:trPr>
        <w:tc>
          <w:tcPr>
            <w:tcW w:w="5000" w:type="pct"/>
            <w:gridSpan w:val="3"/>
            <w:tcBorders>
              <w:top w:val="single" w:sz="4" w:space="0" w:color="000000"/>
              <w:left w:val="single" w:sz="4" w:space="0" w:color="000000"/>
              <w:bottom w:val="single" w:sz="4" w:space="0" w:color="000000"/>
              <w:right w:val="single" w:sz="4" w:space="0" w:color="000000"/>
            </w:tcBorders>
            <w:hideMark/>
          </w:tcPr>
          <w:p w14:paraId="5499F991" w14:textId="5593FB00" w:rsidR="00A508A2" w:rsidRPr="00DD0D1F" w:rsidRDefault="00A508A2" w:rsidP="00A508A2">
            <w:pPr>
              <w:pStyle w:val="TableParagraph"/>
              <w:spacing w:before="9"/>
              <w:ind w:left="107"/>
              <w:rPr>
                <w:szCs w:val="24"/>
              </w:rPr>
            </w:pPr>
            <w:r w:rsidRPr="00DD0D1F">
              <w:rPr>
                <w:szCs w:val="24"/>
              </w:rPr>
              <w:t>(</w:t>
            </w:r>
            <w:r w:rsidRPr="00DD0D1F">
              <w:rPr>
                <w:szCs w:val="24"/>
                <w:vertAlign w:val="superscript"/>
              </w:rPr>
              <w:t>1</w:t>
            </w:r>
            <w:r w:rsidRPr="00DD0D1F">
              <w:rPr>
                <w:szCs w:val="24"/>
              </w:rPr>
              <w:t>) MET 58'in uygulanması durumunda.</w:t>
            </w:r>
          </w:p>
        </w:tc>
      </w:tr>
    </w:tbl>
    <w:p w14:paraId="7BE2E1C8" w14:textId="77777777" w:rsidR="00A508A2" w:rsidRPr="00DD0D1F" w:rsidRDefault="00A508A2" w:rsidP="00A508A2">
      <w:pPr>
        <w:pStyle w:val="GvdeMetni"/>
        <w:rPr>
          <w:b/>
          <w:sz w:val="24"/>
          <w:szCs w:val="24"/>
        </w:rPr>
      </w:pPr>
    </w:p>
    <w:p w14:paraId="49FCB722" w14:textId="77777777" w:rsidR="00A508A2" w:rsidRPr="00DD0D1F" w:rsidRDefault="00A508A2" w:rsidP="00A508A2">
      <w:pPr>
        <w:pStyle w:val="GvdeMetni"/>
        <w:spacing w:before="9"/>
        <w:rPr>
          <w:b/>
          <w:sz w:val="24"/>
          <w:szCs w:val="24"/>
        </w:rPr>
      </w:pPr>
    </w:p>
    <w:p w14:paraId="7F0A6864" w14:textId="77777777" w:rsidR="00A508A2" w:rsidRPr="00DD0D1F" w:rsidRDefault="00A508A2" w:rsidP="00A508A2">
      <w:pPr>
        <w:pStyle w:val="Balk2"/>
        <w:ind w:left="0" w:right="525"/>
        <w:rPr>
          <w:rFonts w:cs="Times New Roman"/>
          <w:b w:val="0"/>
          <w:bCs/>
          <w:szCs w:val="24"/>
          <w:lang w:val="tr-TR"/>
        </w:rPr>
      </w:pPr>
      <w:bookmarkStart w:id="13" w:name="_bookmark859"/>
      <w:bookmarkStart w:id="14" w:name="Conversion_of_emissions_concentration_to"/>
      <w:bookmarkEnd w:id="13"/>
      <w:bookmarkEnd w:id="14"/>
      <w:r w:rsidRPr="00DD0D1F">
        <w:rPr>
          <w:rFonts w:cs="Times New Roman"/>
          <w:bCs/>
          <w:szCs w:val="24"/>
          <w:lang w:val="tr-TR"/>
        </w:rPr>
        <w:t>Emisyonların yoğunluğunun referans oksijen düzeyine dönüştürülmesi</w:t>
      </w:r>
    </w:p>
    <w:p w14:paraId="4D53CAC0" w14:textId="0C78FE32" w:rsidR="00A508A2" w:rsidRPr="00DD0D1F" w:rsidRDefault="00A508A2" w:rsidP="00A508A2">
      <w:pPr>
        <w:pStyle w:val="GvdeMetni"/>
        <w:spacing w:before="251"/>
        <w:ind w:right="480"/>
        <w:rPr>
          <w:sz w:val="24"/>
          <w:szCs w:val="24"/>
        </w:rPr>
      </w:pPr>
      <w:r w:rsidRPr="00DD0D1F">
        <w:rPr>
          <w:sz w:val="24"/>
          <w:szCs w:val="24"/>
        </w:rPr>
        <w:t>Emisyonların yoğunluğunun referans oksijen düzeyinde hesaplanması formülü (bkz. Tablo 1) aşağıda gösterilmektedir.</w:t>
      </w:r>
    </w:p>
    <w:p w14:paraId="2295FC7F" w14:textId="77777777" w:rsidR="00A508A2" w:rsidRPr="00DD0D1F" w:rsidRDefault="00A508A2" w:rsidP="00A508A2">
      <w:pPr>
        <w:pStyle w:val="GvdeMetni"/>
        <w:spacing w:before="6"/>
        <w:rPr>
          <w:sz w:val="24"/>
          <w:szCs w:val="24"/>
        </w:rPr>
      </w:pPr>
    </w:p>
    <w:tbl>
      <w:tblPr>
        <w:tblStyle w:val="TableNormal"/>
        <w:tblW w:w="0" w:type="auto"/>
        <w:tblInd w:w="4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974"/>
        <w:gridCol w:w="1153"/>
      </w:tblGrid>
      <w:tr w:rsidR="00A508A2" w:rsidRPr="00DD0D1F" w14:paraId="2A24F60D" w14:textId="77777777" w:rsidTr="00A508A2">
        <w:trPr>
          <w:trHeight w:val="520"/>
        </w:trPr>
        <w:tc>
          <w:tcPr>
            <w:tcW w:w="774" w:type="dxa"/>
            <w:tcBorders>
              <w:top w:val="single" w:sz="4" w:space="0" w:color="000000"/>
              <w:left w:val="single" w:sz="4" w:space="0" w:color="000000"/>
              <w:bottom w:val="single" w:sz="4" w:space="0" w:color="000000"/>
              <w:right w:val="nil"/>
            </w:tcBorders>
            <w:hideMark/>
          </w:tcPr>
          <w:p w14:paraId="6F045852" w14:textId="77777777" w:rsidR="00A508A2" w:rsidRPr="00DD0D1F" w:rsidRDefault="00A508A2" w:rsidP="00A508A2">
            <w:pPr>
              <w:pStyle w:val="TableParagraph"/>
              <w:spacing w:before="139"/>
              <w:ind w:left="292"/>
              <w:rPr>
                <w:szCs w:val="24"/>
              </w:rPr>
            </w:pPr>
            <w:r w:rsidRPr="00DD0D1F">
              <w:rPr>
                <w:szCs w:val="24"/>
              </w:rPr>
              <w:t>E</w:t>
            </w:r>
            <w:r w:rsidRPr="00DD0D1F">
              <w:rPr>
                <w:szCs w:val="24"/>
                <w:vertAlign w:val="subscript"/>
              </w:rPr>
              <w:t xml:space="preserve">R </w:t>
            </w:r>
            <w:r w:rsidRPr="00DD0D1F">
              <w:rPr>
                <w:szCs w:val="24"/>
              </w:rPr>
              <w:t>=</w:t>
            </w:r>
          </w:p>
        </w:tc>
        <w:tc>
          <w:tcPr>
            <w:tcW w:w="974" w:type="dxa"/>
            <w:tcBorders>
              <w:top w:val="single" w:sz="4" w:space="0" w:color="000000"/>
              <w:left w:val="nil"/>
              <w:bottom w:val="single" w:sz="4" w:space="0" w:color="000000"/>
              <w:right w:val="nil"/>
            </w:tcBorders>
            <w:hideMark/>
          </w:tcPr>
          <w:p w14:paraId="14BD26DF" w14:textId="77777777" w:rsidR="00A508A2" w:rsidRPr="00DD0D1F" w:rsidRDefault="00A508A2" w:rsidP="00A508A2">
            <w:pPr>
              <w:pStyle w:val="TableParagraph"/>
              <w:spacing w:line="223" w:lineRule="exact"/>
              <w:ind w:left="113"/>
              <w:rPr>
                <w:szCs w:val="24"/>
              </w:rPr>
            </w:pPr>
            <w:r w:rsidRPr="00DD0D1F">
              <w:rPr>
                <w:szCs w:val="24"/>
                <w:u w:val="single"/>
              </w:rPr>
              <w:t>21 – O</w:t>
            </w:r>
            <w:r w:rsidRPr="00DD0D1F">
              <w:rPr>
                <w:szCs w:val="24"/>
                <w:vertAlign w:val="subscript"/>
              </w:rPr>
              <w:t>R</w:t>
            </w:r>
          </w:p>
          <w:p w14:paraId="3788EDD6" w14:textId="77777777" w:rsidR="00A508A2" w:rsidRPr="00DD0D1F" w:rsidRDefault="00A508A2" w:rsidP="00A508A2">
            <w:pPr>
              <w:pStyle w:val="TableParagraph"/>
              <w:ind w:left="113"/>
              <w:rPr>
                <w:szCs w:val="24"/>
              </w:rPr>
            </w:pPr>
            <w:r w:rsidRPr="00DD0D1F">
              <w:rPr>
                <w:szCs w:val="24"/>
              </w:rPr>
              <w:t>21 – O</w:t>
            </w:r>
            <w:r w:rsidRPr="00DD0D1F">
              <w:rPr>
                <w:szCs w:val="24"/>
                <w:vertAlign w:val="subscript"/>
              </w:rPr>
              <w:t>M</w:t>
            </w:r>
          </w:p>
        </w:tc>
        <w:tc>
          <w:tcPr>
            <w:tcW w:w="1153" w:type="dxa"/>
            <w:tcBorders>
              <w:top w:val="single" w:sz="4" w:space="0" w:color="000000"/>
              <w:left w:val="nil"/>
              <w:bottom w:val="single" w:sz="4" w:space="0" w:color="000000"/>
              <w:right w:val="single" w:sz="4" w:space="0" w:color="000000"/>
            </w:tcBorders>
            <w:hideMark/>
          </w:tcPr>
          <w:p w14:paraId="1B1906C2" w14:textId="77777777" w:rsidR="00A508A2" w:rsidRPr="00DD0D1F" w:rsidRDefault="00A508A2" w:rsidP="00A508A2">
            <w:pPr>
              <w:pStyle w:val="TableParagraph"/>
              <w:spacing w:before="128"/>
              <w:ind w:left="206"/>
              <w:rPr>
                <w:szCs w:val="24"/>
              </w:rPr>
            </w:pPr>
            <w:r w:rsidRPr="00DD0D1F">
              <w:rPr>
                <w:szCs w:val="24"/>
              </w:rPr>
              <w:t>× E</w:t>
            </w:r>
            <w:r w:rsidRPr="00DD0D1F">
              <w:rPr>
                <w:szCs w:val="24"/>
                <w:vertAlign w:val="subscript"/>
              </w:rPr>
              <w:t>M</w:t>
            </w:r>
          </w:p>
        </w:tc>
      </w:tr>
    </w:tbl>
    <w:p w14:paraId="670025B0" w14:textId="77777777" w:rsidR="00A508A2" w:rsidRPr="00DD0D1F" w:rsidRDefault="00A508A2" w:rsidP="00A508A2">
      <w:pPr>
        <w:pStyle w:val="GvdeMetni"/>
        <w:ind w:left="1588"/>
        <w:rPr>
          <w:sz w:val="24"/>
          <w:szCs w:val="24"/>
        </w:rPr>
      </w:pPr>
      <w:r w:rsidRPr="00DD0D1F">
        <w:rPr>
          <w:sz w:val="24"/>
          <w:szCs w:val="24"/>
        </w:rPr>
        <w:t>Burada:</w:t>
      </w:r>
    </w:p>
    <w:p w14:paraId="0BB2D065" w14:textId="77777777" w:rsidR="00A508A2" w:rsidRPr="00DD0D1F" w:rsidRDefault="00A508A2" w:rsidP="00A508A2">
      <w:pPr>
        <w:pStyle w:val="GvdeMetni"/>
        <w:rPr>
          <w:sz w:val="24"/>
          <w:szCs w:val="24"/>
        </w:rPr>
      </w:pPr>
    </w:p>
    <w:p w14:paraId="65F1650B" w14:textId="77777777" w:rsidR="00A508A2" w:rsidRPr="00DD0D1F" w:rsidRDefault="00A508A2" w:rsidP="00A508A2">
      <w:pPr>
        <w:pStyle w:val="GvdeMetni"/>
        <w:tabs>
          <w:tab w:val="left" w:pos="3028"/>
        </w:tabs>
        <w:ind w:left="1588" w:right="1643"/>
        <w:rPr>
          <w:sz w:val="24"/>
          <w:szCs w:val="24"/>
        </w:rPr>
      </w:pPr>
      <w:r w:rsidRPr="00DD0D1F">
        <w:rPr>
          <w:sz w:val="24"/>
          <w:szCs w:val="24"/>
        </w:rPr>
        <w:t>E</w:t>
      </w:r>
      <w:r w:rsidRPr="00DD0D1F">
        <w:rPr>
          <w:sz w:val="24"/>
          <w:szCs w:val="24"/>
          <w:vertAlign w:val="subscript"/>
        </w:rPr>
        <w:t xml:space="preserve">R </w:t>
      </w:r>
      <w:r w:rsidRPr="00DD0D1F">
        <w:rPr>
          <w:sz w:val="24"/>
          <w:szCs w:val="24"/>
        </w:rPr>
        <w:t>(mg/Nm</w:t>
      </w:r>
      <w:r w:rsidRPr="00DD0D1F">
        <w:rPr>
          <w:sz w:val="24"/>
          <w:szCs w:val="24"/>
          <w:vertAlign w:val="superscript"/>
        </w:rPr>
        <w:t>3</w:t>
      </w:r>
      <w:r w:rsidRPr="00DD0D1F">
        <w:rPr>
          <w:sz w:val="24"/>
          <w:szCs w:val="24"/>
        </w:rPr>
        <w:t>):</w:t>
      </w:r>
      <w:r w:rsidRPr="00DD0D1F">
        <w:rPr>
          <w:sz w:val="24"/>
          <w:szCs w:val="24"/>
        </w:rPr>
        <w:tab/>
        <w:t>emisyonların referans oksijen düzeyine göre düzeltilen yoğunluğu O</w:t>
      </w:r>
      <w:r w:rsidRPr="00DD0D1F">
        <w:rPr>
          <w:sz w:val="24"/>
          <w:szCs w:val="24"/>
          <w:vertAlign w:val="subscript"/>
        </w:rPr>
        <w:t xml:space="preserve">R </w:t>
      </w:r>
      <w:r w:rsidRPr="00DD0D1F">
        <w:rPr>
          <w:sz w:val="24"/>
          <w:szCs w:val="24"/>
        </w:rPr>
        <w:t>O</w:t>
      </w:r>
      <w:r w:rsidRPr="00DD0D1F">
        <w:rPr>
          <w:sz w:val="24"/>
          <w:szCs w:val="24"/>
          <w:vertAlign w:val="subscript"/>
        </w:rPr>
        <w:t xml:space="preserve">R </w:t>
      </w:r>
      <w:r w:rsidRPr="00DD0D1F">
        <w:rPr>
          <w:sz w:val="24"/>
          <w:szCs w:val="24"/>
        </w:rPr>
        <w:t>(% v/v):</w:t>
      </w:r>
      <w:r w:rsidRPr="00DD0D1F">
        <w:rPr>
          <w:sz w:val="24"/>
          <w:szCs w:val="24"/>
        </w:rPr>
        <w:tab/>
        <w:t>referans oksijen düzeyi</w:t>
      </w:r>
    </w:p>
    <w:p w14:paraId="78BE333B" w14:textId="77777777" w:rsidR="00A508A2" w:rsidRPr="00DD0D1F" w:rsidRDefault="00A508A2" w:rsidP="00A508A2">
      <w:pPr>
        <w:pStyle w:val="GvdeMetni"/>
        <w:tabs>
          <w:tab w:val="left" w:pos="3028"/>
        </w:tabs>
        <w:spacing w:before="1"/>
        <w:ind w:left="1588" w:right="1709"/>
        <w:rPr>
          <w:sz w:val="24"/>
          <w:szCs w:val="24"/>
        </w:rPr>
      </w:pPr>
      <w:r w:rsidRPr="00DD0D1F">
        <w:rPr>
          <w:sz w:val="24"/>
          <w:szCs w:val="24"/>
        </w:rPr>
        <w:t>E</w:t>
      </w:r>
      <w:r w:rsidRPr="00DD0D1F">
        <w:rPr>
          <w:sz w:val="24"/>
          <w:szCs w:val="24"/>
          <w:vertAlign w:val="subscript"/>
        </w:rPr>
        <w:t xml:space="preserve">M </w:t>
      </w:r>
      <w:r w:rsidRPr="00DD0D1F">
        <w:rPr>
          <w:sz w:val="24"/>
          <w:szCs w:val="24"/>
        </w:rPr>
        <w:t>(mg/Nm</w:t>
      </w:r>
      <w:r w:rsidRPr="00DD0D1F">
        <w:rPr>
          <w:sz w:val="24"/>
          <w:szCs w:val="24"/>
          <w:vertAlign w:val="superscript"/>
        </w:rPr>
        <w:t>3</w:t>
      </w:r>
      <w:r w:rsidRPr="00DD0D1F">
        <w:rPr>
          <w:sz w:val="24"/>
          <w:szCs w:val="24"/>
        </w:rPr>
        <w:t xml:space="preserve">):    ölçülen oksijen düzeyine atıfla emisyonların yoğunluğu </w:t>
      </w:r>
    </w:p>
    <w:p w14:paraId="33C04F47" w14:textId="77777777" w:rsidR="00A508A2" w:rsidRPr="00DD0D1F" w:rsidRDefault="00A508A2" w:rsidP="00A508A2">
      <w:pPr>
        <w:pStyle w:val="GvdeMetni"/>
        <w:tabs>
          <w:tab w:val="left" w:pos="3028"/>
        </w:tabs>
        <w:spacing w:before="1"/>
        <w:ind w:left="1588" w:right="1709"/>
        <w:rPr>
          <w:sz w:val="24"/>
          <w:szCs w:val="24"/>
        </w:rPr>
      </w:pPr>
      <w:r w:rsidRPr="00DD0D1F">
        <w:rPr>
          <w:sz w:val="24"/>
          <w:szCs w:val="24"/>
        </w:rPr>
        <w:t>O</w:t>
      </w:r>
      <w:r w:rsidRPr="00DD0D1F">
        <w:rPr>
          <w:sz w:val="24"/>
          <w:szCs w:val="24"/>
          <w:vertAlign w:val="subscript"/>
        </w:rPr>
        <w:t xml:space="preserve">M </w:t>
      </w:r>
      <w:r w:rsidRPr="00DD0D1F">
        <w:rPr>
          <w:sz w:val="24"/>
          <w:szCs w:val="24"/>
        </w:rPr>
        <w:t>O</w:t>
      </w:r>
      <w:r w:rsidRPr="00DD0D1F">
        <w:rPr>
          <w:sz w:val="24"/>
          <w:szCs w:val="24"/>
          <w:vertAlign w:val="subscript"/>
        </w:rPr>
        <w:t xml:space="preserve">M </w:t>
      </w:r>
      <w:r w:rsidRPr="00DD0D1F">
        <w:rPr>
          <w:sz w:val="24"/>
          <w:szCs w:val="24"/>
        </w:rPr>
        <w:t>(% v/v):</w:t>
      </w:r>
      <w:r w:rsidRPr="00DD0D1F">
        <w:rPr>
          <w:sz w:val="24"/>
          <w:szCs w:val="24"/>
        </w:rPr>
        <w:tab/>
        <w:t>ölçülen oksijen düzeyi.</w:t>
      </w:r>
    </w:p>
    <w:p w14:paraId="73AE1F8C" w14:textId="77777777" w:rsidR="00A508A2" w:rsidRPr="00DD0D1F" w:rsidRDefault="00A508A2" w:rsidP="00A508A2">
      <w:pPr>
        <w:rPr>
          <w:rFonts w:cs="Times New Roman"/>
          <w:szCs w:val="24"/>
          <w:lang w:val="tr-TR"/>
        </w:rPr>
      </w:pPr>
    </w:p>
    <w:p w14:paraId="79FD2602" w14:textId="77777777" w:rsidR="00A508A2" w:rsidRPr="00DD0D1F" w:rsidRDefault="00A508A2" w:rsidP="00A508A2">
      <w:pPr>
        <w:pStyle w:val="Balk2"/>
        <w:spacing w:before="159"/>
        <w:ind w:left="0"/>
        <w:rPr>
          <w:rFonts w:cs="Times New Roman"/>
          <w:b w:val="0"/>
          <w:bCs/>
          <w:szCs w:val="24"/>
          <w:lang w:val="tr-TR"/>
        </w:rPr>
      </w:pPr>
      <w:bookmarkStart w:id="15" w:name="_bookmark860"/>
      <w:bookmarkStart w:id="16" w:name="Averaging_periods_and_reference_conditio"/>
      <w:bookmarkEnd w:id="15"/>
      <w:bookmarkEnd w:id="16"/>
      <w:r w:rsidRPr="00DD0D1F">
        <w:rPr>
          <w:rFonts w:cs="Times New Roman"/>
          <w:bCs/>
          <w:szCs w:val="24"/>
          <w:lang w:val="tr-TR"/>
        </w:rPr>
        <w:t>Suya yayılan emisyonlar için ortalama süreler ve referans koşullar</w:t>
      </w:r>
    </w:p>
    <w:p w14:paraId="7FA80725" w14:textId="600E0B25" w:rsidR="00A508A2" w:rsidRPr="00DD0D1F" w:rsidRDefault="00316427" w:rsidP="00A508A2">
      <w:pPr>
        <w:pStyle w:val="GvdeMetni"/>
        <w:spacing w:before="252"/>
        <w:jc w:val="both"/>
        <w:rPr>
          <w:sz w:val="24"/>
          <w:szCs w:val="24"/>
        </w:rPr>
      </w:pPr>
      <w:r>
        <w:rPr>
          <w:sz w:val="24"/>
          <w:szCs w:val="24"/>
        </w:rPr>
        <w:t>B</w:t>
      </w:r>
      <w:r w:rsidR="00A508A2" w:rsidRPr="00DD0D1F">
        <w:rPr>
          <w:sz w:val="24"/>
          <w:szCs w:val="24"/>
        </w:rPr>
        <w:t xml:space="preserve">u </w:t>
      </w:r>
      <w:r>
        <w:rPr>
          <w:sz w:val="24"/>
          <w:szCs w:val="24"/>
        </w:rPr>
        <w:t>bölümde</w:t>
      </w:r>
      <w:r w:rsidR="00A508A2" w:rsidRPr="00DD0D1F">
        <w:rPr>
          <w:sz w:val="24"/>
          <w:szCs w:val="24"/>
        </w:rPr>
        <w:t xml:space="preserve"> yer verilen suya yayılan emisyonlar bakımından mevcut en iyi tekniklerle (</w:t>
      </w:r>
      <w:r w:rsidR="007D7613" w:rsidRPr="00DD0D1F">
        <w:rPr>
          <w:sz w:val="24"/>
          <w:szCs w:val="24"/>
        </w:rPr>
        <w:t>MET_İES</w:t>
      </w:r>
      <w:r w:rsidR="00A508A2" w:rsidRPr="00DD0D1F">
        <w:rPr>
          <w:sz w:val="24"/>
          <w:szCs w:val="24"/>
        </w:rPr>
        <w:t>) ilişkili olan emisyon düzeyleri, mg/l cinsinden ifade edilen yoğunluk değerlerine atıf yapar (suyun hacmi başına yayılan maddelerin kütlesi).</w:t>
      </w:r>
    </w:p>
    <w:p w14:paraId="6C271059" w14:textId="77777777" w:rsidR="00A508A2" w:rsidRPr="00DD0D1F" w:rsidRDefault="00A508A2" w:rsidP="00A508A2">
      <w:pPr>
        <w:pStyle w:val="GvdeMetni"/>
        <w:spacing w:before="1"/>
        <w:rPr>
          <w:sz w:val="24"/>
          <w:szCs w:val="24"/>
        </w:rPr>
      </w:pPr>
    </w:p>
    <w:p w14:paraId="31AB148E" w14:textId="772393EC" w:rsidR="00A508A2" w:rsidRPr="00DD0D1F" w:rsidRDefault="007D7613" w:rsidP="00A508A2">
      <w:pPr>
        <w:pStyle w:val="GvdeMetni"/>
        <w:jc w:val="both"/>
        <w:rPr>
          <w:sz w:val="24"/>
          <w:szCs w:val="24"/>
        </w:rPr>
      </w:pPr>
      <w:r w:rsidRPr="00DD0D1F">
        <w:rPr>
          <w:sz w:val="24"/>
          <w:szCs w:val="24"/>
        </w:rPr>
        <w:t>MET_İES</w:t>
      </w:r>
      <w:r w:rsidR="00A508A2" w:rsidRPr="00DD0D1F">
        <w:rPr>
          <w:sz w:val="24"/>
          <w:szCs w:val="24"/>
        </w:rPr>
        <w:t xml:space="preserve"> ile ilgili ortalama süreler aşağıdaki gibidir:</w:t>
      </w:r>
    </w:p>
    <w:p w14:paraId="0B40468F" w14:textId="77777777" w:rsidR="00A508A2" w:rsidRPr="00DD0D1F" w:rsidRDefault="00A508A2" w:rsidP="00A508A2">
      <w:pPr>
        <w:pStyle w:val="GvdeMetni"/>
        <w:rPr>
          <w:sz w:val="24"/>
          <w:szCs w:val="24"/>
        </w:rPr>
      </w:pPr>
    </w:p>
    <w:p w14:paraId="3BDF8D8D" w14:textId="77777777" w:rsidR="00A508A2" w:rsidRPr="00DD0D1F" w:rsidRDefault="00A508A2" w:rsidP="00A508A2">
      <w:pPr>
        <w:pStyle w:val="GvdeMetni"/>
        <w:spacing w:before="5"/>
        <w:rPr>
          <w:sz w:val="24"/>
          <w:szCs w:val="24"/>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6247"/>
      </w:tblGrid>
      <w:tr w:rsidR="00A508A2" w:rsidRPr="00DD0D1F" w14:paraId="2AF83976" w14:textId="77777777" w:rsidTr="00A508A2">
        <w:trPr>
          <w:trHeight w:val="940"/>
        </w:trPr>
        <w:tc>
          <w:tcPr>
            <w:tcW w:w="2276" w:type="dxa"/>
            <w:tcBorders>
              <w:top w:val="single" w:sz="4" w:space="0" w:color="000000"/>
              <w:left w:val="single" w:sz="4" w:space="0" w:color="000000"/>
              <w:bottom w:val="single" w:sz="4" w:space="0" w:color="000000"/>
              <w:right w:val="single" w:sz="4" w:space="0" w:color="000000"/>
            </w:tcBorders>
          </w:tcPr>
          <w:p w14:paraId="0A463D82" w14:textId="77777777" w:rsidR="00A508A2" w:rsidRPr="00DD0D1F" w:rsidRDefault="00A508A2" w:rsidP="00A508A2">
            <w:pPr>
              <w:pStyle w:val="TableParagraph"/>
              <w:spacing w:before="3"/>
              <w:rPr>
                <w:szCs w:val="24"/>
              </w:rPr>
            </w:pPr>
          </w:p>
          <w:p w14:paraId="43B24B30" w14:textId="77777777" w:rsidR="00A508A2" w:rsidRPr="00DD0D1F" w:rsidRDefault="00A508A2" w:rsidP="00A508A2">
            <w:pPr>
              <w:pStyle w:val="TableParagraph"/>
              <w:ind w:left="107"/>
              <w:rPr>
                <w:szCs w:val="24"/>
              </w:rPr>
            </w:pPr>
            <w:r w:rsidRPr="00DD0D1F">
              <w:rPr>
                <w:szCs w:val="24"/>
              </w:rPr>
              <w:t>Günlük ortalama</w:t>
            </w:r>
          </w:p>
        </w:tc>
        <w:tc>
          <w:tcPr>
            <w:tcW w:w="6247" w:type="dxa"/>
            <w:tcBorders>
              <w:top w:val="single" w:sz="4" w:space="0" w:color="000000"/>
              <w:left w:val="single" w:sz="4" w:space="0" w:color="000000"/>
              <w:bottom w:val="single" w:sz="4" w:space="0" w:color="000000"/>
              <w:right w:val="single" w:sz="4" w:space="0" w:color="000000"/>
            </w:tcBorders>
            <w:hideMark/>
          </w:tcPr>
          <w:p w14:paraId="29FB5BA9" w14:textId="77777777" w:rsidR="00A508A2" w:rsidRPr="00DD0D1F" w:rsidRDefault="00A508A2" w:rsidP="00A508A2">
            <w:pPr>
              <w:pStyle w:val="TableParagraph"/>
              <w:spacing w:before="120"/>
              <w:ind w:left="107" w:right="179"/>
              <w:jc w:val="both"/>
              <w:rPr>
                <w:szCs w:val="24"/>
              </w:rPr>
            </w:pPr>
            <w:r w:rsidRPr="00DD0D1F">
              <w:rPr>
                <w:szCs w:val="24"/>
              </w:rPr>
              <w:t>Debiyle orantılı birleşik numune olarak ya da debi kararlılığının yeterli olduğunun kanıtlanması koşuluyla zamanla orantılı numune olarak ele alınması durumunda 24 saatlik numune alma süresinin ortalaması</w:t>
            </w:r>
          </w:p>
        </w:tc>
      </w:tr>
      <w:tr w:rsidR="00A508A2" w:rsidRPr="00DD0D1F" w14:paraId="1781B146" w14:textId="77777777" w:rsidTr="00A508A2">
        <w:trPr>
          <w:trHeight w:val="595"/>
        </w:trPr>
        <w:tc>
          <w:tcPr>
            <w:tcW w:w="2276" w:type="dxa"/>
            <w:tcBorders>
              <w:top w:val="single" w:sz="4" w:space="0" w:color="000000"/>
              <w:left w:val="single" w:sz="4" w:space="0" w:color="000000"/>
              <w:bottom w:val="single" w:sz="4" w:space="0" w:color="000000"/>
              <w:right w:val="single" w:sz="4" w:space="0" w:color="000000"/>
            </w:tcBorders>
            <w:hideMark/>
          </w:tcPr>
          <w:p w14:paraId="0FC14042" w14:textId="77777777" w:rsidR="00A508A2" w:rsidRPr="00DD0D1F" w:rsidRDefault="00A508A2" w:rsidP="00A508A2">
            <w:pPr>
              <w:pStyle w:val="TableParagraph"/>
              <w:spacing w:before="176"/>
              <w:ind w:left="107"/>
              <w:rPr>
                <w:szCs w:val="24"/>
              </w:rPr>
            </w:pPr>
            <w:r w:rsidRPr="00DD0D1F">
              <w:rPr>
                <w:szCs w:val="24"/>
              </w:rPr>
              <w:t>Yıllık/Aylık ortalama</w:t>
            </w:r>
          </w:p>
        </w:tc>
        <w:tc>
          <w:tcPr>
            <w:tcW w:w="6247" w:type="dxa"/>
            <w:tcBorders>
              <w:top w:val="single" w:sz="4" w:space="0" w:color="000000"/>
              <w:left w:val="single" w:sz="4" w:space="0" w:color="000000"/>
              <w:bottom w:val="single" w:sz="4" w:space="0" w:color="000000"/>
              <w:right w:val="single" w:sz="4" w:space="0" w:color="000000"/>
            </w:tcBorders>
            <w:hideMark/>
          </w:tcPr>
          <w:p w14:paraId="03CAD608" w14:textId="77777777" w:rsidR="00A508A2" w:rsidRPr="00DD0D1F" w:rsidRDefault="00A508A2" w:rsidP="00A508A2">
            <w:pPr>
              <w:pStyle w:val="TableParagraph"/>
              <w:spacing w:before="60"/>
              <w:ind w:left="107" w:right="179"/>
              <w:rPr>
                <w:szCs w:val="24"/>
              </w:rPr>
            </w:pPr>
            <w:r w:rsidRPr="00DD0D1F">
              <w:rPr>
                <w:szCs w:val="24"/>
              </w:rPr>
              <w:t>Bir yıl/ay içinde elde edilen ve günlük debilere göre ağırlıklandırılan günlük ortalamaların tamamının ortalaması</w:t>
            </w:r>
          </w:p>
        </w:tc>
      </w:tr>
    </w:tbl>
    <w:p w14:paraId="657A7F07" w14:textId="77777777" w:rsidR="00A508A2" w:rsidRPr="00DD0D1F" w:rsidRDefault="00A508A2" w:rsidP="00AE5943">
      <w:pPr>
        <w:pStyle w:val="Balk1"/>
        <w:numPr>
          <w:ilvl w:val="0"/>
          <w:numId w:val="0"/>
        </w:numPr>
        <w:tabs>
          <w:tab w:val="left" w:pos="2154"/>
          <w:tab w:val="left" w:pos="2155"/>
        </w:tabs>
        <w:spacing w:line="276" w:lineRule="auto"/>
        <w:ind w:right="1173"/>
        <w:rPr>
          <w:rFonts w:cs="Times New Roman"/>
          <w:szCs w:val="24"/>
          <w:lang w:val="tr"/>
        </w:rPr>
      </w:pPr>
    </w:p>
    <w:bookmarkEnd w:id="3"/>
    <w:p w14:paraId="18B18F44" w14:textId="353D587A" w:rsidR="00304275" w:rsidRPr="00DD0D1F" w:rsidRDefault="00304275" w:rsidP="006C5D46">
      <w:pPr>
        <w:pStyle w:val="Balk1"/>
        <w:numPr>
          <w:ilvl w:val="0"/>
          <w:numId w:val="0"/>
        </w:numPr>
        <w:spacing w:before="240"/>
        <w:jc w:val="right"/>
        <w:rPr>
          <w:rFonts w:cs="Times New Roman"/>
          <w:szCs w:val="24"/>
        </w:rPr>
      </w:pPr>
      <w:r w:rsidRPr="00DD0D1F">
        <w:rPr>
          <w:rFonts w:cs="Times New Roman"/>
          <w:szCs w:val="24"/>
        </w:rPr>
        <w:t>EK-2</w:t>
      </w:r>
    </w:p>
    <w:p w14:paraId="10A1C5A0" w14:textId="446ED9DE" w:rsidR="008262B1" w:rsidRPr="00DD0D1F" w:rsidRDefault="003E40BF" w:rsidP="008262B1">
      <w:pPr>
        <w:pStyle w:val="Balk1"/>
        <w:numPr>
          <w:ilvl w:val="0"/>
          <w:numId w:val="0"/>
        </w:numPr>
        <w:spacing w:before="240"/>
        <w:jc w:val="center"/>
        <w:rPr>
          <w:rFonts w:cs="Times New Roman"/>
          <w:szCs w:val="24"/>
        </w:rPr>
      </w:pPr>
      <w:r w:rsidRPr="00DD0D1F">
        <w:rPr>
          <w:rFonts w:cs="Times New Roman"/>
          <w:szCs w:val="24"/>
        </w:rPr>
        <w:t xml:space="preserve">BÜYÜK YAKMA TESİSLERİ, GAZLAŞTIRMA VE/VEYA SIVILAŞTIRMA TESİSLERİ </w:t>
      </w:r>
      <w:r w:rsidR="008262B1" w:rsidRPr="00DD0D1F">
        <w:rPr>
          <w:rFonts w:cs="Times New Roman"/>
          <w:szCs w:val="24"/>
        </w:rPr>
        <w:t>İÇİN MEVCUT EN İYİ TEKNİKLER</w:t>
      </w:r>
    </w:p>
    <w:p w14:paraId="1DC7E371" w14:textId="77777777" w:rsidR="003328F9" w:rsidRPr="00DD0D1F" w:rsidRDefault="003328F9" w:rsidP="003328F9">
      <w:pPr>
        <w:rPr>
          <w:rFonts w:cs="Times New Roman"/>
          <w:szCs w:val="24"/>
          <w:lang w:val="nl-NL"/>
        </w:rPr>
      </w:pPr>
      <w:bookmarkStart w:id="17" w:name="_Toc137367285"/>
    </w:p>
    <w:p w14:paraId="6675BBD8" w14:textId="744976F3" w:rsidR="003328F9" w:rsidRPr="00DD0D1F" w:rsidRDefault="003328F9" w:rsidP="00FF111D">
      <w:pPr>
        <w:pStyle w:val="Balk1"/>
        <w:numPr>
          <w:ilvl w:val="0"/>
          <w:numId w:val="73"/>
        </w:numPr>
        <w:spacing w:before="240"/>
        <w:rPr>
          <w:rFonts w:cs="Times New Roman"/>
          <w:szCs w:val="24"/>
          <w:lang w:val="nl-NL"/>
        </w:rPr>
      </w:pPr>
      <w:r w:rsidRPr="00DD0D1F">
        <w:rPr>
          <w:rFonts w:cs="Times New Roman"/>
          <w:szCs w:val="24"/>
          <w:lang w:val="nl-NL"/>
        </w:rPr>
        <w:t>GENEL MET</w:t>
      </w:r>
      <w:bookmarkEnd w:id="17"/>
      <w:r w:rsidRPr="00DD0D1F">
        <w:rPr>
          <w:rFonts w:cs="Times New Roman"/>
          <w:szCs w:val="24"/>
          <w:lang w:val="nl-NL"/>
        </w:rPr>
        <w:t>’LER</w:t>
      </w:r>
    </w:p>
    <w:p w14:paraId="4DB43C70" w14:textId="77777777" w:rsidR="003328F9" w:rsidRPr="00DD0D1F" w:rsidRDefault="003328F9" w:rsidP="00FF111D">
      <w:pPr>
        <w:pStyle w:val="Balk2"/>
        <w:numPr>
          <w:ilvl w:val="1"/>
          <w:numId w:val="73"/>
        </w:numPr>
        <w:rPr>
          <w:rFonts w:cs="Times New Roman"/>
          <w:szCs w:val="24"/>
        </w:rPr>
      </w:pPr>
      <w:bookmarkStart w:id="18" w:name="_Toc137367286"/>
      <w:r w:rsidRPr="00DD0D1F">
        <w:rPr>
          <w:rFonts w:cs="Times New Roman"/>
          <w:szCs w:val="24"/>
        </w:rPr>
        <w:t>Çevre Yönetim Sistemleri (ÇYS)</w:t>
      </w:r>
      <w:bookmarkEnd w:id="18"/>
    </w:p>
    <w:p w14:paraId="167F6EE7" w14:textId="4C07CBE5" w:rsidR="003328F9" w:rsidRPr="00DD0D1F" w:rsidRDefault="003328F9" w:rsidP="003328F9">
      <w:pPr>
        <w:spacing w:before="240"/>
        <w:rPr>
          <w:rFonts w:cs="Times New Roman"/>
          <w:b/>
          <w:bCs/>
          <w:szCs w:val="24"/>
        </w:rPr>
      </w:pPr>
      <w:r w:rsidRPr="00DD0D1F">
        <w:rPr>
          <w:rFonts w:cs="Times New Roman"/>
          <w:b/>
          <w:bCs/>
          <w:szCs w:val="24"/>
        </w:rPr>
        <w:t xml:space="preserve">MET 1: </w:t>
      </w:r>
      <w:r w:rsidRPr="00DD0D1F">
        <w:rPr>
          <w:rFonts w:cs="Times New Roman"/>
          <w:bCs/>
          <w:szCs w:val="24"/>
        </w:rPr>
        <w:t>Genel çevre performansını iyileştirmek için, aşağıdaki özelliklerin tümünü içeren bir çevre yönetim sistemi (ÇYS) uygula</w:t>
      </w:r>
      <w:r w:rsidR="00CE3C46" w:rsidRPr="00DD0D1F">
        <w:rPr>
          <w:rFonts w:cs="Times New Roman"/>
          <w:bCs/>
          <w:szCs w:val="24"/>
        </w:rPr>
        <w:t>nır.</w:t>
      </w:r>
    </w:p>
    <w:p w14:paraId="31CE6212"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Üst yönetim de dahil olmak üzere, yönetimin kararlılığı;</w:t>
      </w:r>
    </w:p>
    <w:p w14:paraId="55951152"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Tesisin sürekli iyileştirilmesini içeren bir çevre politikasının yönetim tarafından tanımlanması;</w:t>
      </w:r>
    </w:p>
    <w:p w14:paraId="52C66D40"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Finansal planlama ve yatırım ile bağlantılı olarak gerekli prosedürlerin, amaçların ve hedeflerin planlanması ve oluşturulması;</w:t>
      </w:r>
    </w:p>
    <w:p w14:paraId="215A10C3"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Prosedürlerin, aşağıdakilere özellikle dikkat edilerek uygulanması:</w:t>
      </w:r>
    </w:p>
    <w:p w14:paraId="1741BA85" w14:textId="13A88119" w:rsidR="003328F9" w:rsidRPr="00DD0D1F" w:rsidRDefault="008562E2" w:rsidP="00FF111D">
      <w:pPr>
        <w:pStyle w:val="ListeParagraf"/>
        <w:numPr>
          <w:ilvl w:val="0"/>
          <w:numId w:val="12"/>
        </w:numPr>
        <w:ind w:left="720"/>
        <w:rPr>
          <w:rFonts w:cs="Times New Roman"/>
          <w:szCs w:val="24"/>
        </w:rPr>
      </w:pPr>
      <w:r w:rsidRPr="00DD0D1F">
        <w:rPr>
          <w:rFonts w:cs="Times New Roman"/>
          <w:szCs w:val="24"/>
        </w:rPr>
        <w:t>Yapı ve sorumluluğu</w:t>
      </w:r>
      <w:r w:rsidR="003328F9" w:rsidRPr="00DD0D1F">
        <w:rPr>
          <w:rFonts w:cs="Times New Roman"/>
          <w:szCs w:val="24"/>
        </w:rPr>
        <w:t>;</w:t>
      </w:r>
    </w:p>
    <w:p w14:paraId="4F9D4433"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İşe alım, eğitim, farkındalık ve yetkinlik;</w:t>
      </w:r>
    </w:p>
    <w:p w14:paraId="5F4E4818" w14:textId="408837BE" w:rsidR="003328F9" w:rsidRPr="00DD0D1F" w:rsidRDefault="008562E2" w:rsidP="00FF111D">
      <w:pPr>
        <w:pStyle w:val="ListeParagraf"/>
        <w:numPr>
          <w:ilvl w:val="0"/>
          <w:numId w:val="12"/>
        </w:numPr>
        <w:ind w:left="720"/>
        <w:rPr>
          <w:rFonts w:cs="Times New Roman"/>
          <w:szCs w:val="24"/>
        </w:rPr>
      </w:pPr>
      <w:r w:rsidRPr="00DD0D1F">
        <w:rPr>
          <w:rFonts w:cs="Times New Roman"/>
          <w:szCs w:val="24"/>
        </w:rPr>
        <w:t>İ</w:t>
      </w:r>
      <w:r w:rsidR="003328F9" w:rsidRPr="00DD0D1F">
        <w:rPr>
          <w:rFonts w:cs="Times New Roman"/>
          <w:szCs w:val="24"/>
        </w:rPr>
        <w:t>letişim;</w:t>
      </w:r>
    </w:p>
    <w:p w14:paraId="5930AC51"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Çalışan katılımı;</w:t>
      </w:r>
    </w:p>
    <w:p w14:paraId="3B4F72F9"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Belgeleme;</w:t>
      </w:r>
    </w:p>
    <w:p w14:paraId="71FA823C"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Verimli proses kontrolü;</w:t>
      </w:r>
    </w:p>
    <w:p w14:paraId="0B3CBDD4" w14:textId="77777777" w:rsidR="00592F3B" w:rsidRPr="00DD0D1F" w:rsidRDefault="003328F9" w:rsidP="00592F3B">
      <w:pPr>
        <w:pStyle w:val="ListeParagraf"/>
        <w:numPr>
          <w:ilvl w:val="0"/>
          <w:numId w:val="12"/>
        </w:numPr>
        <w:ind w:left="720"/>
        <w:rPr>
          <w:rFonts w:cs="Times New Roman"/>
          <w:szCs w:val="24"/>
        </w:rPr>
      </w:pPr>
      <w:r w:rsidRPr="00DD0D1F">
        <w:rPr>
          <w:rFonts w:cs="Times New Roman"/>
          <w:szCs w:val="24"/>
        </w:rPr>
        <w:t>Planlı, düzenli bakım programları;</w:t>
      </w:r>
    </w:p>
    <w:p w14:paraId="237968F9" w14:textId="64E39E4C" w:rsidR="003328F9" w:rsidRPr="00DD0D1F" w:rsidRDefault="003328F9" w:rsidP="00592F3B">
      <w:pPr>
        <w:pStyle w:val="ListeParagraf"/>
        <w:numPr>
          <w:ilvl w:val="0"/>
          <w:numId w:val="12"/>
        </w:numPr>
        <w:ind w:left="720"/>
        <w:rPr>
          <w:rFonts w:cs="Times New Roman"/>
          <w:szCs w:val="24"/>
        </w:rPr>
      </w:pPr>
      <w:r w:rsidRPr="00DD0D1F">
        <w:rPr>
          <w:rFonts w:cs="Times New Roman"/>
          <w:szCs w:val="24"/>
        </w:rPr>
        <w:t>Acil duruma hazırlık ve müdahale;</w:t>
      </w:r>
    </w:p>
    <w:p w14:paraId="03BCE018"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Çevre mevzuatına uyumun gözetilmesi;</w:t>
      </w:r>
    </w:p>
    <w:p w14:paraId="7FED9EB4"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Performansın kontrolü ve düzeltici eylemlerin, aşağıdakilere özellikle dikkat edilerek uygulanması:</w:t>
      </w:r>
    </w:p>
    <w:p w14:paraId="59EE631D"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İzleme ve ölçme (ayrıca bkz. İzlemenin genel ilkelerine ilişkin referans belge);</w:t>
      </w:r>
    </w:p>
    <w:p w14:paraId="295D35F7"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Düzeltici ve önleyici eylemler;</w:t>
      </w:r>
    </w:p>
    <w:p w14:paraId="77EC03D1"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Kayıtların tutulması;</w:t>
      </w:r>
    </w:p>
    <w:p w14:paraId="345B66E2"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ÇYS’nin planlanan düzenlemelerle uyumlu olup olmadığını belirlemek ve doğru şekilde uygulandığından ve sürdürüldüğünden emin olmak üzere, iç ve dış denetimlerin, mümkün olduğu ölçüde bağımsız olarak gerçekleştirilmesi;</w:t>
      </w:r>
    </w:p>
    <w:p w14:paraId="3186AC9E"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ÇYS'nin ve uygunluğunun, yeterliliğinin ve etkililiğinin, süreklilik açısından üst yönetim tarafından gözden geçirilmesi;</w:t>
      </w:r>
    </w:p>
    <w:p w14:paraId="1698EBF0" w14:textId="77777777" w:rsidR="003328F9" w:rsidRPr="00DD0D1F" w:rsidRDefault="003328F9" w:rsidP="00FF111D">
      <w:pPr>
        <w:pStyle w:val="ListeParagraf"/>
        <w:numPr>
          <w:ilvl w:val="0"/>
          <w:numId w:val="11"/>
        </w:numPr>
        <w:rPr>
          <w:rFonts w:cs="Times New Roman"/>
          <w:szCs w:val="24"/>
          <w:lang w:val="fi-FI"/>
        </w:rPr>
      </w:pPr>
      <w:r w:rsidRPr="00DD0D1F">
        <w:rPr>
          <w:rFonts w:cs="Times New Roman"/>
          <w:szCs w:val="24"/>
          <w:lang w:val="fi-FI"/>
        </w:rPr>
        <w:t>Daha temiz teknolojilerin gelişiminin takip edilmesi;</w:t>
      </w:r>
    </w:p>
    <w:p w14:paraId="03A0150E" w14:textId="77777777" w:rsidR="003328F9" w:rsidRPr="00DD0D1F" w:rsidRDefault="003328F9" w:rsidP="00FF111D">
      <w:pPr>
        <w:pStyle w:val="ListeParagraf"/>
        <w:numPr>
          <w:ilvl w:val="0"/>
          <w:numId w:val="11"/>
        </w:numPr>
        <w:rPr>
          <w:rFonts w:cs="Times New Roman"/>
          <w:szCs w:val="24"/>
          <w:lang w:val="fi-FI"/>
        </w:rPr>
      </w:pPr>
      <w:r w:rsidRPr="00DD0D1F">
        <w:rPr>
          <w:rFonts w:cs="Times New Roman"/>
          <w:szCs w:val="24"/>
          <w:lang w:val="fi-FI"/>
        </w:rPr>
        <w:t>Aşağıdakiler dahil olmak üzere, yeni bir tesisin tasarlanması aşamasında ve işletme ömrü boyunca tesisin nihai olarak hizmet dışı bırakılmasından kaynaklanan çevresel etkilerin dikkate alınması:</w:t>
      </w:r>
    </w:p>
    <w:p w14:paraId="2F547CC6"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Yeraltı yapılarından kaçınmak;</w:t>
      </w:r>
    </w:p>
    <w:p w14:paraId="574384BB"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Sökmeyi kolaylaştıran özelikleri eklemek;</w:t>
      </w:r>
    </w:p>
    <w:p w14:paraId="5447DABD"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Kolaylıkla temizlenen yüzey kaplamalarını seçmek;</w:t>
      </w:r>
    </w:p>
    <w:p w14:paraId="639F7893"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Kimyasalların sıkışmasını minimum seviyeye indiren ve drenaj veya temizliği kolaylaştıran bir ekipman konfigürasyonu kullanmak;</w:t>
      </w:r>
    </w:p>
    <w:p w14:paraId="77E1792A"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Aşamalı kapanışı mümkün kılan esnek, bağımsız ekipman tasarlamak;</w:t>
      </w:r>
    </w:p>
    <w:p w14:paraId="1FF23154"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Mümkün olduğunda biyolojik olarak parçalanabilen ve geri dönüştürülebilir malzemeler kullanmak;</w:t>
      </w:r>
    </w:p>
    <w:p w14:paraId="295B1ABD"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Düzenli olarak sektörel kıyaslama çalışmalarının uygulaması.</w:t>
      </w:r>
    </w:p>
    <w:p w14:paraId="271D997B" w14:textId="77777777" w:rsidR="003328F9" w:rsidRPr="00DD0D1F" w:rsidRDefault="003328F9" w:rsidP="003328F9">
      <w:pPr>
        <w:spacing w:before="240"/>
        <w:rPr>
          <w:rFonts w:cs="Times New Roman"/>
          <w:szCs w:val="24"/>
        </w:rPr>
      </w:pPr>
      <w:r w:rsidRPr="00DD0D1F">
        <w:rPr>
          <w:rFonts w:cs="Times New Roman"/>
          <w:szCs w:val="24"/>
        </w:rPr>
        <w:t>Özellikle bu sektör için, ilgili met'te uygun yerlerde açıklanan aşağıdaki ÇYS özelliklerinin dikkate alınması da önemlidir:</w:t>
      </w:r>
    </w:p>
    <w:p w14:paraId="3595CED6"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Tüm yakıtların özelliklerinin tam olarak belirlenmesini ve kontrol edilmesini sağlamak için kalite güvence/kalite kontrol programları (bk. Met 9);</w:t>
      </w:r>
    </w:p>
    <w:p w14:paraId="4F2CC8B3"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Devreye alma ve devre dışı bırakma süreleri dahil olmak üzere normal çalışma koşulları dışındaki hava ve/veya su emisyonlarını azaltmak için bir yönetim planı (bk. Met 10 ve MET 11);</w:t>
      </w:r>
    </w:p>
    <w:p w14:paraId="041C5685"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MET 16'da verilen tekniklerin kullanımı da dahil olmak üzere, atığın önlenmesini, yeniden kullanım için hazırlanmasını, geri dönüştürülmesini veya başka bir şekilde geri kazanılmasını sağlamak için bir atık yönetim planı;</w:t>
      </w:r>
    </w:p>
    <w:p w14:paraId="4E2FD779"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Özellikle aşağıdakiler olmak üzere çevreye potansiyel kontrolsüz ve/veya plansız emisyonları belirlemek ve bunlarla başa çıkmak için sistematik bir yöntem:</w:t>
      </w:r>
    </w:p>
    <w:p w14:paraId="1C6A2EC7" w14:textId="77777777" w:rsidR="003328F9" w:rsidRPr="00DD0D1F" w:rsidRDefault="003328F9" w:rsidP="00FF111D">
      <w:pPr>
        <w:pStyle w:val="ListeParagraf"/>
        <w:numPr>
          <w:ilvl w:val="0"/>
          <w:numId w:val="19"/>
        </w:numPr>
        <w:spacing w:before="240"/>
        <w:rPr>
          <w:rFonts w:cs="Times New Roman"/>
          <w:szCs w:val="24"/>
        </w:rPr>
      </w:pPr>
      <w:r w:rsidRPr="00DD0D1F">
        <w:rPr>
          <w:rFonts w:cs="Times New Roman"/>
          <w:szCs w:val="24"/>
        </w:rPr>
        <w:t>Yakıtların, katkı maddelerinin, yan ürünlerin ve atıkların taşınması ve depolanmasından kaynaklanan toprak ve yeraltı sularına emisyonlar;</w:t>
      </w:r>
    </w:p>
    <w:p w14:paraId="30913866" w14:textId="77777777" w:rsidR="003328F9" w:rsidRPr="00DD0D1F" w:rsidRDefault="003328F9" w:rsidP="00FF111D">
      <w:pPr>
        <w:pStyle w:val="ListeParagraf"/>
        <w:numPr>
          <w:ilvl w:val="0"/>
          <w:numId w:val="19"/>
        </w:numPr>
        <w:spacing w:before="240"/>
        <w:rPr>
          <w:rFonts w:cs="Times New Roman"/>
          <w:szCs w:val="24"/>
        </w:rPr>
      </w:pPr>
      <w:r w:rsidRPr="00DD0D1F">
        <w:rPr>
          <w:rFonts w:cs="Times New Roman"/>
          <w:szCs w:val="24"/>
        </w:rPr>
        <w:t>Depolama ve taşıma aktivitelerinde yakıtın kendi kendine ısınma ve/veya kendi kendine tutuşması ile ilişkili emisyonlar;</w:t>
      </w:r>
    </w:p>
    <w:p w14:paraId="4E2D6C0F"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Yakıtların, artıkların ve katkı maddelerinin yüklenmesi, boşaltılması, depolanması ve/veya taşınmasından kaynaklanan yaygın emisyonları önlemek veya bunun mümkün olmadığı durumlarda azaltmak için bir toz yönetim planı;</w:t>
      </w:r>
    </w:p>
    <w:p w14:paraId="3F974E78"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Hassas alıcılarda, gürültü rahatsızlığının beklendiği veya sürdürüldüğü durumlarda aşağıdakileri içeren bir gürültü yönetim planı;</w:t>
      </w:r>
    </w:p>
    <w:p w14:paraId="2AAA3553"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Tesis sınırında gürültü izlemenin gerçekleştirilmesine yönelik bir protokol;</w:t>
      </w:r>
    </w:p>
    <w:p w14:paraId="5ECC81EC"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Bir gürültü azaltma program;</w:t>
      </w:r>
    </w:p>
    <w:p w14:paraId="66A13397"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Uygun eylemleri ve takvimleri içeren, gürültü vakalarına müdahale için bir protokol;</w:t>
      </w:r>
    </w:p>
    <w:p w14:paraId="51452788"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Geçmiş gürültü vakalarının, düzeltici eylemlerin gözden geçirilmesi ve gürültü vakası bilgilerinin etkilenen taraflara dağıtılması;</w:t>
      </w:r>
    </w:p>
    <w:p w14:paraId="650A7A06"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Kötü kokulu maddelerin yakılması, gazlaştırılması veya birlikte yakılması için, aşağıdakileri içeren bir koku yönetim planı:</w:t>
      </w:r>
    </w:p>
    <w:p w14:paraId="5DF82E6A" w14:textId="36374BCD"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Koku izlemenin gerçekl</w:t>
      </w:r>
      <w:r w:rsidR="008562E2" w:rsidRPr="00DD0D1F">
        <w:rPr>
          <w:rFonts w:cs="Times New Roman"/>
          <w:szCs w:val="24"/>
        </w:rPr>
        <w:t>eştirilmesine yönelik bir protok</w:t>
      </w:r>
      <w:r w:rsidRPr="00DD0D1F">
        <w:rPr>
          <w:rFonts w:cs="Times New Roman"/>
          <w:szCs w:val="24"/>
        </w:rPr>
        <w:t>ol;</w:t>
      </w:r>
    </w:p>
    <w:p w14:paraId="15198A7A" w14:textId="0263C4A7"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Gerektiğinde, koku emisyonlarını belirlemek ve ortadan kaldırmak veya azaltmak için bir koku giderme program</w:t>
      </w:r>
      <w:r w:rsidR="008562E2" w:rsidRPr="00DD0D1F">
        <w:rPr>
          <w:rFonts w:cs="Times New Roman"/>
          <w:szCs w:val="24"/>
        </w:rPr>
        <w:t>ı</w:t>
      </w:r>
      <w:r w:rsidRPr="00DD0D1F">
        <w:rPr>
          <w:rFonts w:cs="Times New Roman"/>
          <w:szCs w:val="24"/>
        </w:rPr>
        <w:t>;</w:t>
      </w:r>
    </w:p>
    <w:p w14:paraId="0FE2285D" w14:textId="53447DE0"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 xml:space="preserve">Koku vakalarını ve uygun eylemler ile takvimleri kaydetmeye yönelik bir </w:t>
      </w:r>
      <w:r w:rsidR="008562E2" w:rsidRPr="00DD0D1F">
        <w:rPr>
          <w:rFonts w:cs="Times New Roman"/>
          <w:szCs w:val="24"/>
        </w:rPr>
        <w:t>protok</w:t>
      </w:r>
      <w:r w:rsidRPr="00DD0D1F">
        <w:rPr>
          <w:rFonts w:cs="Times New Roman"/>
          <w:szCs w:val="24"/>
        </w:rPr>
        <w:t>ol;</w:t>
      </w:r>
    </w:p>
    <w:p w14:paraId="72333A8B" w14:textId="77777777"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Geçmiş koku vakalarının, düzeltici eylemlerin gözden geçirilmesi ve koku vakası bilgilerinin etkilenen taraflara dağıtılması.</w:t>
      </w:r>
    </w:p>
    <w:p w14:paraId="3259E0A1" w14:textId="77777777" w:rsidR="003328F9" w:rsidRPr="00DD0D1F" w:rsidRDefault="003328F9" w:rsidP="003328F9">
      <w:pPr>
        <w:spacing w:before="240"/>
        <w:rPr>
          <w:rFonts w:cs="Times New Roman"/>
          <w:szCs w:val="24"/>
        </w:rPr>
      </w:pPr>
      <w:r w:rsidRPr="00DD0D1F">
        <w:rPr>
          <w:rFonts w:cs="Times New Roman"/>
          <w:szCs w:val="24"/>
        </w:rPr>
        <w:t>Bir değerlendirme, x ila xvi maddelerinde listelenen unsurlardan herhangi birinin gerekli olmadığını gösterdiğinde, kararın nedenleri de dahil olmak üzere bir kaydı yapılır.</w:t>
      </w:r>
    </w:p>
    <w:p w14:paraId="3D0B5D53" w14:textId="77777777" w:rsidR="003328F9" w:rsidRPr="00DD0D1F" w:rsidRDefault="003328F9" w:rsidP="003328F9">
      <w:pPr>
        <w:rPr>
          <w:rFonts w:cs="Times New Roman"/>
          <w:szCs w:val="24"/>
          <w:lang w:val="tr-TR"/>
        </w:rPr>
      </w:pPr>
    </w:p>
    <w:p w14:paraId="78081503" w14:textId="77777777" w:rsidR="003328F9" w:rsidRPr="00DD0D1F" w:rsidRDefault="003328F9" w:rsidP="00FF111D">
      <w:pPr>
        <w:pStyle w:val="Balk2"/>
        <w:numPr>
          <w:ilvl w:val="1"/>
          <w:numId w:val="73"/>
        </w:numPr>
        <w:rPr>
          <w:rFonts w:cs="Times New Roman"/>
          <w:szCs w:val="24"/>
          <w:lang w:val="tr-TR"/>
        </w:rPr>
      </w:pPr>
      <w:bookmarkStart w:id="19" w:name="10.1.2_Monitoring"/>
      <w:bookmarkEnd w:id="19"/>
      <w:r w:rsidRPr="00DD0D1F">
        <w:rPr>
          <w:rFonts w:cs="Times New Roman"/>
          <w:szCs w:val="24"/>
          <w:lang w:val="tr-TR"/>
        </w:rPr>
        <w:t>İzleme</w:t>
      </w:r>
    </w:p>
    <w:p w14:paraId="691B0874" w14:textId="4270F7AD" w:rsidR="003328F9" w:rsidRPr="00DD0D1F" w:rsidRDefault="003328F9" w:rsidP="005A4911">
      <w:pPr>
        <w:pStyle w:val="Normaltext"/>
        <w:rPr>
          <w:rFonts w:cs="Times New Roman"/>
          <w:szCs w:val="24"/>
        </w:rPr>
      </w:pPr>
      <w:bookmarkStart w:id="20" w:name="_bookmark40"/>
      <w:bookmarkEnd w:id="20"/>
      <w:r w:rsidRPr="00DD0D1F">
        <w:rPr>
          <w:rFonts w:cs="Times New Roman"/>
          <w:b/>
          <w:szCs w:val="24"/>
        </w:rPr>
        <w:t>MET 2:</w:t>
      </w:r>
      <w:r w:rsidRPr="00DD0D1F">
        <w:rPr>
          <w:rFonts w:cs="Times New Roman"/>
          <w:szCs w:val="24"/>
        </w:rPr>
        <w:t xml:space="preserve"> </w:t>
      </w:r>
      <w:r w:rsidR="00592F3B" w:rsidRPr="00DD0D1F">
        <w:rPr>
          <w:rFonts w:cs="Times New Roman"/>
          <w:szCs w:val="24"/>
        </w:rPr>
        <w:t>G</w:t>
      </w:r>
      <w:r w:rsidRPr="00DD0D1F">
        <w:rPr>
          <w:rFonts w:cs="Times New Roman"/>
          <w:szCs w:val="24"/>
        </w:rPr>
        <w:t>azlaştırma, IGCC ve/veya yakma ünitelerinin net elektrik verimliliğini ve/veya net toplam yakıt kullanımını ve/veya net mekanik enerji verimliliğini; ünitenin hizmete alınmasından sonra ve ünitenin net elektrik verimliliğini ve/veya net toplam yakıt kullanımını ve/veya net mekanik enerji verimliliğini önemli derecede etkileyebilecek her değişiklik</w:t>
      </w:r>
      <w:r w:rsidR="00592F3B" w:rsidRPr="00DD0D1F">
        <w:rPr>
          <w:rFonts w:cs="Times New Roman"/>
          <w:szCs w:val="24"/>
        </w:rPr>
        <w:t>ten sonra EN standartlarına göre tam yükte</w:t>
      </w:r>
      <w:r w:rsidR="00592F3B" w:rsidRPr="00DD0D1F">
        <w:rPr>
          <w:rFonts w:cs="Times New Roman"/>
          <w:szCs w:val="24"/>
          <w:vertAlign w:val="superscript"/>
        </w:rPr>
        <w:t>(1)</w:t>
      </w:r>
      <w:r w:rsidR="00592F3B" w:rsidRPr="00DD0D1F">
        <w:rPr>
          <w:rFonts w:cs="Times New Roman"/>
          <w:szCs w:val="24"/>
        </w:rPr>
        <w:t xml:space="preserve">  bir performans testi gerçekleştirilerek belirlenir.</w:t>
      </w:r>
      <w:r w:rsidRPr="00DD0D1F">
        <w:rPr>
          <w:rFonts w:cs="Times New Roman"/>
          <w:szCs w:val="24"/>
        </w:rPr>
        <w:t xml:space="preserve"> EN standartları mevcut değilse, MET, eşdeğer bilimsel kalitede verilerin sağlanmasını mümkün kılan ISO, ulusal veya</w:t>
      </w:r>
      <w:r w:rsidR="00592F3B" w:rsidRPr="00DD0D1F">
        <w:rPr>
          <w:rFonts w:cs="Times New Roman"/>
          <w:szCs w:val="24"/>
        </w:rPr>
        <w:t xml:space="preserve"> diğer uluslararası standartlar</w:t>
      </w:r>
      <w:r w:rsidRPr="00DD0D1F">
        <w:rPr>
          <w:rFonts w:cs="Times New Roman"/>
          <w:szCs w:val="24"/>
        </w:rPr>
        <w:t xml:space="preserve"> kullan</w:t>
      </w:r>
      <w:r w:rsidR="00592F3B" w:rsidRPr="00DD0D1F">
        <w:rPr>
          <w:rFonts w:cs="Times New Roman"/>
          <w:szCs w:val="24"/>
        </w:rPr>
        <w:t>ılır</w:t>
      </w:r>
      <w:r w:rsidRPr="00DD0D1F">
        <w:rPr>
          <w:rFonts w:cs="Times New Roman"/>
          <w:szCs w:val="24"/>
        </w:rPr>
        <w:t>.</w:t>
      </w:r>
    </w:p>
    <w:p w14:paraId="4D20276D" w14:textId="11A42EC0" w:rsidR="003328F9" w:rsidRPr="00DD0D1F" w:rsidRDefault="003328F9" w:rsidP="005A4911">
      <w:pPr>
        <w:pStyle w:val="Normaltext"/>
        <w:rPr>
          <w:rFonts w:cs="Times New Roman"/>
          <w:bCs/>
          <w:szCs w:val="24"/>
        </w:rPr>
      </w:pPr>
      <w:r w:rsidRPr="00DD0D1F">
        <w:rPr>
          <w:rFonts w:cs="Times New Roman"/>
          <w:szCs w:val="24"/>
          <w:vertAlign w:val="superscript"/>
        </w:rPr>
        <w:t>(1)</w:t>
      </w:r>
      <w:r w:rsidRPr="00DD0D1F">
        <w:rPr>
          <w:rFonts w:cs="Times New Roman"/>
          <w:szCs w:val="24"/>
        </w:rPr>
        <w:t xml:space="preserve"> </w:t>
      </w:r>
      <w:r w:rsidR="006B2679" w:rsidRPr="00DD0D1F">
        <w:rPr>
          <w:rFonts w:cs="Times New Roman"/>
          <w:szCs w:val="24"/>
        </w:rPr>
        <w:t>Kombine Isı ve Güç</w:t>
      </w:r>
      <w:r w:rsidRPr="00DD0D1F">
        <w:rPr>
          <w:rFonts w:cs="Times New Roman"/>
          <w:szCs w:val="24"/>
        </w:rPr>
        <w:t xml:space="preserve"> üniteleri olması halinde, teknik nedenlerden dolayı performans testi, ünitenin ısı kaynağı için tam yükte çalıştırılmasıyla gerçekleştirilemezse tam yük parametrelerine dayanan bir hesaplama ile teste ek yapılabilir veya yerine başka bir test yapılabilir.</w:t>
      </w:r>
    </w:p>
    <w:p w14:paraId="65955FE8" w14:textId="77777777" w:rsidR="003328F9" w:rsidRPr="00DD0D1F" w:rsidRDefault="003328F9" w:rsidP="003328F9">
      <w:pPr>
        <w:pStyle w:val="GvdeMetni"/>
        <w:spacing w:line="360" w:lineRule="auto"/>
        <w:jc w:val="both"/>
        <w:rPr>
          <w:sz w:val="24"/>
          <w:szCs w:val="24"/>
        </w:rPr>
      </w:pPr>
    </w:p>
    <w:p w14:paraId="2E8D22EC" w14:textId="1AD98E4B" w:rsidR="003328F9" w:rsidRPr="00DD0D1F" w:rsidRDefault="003328F9" w:rsidP="005A4911">
      <w:pPr>
        <w:pStyle w:val="Normaltext"/>
        <w:rPr>
          <w:rFonts w:cs="Times New Roman"/>
          <w:szCs w:val="24"/>
        </w:rPr>
      </w:pPr>
      <w:r w:rsidRPr="00DD0D1F">
        <w:rPr>
          <w:rFonts w:cs="Times New Roman"/>
          <w:b/>
          <w:szCs w:val="24"/>
        </w:rPr>
        <w:t>MET 3:</w:t>
      </w:r>
      <w:r w:rsidRPr="00DD0D1F">
        <w:rPr>
          <w:rFonts w:cs="Times New Roman"/>
          <w:szCs w:val="24"/>
        </w:rPr>
        <w:t xml:space="preserve"> Aşağıda verilenler de dahil olmak üzere havaya ve suya emisyonlarla il</w:t>
      </w:r>
      <w:r w:rsidR="00592F3B" w:rsidRPr="00DD0D1F">
        <w:rPr>
          <w:rFonts w:cs="Times New Roman"/>
          <w:szCs w:val="24"/>
        </w:rPr>
        <w:t>gili temel proses parametreler</w:t>
      </w:r>
      <w:r w:rsidRPr="00DD0D1F">
        <w:rPr>
          <w:rFonts w:cs="Times New Roman"/>
          <w:szCs w:val="24"/>
        </w:rPr>
        <w:t xml:space="preserve"> izle</w:t>
      </w:r>
      <w:r w:rsidR="00592F3B" w:rsidRPr="00DD0D1F">
        <w:rPr>
          <w:rFonts w:cs="Times New Roman"/>
          <w:szCs w:val="24"/>
        </w:rPr>
        <w:t>nir.</w:t>
      </w:r>
    </w:p>
    <w:p w14:paraId="778170D4" w14:textId="77777777" w:rsidR="003328F9" w:rsidRPr="00DD0D1F" w:rsidRDefault="003328F9" w:rsidP="003328F9">
      <w:pPr>
        <w:pStyle w:val="GvdeMetni"/>
        <w:spacing w:before="7" w:line="360" w:lineRule="auto"/>
        <w:jc w:val="both"/>
        <w:rPr>
          <w:sz w:val="24"/>
          <w:szCs w:val="24"/>
        </w:rPr>
      </w:pPr>
    </w:p>
    <w:tbl>
      <w:tblPr>
        <w:tblStyle w:val="TableGrid2"/>
        <w:tblW w:w="9650" w:type="dxa"/>
        <w:tblLayout w:type="fixed"/>
        <w:tblLook w:val="01E0" w:firstRow="1" w:lastRow="1" w:firstColumn="1" w:lastColumn="1" w:noHBand="0" w:noVBand="0"/>
      </w:tblPr>
      <w:tblGrid>
        <w:gridCol w:w="2688"/>
        <w:gridCol w:w="3293"/>
        <w:gridCol w:w="3669"/>
      </w:tblGrid>
      <w:tr w:rsidR="003328F9" w:rsidRPr="00DD0D1F" w14:paraId="3445125A" w14:textId="77777777" w:rsidTr="003328F9">
        <w:trPr>
          <w:trHeight w:val="346"/>
        </w:trPr>
        <w:tc>
          <w:tcPr>
            <w:tcW w:w="2688" w:type="dxa"/>
            <w:vAlign w:val="center"/>
          </w:tcPr>
          <w:p w14:paraId="3BD25E97" w14:textId="77777777" w:rsidR="003328F9" w:rsidRPr="00DD0D1F" w:rsidRDefault="003328F9" w:rsidP="003328F9">
            <w:pPr>
              <w:pStyle w:val="TableParagraph"/>
              <w:ind w:left="499" w:hanging="499"/>
              <w:rPr>
                <w:b/>
                <w:szCs w:val="24"/>
              </w:rPr>
            </w:pPr>
            <w:r w:rsidRPr="00DD0D1F">
              <w:rPr>
                <w:b/>
                <w:szCs w:val="24"/>
              </w:rPr>
              <w:t>Akım</w:t>
            </w:r>
          </w:p>
        </w:tc>
        <w:tc>
          <w:tcPr>
            <w:tcW w:w="3293" w:type="dxa"/>
            <w:vAlign w:val="center"/>
          </w:tcPr>
          <w:p w14:paraId="10839E26" w14:textId="77777777" w:rsidR="003328F9" w:rsidRPr="00DD0D1F" w:rsidRDefault="003328F9" w:rsidP="003328F9">
            <w:pPr>
              <w:pStyle w:val="TableParagraph"/>
              <w:ind w:left="288"/>
              <w:rPr>
                <w:b/>
                <w:szCs w:val="24"/>
              </w:rPr>
            </w:pPr>
            <w:r w:rsidRPr="00DD0D1F">
              <w:rPr>
                <w:b/>
                <w:szCs w:val="24"/>
              </w:rPr>
              <w:t>Parametre(ler)</w:t>
            </w:r>
          </w:p>
        </w:tc>
        <w:tc>
          <w:tcPr>
            <w:tcW w:w="3669" w:type="dxa"/>
            <w:vAlign w:val="center"/>
          </w:tcPr>
          <w:p w14:paraId="2456E2BC" w14:textId="77777777" w:rsidR="003328F9" w:rsidRPr="00DD0D1F" w:rsidRDefault="003328F9" w:rsidP="003328F9">
            <w:pPr>
              <w:pStyle w:val="TableParagraph"/>
              <w:ind w:left="112"/>
              <w:rPr>
                <w:b/>
                <w:szCs w:val="24"/>
              </w:rPr>
            </w:pPr>
            <w:r w:rsidRPr="00DD0D1F">
              <w:rPr>
                <w:b/>
                <w:szCs w:val="24"/>
              </w:rPr>
              <w:t>İzleme</w:t>
            </w:r>
          </w:p>
        </w:tc>
      </w:tr>
      <w:tr w:rsidR="003328F9" w:rsidRPr="00DD0D1F" w14:paraId="0FF47F3F" w14:textId="77777777" w:rsidTr="003328F9">
        <w:trPr>
          <w:trHeight w:val="244"/>
        </w:trPr>
        <w:tc>
          <w:tcPr>
            <w:tcW w:w="2688" w:type="dxa"/>
            <w:vMerge w:val="restart"/>
            <w:vAlign w:val="center"/>
          </w:tcPr>
          <w:p w14:paraId="58DDC82E" w14:textId="77777777" w:rsidR="003328F9" w:rsidRPr="00DD0D1F" w:rsidRDefault="003328F9" w:rsidP="003328F9">
            <w:pPr>
              <w:pStyle w:val="TableParagraph"/>
              <w:rPr>
                <w:b/>
                <w:szCs w:val="24"/>
              </w:rPr>
            </w:pPr>
          </w:p>
          <w:p w14:paraId="4F558379" w14:textId="77777777" w:rsidR="003328F9" w:rsidRPr="00DD0D1F" w:rsidRDefault="003328F9" w:rsidP="003328F9">
            <w:pPr>
              <w:pStyle w:val="TableParagraph"/>
              <w:rPr>
                <w:b/>
                <w:szCs w:val="24"/>
              </w:rPr>
            </w:pPr>
          </w:p>
          <w:p w14:paraId="1EA18EFA" w14:textId="7BFBA182" w:rsidR="003328F9" w:rsidRPr="00DD0D1F" w:rsidRDefault="003328F9" w:rsidP="003328F9">
            <w:pPr>
              <w:pStyle w:val="TableParagraph"/>
              <w:ind w:left="107"/>
              <w:rPr>
                <w:szCs w:val="24"/>
              </w:rPr>
            </w:pPr>
            <w:r w:rsidRPr="00DD0D1F">
              <w:rPr>
                <w:szCs w:val="24"/>
              </w:rPr>
              <w:t>Baca gazı</w:t>
            </w:r>
          </w:p>
        </w:tc>
        <w:tc>
          <w:tcPr>
            <w:tcW w:w="3293" w:type="dxa"/>
            <w:vAlign w:val="center"/>
          </w:tcPr>
          <w:p w14:paraId="36F6D461" w14:textId="77777777" w:rsidR="003328F9" w:rsidRPr="00DD0D1F" w:rsidRDefault="003328F9" w:rsidP="003328F9">
            <w:pPr>
              <w:pStyle w:val="TableParagraph"/>
              <w:ind w:left="1092" w:right="1051"/>
              <w:rPr>
                <w:szCs w:val="24"/>
              </w:rPr>
            </w:pPr>
            <w:r w:rsidRPr="00DD0D1F">
              <w:rPr>
                <w:szCs w:val="24"/>
              </w:rPr>
              <w:t>Akış</w:t>
            </w:r>
          </w:p>
        </w:tc>
        <w:tc>
          <w:tcPr>
            <w:tcW w:w="3669" w:type="dxa"/>
            <w:vAlign w:val="center"/>
          </w:tcPr>
          <w:p w14:paraId="363E529F" w14:textId="77777777" w:rsidR="003328F9" w:rsidRPr="00DD0D1F" w:rsidRDefault="003328F9" w:rsidP="003328F9">
            <w:pPr>
              <w:pStyle w:val="TableParagraph"/>
              <w:ind w:left="364" w:right="667"/>
              <w:rPr>
                <w:szCs w:val="24"/>
              </w:rPr>
            </w:pPr>
            <w:r w:rsidRPr="00DD0D1F">
              <w:rPr>
                <w:szCs w:val="24"/>
              </w:rPr>
              <w:t>Periyodik veya sürekli tespit</w:t>
            </w:r>
          </w:p>
        </w:tc>
      </w:tr>
      <w:tr w:rsidR="003328F9" w:rsidRPr="00DD0D1F" w14:paraId="575EB910" w14:textId="77777777" w:rsidTr="003328F9">
        <w:trPr>
          <w:trHeight w:val="442"/>
        </w:trPr>
        <w:tc>
          <w:tcPr>
            <w:tcW w:w="2688" w:type="dxa"/>
            <w:vMerge/>
            <w:vAlign w:val="center"/>
          </w:tcPr>
          <w:p w14:paraId="31C2536D" w14:textId="77777777" w:rsidR="003328F9" w:rsidRPr="00DD0D1F" w:rsidRDefault="003328F9" w:rsidP="003328F9">
            <w:pPr>
              <w:jc w:val="left"/>
              <w:rPr>
                <w:rFonts w:cs="Times New Roman"/>
                <w:szCs w:val="24"/>
                <w:lang w:val="tr-TR"/>
              </w:rPr>
            </w:pPr>
          </w:p>
        </w:tc>
        <w:tc>
          <w:tcPr>
            <w:tcW w:w="3293" w:type="dxa"/>
            <w:vAlign w:val="center"/>
          </w:tcPr>
          <w:p w14:paraId="070757A4" w14:textId="77777777" w:rsidR="003328F9" w:rsidRPr="00DD0D1F" w:rsidRDefault="003328F9" w:rsidP="003328F9">
            <w:pPr>
              <w:pStyle w:val="TableParagraph"/>
              <w:ind w:left="395" w:right="233"/>
              <w:rPr>
                <w:szCs w:val="24"/>
              </w:rPr>
            </w:pPr>
            <w:r w:rsidRPr="00DD0D1F">
              <w:rPr>
                <w:szCs w:val="24"/>
              </w:rPr>
              <w:t>Oksijen içeriği, sıcaklık ve basınç</w:t>
            </w:r>
          </w:p>
        </w:tc>
        <w:tc>
          <w:tcPr>
            <w:tcW w:w="3669" w:type="dxa"/>
            <w:vMerge w:val="restart"/>
            <w:vAlign w:val="center"/>
          </w:tcPr>
          <w:p w14:paraId="3FB9D64A" w14:textId="77777777" w:rsidR="003328F9" w:rsidRPr="00DD0D1F" w:rsidRDefault="003328F9" w:rsidP="003328F9">
            <w:pPr>
              <w:pStyle w:val="TableParagraph"/>
              <w:ind w:left="364" w:right="667"/>
              <w:rPr>
                <w:szCs w:val="24"/>
              </w:rPr>
            </w:pPr>
            <w:r w:rsidRPr="00DD0D1F">
              <w:rPr>
                <w:szCs w:val="24"/>
              </w:rPr>
              <w:t>Periyodik veya sürekli ölçüm</w:t>
            </w:r>
          </w:p>
        </w:tc>
      </w:tr>
      <w:tr w:rsidR="003328F9" w:rsidRPr="00DD0D1F" w14:paraId="2B417BA8" w14:textId="77777777" w:rsidTr="003328F9">
        <w:trPr>
          <w:trHeight w:val="303"/>
        </w:trPr>
        <w:tc>
          <w:tcPr>
            <w:tcW w:w="2688" w:type="dxa"/>
            <w:vMerge/>
            <w:vAlign w:val="center"/>
          </w:tcPr>
          <w:p w14:paraId="67EE6F08" w14:textId="77777777" w:rsidR="003328F9" w:rsidRPr="00DD0D1F" w:rsidRDefault="003328F9" w:rsidP="003328F9">
            <w:pPr>
              <w:jc w:val="left"/>
              <w:rPr>
                <w:rFonts w:cs="Times New Roman"/>
                <w:szCs w:val="24"/>
                <w:lang w:val="tr-TR"/>
              </w:rPr>
            </w:pPr>
          </w:p>
        </w:tc>
        <w:tc>
          <w:tcPr>
            <w:tcW w:w="3293" w:type="dxa"/>
            <w:vAlign w:val="center"/>
          </w:tcPr>
          <w:p w14:paraId="4126660A" w14:textId="77777777" w:rsidR="003328F9" w:rsidRPr="00DD0D1F" w:rsidRDefault="003328F9" w:rsidP="003328F9">
            <w:pPr>
              <w:pStyle w:val="TableParagraph"/>
              <w:ind w:left="395"/>
              <w:rPr>
                <w:szCs w:val="24"/>
              </w:rPr>
            </w:pPr>
            <w:r w:rsidRPr="00DD0D1F">
              <w:rPr>
                <w:szCs w:val="24"/>
              </w:rPr>
              <w:t>Su buharı içeriği (</w:t>
            </w:r>
            <w:r w:rsidRPr="00DD0D1F">
              <w:rPr>
                <w:szCs w:val="24"/>
                <w:vertAlign w:val="superscript"/>
              </w:rPr>
              <w:t>1</w:t>
            </w:r>
            <w:r w:rsidRPr="00DD0D1F">
              <w:rPr>
                <w:szCs w:val="24"/>
              </w:rPr>
              <w:t>)</w:t>
            </w:r>
          </w:p>
        </w:tc>
        <w:tc>
          <w:tcPr>
            <w:tcW w:w="3669" w:type="dxa"/>
            <w:vMerge/>
            <w:vAlign w:val="center"/>
          </w:tcPr>
          <w:p w14:paraId="79256931" w14:textId="77777777" w:rsidR="003328F9" w:rsidRPr="00DD0D1F" w:rsidRDefault="003328F9" w:rsidP="003328F9">
            <w:pPr>
              <w:jc w:val="left"/>
              <w:rPr>
                <w:rFonts w:cs="Times New Roman"/>
                <w:szCs w:val="24"/>
                <w:lang w:val="tr-TR"/>
              </w:rPr>
            </w:pPr>
          </w:p>
        </w:tc>
      </w:tr>
      <w:tr w:rsidR="003328F9" w:rsidRPr="00DD0D1F" w14:paraId="793ECD77" w14:textId="77777777" w:rsidTr="003328F9">
        <w:trPr>
          <w:trHeight w:val="768"/>
        </w:trPr>
        <w:tc>
          <w:tcPr>
            <w:tcW w:w="2688" w:type="dxa"/>
            <w:vAlign w:val="center"/>
          </w:tcPr>
          <w:p w14:paraId="0A31A371" w14:textId="0FA9B118" w:rsidR="003328F9" w:rsidRPr="00DD0D1F" w:rsidRDefault="003328F9" w:rsidP="003328F9">
            <w:pPr>
              <w:pStyle w:val="TableParagraph"/>
              <w:ind w:left="107" w:right="135"/>
              <w:rPr>
                <w:szCs w:val="24"/>
              </w:rPr>
            </w:pPr>
            <w:r w:rsidRPr="00DD0D1F">
              <w:rPr>
                <w:szCs w:val="24"/>
              </w:rPr>
              <w:t>Baca gazının arıtılmasından açığa çıkan atık su</w:t>
            </w:r>
          </w:p>
        </w:tc>
        <w:tc>
          <w:tcPr>
            <w:tcW w:w="3293" w:type="dxa"/>
            <w:vAlign w:val="center"/>
          </w:tcPr>
          <w:p w14:paraId="2D57DD80" w14:textId="77777777" w:rsidR="003328F9" w:rsidRPr="00DD0D1F" w:rsidRDefault="003328F9" w:rsidP="003328F9">
            <w:pPr>
              <w:pStyle w:val="TableParagraph"/>
              <w:rPr>
                <w:b/>
                <w:szCs w:val="24"/>
              </w:rPr>
            </w:pPr>
          </w:p>
          <w:p w14:paraId="1ED93ADD" w14:textId="77777777" w:rsidR="003328F9" w:rsidRPr="00DD0D1F" w:rsidRDefault="003328F9" w:rsidP="003328F9">
            <w:pPr>
              <w:pStyle w:val="TableParagraph"/>
              <w:ind w:left="395"/>
              <w:rPr>
                <w:szCs w:val="24"/>
              </w:rPr>
            </w:pPr>
            <w:r w:rsidRPr="00DD0D1F">
              <w:rPr>
                <w:szCs w:val="24"/>
              </w:rPr>
              <w:t>Akış, pH ve sıcaklık</w:t>
            </w:r>
          </w:p>
        </w:tc>
        <w:tc>
          <w:tcPr>
            <w:tcW w:w="3669" w:type="dxa"/>
            <w:vAlign w:val="center"/>
          </w:tcPr>
          <w:p w14:paraId="0EB3EF14" w14:textId="77777777" w:rsidR="003328F9" w:rsidRPr="00DD0D1F" w:rsidRDefault="003328F9" w:rsidP="003328F9">
            <w:pPr>
              <w:pStyle w:val="TableParagraph"/>
              <w:rPr>
                <w:b/>
                <w:szCs w:val="24"/>
              </w:rPr>
            </w:pPr>
          </w:p>
          <w:p w14:paraId="27E78DFC" w14:textId="77777777" w:rsidR="003328F9" w:rsidRPr="00DD0D1F" w:rsidRDefault="003328F9" w:rsidP="003328F9">
            <w:pPr>
              <w:pStyle w:val="TableParagraph"/>
              <w:ind w:left="364"/>
              <w:rPr>
                <w:szCs w:val="24"/>
              </w:rPr>
            </w:pPr>
            <w:r w:rsidRPr="00DD0D1F">
              <w:rPr>
                <w:szCs w:val="24"/>
              </w:rPr>
              <w:t>Sürekli ölçüm</w:t>
            </w:r>
          </w:p>
        </w:tc>
      </w:tr>
      <w:tr w:rsidR="003328F9" w:rsidRPr="00DD0D1F" w14:paraId="0C93BEB2" w14:textId="77777777" w:rsidTr="003328F9">
        <w:trPr>
          <w:trHeight w:val="488"/>
        </w:trPr>
        <w:tc>
          <w:tcPr>
            <w:tcW w:w="9650" w:type="dxa"/>
            <w:gridSpan w:val="3"/>
            <w:vAlign w:val="center"/>
          </w:tcPr>
          <w:p w14:paraId="795D5506" w14:textId="054FA913" w:rsidR="003328F9" w:rsidRPr="00DD0D1F" w:rsidRDefault="003328F9" w:rsidP="003328F9">
            <w:pPr>
              <w:pStyle w:val="TableParagraph"/>
              <w:ind w:left="107" w:right="22"/>
              <w:rPr>
                <w:szCs w:val="24"/>
              </w:rPr>
            </w:pPr>
            <w:r w:rsidRPr="00DD0D1F">
              <w:rPr>
                <w:szCs w:val="24"/>
                <w:vertAlign w:val="superscript"/>
              </w:rPr>
              <w:t>(1)</w:t>
            </w:r>
            <w:r w:rsidRPr="00DD0D1F">
              <w:rPr>
                <w:szCs w:val="24"/>
              </w:rPr>
              <w:t xml:space="preserve"> Numune alınan baca gazı analizden önce kurutulursa, baca gazının su buharı içeriğinin sürekli olarak ölçülmesi gerekli değildir.</w:t>
            </w:r>
          </w:p>
        </w:tc>
      </w:tr>
    </w:tbl>
    <w:p w14:paraId="04485760" w14:textId="58F42FE1" w:rsidR="003328F9" w:rsidRPr="00DD0D1F" w:rsidRDefault="003328F9" w:rsidP="005A4911">
      <w:pPr>
        <w:pStyle w:val="Normaltext"/>
        <w:rPr>
          <w:rFonts w:cs="Times New Roman"/>
          <w:szCs w:val="24"/>
          <w:lang w:val="tr-TR"/>
        </w:rPr>
      </w:pPr>
      <w:r w:rsidRPr="00DD0D1F">
        <w:rPr>
          <w:rFonts w:cs="Times New Roman"/>
          <w:b/>
          <w:szCs w:val="24"/>
        </w:rPr>
        <w:t>MET 4:</w:t>
      </w:r>
      <w:r w:rsidRPr="00DD0D1F">
        <w:rPr>
          <w:rFonts w:cs="Times New Roman"/>
          <w:szCs w:val="24"/>
        </w:rPr>
        <w:t xml:space="preserve"> Havaya emisyonları en azından aşağıda verilen sıklıkta ve EN standartlarına uygun olarak izle</w:t>
      </w:r>
      <w:r w:rsidR="00661483" w:rsidRPr="00DD0D1F">
        <w:rPr>
          <w:rFonts w:cs="Times New Roman"/>
          <w:szCs w:val="24"/>
        </w:rPr>
        <w:t>nir.</w:t>
      </w:r>
      <w:r w:rsidRPr="00DD0D1F">
        <w:rPr>
          <w:rFonts w:cs="Times New Roman"/>
          <w:szCs w:val="24"/>
        </w:rPr>
        <w:t xml:space="preserve"> </w:t>
      </w:r>
      <w:r w:rsidR="00661483" w:rsidRPr="00DD0D1F">
        <w:rPr>
          <w:rFonts w:cs="Times New Roman"/>
          <w:szCs w:val="24"/>
        </w:rPr>
        <w:t xml:space="preserve">EN standartları mevcut değilse, </w:t>
      </w:r>
      <w:r w:rsidRPr="00DD0D1F">
        <w:rPr>
          <w:rFonts w:cs="Times New Roman"/>
          <w:szCs w:val="24"/>
        </w:rPr>
        <w:t>eşdeğer bilimsel kalitede verilerin sağlanmasını mümkün kılan ISO, ulusal veya</w:t>
      </w:r>
      <w:r w:rsidR="00661483" w:rsidRPr="00DD0D1F">
        <w:rPr>
          <w:rFonts w:cs="Times New Roman"/>
          <w:szCs w:val="24"/>
        </w:rPr>
        <w:t xml:space="preserve"> diğer uluslararası standartlar</w:t>
      </w:r>
      <w:r w:rsidRPr="00DD0D1F">
        <w:rPr>
          <w:rFonts w:cs="Times New Roman"/>
          <w:szCs w:val="24"/>
        </w:rPr>
        <w:t xml:space="preserve"> kullan</w:t>
      </w:r>
      <w:r w:rsidR="00661483" w:rsidRPr="00DD0D1F">
        <w:rPr>
          <w:rFonts w:cs="Times New Roman"/>
          <w:szCs w:val="24"/>
        </w:rPr>
        <w:t>ılır.</w:t>
      </w:r>
    </w:p>
    <w:tbl>
      <w:tblPr>
        <w:tblStyle w:val="TableNormal0"/>
        <w:tblpPr w:leftFromText="141" w:rightFromText="141" w:vertAnchor="text" w:tblpY="-6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3"/>
        <w:gridCol w:w="40"/>
        <w:gridCol w:w="2215"/>
        <w:gridCol w:w="18"/>
        <w:gridCol w:w="9"/>
        <w:gridCol w:w="1135"/>
        <w:gridCol w:w="11"/>
        <w:gridCol w:w="1510"/>
        <w:gridCol w:w="17"/>
        <w:gridCol w:w="1185"/>
        <w:gridCol w:w="48"/>
        <w:gridCol w:w="1596"/>
      </w:tblGrid>
      <w:tr w:rsidR="003328F9" w:rsidRPr="00DD0D1F" w14:paraId="44602EF8" w14:textId="77777777" w:rsidTr="003328F9">
        <w:trPr>
          <w:trHeight w:val="933"/>
          <w:tblHeader/>
        </w:trPr>
        <w:tc>
          <w:tcPr>
            <w:tcW w:w="713" w:type="pct"/>
            <w:vAlign w:val="center"/>
          </w:tcPr>
          <w:p w14:paraId="664CC2E2" w14:textId="77777777" w:rsidR="003328F9" w:rsidRPr="00DD0D1F" w:rsidRDefault="003328F9" w:rsidP="003328F9">
            <w:pPr>
              <w:pStyle w:val="TableParagraph"/>
              <w:ind w:left="74" w:right="74"/>
              <w:jc w:val="center"/>
              <w:rPr>
                <w:b/>
                <w:szCs w:val="24"/>
              </w:rPr>
            </w:pPr>
          </w:p>
          <w:p w14:paraId="29DD3D1B" w14:textId="77777777" w:rsidR="003328F9" w:rsidRPr="00DD0D1F" w:rsidRDefault="003328F9" w:rsidP="003328F9">
            <w:pPr>
              <w:pStyle w:val="TableParagraph"/>
              <w:ind w:left="74" w:right="74"/>
              <w:jc w:val="center"/>
              <w:rPr>
                <w:b/>
                <w:szCs w:val="24"/>
              </w:rPr>
            </w:pPr>
            <w:r w:rsidRPr="00DD0D1F">
              <w:rPr>
                <w:b/>
                <w:w w:val="95"/>
                <w:szCs w:val="24"/>
              </w:rPr>
              <w:t>Madde/ Parametre</w:t>
            </w:r>
          </w:p>
        </w:tc>
        <w:tc>
          <w:tcPr>
            <w:tcW w:w="1257" w:type="pct"/>
            <w:gridSpan w:val="4"/>
            <w:vAlign w:val="center"/>
          </w:tcPr>
          <w:p w14:paraId="277E08F4" w14:textId="77777777" w:rsidR="003328F9" w:rsidRPr="00DD0D1F" w:rsidRDefault="003328F9" w:rsidP="003328F9">
            <w:pPr>
              <w:pStyle w:val="TableParagraph"/>
              <w:ind w:left="74" w:right="74"/>
              <w:jc w:val="center"/>
              <w:rPr>
                <w:b/>
                <w:szCs w:val="24"/>
              </w:rPr>
            </w:pPr>
          </w:p>
          <w:p w14:paraId="292A51CF" w14:textId="77777777" w:rsidR="003328F9" w:rsidRPr="00DD0D1F" w:rsidRDefault="003328F9" w:rsidP="003328F9">
            <w:pPr>
              <w:pStyle w:val="TableParagraph"/>
              <w:ind w:left="223" w:right="74" w:hanging="149"/>
              <w:jc w:val="center"/>
              <w:rPr>
                <w:b/>
                <w:szCs w:val="24"/>
              </w:rPr>
            </w:pPr>
            <w:r w:rsidRPr="00DD0D1F">
              <w:rPr>
                <w:b/>
                <w:szCs w:val="24"/>
              </w:rPr>
              <w:t>Yakıt/Proses/Yakma tesisi türü</w:t>
            </w:r>
          </w:p>
        </w:tc>
        <w:tc>
          <w:tcPr>
            <w:tcW w:w="625" w:type="pct"/>
            <w:vAlign w:val="center"/>
          </w:tcPr>
          <w:p w14:paraId="57912B85" w14:textId="77777777" w:rsidR="003328F9" w:rsidRPr="00DD0D1F" w:rsidRDefault="003328F9" w:rsidP="003328F9">
            <w:pPr>
              <w:pStyle w:val="TableParagraph"/>
              <w:ind w:left="74" w:right="74"/>
              <w:jc w:val="center"/>
              <w:rPr>
                <w:b/>
                <w:szCs w:val="24"/>
              </w:rPr>
            </w:pPr>
            <w:r w:rsidRPr="00DD0D1F">
              <w:rPr>
                <w:b/>
                <w:szCs w:val="24"/>
              </w:rPr>
              <w:t>Yakma tesisi toplam anma ısıl gücü</w:t>
            </w:r>
          </w:p>
        </w:tc>
        <w:tc>
          <w:tcPr>
            <w:tcW w:w="838" w:type="pct"/>
            <w:gridSpan w:val="2"/>
            <w:vAlign w:val="center"/>
          </w:tcPr>
          <w:p w14:paraId="773F656E" w14:textId="77777777" w:rsidR="003328F9" w:rsidRPr="00DD0D1F" w:rsidRDefault="003328F9" w:rsidP="003328F9">
            <w:pPr>
              <w:pStyle w:val="TableParagraph"/>
              <w:ind w:left="74" w:right="74"/>
              <w:jc w:val="center"/>
              <w:rPr>
                <w:b/>
                <w:szCs w:val="24"/>
              </w:rPr>
            </w:pPr>
          </w:p>
          <w:p w14:paraId="56231E2D" w14:textId="77777777" w:rsidR="003328F9" w:rsidRPr="00DD0D1F" w:rsidRDefault="003328F9" w:rsidP="003328F9">
            <w:pPr>
              <w:pStyle w:val="TableParagraph"/>
              <w:ind w:left="74" w:right="74"/>
              <w:jc w:val="center"/>
              <w:rPr>
                <w:b/>
                <w:szCs w:val="24"/>
              </w:rPr>
            </w:pPr>
            <w:r w:rsidRPr="00DD0D1F">
              <w:rPr>
                <w:b/>
                <w:szCs w:val="24"/>
              </w:rPr>
              <w:t>Standart(lar)</w:t>
            </w:r>
          </w:p>
          <w:p w14:paraId="1C498FDF"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1</w:t>
            </w:r>
            <w:r w:rsidRPr="00DD0D1F">
              <w:rPr>
                <w:szCs w:val="24"/>
              </w:rPr>
              <w:t>)</w:t>
            </w:r>
          </w:p>
        </w:tc>
        <w:tc>
          <w:tcPr>
            <w:tcW w:w="662" w:type="pct"/>
            <w:gridSpan w:val="2"/>
            <w:vAlign w:val="center"/>
          </w:tcPr>
          <w:p w14:paraId="4D212A97" w14:textId="77777777" w:rsidR="003328F9" w:rsidRPr="00DD0D1F" w:rsidRDefault="003328F9" w:rsidP="003328F9">
            <w:pPr>
              <w:pStyle w:val="TableParagraph"/>
              <w:ind w:left="175" w:right="74" w:hanging="101"/>
              <w:jc w:val="center"/>
              <w:rPr>
                <w:b/>
                <w:szCs w:val="24"/>
              </w:rPr>
            </w:pPr>
            <w:r w:rsidRPr="00DD0D1F">
              <w:rPr>
                <w:b/>
                <w:szCs w:val="24"/>
              </w:rPr>
              <w:t>Minimum izleme sıklığı</w:t>
            </w:r>
          </w:p>
          <w:p w14:paraId="0C6BAEC3"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2</w:t>
            </w:r>
            <w:r w:rsidRPr="00DD0D1F">
              <w:rPr>
                <w:szCs w:val="24"/>
              </w:rPr>
              <w:t>)</w:t>
            </w:r>
          </w:p>
        </w:tc>
        <w:tc>
          <w:tcPr>
            <w:tcW w:w="905" w:type="pct"/>
            <w:gridSpan w:val="2"/>
            <w:vAlign w:val="center"/>
          </w:tcPr>
          <w:p w14:paraId="1A1C2265" w14:textId="77777777" w:rsidR="003328F9" w:rsidRPr="00DD0D1F" w:rsidRDefault="003328F9" w:rsidP="003328F9">
            <w:pPr>
              <w:pStyle w:val="TableParagraph"/>
              <w:ind w:left="74" w:right="74"/>
              <w:jc w:val="center"/>
              <w:rPr>
                <w:b/>
                <w:szCs w:val="24"/>
              </w:rPr>
            </w:pPr>
            <w:r w:rsidRPr="00DD0D1F">
              <w:rPr>
                <w:b/>
                <w:szCs w:val="24"/>
              </w:rPr>
              <w:t>Aşağıdakilerle ilişkili izleme</w:t>
            </w:r>
          </w:p>
        </w:tc>
      </w:tr>
      <w:tr w:rsidR="003328F9" w:rsidRPr="00DD0D1F" w14:paraId="0554DA94" w14:textId="77777777" w:rsidTr="003328F9">
        <w:trPr>
          <w:trHeight w:val="465"/>
        </w:trPr>
        <w:tc>
          <w:tcPr>
            <w:tcW w:w="713" w:type="pct"/>
            <w:vAlign w:val="center"/>
          </w:tcPr>
          <w:p w14:paraId="38F6B55D" w14:textId="77777777" w:rsidR="003328F9" w:rsidRPr="00DD0D1F" w:rsidRDefault="003328F9" w:rsidP="003328F9">
            <w:pPr>
              <w:pStyle w:val="TableParagraph"/>
              <w:ind w:left="74" w:right="74"/>
              <w:jc w:val="both"/>
              <w:rPr>
                <w:szCs w:val="24"/>
              </w:rPr>
            </w:pPr>
            <w:r w:rsidRPr="00DD0D1F">
              <w:rPr>
                <w:szCs w:val="24"/>
              </w:rPr>
              <w:t>NH</w:t>
            </w:r>
            <w:r w:rsidRPr="00DD0D1F">
              <w:rPr>
                <w:szCs w:val="24"/>
                <w:vertAlign w:val="subscript"/>
              </w:rPr>
              <w:t>3</w:t>
            </w:r>
          </w:p>
        </w:tc>
        <w:tc>
          <w:tcPr>
            <w:tcW w:w="1257" w:type="pct"/>
            <w:gridSpan w:val="4"/>
            <w:vAlign w:val="center"/>
          </w:tcPr>
          <w:p w14:paraId="6B987F62" w14:textId="77777777" w:rsidR="003328F9" w:rsidRPr="00DD0D1F" w:rsidRDefault="003328F9" w:rsidP="00FF111D">
            <w:pPr>
              <w:pStyle w:val="TableParagraph"/>
              <w:numPr>
                <w:ilvl w:val="0"/>
                <w:numId w:val="49"/>
              </w:numPr>
              <w:tabs>
                <w:tab w:val="left" w:pos="430"/>
              </w:tabs>
              <w:ind w:left="326" w:right="74"/>
              <w:jc w:val="both"/>
              <w:rPr>
                <w:szCs w:val="24"/>
              </w:rPr>
            </w:pPr>
            <w:r w:rsidRPr="00DD0D1F">
              <w:rPr>
                <w:szCs w:val="24"/>
              </w:rPr>
              <w:t>SCR ve/veya SNCR kullanıldığında</w:t>
            </w:r>
          </w:p>
        </w:tc>
        <w:tc>
          <w:tcPr>
            <w:tcW w:w="625" w:type="pct"/>
            <w:vAlign w:val="center"/>
          </w:tcPr>
          <w:p w14:paraId="545BC132"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5F0F78E6"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62" w:type="pct"/>
            <w:gridSpan w:val="2"/>
            <w:vAlign w:val="center"/>
          </w:tcPr>
          <w:p w14:paraId="6F9DF24F" w14:textId="77777777" w:rsidR="003328F9" w:rsidRPr="00DD0D1F" w:rsidRDefault="003328F9" w:rsidP="003328F9">
            <w:pPr>
              <w:pStyle w:val="TableParagraph"/>
              <w:ind w:left="74" w:right="74"/>
              <w:jc w:val="center"/>
              <w:rPr>
                <w:szCs w:val="24"/>
              </w:rPr>
            </w:pPr>
            <w:r w:rsidRPr="00DD0D1F">
              <w:rPr>
                <w:szCs w:val="24"/>
              </w:rPr>
              <w:t>Sürekli</w:t>
            </w:r>
          </w:p>
          <w:p w14:paraId="1965A9FA"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3</w:t>
            </w:r>
            <w:r w:rsidRPr="00DD0D1F">
              <w:rPr>
                <w:szCs w:val="24"/>
              </w:rPr>
              <w:t>) (</w:t>
            </w:r>
            <w:r w:rsidRPr="00DD0D1F">
              <w:rPr>
                <w:szCs w:val="24"/>
                <w:vertAlign w:val="superscript"/>
              </w:rPr>
              <w:t>4</w:t>
            </w:r>
            <w:r w:rsidRPr="00DD0D1F">
              <w:rPr>
                <w:szCs w:val="24"/>
              </w:rPr>
              <w:t>)</w:t>
            </w:r>
          </w:p>
        </w:tc>
        <w:tc>
          <w:tcPr>
            <w:tcW w:w="905" w:type="pct"/>
            <w:gridSpan w:val="2"/>
            <w:vAlign w:val="center"/>
          </w:tcPr>
          <w:p w14:paraId="6C36973C" w14:textId="77777777" w:rsidR="003328F9" w:rsidRPr="00DD0D1F" w:rsidRDefault="003328F9" w:rsidP="003328F9">
            <w:pPr>
              <w:pStyle w:val="TableParagraph"/>
              <w:ind w:left="74" w:right="74"/>
              <w:jc w:val="center"/>
              <w:rPr>
                <w:szCs w:val="24"/>
              </w:rPr>
            </w:pPr>
            <w:r w:rsidRPr="00DD0D1F">
              <w:rPr>
                <w:szCs w:val="24"/>
              </w:rPr>
              <w:t>MET 7</w:t>
            </w:r>
          </w:p>
        </w:tc>
      </w:tr>
      <w:tr w:rsidR="003328F9" w:rsidRPr="00DD0D1F" w14:paraId="6242A4DA" w14:textId="77777777" w:rsidTr="003328F9">
        <w:trPr>
          <w:trHeight w:val="4898"/>
        </w:trPr>
        <w:tc>
          <w:tcPr>
            <w:tcW w:w="713" w:type="pct"/>
            <w:vMerge w:val="restart"/>
            <w:vAlign w:val="center"/>
          </w:tcPr>
          <w:p w14:paraId="235203F5" w14:textId="77777777" w:rsidR="003328F9" w:rsidRPr="00DD0D1F" w:rsidRDefault="003328F9" w:rsidP="003328F9">
            <w:pPr>
              <w:pStyle w:val="TableParagraph"/>
              <w:ind w:left="74" w:right="74"/>
              <w:jc w:val="both"/>
              <w:rPr>
                <w:szCs w:val="24"/>
              </w:rPr>
            </w:pPr>
            <w:r w:rsidRPr="00DD0D1F">
              <w:rPr>
                <w:szCs w:val="24"/>
              </w:rPr>
              <w:t>NO</w:t>
            </w:r>
            <w:r w:rsidRPr="00DD0D1F">
              <w:rPr>
                <w:szCs w:val="24"/>
                <w:vertAlign w:val="subscript"/>
              </w:rPr>
              <w:t>X</w:t>
            </w:r>
          </w:p>
        </w:tc>
        <w:tc>
          <w:tcPr>
            <w:tcW w:w="1257" w:type="pct"/>
            <w:gridSpan w:val="4"/>
            <w:vAlign w:val="center"/>
          </w:tcPr>
          <w:p w14:paraId="1C6E9D95"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Beraber yakma dahil kömür ve/veya linyit</w:t>
            </w:r>
          </w:p>
          <w:p w14:paraId="5AA00CDB"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Beraber yakma dahil katı biyokütle ve/veya turba</w:t>
            </w:r>
          </w:p>
          <w:p w14:paraId="491A2272"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HFO ve/veya gaz yağı ile çalışan kazan ve motorlar</w:t>
            </w:r>
          </w:p>
          <w:p w14:paraId="0AA8570B"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Gaz yağıyla çalışan gaz türbinleri</w:t>
            </w:r>
          </w:p>
          <w:p w14:paraId="771FFC7C"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Doğalgaz ile çalışan kazanlar, motorlar ve türbinler</w:t>
            </w:r>
          </w:p>
          <w:p w14:paraId="212629CB"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Demir ve çelik proses gazları</w:t>
            </w:r>
          </w:p>
          <w:p w14:paraId="7DD468CC" w14:textId="77777777" w:rsidR="00F41466" w:rsidRPr="00DD0D1F" w:rsidRDefault="003328F9" w:rsidP="00FF111D">
            <w:pPr>
              <w:pStyle w:val="TableParagraph"/>
              <w:numPr>
                <w:ilvl w:val="0"/>
                <w:numId w:val="48"/>
              </w:numPr>
              <w:tabs>
                <w:tab w:val="left" w:pos="430"/>
              </w:tabs>
              <w:ind w:left="326" w:right="74"/>
              <w:jc w:val="both"/>
              <w:rPr>
                <w:szCs w:val="24"/>
              </w:rPr>
            </w:pPr>
            <w:r w:rsidRPr="00DD0D1F">
              <w:rPr>
                <w:szCs w:val="24"/>
              </w:rPr>
              <w:t xml:space="preserve">Kimya endüstrisinden kaynaklanan proses yakıtları </w:t>
            </w:r>
          </w:p>
          <w:p w14:paraId="501E1741" w14:textId="25886D43"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IGCC tesisleri</w:t>
            </w:r>
          </w:p>
        </w:tc>
        <w:tc>
          <w:tcPr>
            <w:tcW w:w="625" w:type="pct"/>
            <w:vAlign w:val="center"/>
          </w:tcPr>
          <w:p w14:paraId="2D6EEF88"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13E802DC"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62" w:type="pct"/>
            <w:gridSpan w:val="2"/>
            <w:vAlign w:val="center"/>
          </w:tcPr>
          <w:p w14:paraId="46C26C37" w14:textId="77777777" w:rsidR="003328F9" w:rsidRPr="00DD0D1F" w:rsidRDefault="003328F9" w:rsidP="003328F9">
            <w:pPr>
              <w:pStyle w:val="TableParagraph"/>
              <w:ind w:left="74" w:right="74"/>
              <w:jc w:val="center"/>
              <w:rPr>
                <w:w w:val="95"/>
                <w:szCs w:val="24"/>
              </w:rPr>
            </w:pPr>
            <w:r w:rsidRPr="00DD0D1F">
              <w:rPr>
                <w:w w:val="95"/>
                <w:szCs w:val="24"/>
              </w:rPr>
              <w:t>Sürekli (</w:t>
            </w:r>
            <w:r w:rsidRPr="00DD0D1F">
              <w:rPr>
                <w:szCs w:val="24"/>
                <w:vertAlign w:val="superscript"/>
              </w:rPr>
              <w:t>3</w:t>
            </w:r>
            <w:r w:rsidRPr="00DD0D1F">
              <w:rPr>
                <w:w w:val="95"/>
                <w:szCs w:val="24"/>
              </w:rPr>
              <w:t>) (</w:t>
            </w:r>
            <w:r w:rsidRPr="00DD0D1F">
              <w:rPr>
                <w:szCs w:val="24"/>
                <w:vertAlign w:val="superscript"/>
              </w:rPr>
              <w:t>5</w:t>
            </w:r>
            <w:r w:rsidRPr="00DD0D1F">
              <w:rPr>
                <w:w w:val="95"/>
                <w:szCs w:val="24"/>
              </w:rPr>
              <w:t>)</w:t>
            </w:r>
          </w:p>
        </w:tc>
        <w:tc>
          <w:tcPr>
            <w:tcW w:w="905" w:type="pct"/>
            <w:gridSpan w:val="2"/>
            <w:vAlign w:val="center"/>
          </w:tcPr>
          <w:p w14:paraId="2BBE5FF6" w14:textId="77777777" w:rsidR="003328F9" w:rsidRPr="00DD0D1F" w:rsidRDefault="003328F9" w:rsidP="003328F9">
            <w:pPr>
              <w:pStyle w:val="TableParagraph"/>
              <w:ind w:left="74" w:right="74"/>
              <w:jc w:val="center"/>
              <w:rPr>
                <w:szCs w:val="24"/>
              </w:rPr>
            </w:pPr>
            <w:r w:rsidRPr="00DD0D1F">
              <w:rPr>
                <w:szCs w:val="24"/>
              </w:rPr>
              <w:t>MET 20</w:t>
            </w:r>
          </w:p>
          <w:p w14:paraId="41741C03" w14:textId="77777777" w:rsidR="003328F9" w:rsidRPr="00DD0D1F" w:rsidRDefault="003328F9" w:rsidP="003328F9">
            <w:pPr>
              <w:pStyle w:val="TableParagraph"/>
              <w:ind w:left="74" w:right="74"/>
              <w:jc w:val="center"/>
              <w:rPr>
                <w:szCs w:val="24"/>
              </w:rPr>
            </w:pPr>
            <w:r w:rsidRPr="00DD0D1F">
              <w:rPr>
                <w:szCs w:val="24"/>
              </w:rPr>
              <w:t>MET 24</w:t>
            </w:r>
          </w:p>
          <w:p w14:paraId="1E63690C" w14:textId="77777777" w:rsidR="003328F9" w:rsidRPr="00DD0D1F" w:rsidRDefault="003328F9" w:rsidP="003328F9">
            <w:pPr>
              <w:pStyle w:val="TableParagraph"/>
              <w:ind w:left="74" w:right="74"/>
              <w:jc w:val="center"/>
              <w:rPr>
                <w:szCs w:val="24"/>
              </w:rPr>
            </w:pPr>
            <w:r w:rsidRPr="00DD0D1F">
              <w:rPr>
                <w:szCs w:val="24"/>
              </w:rPr>
              <w:t>MET 28</w:t>
            </w:r>
          </w:p>
          <w:p w14:paraId="66C1AF8C" w14:textId="77777777" w:rsidR="003328F9" w:rsidRPr="00DD0D1F" w:rsidRDefault="003328F9" w:rsidP="003328F9">
            <w:pPr>
              <w:pStyle w:val="TableParagraph"/>
              <w:ind w:left="74" w:right="74"/>
              <w:jc w:val="center"/>
              <w:rPr>
                <w:szCs w:val="24"/>
              </w:rPr>
            </w:pPr>
            <w:r w:rsidRPr="00DD0D1F">
              <w:rPr>
                <w:szCs w:val="24"/>
              </w:rPr>
              <w:t>MET 32</w:t>
            </w:r>
          </w:p>
          <w:p w14:paraId="2F7884EC" w14:textId="77777777" w:rsidR="003328F9" w:rsidRPr="00DD0D1F" w:rsidRDefault="003328F9" w:rsidP="003328F9">
            <w:pPr>
              <w:pStyle w:val="TableParagraph"/>
              <w:ind w:left="74" w:right="74"/>
              <w:jc w:val="center"/>
              <w:rPr>
                <w:szCs w:val="24"/>
              </w:rPr>
            </w:pPr>
            <w:r w:rsidRPr="00DD0D1F">
              <w:rPr>
                <w:szCs w:val="24"/>
              </w:rPr>
              <w:t>MET 37</w:t>
            </w:r>
          </w:p>
          <w:p w14:paraId="3D901D43" w14:textId="77777777" w:rsidR="003328F9" w:rsidRPr="00DD0D1F" w:rsidRDefault="003328F9" w:rsidP="003328F9">
            <w:pPr>
              <w:pStyle w:val="TableParagraph"/>
              <w:ind w:left="74" w:right="74"/>
              <w:jc w:val="center"/>
              <w:rPr>
                <w:szCs w:val="24"/>
              </w:rPr>
            </w:pPr>
            <w:r w:rsidRPr="00DD0D1F">
              <w:rPr>
                <w:szCs w:val="24"/>
              </w:rPr>
              <w:t>MET 41</w:t>
            </w:r>
          </w:p>
          <w:p w14:paraId="5CBF70C6" w14:textId="77777777" w:rsidR="003328F9" w:rsidRPr="00DD0D1F" w:rsidRDefault="003328F9" w:rsidP="003328F9">
            <w:pPr>
              <w:pStyle w:val="TableParagraph"/>
              <w:ind w:left="74" w:right="74"/>
              <w:jc w:val="center"/>
              <w:rPr>
                <w:szCs w:val="24"/>
              </w:rPr>
            </w:pPr>
            <w:r w:rsidRPr="00DD0D1F">
              <w:rPr>
                <w:szCs w:val="24"/>
              </w:rPr>
              <w:t>MET 42</w:t>
            </w:r>
          </w:p>
          <w:p w14:paraId="3756492D" w14:textId="77777777" w:rsidR="003328F9" w:rsidRPr="00DD0D1F" w:rsidRDefault="003328F9" w:rsidP="003328F9">
            <w:pPr>
              <w:pStyle w:val="TableParagraph"/>
              <w:ind w:left="74" w:right="74"/>
              <w:jc w:val="center"/>
              <w:rPr>
                <w:szCs w:val="24"/>
              </w:rPr>
            </w:pPr>
            <w:r w:rsidRPr="00DD0D1F">
              <w:rPr>
                <w:szCs w:val="24"/>
              </w:rPr>
              <w:t>MET 43</w:t>
            </w:r>
          </w:p>
          <w:p w14:paraId="044216BF" w14:textId="77777777" w:rsidR="003328F9" w:rsidRPr="00DD0D1F" w:rsidRDefault="003328F9" w:rsidP="003328F9">
            <w:pPr>
              <w:pStyle w:val="TableParagraph"/>
              <w:ind w:left="74" w:right="74"/>
              <w:jc w:val="center"/>
              <w:rPr>
                <w:szCs w:val="24"/>
              </w:rPr>
            </w:pPr>
            <w:r w:rsidRPr="00DD0D1F">
              <w:rPr>
                <w:szCs w:val="24"/>
              </w:rPr>
              <w:t>MET 47</w:t>
            </w:r>
          </w:p>
          <w:p w14:paraId="766F573A" w14:textId="77777777" w:rsidR="003328F9" w:rsidRPr="00DD0D1F" w:rsidRDefault="003328F9" w:rsidP="003328F9">
            <w:pPr>
              <w:pStyle w:val="TableParagraph"/>
              <w:ind w:left="74" w:right="74"/>
              <w:jc w:val="center"/>
              <w:rPr>
                <w:szCs w:val="24"/>
              </w:rPr>
            </w:pPr>
            <w:r w:rsidRPr="00DD0D1F">
              <w:rPr>
                <w:szCs w:val="24"/>
              </w:rPr>
              <w:t>MET 48</w:t>
            </w:r>
          </w:p>
          <w:p w14:paraId="287254F7" w14:textId="77777777" w:rsidR="003328F9" w:rsidRPr="00DD0D1F" w:rsidRDefault="003328F9" w:rsidP="003328F9">
            <w:pPr>
              <w:pStyle w:val="TableParagraph"/>
              <w:ind w:left="74" w:right="74"/>
              <w:jc w:val="center"/>
              <w:rPr>
                <w:szCs w:val="24"/>
              </w:rPr>
            </w:pPr>
            <w:r w:rsidRPr="00DD0D1F">
              <w:rPr>
                <w:szCs w:val="24"/>
              </w:rPr>
              <w:t>MET 56</w:t>
            </w:r>
          </w:p>
          <w:p w14:paraId="45325C2D" w14:textId="77777777" w:rsidR="003328F9" w:rsidRPr="00DD0D1F" w:rsidRDefault="003328F9" w:rsidP="003328F9">
            <w:pPr>
              <w:pStyle w:val="TableParagraph"/>
              <w:ind w:left="74" w:right="74"/>
              <w:jc w:val="center"/>
              <w:rPr>
                <w:szCs w:val="24"/>
              </w:rPr>
            </w:pPr>
            <w:r w:rsidRPr="00DD0D1F">
              <w:rPr>
                <w:szCs w:val="24"/>
              </w:rPr>
              <w:t>MET 64</w:t>
            </w:r>
          </w:p>
          <w:p w14:paraId="3806F906" w14:textId="77777777" w:rsidR="003328F9" w:rsidRPr="00DD0D1F" w:rsidRDefault="003328F9" w:rsidP="003328F9">
            <w:pPr>
              <w:pStyle w:val="TableParagraph"/>
              <w:ind w:left="74" w:right="74"/>
              <w:jc w:val="center"/>
              <w:rPr>
                <w:szCs w:val="24"/>
              </w:rPr>
            </w:pPr>
            <w:r w:rsidRPr="00DD0D1F">
              <w:rPr>
                <w:szCs w:val="24"/>
              </w:rPr>
              <w:t>MET 65</w:t>
            </w:r>
          </w:p>
          <w:p w14:paraId="7E8C2A60" w14:textId="77777777" w:rsidR="003328F9" w:rsidRPr="00DD0D1F" w:rsidRDefault="003328F9" w:rsidP="003328F9">
            <w:pPr>
              <w:pStyle w:val="TableParagraph"/>
              <w:ind w:left="74" w:right="74"/>
              <w:jc w:val="center"/>
              <w:rPr>
                <w:szCs w:val="24"/>
              </w:rPr>
            </w:pPr>
            <w:r w:rsidRPr="00DD0D1F">
              <w:rPr>
                <w:szCs w:val="24"/>
              </w:rPr>
              <w:t>MET 73</w:t>
            </w:r>
          </w:p>
        </w:tc>
      </w:tr>
      <w:tr w:rsidR="003328F9" w:rsidRPr="00DD0D1F" w14:paraId="5A762D7B" w14:textId="77777777" w:rsidTr="003328F9">
        <w:trPr>
          <w:trHeight w:val="697"/>
        </w:trPr>
        <w:tc>
          <w:tcPr>
            <w:tcW w:w="713" w:type="pct"/>
            <w:vMerge/>
            <w:tcBorders>
              <w:top w:val="nil"/>
            </w:tcBorders>
            <w:vAlign w:val="center"/>
          </w:tcPr>
          <w:p w14:paraId="31BB2254" w14:textId="77777777" w:rsidR="003328F9" w:rsidRPr="00DD0D1F" w:rsidRDefault="003328F9" w:rsidP="003328F9">
            <w:pPr>
              <w:spacing w:line="240" w:lineRule="auto"/>
              <w:ind w:left="74" w:right="74"/>
              <w:jc w:val="center"/>
              <w:rPr>
                <w:rFonts w:cs="Times New Roman"/>
                <w:szCs w:val="24"/>
                <w:lang w:val="tr-TR"/>
              </w:rPr>
            </w:pPr>
          </w:p>
        </w:tc>
        <w:tc>
          <w:tcPr>
            <w:tcW w:w="1257" w:type="pct"/>
            <w:gridSpan w:val="4"/>
            <w:vAlign w:val="center"/>
          </w:tcPr>
          <w:p w14:paraId="7320AFE7" w14:textId="379402AB" w:rsidR="003328F9" w:rsidRPr="00DD0D1F" w:rsidRDefault="00F41466" w:rsidP="00F41466">
            <w:pPr>
              <w:pStyle w:val="TableParagraph"/>
              <w:numPr>
                <w:ilvl w:val="0"/>
                <w:numId w:val="47"/>
              </w:numPr>
              <w:tabs>
                <w:tab w:val="left" w:pos="430"/>
              </w:tabs>
              <w:ind w:left="326" w:right="74"/>
              <w:jc w:val="both"/>
              <w:rPr>
                <w:szCs w:val="24"/>
              </w:rPr>
            </w:pPr>
            <w:r w:rsidRPr="00DD0D1F">
              <w:rPr>
                <w:szCs w:val="24"/>
              </w:rPr>
              <w:t xml:space="preserve">Açık  </w:t>
            </w:r>
            <w:r w:rsidR="003328F9" w:rsidRPr="00DD0D1F">
              <w:rPr>
                <w:szCs w:val="24"/>
              </w:rPr>
              <w:t>deniz platformlarındaki yakma tesisleri</w:t>
            </w:r>
          </w:p>
        </w:tc>
        <w:tc>
          <w:tcPr>
            <w:tcW w:w="625" w:type="pct"/>
            <w:vAlign w:val="center"/>
          </w:tcPr>
          <w:p w14:paraId="48092462"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21C599FF" w14:textId="77777777" w:rsidR="003328F9" w:rsidRPr="00DD0D1F" w:rsidRDefault="003328F9" w:rsidP="003328F9">
            <w:pPr>
              <w:pStyle w:val="TableParagraph"/>
              <w:ind w:left="74" w:right="74"/>
              <w:jc w:val="center"/>
              <w:rPr>
                <w:szCs w:val="24"/>
              </w:rPr>
            </w:pPr>
            <w:r w:rsidRPr="00DD0D1F">
              <w:rPr>
                <w:szCs w:val="24"/>
              </w:rPr>
              <w:t>EN 14792</w:t>
            </w:r>
          </w:p>
        </w:tc>
        <w:tc>
          <w:tcPr>
            <w:tcW w:w="662" w:type="pct"/>
            <w:gridSpan w:val="2"/>
            <w:vAlign w:val="center"/>
          </w:tcPr>
          <w:p w14:paraId="34B18FAC"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6</w:t>
            </w:r>
            <w:r w:rsidRPr="00DD0D1F">
              <w:rPr>
                <w:szCs w:val="24"/>
              </w:rPr>
              <w:t>)</w:t>
            </w:r>
          </w:p>
        </w:tc>
        <w:tc>
          <w:tcPr>
            <w:tcW w:w="905" w:type="pct"/>
            <w:gridSpan w:val="2"/>
            <w:vAlign w:val="center"/>
          </w:tcPr>
          <w:p w14:paraId="1AE190A1" w14:textId="77777777" w:rsidR="003328F9" w:rsidRPr="00DD0D1F" w:rsidRDefault="003328F9" w:rsidP="003328F9">
            <w:pPr>
              <w:pStyle w:val="TableParagraph"/>
              <w:ind w:left="74" w:right="74"/>
              <w:jc w:val="center"/>
              <w:rPr>
                <w:szCs w:val="24"/>
              </w:rPr>
            </w:pPr>
            <w:r w:rsidRPr="00DD0D1F">
              <w:rPr>
                <w:szCs w:val="24"/>
              </w:rPr>
              <w:t>MET 53</w:t>
            </w:r>
          </w:p>
        </w:tc>
      </w:tr>
      <w:tr w:rsidR="003328F9" w:rsidRPr="00DD0D1F" w14:paraId="0DF8A2FB" w14:textId="77777777" w:rsidTr="003328F9">
        <w:trPr>
          <w:trHeight w:val="1865"/>
        </w:trPr>
        <w:tc>
          <w:tcPr>
            <w:tcW w:w="713" w:type="pct"/>
            <w:vAlign w:val="center"/>
          </w:tcPr>
          <w:p w14:paraId="02BB9BFB" w14:textId="77777777" w:rsidR="003328F9" w:rsidRPr="00DD0D1F" w:rsidRDefault="003328F9" w:rsidP="003328F9">
            <w:pPr>
              <w:pStyle w:val="TableParagraph"/>
              <w:ind w:left="74" w:right="74"/>
              <w:jc w:val="both"/>
              <w:rPr>
                <w:szCs w:val="24"/>
              </w:rPr>
            </w:pPr>
            <w:r w:rsidRPr="00DD0D1F">
              <w:rPr>
                <w:szCs w:val="24"/>
              </w:rPr>
              <w:t>N</w:t>
            </w:r>
            <w:r w:rsidRPr="00DD0D1F">
              <w:rPr>
                <w:szCs w:val="24"/>
                <w:vertAlign w:val="subscript"/>
              </w:rPr>
              <w:t>2</w:t>
            </w:r>
            <w:r w:rsidRPr="00DD0D1F">
              <w:rPr>
                <w:szCs w:val="24"/>
              </w:rPr>
              <w:t>O</w:t>
            </w:r>
          </w:p>
        </w:tc>
        <w:tc>
          <w:tcPr>
            <w:tcW w:w="1257" w:type="pct"/>
            <w:gridSpan w:val="4"/>
            <w:vAlign w:val="center"/>
          </w:tcPr>
          <w:p w14:paraId="725BACEB" w14:textId="77777777" w:rsidR="003328F9" w:rsidRPr="00DD0D1F" w:rsidRDefault="003328F9" w:rsidP="00FF111D">
            <w:pPr>
              <w:pStyle w:val="TableParagraph"/>
              <w:numPr>
                <w:ilvl w:val="0"/>
                <w:numId w:val="46"/>
              </w:numPr>
              <w:tabs>
                <w:tab w:val="left" w:pos="430"/>
              </w:tabs>
              <w:ind w:left="326" w:right="74"/>
              <w:jc w:val="both"/>
              <w:rPr>
                <w:szCs w:val="24"/>
              </w:rPr>
            </w:pPr>
            <w:r w:rsidRPr="00DD0D1F">
              <w:rPr>
                <w:szCs w:val="24"/>
              </w:rPr>
              <w:t>Dolaşımlı akışkan yataklı kazanlarda kömür ve/veya linyit</w:t>
            </w:r>
          </w:p>
          <w:p w14:paraId="4205B12E" w14:textId="77777777" w:rsidR="003328F9" w:rsidRPr="00DD0D1F" w:rsidRDefault="003328F9" w:rsidP="00FF111D">
            <w:pPr>
              <w:pStyle w:val="TableParagraph"/>
              <w:numPr>
                <w:ilvl w:val="0"/>
                <w:numId w:val="46"/>
              </w:numPr>
              <w:tabs>
                <w:tab w:val="left" w:pos="430"/>
              </w:tabs>
              <w:ind w:left="326" w:right="74"/>
              <w:jc w:val="both"/>
              <w:rPr>
                <w:szCs w:val="24"/>
              </w:rPr>
            </w:pPr>
            <w:r w:rsidRPr="00DD0D1F">
              <w:rPr>
                <w:szCs w:val="24"/>
              </w:rPr>
              <w:t>Dolaşımlı akışkan yataklı kazanlarda katı biyokütle ve/veya turba</w:t>
            </w:r>
          </w:p>
        </w:tc>
        <w:tc>
          <w:tcPr>
            <w:tcW w:w="625" w:type="pct"/>
            <w:vAlign w:val="center"/>
          </w:tcPr>
          <w:p w14:paraId="6F6AFB37"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76344E16" w14:textId="77777777" w:rsidR="003328F9" w:rsidRPr="00DD0D1F" w:rsidRDefault="003328F9" w:rsidP="003328F9">
            <w:pPr>
              <w:pStyle w:val="TableParagraph"/>
              <w:ind w:left="74" w:right="74"/>
              <w:jc w:val="center"/>
              <w:rPr>
                <w:szCs w:val="24"/>
              </w:rPr>
            </w:pPr>
            <w:r w:rsidRPr="00DD0D1F">
              <w:rPr>
                <w:szCs w:val="24"/>
              </w:rPr>
              <w:t>EN 21258</w:t>
            </w:r>
          </w:p>
        </w:tc>
        <w:tc>
          <w:tcPr>
            <w:tcW w:w="662" w:type="pct"/>
            <w:gridSpan w:val="2"/>
            <w:vAlign w:val="center"/>
          </w:tcPr>
          <w:p w14:paraId="4FA48B6A"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7</w:t>
            </w:r>
            <w:r w:rsidRPr="00DD0D1F">
              <w:rPr>
                <w:szCs w:val="24"/>
              </w:rPr>
              <w:t>)</w:t>
            </w:r>
          </w:p>
        </w:tc>
        <w:tc>
          <w:tcPr>
            <w:tcW w:w="905" w:type="pct"/>
            <w:gridSpan w:val="2"/>
            <w:vAlign w:val="center"/>
          </w:tcPr>
          <w:p w14:paraId="76855139" w14:textId="77777777" w:rsidR="003328F9" w:rsidRPr="00DD0D1F" w:rsidRDefault="003328F9" w:rsidP="003328F9">
            <w:pPr>
              <w:pStyle w:val="TableParagraph"/>
              <w:ind w:left="74" w:right="74"/>
              <w:jc w:val="center"/>
              <w:rPr>
                <w:szCs w:val="24"/>
              </w:rPr>
            </w:pPr>
            <w:r w:rsidRPr="00DD0D1F">
              <w:rPr>
                <w:szCs w:val="24"/>
              </w:rPr>
              <w:t>MET 20</w:t>
            </w:r>
          </w:p>
          <w:p w14:paraId="7389F13D" w14:textId="77777777" w:rsidR="003328F9" w:rsidRPr="00DD0D1F" w:rsidRDefault="003328F9" w:rsidP="003328F9">
            <w:pPr>
              <w:pStyle w:val="TableParagraph"/>
              <w:ind w:left="74" w:right="74"/>
              <w:jc w:val="center"/>
              <w:rPr>
                <w:szCs w:val="24"/>
              </w:rPr>
            </w:pPr>
            <w:r w:rsidRPr="00DD0D1F">
              <w:rPr>
                <w:szCs w:val="24"/>
              </w:rPr>
              <w:t>MET 24</w:t>
            </w:r>
          </w:p>
        </w:tc>
      </w:tr>
      <w:tr w:rsidR="003328F9" w:rsidRPr="00DD0D1F" w14:paraId="53141203" w14:textId="77777777" w:rsidTr="003328F9">
        <w:trPr>
          <w:trHeight w:val="1266"/>
        </w:trPr>
        <w:tc>
          <w:tcPr>
            <w:tcW w:w="735" w:type="pct"/>
            <w:gridSpan w:val="2"/>
            <w:vMerge w:val="restart"/>
            <w:vAlign w:val="center"/>
          </w:tcPr>
          <w:p w14:paraId="1691275E" w14:textId="77777777" w:rsidR="003328F9" w:rsidRPr="00DD0D1F" w:rsidRDefault="003328F9" w:rsidP="003328F9">
            <w:pPr>
              <w:pStyle w:val="TableParagraph"/>
              <w:ind w:left="74" w:right="74"/>
              <w:jc w:val="both"/>
              <w:rPr>
                <w:szCs w:val="24"/>
              </w:rPr>
            </w:pPr>
            <w:r w:rsidRPr="00DD0D1F">
              <w:rPr>
                <w:szCs w:val="24"/>
              </w:rPr>
              <w:t>CO</w:t>
            </w:r>
          </w:p>
        </w:tc>
        <w:tc>
          <w:tcPr>
            <w:tcW w:w="1230" w:type="pct"/>
            <w:gridSpan w:val="2"/>
            <w:vAlign w:val="center"/>
          </w:tcPr>
          <w:p w14:paraId="599FECC1"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Beraber yakma dahil kömür ve/veya linyit</w:t>
            </w:r>
          </w:p>
          <w:p w14:paraId="674A9D60"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Beraber yakma dahil katı biyokütle ve/veya turba</w:t>
            </w:r>
          </w:p>
          <w:p w14:paraId="34844FFB"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HFO ve/veya gaz yağı ile çalışan kazan ve motorlar</w:t>
            </w:r>
          </w:p>
          <w:p w14:paraId="52FD1D6F"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Gaz yağıyla çalışan gaz türbinleri</w:t>
            </w:r>
          </w:p>
          <w:p w14:paraId="535F0F94"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Doğalgaz ile çalışan kazanlar, motorlar ve türbinler</w:t>
            </w:r>
          </w:p>
          <w:p w14:paraId="00E57BF5"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Demir ve çelik proses gazları</w:t>
            </w:r>
          </w:p>
          <w:p w14:paraId="7ED11BA6"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Kimya endüstrisinden kaynaklanan proses yakıtları</w:t>
            </w:r>
          </w:p>
          <w:p w14:paraId="371EB19B"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IGCC tesisleri</w:t>
            </w:r>
          </w:p>
        </w:tc>
        <w:tc>
          <w:tcPr>
            <w:tcW w:w="636" w:type="pct"/>
            <w:gridSpan w:val="3"/>
            <w:vAlign w:val="center"/>
          </w:tcPr>
          <w:p w14:paraId="2F9067E4"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51EE74D6"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79" w:type="pct"/>
            <w:gridSpan w:val="2"/>
            <w:vAlign w:val="center"/>
          </w:tcPr>
          <w:p w14:paraId="44051BDF" w14:textId="77777777" w:rsidR="003328F9" w:rsidRPr="00DD0D1F" w:rsidRDefault="003328F9" w:rsidP="003328F9">
            <w:pPr>
              <w:pStyle w:val="TableParagraph"/>
              <w:ind w:left="74" w:right="74"/>
              <w:jc w:val="center"/>
              <w:rPr>
                <w:w w:val="95"/>
                <w:szCs w:val="24"/>
              </w:rPr>
            </w:pPr>
            <w:r w:rsidRPr="00DD0D1F">
              <w:rPr>
                <w:w w:val="95"/>
                <w:szCs w:val="24"/>
              </w:rPr>
              <w:t>Sürekli (</w:t>
            </w:r>
            <w:r w:rsidRPr="00DD0D1F">
              <w:rPr>
                <w:szCs w:val="24"/>
                <w:vertAlign w:val="superscript"/>
              </w:rPr>
              <w:t>3</w:t>
            </w:r>
            <w:r w:rsidRPr="00DD0D1F">
              <w:rPr>
                <w:w w:val="95"/>
                <w:szCs w:val="24"/>
              </w:rPr>
              <w:t>) (</w:t>
            </w:r>
            <w:r w:rsidRPr="00DD0D1F">
              <w:rPr>
                <w:szCs w:val="24"/>
                <w:vertAlign w:val="superscript"/>
              </w:rPr>
              <w:t>5</w:t>
            </w:r>
            <w:r w:rsidRPr="00DD0D1F">
              <w:rPr>
                <w:w w:val="95"/>
                <w:szCs w:val="24"/>
              </w:rPr>
              <w:t>)</w:t>
            </w:r>
          </w:p>
        </w:tc>
        <w:tc>
          <w:tcPr>
            <w:tcW w:w="879" w:type="pct"/>
            <w:vAlign w:val="center"/>
          </w:tcPr>
          <w:p w14:paraId="130B0398" w14:textId="77777777" w:rsidR="003328F9" w:rsidRPr="00DD0D1F" w:rsidRDefault="003328F9" w:rsidP="003328F9">
            <w:pPr>
              <w:pStyle w:val="TableParagraph"/>
              <w:ind w:left="74" w:right="74"/>
              <w:jc w:val="center"/>
              <w:rPr>
                <w:szCs w:val="24"/>
              </w:rPr>
            </w:pPr>
            <w:r w:rsidRPr="00DD0D1F">
              <w:rPr>
                <w:szCs w:val="24"/>
              </w:rPr>
              <w:t>MET 20</w:t>
            </w:r>
          </w:p>
          <w:p w14:paraId="28959FEF" w14:textId="77777777" w:rsidR="003328F9" w:rsidRPr="00DD0D1F" w:rsidRDefault="003328F9" w:rsidP="003328F9">
            <w:pPr>
              <w:pStyle w:val="TableParagraph"/>
              <w:ind w:left="74" w:right="74"/>
              <w:jc w:val="center"/>
              <w:rPr>
                <w:szCs w:val="24"/>
              </w:rPr>
            </w:pPr>
            <w:r w:rsidRPr="00DD0D1F">
              <w:rPr>
                <w:szCs w:val="24"/>
              </w:rPr>
              <w:t>MET 24</w:t>
            </w:r>
          </w:p>
          <w:p w14:paraId="0F2552C4" w14:textId="77777777" w:rsidR="003328F9" w:rsidRPr="00DD0D1F" w:rsidRDefault="003328F9" w:rsidP="003328F9">
            <w:pPr>
              <w:pStyle w:val="TableParagraph"/>
              <w:ind w:left="74" w:right="74"/>
              <w:jc w:val="center"/>
              <w:rPr>
                <w:szCs w:val="24"/>
              </w:rPr>
            </w:pPr>
            <w:r w:rsidRPr="00DD0D1F">
              <w:rPr>
                <w:szCs w:val="24"/>
              </w:rPr>
              <w:t>MET 28</w:t>
            </w:r>
          </w:p>
          <w:p w14:paraId="25E4F2DC" w14:textId="77777777" w:rsidR="003328F9" w:rsidRPr="00DD0D1F" w:rsidRDefault="003328F9" w:rsidP="003328F9">
            <w:pPr>
              <w:pStyle w:val="TableParagraph"/>
              <w:ind w:left="74" w:right="74"/>
              <w:jc w:val="center"/>
              <w:rPr>
                <w:szCs w:val="24"/>
              </w:rPr>
            </w:pPr>
            <w:r w:rsidRPr="00DD0D1F">
              <w:rPr>
                <w:szCs w:val="24"/>
              </w:rPr>
              <w:t>MET 33</w:t>
            </w:r>
          </w:p>
          <w:p w14:paraId="5B45AA9A" w14:textId="77777777" w:rsidR="003328F9" w:rsidRPr="00DD0D1F" w:rsidRDefault="003328F9" w:rsidP="003328F9">
            <w:pPr>
              <w:pStyle w:val="TableParagraph"/>
              <w:ind w:left="74" w:right="74"/>
              <w:jc w:val="center"/>
              <w:rPr>
                <w:szCs w:val="24"/>
              </w:rPr>
            </w:pPr>
            <w:r w:rsidRPr="00DD0D1F">
              <w:rPr>
                <w:szCs w:val="24"/>
              </w:rPr>
              <w:t>MET 38</w:t>
            </w:r>
          </w:p>
          <w:p w14:paraId="1AAEB721" w14:textId="77777777" w:rsidR="003328F9" w:rsidRPr="00DD0D1F" w:rsidRDefault="003328F9" w:rsidP="003328F9">
            <w:pPr>
              <w:pStyle w:val="TableParagraph"/>
              <w:ind w:left="74" w:right="74"/>
              <w:jc w:val="center"/>
              <w:rPr>
                <w:szCs w:val="24"/>
              </w:rPr>
            </w:pPr>
            <w:r w:rsidRPr="00DD0D1F">
              <w:rPr>
                <w:szCs w:val="24"/>
              </w:rPr>
              <w:t>MET 44</w:t>
            </w:r>
          </w:p>
          <w:p w14:paraId="3BB43705" w14:textId="77777777" w:rsidR="003328F9" w:rsidRPr="00DD0D1F" w:rsidRDefault="003328F9" w:rsidP="003328F9">
            <w:pPr>
              <w:pStyle w:val="TableParagraph"/>
              <w:ind w:left="74" w:right="74"/>
              <w:jc w:val="center"/>
              <w:rPr>
                <w:szCs w:val="24"/>
              </w:rPr>
            </w:pPr>
            <w:r w:rsidRPr="00DD0D1F">
              <w:rPr>
                <w:szCs w:val="24"/>
              </w:rPr>
              <w:t>MET 49</w:t>
            </w:r>
          </w:p>
          <w:p w14:paraId="0BAF7FFB" w14:textId="77777777" w:rsidR="003328F9" w:rsidRPr="00DD0D1F" w:rsidRDefault="003328F9" w:rsidP="003328F9">
            <w:pPr>
              <w:pStyle w:val="TableParagraph"/>
              <w:ind w:left="74" w:right="74"/>
              <w:jc w:val="center"/>
              <w:rPr>
                <w:szCs w:val="24"/>
              </w:rPr>
            </w:pPr>
            <w:r w:rsidRPr="00DD0D1F">
              <w:rPr>
                <w:szCs w:val="24"/>
              </w:rPr>
              <w:t>MET 56</w:t>
            </w:r>
          </w:p>
          <w:p w14:paraId="66CD6665" w14:textId="77777777" w:rsidR="003328F9" w:rsidRPr="00DD0D1F" w:rsidRDefault="003328F9" w:rsidP="003328F9">
            <w:pPr>
              <w:pStyle w:val="TableParagraph"/>
              <w:ind w:left="74" w:right="74"/>
              <w:jc w:val="center"/>
              <w:rPr>
                <w:szCs w:val="24"/>
              </w:rPr>
            </w:pPr>
            <w:r w:rsidRPr="00DD0D1F">
              <w:rPr>
                <w:szCs w:val="24"/>
              </w:rPr>
              <w:t>MET 64</w:t>
            </w:r>
          </w:p>
          <w:p w14:paraId="70DE22F4" w14:textId="77777777" w:rsidR="003328F9" w:rsidRPr="00DD0D1F" w:rsidRDefault="003328F9" w:rsidP="003328F9">
            <w:pPr>
              <w:pStyle w:val="TableParagraph"/>
              <w:ind w:left="74" w:right="74"/>
              <w:jc w:val="center"/>
              <w:rPr>
                <w:szCs w:val="24"/>
              </w:rPr>
            </w:pPr>
            <w:r w:rsidRPr="00DD0D1F">
              <w:rPr>
                <w:szCs w:val="24"/>
              </w:rPr>
              <w:t>MET 65</w:t>
            </w:r>
          </w:p>
          <w:p w14:paraId="14EFEAEC" w14:textId="77777777" w:rsidR="003328F9" w:rsidRPr="00DD0D1F" w:rsidRDefault="003328F9" w:rsidP="003328F9">
            <w:pPr>
              <w:pStyle w:val="TableParagraph"/>
              <w:ind w:left="74" w:right="74"/>
              <w:jc w:val="center"/>
              <w:rPr>
                <w:szCs w:val="24"/>
              </w:rPr>
            </w:pPr>
            <w:r w:rsidRPr="00DD0D1F">
              <w:rPr>
                <w:szCs w:val="24"/>
              </w:rPr>
              <w:t>MET 73</w:t>
            </w:r>
          </w:p>
        </w:tc>
      </w:tr>
      <w:tr w:rsidR="003328F9" w:rsidRPr="00DD0D1F" w14:paraId="6C889C10" w14:textId="77777777" w:rsidTr="003328F9">
        <w:trPr>
          <w:trHeight w:val="690"/>
        </w:trPr>
        <w:tc>
          <w:tcPr>
            <w:tcW w:w="735" w:type="pct"/>
            <w:gridSpan w:val="2"/>
            <w:vMerge/>
            <w:tcBorders>
              <w:top w:val="nil"/>
            </w:tcBorders>
            <w:vAlign w:val="center"/>
          </w:tcPr>
          <w:p w14:paraId="4403D25C" w14:textId="77777777" w:rsidR="003328F9" w:rsidRPr="00DD0D1F" w:rsidRDefault="003328F9" w:rsidP="003328F9">
            <w:pPr>
              <w:spacing w:line="240" w:lineRule="auto"/>
              <w:ind w:left="74" w:right="74"/>
              <w:rPr>
                <w:rFonts w:cs="Times New Roman"/>
                <w:szCs w:val="24"/>
                <w:lang w:val="tr-TR"/>
              </w:rPr>
            </w:pPr>
          </w:p>
        </w:tc>
        <w:tc>
          <w:tcPr>
            <w:tcW w:w="1230" w:type="pct"/>
            <w:gridSpan w:val="2"/>
            <w:vAlign w:val="center"/>
          </w:tcPr>
          <w:p w14:paraId="61A9E205" w14:textId="77777777" w:rsidR="003328F9" w:rsidRPr="00DD0D1F" w:rsidRDefault="003328F9" w:rsidP="00FF111D">
            <w:pPr>
              <w:pStyle w:val="TableParagraph"/>
              <w:numPr>
                <w:ilvl w:val="0"/>
                <w:numId w:val="44"/>
              </w:numPr>
              <w:tabs>
                <w:tab w:val="left" w:pos="428"/>
              </w:tabs>
              <w:ind w:left="326" w:right="74"/>
              <w:jc w:val="both"/>
              <w:rPr>
                <w:szCs w:val="24"/>
              </w:rPr>
            </w:pPr>
            <w:r w:rsidRPr="00DD0D1F">
              <w:rPr>
                <w:szCs w:val="24"/>
              </w:rPr>
              <w:t>Açık deniz platformlarındaki yakma tesisleri</w:t>
            </w:r>
          </w:p>
        </w:tc>
        <w:tc>
          <w:tcPr>
            <w:tcW w:w="636" w:type="pct"/>
            <w:gridSpan w:val="3"/>
            <w:vAlign w:val="center"/>
          </w:tcPr>
          <w:p w14:paraId="4D50C869"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F2541E2" w14:textId="77777777" w:rsidR="003328F9" w:rsidRPr="00DD0D1F" w:rsidRDefault="003328F9" w:rsidP="003328F9">
            <w:pPr>
              <w:pStyle w:val="TableParagraph"/>
              <w:ind w:left="74" w:right="74"/>
              <w:jc w:val="center"/>
              <w:rPr>
                <w:szCs w:val="24"/>
              </w:rPr>
            </w:pPr>
            <w:r w:rsidRPr="00DD0D1F">
              <w:rPr>
                <w:szCs w:val="24"/>
              </w:rPr>
              <w:t>EN 15058</w:t>
            </w:r>
          </w:p>
        </w:tc>
        <w:tc>
          <w:tcPr>
            <w:tcW w:w="679" w:type="pct"/>
            <w:gridSpan w:val="2"/>
            <w:vAlign w:val="center"/>
          </w:tcPr>
          <w:p w14:paraId="435D377E"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6</w:t>
            </w:r>
            <w:r w:rsidRPr="00DD0D1F">
              <w:rPr>
                <w:szCs w:val="24"/>
              </w:rPr>
              <w:t>)</w:t>
            </w:r>
          </w:p>
        </w:tc>
        <w:tc>
          <w:tcPr>
            <w:tcW w:w="879" w:type="pct"/>
            <w:vAlign w:val="center"/>
          </w:tcPr>
          <w:p w14:paraId="6A26C60C" w14:textId="77777777" w:rsidR="003328F9" w:rsidRPr="00DD0D1F" w:rsidRDefault="003328F9" w:rsidP="003328F9">
            <w:pPr>
              <w:pStyle w:val="TableParagraph"/>
              <w:ind w:left="74" w:right="74"/>
              <w:jc w:val="center"/>
              <w:rPr>
                <w:szCs w:val="24"/>
              </w:rPr>
            </w:pPr>
            <w:r w:rsidRPr="00DD0D1F">
              <w:rPr>
                <w:szCs w:val="24"/>
              </w:rPr>
              <w:t>MET 54</w:t>
            </w:r>
          </w:p>
        </w:tc>
      </w:tr>
      <w:tr w:rsidR="003328F9" w:rsidRPr="00DD0D1F" w14:paraId="09730EC0" w14:textId="77777777" w:rsidTr="003328F9">
        <w:trPr>
          <w:trHeight w:val="4097"/>
        </w:trPr>
        <w:tc>
          <w:tcPr>
            <w:tcW w:w="735" w:type="pct"/>
            <w:gridSpan w:val="2"/>
            <w:vAlign w:val="center"/>
          </w:tcPr>
          <w:p w14:paraId="4FD80C9F" w14:textId="77777777" w:rsidR="003328F9" w:rsidRPr="00DD0D1F" w:rsidRDefault="003328F9" w:rsidP="003328F9">
            <w:pPr>
              <w:pStyle w:val="TableParagraph"/>
              <w:ind w:left="74" w:right="74"/>
              <w:jc w:val="both"/>
              <w:rPr>
                <w:szCs w:val="24"/>
              </w:rPr>
            </w:pPr>
            <w:r w:rsidRPr="00DD0D1F">
              <w:rPr>
                <w:szCs w:val="24"/>
              </w:rPr>
              <w:t>SO</w:t>
            </w:r>
            <w:r w:rsidRPr="00DD0D1F">
              <w:rPr>
                <w:szCs w:val="24"/>
                <w:vertAlign w:val="subscript"/>
              </w:rPr>
              <w:t>2</w:t>
            </w:r>
          </w:p>
        </w:tc>
        <w:tc>
          <w:tcPr>
            <w:tcW w:w="1230" w:type="pct"/>
            <w:gridSpan w:val="2"/>
            <w:vAlign w:val="center"/>
          </w:tcPr>
          <w:p w14:paraId="2E68FE83"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Beraber yakma dahil kömür ve/veya linyit</w:t>
            </w:r>
          </w:p>
          <w:p w14:paraId="0CF8BDC3"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Beraber yakma dahil katı biyokütle ve/veya turba</w:t>
            </w:r>
          </w:p>
          <w:p w14:paraId="3D9490F8"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HFO ve/veya gaz yağı ile çalışan kazanlar</w:t>
            </w:r>
          </w:p>
          <w:p w14:paraId="078A5D9A"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HFO ve/veya gaz yağıyla çalışan motorlar</w:t>
            </w:r>
          </w:p>
          <w:p w14:paraId="623598D0"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Gaz yağıyla çalışan gaz türbinleri</w:t>
            </w:r>
          </w:p>
          <w:p w14:paraId="3D34426C"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Demir ve çelik proses gazları</w:t>
            </w:r>
          </w:p>
          <w:p w14:paraId="18E5016D"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Kazanlardaki kimya endüstrisinden elde edilen proses yakıtları</w:t>
            </w:r>
          </w:p>
          <w:p w14:paraId="2474846C"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IGCC tesisleri</w:t>
            </w:r>
          </w:p>
        </w:tc>
        <w:tc>
          <w:tcPr>
            <w:tcW w:w="636" w:type="pct"/>
            <w:gridSpan w:val="3"/>
            <w:vAlign w:val="center"/>
          </w:tcPr>
          <w:p w14:paraId="2508E433"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61273E82" w14:textId="77777777" w:rsidR="003328F9" w:rsidRPr="00DD0D1F" w:rsidRDefault="003328F9" w:rsidP="003328F9">
            <w:pPr>
              <w:pStyle w:val="TableParagraph"/>
              <w:ind w:left="74" w:right="74"/>
              <w:jc w:val="center"/>
              <w:rPr>
                <w:szCs w:val="24"/>
              </w:rPr>
            </w:pPr>
            <w:r w:rsidRPr="00DD0D1F">
              <w:rPr>
                <w:szCs w:val="24"/>
              </w:rPr>
              <w:t>Genel EN standartları ve</w:t>
            </w:r>
          </w:p>
          <w:p w14:paraId="3995F418" w14:textId="77777777" w:rsidR="003328F9" w:rsidRPr="00DD0D1F" w:rsidRDefault="003328F9" w:rsidP="003328F9">
            <w:pPr>
              <w:pStyle w:val="TableParagraph"/>
              <w:ind w:left="74" w:right="74"/>
              <w:jc w:val="center"/>
              <w:rPr>
                <w:szCs w:val="24"/>
              </w:rPr>
            </w:pPr>
            <w:r w:rsidRPr="00DD0D1F">
              <w:rPr>
                <w:szCs w:val="24"/>
              </w:rPr>
              <w:t>EN 14791</w:t>
            </w:r>
          </w:p>
        </w:tc>
        <w:tc>
          <w:tcPr>
            <w:tcW w:w="679" w:type="pct"/>
            <w:gridSpan w:val="2"/>
            <w:vAlign w:val="center"/>
          </w:tcPr>
          <w:p w14:paraId="48C201A7" w14:textId="5BD7D78B" w:rsidR="003328F9" w:rsidRPr="00DD0D1F" w:rsidRDefault="003328F9" w:rsidP="00F41466">
            <w:pPr>
              <w:pStyle w:val="TableParagraph"/>
              <w:ind w:left="74" w:right="74"/>
              <w:jc w:val="center"/>
              <w:rPr>
                <w:w w:val="95"/>
                <w:szCs w:val="24"/>
              </w:rPr>
            </w:pPr>
            <w:r w:rsidRPr="00DD0D1F">
              <w:rPr>
                <w:w w:val="95"/>
                <w:szCs w:val="24"/>
              </w:rPr>
              <w:t>Sürekli</w:t>
            </w:r>
            <w:r w:rsidR="00F41466" w:rsidRPr="00DD0D1F">
              <w:rPr>
                <w:w w:val="95"/>
                <w:szCs w:val="24"/>
              </w:rPr>
              <w:t xml:space="preserve">       </w:t>
            </w:r>
            <w:r w:rsidRPr="00DD0D1F">
              <w:rPr>
                <w:w w:val="95"/>
                <w:szCs w:val="24"/>
              </w:rPr>
              <w:t xml:space="preserve"> (</w:t>
            </w:r>
            <w:r w:rsidRPr="00DD0D1F">
              <w:rPr>
                <w:szCs w:val="24"/>
                <w:vertAlign w:val="superscript"/>
              </w:rPr>
              <w:t>3</w:t>
            </w:r>
            <w:r w:rsidR="00F41466" w:rsidRPr="00DD0D1F">
              <w:rPr>
                <w:w w:val="95"/>
                <w:szCs w:val="24"/>
              </w:rPr>
              <w:t>)</w:t>
            </w:r>
            <w:r w:rsidRPr="00DD0D1F">
              <w:rPr>
                <w:w w:val="95"/>
                <w:szCs w:val="24"/>
              </w:rPr>
              <w:t>(</w:t>
            </w:r>
            <w:r w:rsidRPr="00DD0D1F">
              <w:rPr>
                <w:szCs w:val="24"/>
                <w:vertAlign w:val="superscript"/>
              </w:rPr>
              <w:t>8</w:t>
            </w:r>
            <w:r w:rsidRPr="00DD0D1F">
              <w:rPr>
                <w:w w:val="95"/>
                <w:szCs w:val="24"/>
              </w:rPr>
              <w:t>)(</w:t>
            </w:r>
            <w:r w:rsidRPr="00DD0D1F">
              <w:rPr>
                <w:szCs w:val="24"/>
                <w:vertAlign w:val="superscript"/>
              </w:rPr>
              <w:t>9</w:t>
            </w:r>
            <w:r w:rsidRPr="00DD0D1F">
              <w:rPr>
                <w:w w:val="95"/>
                <w:szCs w:val="24"/>
              </w:rPr>
              <w:t>)</w:t>
            </w:r>
          </w:p>
        </w:tc>
        <w:tc>
          <w:tcPr>
            <w:tcW w:w="879" w:type="pct"/>
            <w:vAlign w:val="center"/>
          </w:tcPr>
          <w:p w14:paraId="55C641B4" w14:textId="77777777" w:rsidR="003328F9" w:rsidRPr="00DD0D1F" w:rsidRDefault="003328F9" w:rsidP="003328F9">
            <w:pPr>
              <w:pStyle w:val="TableParagraph"/>
              <w:ind w:left="74" w:right="74"/>
              <w:jc w:val="center"/>
              <w:rPr>
                <w:szCs w:val="24"/>
              </w:rPr>
            </w:pPr>
            <w:r w:rsidRPr="00DD0D1F">
              <w:rPr>
                <w:szCs w:val="24"/>
              </w:rPr>
              <w:t>MET 21</w:t>
            </w:r>
          </w:p>
          <w:p w14:paraId="31D36EA8" w14:textId="77777777" w:rsidR="003328F9" w:rsidRPr="00DD0D1F" w:rsidRDefault="003328F9" w:rsidP="003328F9">
            <w:pPr>
              <w:pStyle w:val="TableParagraph"/>
              <w:ind w:left="74" w:right="74"/>
              <w:jc w:val="center"/>
              <w:rPr>
                <w:szCs w:val="24"/>
              </w:rPr>
            </w:pPr>
            <w:r w:rsidRPr="00DD0D1F">
              <w:rPr>
                <w:szCs w:val="24"/>
              </w:rPr>
              <w:t>MET 25</w:t>
            </w:r>
          </w:p>
          <w:p w14:paraId="1748FBD3" w14:textId="77777777" w:rsidR="003328F9" w:rsidRPr="00DD0D1F" w:rsidRDefault="003328F9" w:rsidP="003328F9">
            <w:pPr>
              <w:pStyle w:val="TableParagraph"/>
              <w:ind w:left="74" w:right="74"/>
              <w:jc w:val="center"/>
              <w:rPr>
                <w:szCs w:val="24"/>
              </w:rPr>
            </w:pPr>
            <w:r w:rsidRPr="00DD0D1F">
              <w:rPr>
                <w:szCs w:val="24"/>
              </w:rPr>
              <w:t>MET 29</w:t>
            </w:r>
          </w:p>
          <w:p w14:paraId="65F18A7E" w14:textId="77777777" w:rsidR="003328F9" w:rsidRPr="00DD0D1F" w:rsidRDefault="003328F9" w:rsidP="003328F9">
            <w:pPr>
              <w:pStyle w:val="TableParagraph"/>
              <w:ind w:left="74" w:right="74"/>
              <w:jc w:val="center"/>
              <w:rPr>
                <w:szCs w:val="24"/>
              </w:rPr>
            </w:pPr>
            <w:r w:rsidRPr="00DD0D1F">
              <w:rPr>
                <w:szCs w:val="24"/>
              </w:rPr>
              <w:t>MET 34</w:t>
            </w:r>
          </w:p>
          <w:p w14:paraId="7E5AF07E" w14:textId="77777777" w:rsidR="003328F9" w:rsidRPr="00DD0D1F" w:rsidRDefault="003328F9" w:rsidP="003328F9">
            <w:pPr>
              <w:pStyle w:val="TableParagraph"/>
              <w:ind w:left="74" w:right="74"/>
              <w:jc w:val="center"/>
              <w:rPr>
                <w:szCs w:val="24"/>
              </w:rPr>
            </w:pPr>
            <w:r w:rsidRPr="00DD0D1F">
              <w:rPr>
                <w:szCs w:val="24"/>
              </w:rPr>
              <w:t>MET 39</w:t>
            </w:r>
          </w:p>
          <w:p w14:paraId="01C9011F" w14:textId="77777777" w:rsidR="003328F9" w:rsidRPr="00DD0D1F" w:rsidRDefault="003328F9" w:rsidP="003328F9">
            <w:pPr>
              <w:pStyle w:val="TableParagraph"/>
              <w:ind w:left="74" w:right="74"/>
              <w:jc w:val="center"/>
              <w:rPr>
                <w:szCs w:val="24"/>
              </w:rPr>
            </w:pPr>
            <w:r w:rsidRPr="00DD0D1F">
              <w:rPr>
                <w:szCs w:val="24"/>
              </w:rPr>
              <w:t>MET 50</w:t>
            </w:r>
          </w:p>
          <w:p w14:paraId="173CB2BE" w14:textId="77777777" w:rsidR="003328F9" w:rsidRPr="00DD0D1F" w:rsidRDefault="003328F9" w:rsidP="003328F9">
            <w:pPr>
              <w:pStyle w:val="TableParagraph"/>
              <w:ind w:left="74" w:right="74"/>
              <w:jc w:val="center"/>
              <w:rPr>
                <w:szCs w:val="24"/>
              </w:rPr>
            </w:pPr>
            <w:r w:rsidRPr="00DD0D1F">
              <w:rPr>
                <w:szCs w:val="24"/>
              </w:rPr>
              <w:t>MET 57</w:t>
            </w:r>
          </w:p>
          <w:p w14:paraId="0EA1EA83" w14:textId="77777777" w:rsidR="003328F9" w:rsidRPr="00DD0D1F" w:rsidRDefault="003328F9" w:rsidP="003328F9">
            <w:pPr>
              <w:pStyle w:val="TableParagraph"/>
              <w:ind w:left="74" w:right="74"/>
              <w:jc w:val="center"/>
              <w:rPr>
                <w:szCs w:val="24"/>
              </w:rPr>
            </w:pPr>
            <w:r w:rsidRPr="00DD0D1F">
              <w:rPr>
                <w:szCs w:val="24"/>
              </w:rPr>
              <w:t>MET 66</w:t>
            </w:r>
          </w:p>
          <w:p w14:paraId="74AE52A4" w14:textId="77777777" w:rsidR="003328F9" w:rsidRPr="00DD0D1F" w:rsidRDefault="003328F9" w:rsidP="003328F9">
            <w:pPr>
              <w:pStyle w:val="TableParagraph"/>
              <w:ind w:left="74" w:right="74"/>
              <w:jc w:val="center"/>
              <w:rPr>
                <w:szCs w:val="24"/>
              </w:rPr>
            </w:pPr>
            <w:r w:rsidRPr="00DD0D1F">
              <w:rPr>
                <w:szCs w:val="24"/>
              </w:rPr>
              <w:t>MET 67</w:t>
            </w:r>
          </w:p>
          <w:p w14:paraId="5EA5607A" w14:textId="77777777" w:rsidR="003328F9" w:rsidRPr="00DD0D1F" w:rsidRDefault="003328F9" w:rsidP="003328F9">
            <w:pPr>
              <w:pStyle w:val="TableParagraph"/>
              <w:ind w:left="74" w:right="74"/>
              <w:jc w:val="center"/>
              <w:rPr>
                <w:szCs w:val="24"/>
              </w:rPr>
            </w:pPr>
            <w:r w:rsidRPr="00DD0D1F">
              <w:rPr>
                <w:szCs w:val="24"/>
              </w:rPr>
              <w:t>MET 74</w:t>
            </w:r>
          </w:p>
        </w:tc>
      </w:tr>
      <w:tr w:rsidR="003328F9" w:rsidRPr="00DD0D1F" w14:paraId="05D37CEE" w14:textId="77777777" w:rsidTr="003328F9">
        <w:trPr>
          <w:trHeight w:val="690"/>
        </w:trPr>
        <w:tc>
          <w:tcPr>
            <w:tcW w:w="735" w:type="pct"/>
            <w:gridSpan w:val="2"/>
            <w:vAlign w:val="center"/>
          </w:tcPr>
          <w:p w14:paraId="1E099AD8" w14:textId="77777777" w:rsidR="003328F9" w:rsidRPr="00DD0D1F" w:rsidRDefault="003328F9" w:rsidP="003328F9">
            <w:pPr>
              <w:pStyle w:val="TableParagraph"/>
              <w:ind w:left="74" w:right="74"/>
              <w:jc w:val="both"/>
              <w:rPr>
                <w:szCs w:val="24"/>
              </w:rPr>
            </w:pPr>
            <w:r w:rsidRPr="00DD0D1F">
              <w:rPr>
                <w:szCs w:val="24"/>
              </w:rPr>
              <w:t>SO</w:t>
            </w:r>
            <w:r w:rsidRPr="00DD0D1F">
              <w:rPr>
                <w:szCs w:val="24"/>
                <w:vertAlign w:val="subscript"/>
              </w:rPr>
              <w:t>3</w:t>
            </w:r>
          </w:p>
        </w:tc>
        <w:tc>
          <w:tcPr>
            <w:tcW w:w="1230" w:type="pct"/>
            <w:gridSpan w:val="2"/>
            <w:vAlign w:val="center"/>
          </w:tcPr>
          <w:p w14:paraId="718601B2" w14:textId="77777777" w:rsidR="003328F9" w:rsidRPr="00DD0D1F" w:rsidRDefault="003328F9" w:rsidP="00FF111D">
            <w:pPr>
              <w:pStyle w:val="TableParagraph"/>
              <w:numPr>
                <w:ilvl w:val="0"/>
                <w:numId w:val="42"/>
              </w:numPr>
              <w:tabs>
                <w:tab w:val="left" w:pos="428"/>
              </w:tabs>
              <w:ind w:left="326" w:right="74"/>
              <w:jc w:val="both"/>
              <w:rPr>
                <w:szCs w:val="24"/>
              </w:rPr>
            </w:pPr>
            <w:r w:rsidRPr="00DD0D1F">
              <w:rPr>
                <w:szCs w:val="24"/>
              </w:rPr>
              <w:t>SCR kullanıldığında</w:t>
            </w:r>
          </w:p>
        </w:tc>
        <w:tc>
          <w:tcPr>
            <w:tcW w:w="636" w:type="pct"/>
            <w:gridSpan w:val="3"/>
            <w:vAlign w:val="center"/>
          </w:tcPr>
          <w:p w14:paraId="3CFBF077"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844E72A" w14:textId="77777777" w:rsidR="003328F9" w:rsidRPr="00DD0D1F" w:rsidRDefault="003328F9" w:rsidP="003328F9">
            <w:pPr>
              <w:pStyle w:val="TableParagraph"/>
              <w:ind w:left="74" w:right="74"/>
              <w:jc w:val="center"/>
              <w:rPr>
                <w:szCs w:val="24"/>
              </w:rPr>
            </w:pPr>
            <w:r w:rsidRPr="00DD0D1F">
              <w:rPr>
                <w:szCs w:val="24"/>
              </w:rPr>
              <w:t>EN standardı yok</w:t>
            </w:r>
          </w:p>
        </w:tc>
        <w:tc>
          <w:tcPr>
            <w:tcW w:w="679" w:type="pct"/>
            <w:gridSpan w:val="2"/>
            <w:vAlign w:val="center"/>
          </w:tcPr>
          <w:p w14:paraId="7664F93E" w14:textId="77777777" w:rsidR="003328F9" w:rsidRPr="00DD0D1F" w:rsidRDefault="003328F9" w:rsidP="003328F9">
            <w:pPr>
              <w:pStyle w:val="TableParagraph"/>
              <w:ind w:left="74" w:right="74"/>
              <w:jc w:val="center"/>
              <w:rPr>
                <w:szCs w:val="24"/>
              </w:rPr>
            </w:pPr>
            <w:r w:rsidRPr="00DD0D1F">
              <w:rPr>
                <w:szCs w:val="24"/>
              </w:rPr>
              <w:t>Yılda bir kez</w:t>
            </w:r>
          </w:p>
        </w:tc>
        <w:tc>
          <w:tcPr>
            <w:tcW w:w="879" w:type="pct"/>
            <w:vAlign w:val="center"/>
          </w:tcPr>
          <w:p w14:paraId="1ABAA833" w14:textId="77777777" w:rsidR="003328F9" w:rsidRPr="00DD0D1F" w:rsidRDefault="003328F9" w:rsidP="003328F9">
            <w:pPr>
              <w:pStyle w:val="TableParagraph"/>
              <w:ind w:left="74" w:right="74"/>
              <w:jc w:val="center"/>
              <w:rPr>
                <w:szCs w:val="24"/>
              </w:rPr>
            </w:pPr>
            <w:r w:rsidRPr="00DD0D1F">
              <w:rPr>
                <w:w w:val="99"/>
                <w:szCs w:val="24"/>
              </w:rPr>
              <w:t>—</w:t>
            </w:r>
          </w:p>
        </w:tc>
      </w:tr>
      <w:tr w:rsidR="003328F9" w:rsidRPr="00DD0D1F" w14:paraId="728A1CAB" w14:textId="77777777" w:rsidTr="003328F9">
        <w:trPr>
          <w:trHeight w:val="921"/>
        </w:trPr>
        <w:tc>
          <w:tcPr>
            <w:tcW w:w="735" w:type="pct"/>
            <w:gridSpan w:val="2"/>
            <w:vMerge w:val="restart"/>
            <w:vAlign w:val="center"/>
          </w:tcPr>
          <w:p w14:paraId="1D6C661E" w14:textId="77777777" w:rsidR="003328F9" w:rsidRPr="00DD0D1F" w:rsidRDefault="003328F9" w:rsidP="003328F9">
            <w:pPr>
              <w:pStyle w:val="TableParagraph"/>
              <w:ind w:left="74" w:right="74"/>
              <w:jc w:val="both"/>
              <w:rPr>
                <w:szCs w:val="24"/>
              </w:rPr>
            </w:pPr>
            <w:r w:rsidRPr="00DD0D1F">
              <w:rPr>
                <w:szCs w:val="24"/>
              </w:rPr>
              <w:t>HCI olarak ifade edilen gaz halindeki klorürler</w:t>
            </w:r>
          </w:p>
        </w:tc>
        <w:tc>
          <w:tcPr>
            <w:tcW w:w="1230" w:type="pct"/>
            <w:gridSpan w:val="2"/>
            <w:vAlign w:val="center"/>
          </w:tcPr>
          <w:p w14:paraId="62965474" w14:textId="77777777" w:rsidR="003328F9" w:rsidRPr="00DD0D1F" w:rsidRDefault="003328F9" w:rsidP="00FF111D">
            <w:pPr>
              <w:pStyle w:val="TableParagraph"/>
              <w:numPr>
                <w:ilvl w:val="0"/>
                <w:numId w:val="41"/>
              </w:numPr>
              <w:tabs>
                <w:tab w:val="left" w:pos="428"/>
              </w:tabs>
              <w:ind w:left="326" w:right="74"/>
              <w:jc w:val="both"/>
              <w:rPr>
                <w:szCs w:val="24"/>
              </w:rPr>
            </w:pPr>
            <w:r w:rsidRPr="00DD0D1F">
              <w:rPr>
                <w:szCs w:val="24"/>
              </w:rPr>
              <w:t>Kömür ve/veya linyit</w:t>
            </w:r>
          </w:p>
          <w:p w14:paraId="3C32D1E3" w14:textId="77777777" w:rsidR="003328F9" w:rsidRPr="00DD0D1F" w:rsidRDefault="003328F9" w:rsidP="00FF111D">
            <w:pPr>
              <w:pStyle w:val="TableParagraph"/>
              <w:numPr>
                <w:ilvl w:val="0"/>
                <w:numId w:val="41"/>
              </w:numPr>
              <w:tabs>
                <w:tab w:val="left" w:pos="428"/>
              </w:tabs>
              <w:ind w:left="326" w:right="74"/>
              <w:jc w:val="both"/>
              <w:rPr>
                <w:szCs w:val="24"/>
              </w:rPr>
            </w:pPr>
            <w:r w:rsidRPr="00DD0D1F">
              <w:rPr>
                <w:szCs w:val="24"/>
              </w:rPr>
              <w:t>Kazanlardaki kimya endüstrisinden elde edilen proses yakıtları</w:t>
            </w:r>
          </w:p>
        </w:tc>
        <w:tc>
          <w:tcPr>
            <w:tcW w:w="636" w:type="pct"/>
            <w:gridSpan w:val="3"/>
            <w:vAlign w:val="center"/>
          </w:tcPr>
          <w:p w14:paraId="04AAD2F3"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86B73D1" w14:textId="77777777" w:rsidR="003328F9" w:rsidRPr="00DD0D1F" w:rsidRDefault="003328F9" w:rsidP="003328F9">
            <w:pPr>
              <w:pStyle w:val="TableParagraph"/>
              <w:ind w:left="74" w:right="74"/>
              <w:jc w:val="center"/>
              <w:rPr>
                <w:szCs w:val="24"/>
              </w:rPr>
            </w:pPr>
            <w:r w:rsidRPr="00DD0D1F">
              <w:rPr>
                <w:szCs w:val="24"/>
              </w:rPr>
              <w:t>EN 1911</w:t>
            </w:r>
          </w:p>
        </w:tc>
        <w:tc>
          <w:tcPr>
            <w:tcW w:w="679" w:type="pct"/>
            <w:gridSpan w:val="2"/>
            <w:vAlign w:val="center"/>
          </w:tcPr>
          <w:p w14:paraId="3D46F3F7" w14:textId="58C28B3D" w:rsidR="003328F9" w:rsidRPr="00DD0D1F" w:rsidRDefault="003328F9" w:rsidP="00C355F8">
            <w:pPr>
              <w:pStyle w:val="TableParagraph"/>
              <w:ind w:left="74" w:right="74"/>
              <w:jc w:val="center"/>
              <w:rPr>
                <w:szCs w:val="24"/>
              </w:rPr>
            </w:pPr>
            <w:r w:rsidRPr="00DD0D1F">
              <w:rPr>
                <w:szCs w:val="24"/>
              </w:rPr>
              <w:t>Üç ayda bir (</w:t>
            </w:r>
            <w:r w:rsidRPr="00DD0D1F">
              <w:rPr>
                <w:szCs w:val="24"/>
                <w:vertAlign w:val="superscript"/>
              </w:rPr>
              <w:t>3</w:t>
            </w:r>
            <w:r w:rsidRPr="00DD0D1F">
              <w:rPr>
                <w:szCs w:val="24"/>
              </w:rPr>
              <w:t>) (</w:t>
            </w:r>
            <w:r w:rsidRPr="00DD0D1F">
              <w:rPr>
                <w:szCs w:val="24"/>
                <w:vertAlign w:val="superscript"/>
              </w:rPr>
              <w:t>10</w:t>
            </w:r>
            <w:r w:rsidRPr="00DD0D1F">
              <w:rPr>
                <w:szCs w:val="24"/>
              </w:rPr>
              <w:t>)(</w:t>
            </w:r>
            <w:r w:rsidRPr="00DD0D1F">
              <w:rPr>
                <w:szCs w:val="24"/>
                <w:vertAlign w:val="superscript"/>
              </w:rPr>
              <w:t>11</w:t>
            </w:r>
            <w:r w:rsidRPr="00DD0D1F">
              <w:rPr>
                <w:szCs w:val="24"/>
              </w:rPr>
              <w:t>)</w:t>
            </w:r>
          </w:p>
        </w:tc>
        <w:tc>
          <w:tcPr>
            <w:tcW w:w="879" w:type="pct"/>
            <w:vAlign w:val="center"/>
          </w:tcPr>
          <w:p w14:paraId="660A18CE" w14:textId="77777777" w:rsidR="003328F9" w:rsidRPr="00DD0D1F" w:rsidRDefault="003328F9" w:rsidP="003328F9">
            <w:pPr>
              <w:pStyle w:val="TableParagraph"/>
              <w:ind w:left="74" w:right="74"/>
              <w:jc w:val="center"/>
              <w:rPr>
                <w:szCs w:val="24"/>
              </w:rPr>
            </w:pPr>
            <w:r w:rsidRPr="00DD0D1F">
              <w:rPr>
                <w:szCs w:val="24"/>
              </w:rPr>
              <w:t>MET 21</w:t>
            </w:r>
          </w:p>
          <w:p w14:paraId="2C667B04" w14:textId="77777777" w:rsidR="003328F9" w:rsidRPr="00DD0D1F" w:rsidRDefault="003328F9" w:rsidP="003328F9">
            <w:pPr>
              <w:pStyle w:val="TableParagraph"/>
              <w:ind w:left="74" w:right="74"/>
              <w:jc w:val="center"/>
              <w:rPr>
                <w:szCs w:val="24"/>
              </w:rPr>
            </w:pPr>
            <w:r w:rsidRPr="00DD0D1F">
              <w:rPr>
                <w:szCs w:val="24"/>
              </w:rPr>
              <w:t>MET 57</w:t>
            </w:r>
          </w:p>
        </w:tc>
      </w:tr>
      <w:tr w:rsidR="003328F9" w:rsidRPr="00DD0D1F" w14:paraId="4D245EA7" w14:textId="77777777" w:rsidTr="003328F9">
        <w:trPr>
          <w:trHeight w:val="705"/>
        </w:trPr>
        <w:tc>
          <w:tcPr>
            <w:tcW w:w="735" w:type="pct"/>
            <w:gridSpan w:val="2"/>
            <w:vMerge/>
            <w:tcBorders>
              <w:top w:val="nil"/>
            </w:tcBorders>
            <w:vAlign w:val="center"/>
          </w:tcPr>
          <w:p w14:paraId="377AD29E" w14:textId="77777777" w:rsidR="003328F9" w:rsidRPr="00DD0D1F" w:rsidRDefault="003328F9" w:rsidP="003328F9">
            <w:pPr>
              <w:spacing w:line="240" w:lineRule="auto"/>
              <w:ind w:left="74" w:right="74"/>
              <w:rPr>
                <w:rFonts w:cs="Times New Roman"/>
                <w:szCs w:val="24"/>
                <w:lang w:val="tr-TR"/>
              </w:rPr>
            </w:pPr>
          </w:p>
        </w:tc>
        <w:tc>
          <w:tcPr>
            <w:tcW w:w="1230" w:type="pct"/>
            <w:gridSpan w:val="2"/>
            <w:vAlign w:val="center"/>
          </w:tcPr>
          <w:p w14:paraId="7DEED308" w14:textId="77777777" w:rsidR="003328F9" w:rsidRPr="00DD0D1F" w:rsidRDefault="003328F9" w:rsidP="00FF111D">
            <w:pPr>
              <w:pStyle w:val="TableParagraph"/>
              <w:numPr>
                <w:ilvl w:val="0"/>
                <w:numId w:val="40"/>
              </w:numPr>
              <w:tabs>
                <w:tab w:val="left" w:pos="428"/>
              </w:tabs>
              <w:ind w:left="326" w:right="74"/>
              <w:jc w:val="both"/>
              <w:rPr>
                <w:szCs w:val="24"/>
              </w:rPr>
            </w:pPr>
            <w:r w:rsidRPr="00DD0D1F">
              <w:rPr>
                <w:szCs w:val="24"/>
              </w:rPr>
              <w:t>Katı biyokütle ve/veya turba</w:t>
            </w:r>
          </w:p>
        </w:tc>
        <w:tc>
          <w:tcPr>
            <w:tcW w:w="636" w:type="pct"/>
            <w:gridSpan w:val="3"/>
            <w:vAlign w:val="center"/>
          </w:tcPr>
          <w:p w14:paraId="4E22DFBA" w14:textId="77777777" w:rsidR="003328F9" w:rsidRPr="00DD0D1F" w:rsidRDefault="003328F9" w:rsidP="003328F9">
            <w:pPr>
              <w:pStyle w:val="TableParagraph"/>
              <w:ind w:left="74" w:right="74"/>
              <w:jc w:val="center"/>
              <w:rPr>
                <w:szCs w:val="24"/>
              </w:rPr>
            </w:pPr>
          </w:p>
          <w:p w14:paraId="2AEDCC4C"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7FC33E65" w14:textId="77777777" w:rsidR="003328F9" w:rsidRPr="00DD0D1F" w:rsidRDefault="003328F9" w:rsidP="003328F9">
            <w:pPr>
              <w:pStyle w:val="TableParagraph"/>
              <w:ind w:left="74" w:right="74" w:hanging="96"/>
              <w:jc w:val="center"/>
              <w:rPr>
                <w:szCs w:val="24"/>
              </w:rPr>
            </w:pPr>
            <w:r w:rsidRPr="00DD0D1F">
              <w:rPr>
                <w:szCs w:val="24"/>
              </w:rPr>
              <w:t>Genel EN standartları</w:t>
            </w:r>
          </w:p>
        </w:tc>
        <w:tc>
          <w:tcPr>
            <w:tcW w:w="679" w:type="pct"/>
            <w:gridSpan w:val="2"/>
            <w:vAlign w:val="center"/>
          </w:tcPr>
          <w:p w14:paraId="003DB124" w14:textId="1837FEC2" w:rsidR="003328F9" w:rsidRPr="00DD0D1F" w:rsidRDefault="003328F9" w:rsidP="003328F9">
            <w:pPr>
              <w:pStyle w:val="TableParagraph"/>
              <w:ind w:left="74" w:right="74"/>
              <w:jc w:val="center"/>
              <w:rPr>
                <w:w w:val="95"/>
                <w:szCs w:val="24"/>
              </w:rPr>
            </w:pPr>
            <w:r w:rsidRPr="00DD0D1F">
              <w:rPr>
                <w:w w:val="95"/>
                <w:szCs w:val="24"/>
              </w:rPr>
              <w:t xml:space="preserve">Sürekli </w:t>
            </w:r>
            <w:r w:rsidR="00F41466" w:rsidRPr="00DD0D1F">
              <w:rPr>
                <w:w w:val="95"/>
                <w:szCs w:val="24"/>
              </w:rPr>
              <w:t xml:space="preserve">     </w:t>
            </w:r>
            <w:r w:rsidRPr="00DD0D1F">
              <w:rPr>
                <w:w w:val="95"/>
                <w:szCs w:val="24"/>
              </w:rPr>
              <w:t>(</w:t>
            </w:r>
            <w:r w:rsidRPr="00DD0D1F">
              <w:rPr>
                <w:szCs w:val="24"/>
                <w:vertAlign w:val="superscript"/>
              </w:rPr>
              <w:t>12</w:t>
            </w:r>
            <w:r w:rsidRPr="00DD0D1F">
              <w:rPr>
                <w:w w:val="95"/>
                <w:szCs w:val="24"/>
              </w:rPr>
              <w:t>) (</w:t>
            </w:r>
            <w:r w:rsidRPr="00DD0D1F">
              <w:rPr>
                <w:szCs w:val="24"/>
                <w:vertAlign w:val="superscript"/>
              </w:rPr>
              <w:t>13</w:t>
            </w:r>
            <w:r w:rsidRPr="00DD0D1F">
              <w:rPr>
                <w:w w:val="95"/>
                <w:szCs w:val="24"/>
              </w:rPr>
              <w:t>)</w:t>
            </w:r>
          </w:p>
        </w:tc>
        <w:tc>
          <w:tcPr>
            <w:tcW w:w="879" w:type="pct"/>
            <w:vAlign w:val="center"/>
          </w:tcPr>
          <w:p w14:paraId="59C15CB6" w14:textId="77777777" w:rsidR="003328F9" w:rsidRPr="00DD0D1F" w:rsidRDefault="003328F9" w:rsidP="003328F9">
            <w:pPr>
              <w:pStyle w:val="TableParagraph"/>
              <w:ind w:left="74" w:right="74"/>
              <w:jc w:val="center"/>
              <w:rPr>
                <w:szCs w:val="24"/>
              </w:rPr>
            </w:pPr>
          </w:p>
          <w:p w14:paraId="6A0E9984" w14:textId="77777777" w:rsidR="003328F9" w:rsidRPr="00DD0D1F" w:rsidRDefault="003328F9" w:rsidP="003328F9">
            <w:pPr>
              <w:pStyle w:val="TableParagraph"/>
              <w:ind w:left="74" w:right="74"/>
              <w:jc w:val="center"/>
              <w:rPr>
                <w:szCs w:val="24"/>
              </w:rPr>
            </w:pPr>
            <w:r w:rsidRPr="00DD0D1F">
              <w:rPr>
                <w:szCs w:val="24"/>
              </w:rPr>
              <w:t>MET 25</w:t>
            </w:r>
          </w:p>
        </w:tc>
      </w:tr>
      <w:tr w:rsidR="003328F9" w:rsidRPr="00DD0D1F" w14:paraId="42AD0E8A" w14:textId="77777777" w:rsidTr="003328F9">
        <w:trPr>
          <w:trHeight w:val="594"/>
        </w:trPr>
        <w:tc>
          <w:tcPr>
            <w:tcW w:w="735" w:type="pct"/>
            <w:gridSpan w:val="2"/>
            <w:vMerge/>
            <w:tcBorders>
              <w:top w:val="nil"/>
            </w:tcBorders>
            <w:vAlign w:val="center"/>
          </w:tcPr>
          <w:p w14:paraId="0750169F" w14:textId="77777777" w:rsidR="003328F9" w:rsidRPr="00DD0D1F" w:rsidRDefault="003328F9" w:rsidP="003328F9">
            <w:pPr>
              <w:spacing w:line="240" w:lineRule="auto"/>
              <w:ind w:left="74" w:right="74"/>
              <w:rPr>
                <w:rFonts w:cs="Times New Roman"/>
                <w:szCs w:val="24"/>
                <w:lang w:val="tr-TR"/>
              </w:rPr>
            </w:pPr>
          </w:p>
        </w:tc>
        <w:tc>
          <w:tcPr>
            <w:tcW w:w="1230" w:type="pct"/>
            <w:gridSpan w:val="2"/>
            <w:vAlign w:val="center"/>
          </w:tcPr>
          <w:p w14:paraId="26807F18" w14:textId="77777777" w:rsidR="003328F9" w:rsidRPr="00DD0D1F" w:rsidRDefault="003328F9" w:rsidP="00FF111D">
            <w:pPr>
              <w:pStyle w:val="TableParagraph"/>
              <w:numPr>
                <w:ilvl w:val="0"/>
                <w:numId w:val="39"/>
              </w:numPr>
              <w:tabs>
                <w:tab w:val="left" w:pos="428"/>
              </w:tabs>
              <w:ind w:left="326" w:right="74"/>
              <w:jc w:val="both"/>
              <w:rPr>
                <w:szCs w:val="24"/>
              </w:rPr>
            </w:pPr>
            <w:r w:rsidRPr="00DD0D1F">
              <w:rPr>
                <w:szCs w:val="24"/>
              </w:rPr>
              <w:t>Atıkların beraber yakılması</w:t>
            </w:r>
          </w:p>
        </w:tc>
        <w:tc>
          <w:tcPr>
            <w:tcW w:w="636" w:type="pct"/>
            <w:gridSpan w:val="3"/>
            <w:vAlign w:val="center"/>
          </w:tcPr>
          <w:p w14:paraId="2A989170"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3A1047BC"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79" w:type="pct"/>
            <w:gridSpan w:val="2"/>
            <w:vAlign w:val="center"/>
          </w:tcPr>
          <w:p w14:paraId="1D9CCD2B" w14:textId="77777777" w:rsidR="003328F9" w:rsidRPr="00DD0D1F" w:rsidRDefault="003328F9" w:rsidP="003328F9">
            <w:pPr>
              <w:pStyle w:val="TableParagraph"/>
              <w:ind w:left="74" w:right="74"/>
              <w:jc w:val="center"/>
              <w:rPr>
                <w:szCs w:val="24"/>
              </w:rPr>
            </w:pPr>
            <w:r w:rsidRPr="00DD0D1F">
              <w:rPr>
                <w:szCs w:val="24"/>
              </w:rPr>
              <w:t>Sürekli (</w:t>
            </w:r>
            <w:r w:rsidRPr="00DD0D1F">
              <w:rPr>
                <w:szCs w:val="24"/>
                <w:vertAlign w:val="superscript"/>
              </w:rPr>
              <w:t>3</w:t>
            </w:r>
            <w:r w:rsidRPr="00DD0D1F">
              <w:rPr>
                <w:szCs w:val="24"/>
              </w:rPr>
              <w:t>)(</w:t>
            </w:r>
            <w:r w:rsidRPr="00DD0D1F">
              <w:rPr>
                <w:szCs w:val="24"/>
                <w:vertAlign w:val="superscript"/>
              </w:rPr>
              <w:t>13</w:t>
            </w:r>
            <w:r w:rsidRPr="00DD0D1F">
              <w:rPr>
                <w:szCs w:val="24"/>
              </w:rPr>
              <w:t>)</w:t>
            </w:r>
          </w:p>
        </w:tc>
        <w:tc>
          <w:tcPr>
            <w:tcW w:w="879" w:type="pct"/>
            <w:vAlign w:val="center"/>
          </w:tcPr>
          <w:p w14:paraId="2377A43E" w14:textId="77777777" w:rsidR="003328F9" w:rsidRPr="00DD0D1F" w:rsidRDefault="003328F9" w:rsidP="003328F9">
            <w:pPr>
              <w:pStyle w:val="TableParagraph"/>
              <w:ind w:left="74" w:right="74"/>
              <w:jc w:val="center"/>
              <w:rPr>
                <w:szCs w:val="24"/>
              </w:rPr>
            </w:pPr>
            <w:r w:rsidRPr="00DD0D1F">
              <w:rPr>
                <w:szCs w:val="24"/>
              </w:rPr>
              <w:t>MET 66</w:t>
            </w:r>
          </w:p>
          <w:p w14:paraId="3FE4AC26" w14:textId="77777777" w:rsidR="003328F9" w:rsidRPr="00DD0D1F" w:rsidRDefault="003328F9" w:rsidP="003328F9">
            <w:pPr>
              <w:pStyle w:val="TableParagraph"/>
              <w:ind w:left="74" w:right="74"/>
              <w:jc w:val="center"/>
              <w:rPr>
                <w:szCs w:val="24"/>
              </w:rPr>
            </w:pPr>
            <w:r w:rsidRPr="00DD0D1F">
              <w:rPr>
                <w:szCs w:val="24"/>
              </w:rPr>
              <w:t>MET 67</w:t>
            </w:r>
          </w:p>
        </w:tc>
      </w:tr>
      <w:tr w:rsidR="00F41466" w:rsidRPr="00DD0D1F" w14:paraId="400F6098" w14:textId="77777777" w:rsidTr="003328F9">
        <w:trPr>
          <w:trHeight w:val="918"/>
        </w:trPr>
        <w:tc>
          <w:tcPr>
            <w:tcW w:w="735" w:type="pct"/>
            <w:gridSpan w:val="2"/>
            <w:vMerge w:val="restart"/>
            <w:vAlign w:val="center"/>
          </w:tcPr>
          <w:p w14:paraId="04138AB8" w14:textId="77777777" w:rsidR="00F41466" w:rsidRPr="00DD0D1F" w:rsidRDefault="00F41466" w:rsidP="003328F9">
            <w:pPr>
              <w:pStyle w:val="TableParagraph"/>
              <w:ind w:left="74" w:right="74"/>
              <w:jc w:val="both"/>
              <w:rPr>
                <w:szCs w:val="24"/>
              </w:rPr>
            </w:pPr>
            <w:r w:rsidRPr="00DD0D1F">
              <w:rPr>
                <w:szCs w:val="24"/>
              </w:rPr>
              <w:t>HF</w:t>
            </w:r>
          </w:p>
        </w:tc>
        <w:tc>
          <w:tcPr>
            <w:tcW w:w="1230" w:type="pct"/>
            <w:gridSpan w:val="2"/>
            <w:vAlign w:val="center"/>
          </w:tcPr>
          <w:p w14:paraId="4F5B59EF" w14:textId="77777777" w:rsidR="00C355F8" w:rsidRPr="00DD0D1F" w:rsidRDefault="00C355F8" w:rsidP="00C355F8">
            <w:pPr>
              <w:pStyle w:val="TableParagraph"/>
              <w:numPr>
                <w:ilvl w:val="0"/>
                <w:numId w:val="43"/>
              </w:numPr>
              <w:tabs>
                <w:tab w:val="left" w:pos="428"/>
              </w:tabs>
              <w:ind w:left="326" w:right="74"/>
              <w:jc w:val="both"/>
              <w:rPr>
                <w:szCs w:val="24"/>
              </w:rPr>
            </w:pPr>
            <w:r w:rsidRPr="00DD0D1F">
              <w:rPr>
                <w:szCs w:val="24"/>
              </w:rPr>
              <w:t>Kömür ve/veya linyit</w:t>
            </w:r>
          </w:p>
          <w:p w14:paraId="7CBD6C5D" w14:textId="5F78F9D5" w:rsidR="00F41466" w:rsidRPr="00DD0D1F" w:rsidRDefault="00C355F8" w:rsidP="00C355F8">
            <w:pPr>
              <w:pStyle w:val="TableParagraph"/>
              <w:numPr>
                <w:ilvl w:val="0"/>
                <w:numId w:val="43"/>
              </w:numPr>
              <w:tabs>
                <w:tab w:val="left" w:pos="428"/>
              </w:tabs>
              <w:ind w:left="326" w:right="74"/>
              <w:jc w:val="both"/>
              <w:rPr>
                <w:szCs w:val="24"/>
              </w:rPr>
            </w:pPr>
            <w:r w:rsidRPr="00DD0D1F">
              <w:rPr>
                <w:szCs w:val="24"/>
              </w:rPr>
              <w:t>Kazanlardaki kimya endüstrisinden elde edilen proses yakıtları</w:t>
            </w:r>
          </w:p>
        </w:tc>
        <w:tc>
          <w:tcPr>
            <w:tcW w:w="636" w:type="pct"/>
            <w:gridSpan w:val="3"/>
            <w:vAlign w:val="center"/>
          </w:tcPr>
          <w:p w14:paraId="09F31C7B" w14:textId="77777777" w:rsidR="00F41466" w:rsidRPr="00DD0D1F" w:rsidRDefault="00F41466" w:rsidP="003328F9">
            <w:pPr>
              <w:pStyle w:val="TableParagraph"/>
              <w:ind w:left="74" w:right="74"/>
              <w:jc w:val="center"/>
              <w:rPr>
                <w:szCs w:val="24"/>
              </w:rPr>
            </w:pPr>
            <w:r w:rsidRPr="00DD0D1F">
              <w:rPr>
                <w:szCs w:val="24"/>
              </w:rPr>
              <w:t>Tümü</w:t>
            </w:r>
          </w:p>
        </w:tc>
        <w:tc>
          <w:tcPr>
            <w:tcW w:w="841" w:type="pct"/>
            <w:gridSpan w:val="2"/>
            <w:vAlign w:val="center"/>
          </w:tcPr>
          <w:p w14:paraId="4E98555A" w14:textId="77777777" w:rsidR="00F41466" w:rsidRPr="00DD0D1F" w:rsidRDefault="00F41466" w:rsidP="003328F9">
            <w:pPr>
              <w:pStyle w:val="TableParagraph"/>
              <w:ind w:left="74" w:right="74"/>
              <w:jc w:val="center"/>
              <w:rPr>
                <w:szCs w:val="24"/>
              </w:rPr>
            </w:pPr>
            <w:r w:rsidRPr="00DD0D1F">
              <w:rPr>
                <w:szCs w:val="24"/>
              </w:rPr>
              <w:t>EN standardı yok</w:t>
            </w:r>
          </w:p>
        </w:tc>
        <w:tc>
          <w:tcPr>
            <w:tcW w:w="679" w:type="pct"/>
            <w:gridSpan w:val="2"/>
            <w:vAlign w:val="center"/>
          </w:tcPr>
          <w:p w14:paraId="450F4027" w14:textId="77777777" w:rsidR="00F41466" w:rsidRPr="00DD0D1F" w:rsidRDefault="00F41466" w:rsidP="003328F9">
            <w:pPr>
              <w:pStyle w:val="TableParagraph"/>
              <w:ind w:left="74" w:right="74"/>
              <w:jc w:val="center"/>
              <w:rPr>
                <w:szCs w:val="24"/>
              </w:rPr>
            </w:pPr>
            <w:r w:rsidRPr="00DD0D1F">
              <w:rPr>
                <w:szCs w:val="24"/>
              </w:rPr>
              <w:t>Üç ayda bir (</w:t>
            </w:r>
            <w:r w:rsidRPr="00DD0D1F">
              <w:rPr>
                <w:szCs w:val="24"/>
                <w:vertAlign w:val="superscript"/>
              </w:rPr>
              <w:t>3</w:t>
            </w:r>
            <w:r w:rsidRPr="00DD0D1F">
              <w:rPr>
                <w:szCs w:val="24"/>
              </w:rPr>
              <w:t>) (</w:t>
            </w:r>
            <w:r w:rsidRPr="00DD0D1F">
              <w:rPr>
                <w:szCs w:val="24"/>
                <w:vertAlign w:val="superscript"/>
              </w:rPr>
              <w:t>10</w:t>
            </w:r>
            <w:r w:rsidRPr="00DD0D1F">
              <w:rPr>
                <w:szCs w:val="24"/>
              </w:rPr>
              <w:t>) (</w:t>
            </w:r>
            <w:r w:rsidRPr="00DD0D1F">
              <w:rPr>
                <w:szCs w:val="24"/>
                <w:vertAlign w:val="superscript"/>
              </w:rPr>
              <w:t>11</w:t>
            </w:r>
            <w:r w:rsidRPr="00DD0D1F">
              <w:rPr>
                <w:szCs w:val="24"/>
              </w:rPr>
              <w:t>)</w:t>
            </w:r>
          </w:p>
        </w:tc>
        <w:tc>
          <w:tcPr>
            <w:tcW w:w="879" w:type="pct"/>
            <w:vAlign w:val="center"/>
          </w:tcPr>
          <w:p w14:paraId="751CE591" w14:textId="77777777" w:rsidR="00F41466" w:rsidRPr="00DD0D1F" w:rsidRDefault="00F41466" w:rsidP="003328F9">
            <w:pPr>
              <w:pStyle w:val="TableParagraph"/>
              <w:ind w:left="74" w:right="74"/>
              <w:jc w:val="center"/>
              <w:rPr>
                <w:szCs w:val="24"/>
              </w:rPr>
            </w:pPr>
            <w:r w:rsidRPr="00DD0D1F">
              <w:rPr>
                <w:szCs w:val="24"/>
              </w:rPr>
              <w:t>MET 21</w:t>
            </w:r>
          </w:p>
          <w:p w14:paraId="709FDDDD" w14:textId="77777777" w:rsidR="00F41466" w:rsidRPr="00DD0D1F" w:rsidRDefault="00F41466" w:rsidP="003328F9">
            <w:pPr>
              <w:pStyle w:val="TableParagraph"/>
              <w:ind w:left="74" w:right="74"/>
              <w:jc w:val="center"/>
              <w:rPr>
                <w:szCs w:val="24"/>
              </w:rPr>
            </w:pPr>
            <w:r w:rsidRPr="00DD0D1F">
              <w:rPr>
                <w:szCs w:val="24"/>
              </w:rPr>
              <w:t>MET 57</w:t>
            </w:r>
          </w:p>
        </w:tc>
      </w:tr>
      <w:tr w:rsidR="00F41466" w:rsidRPr="00DD0D1F" w14:paraId="2115D8E4" w14:textId="77777777" w:rsidTr="0070132C">
        <w:trPr>
          <w:trHeight w:val="707"/>
        </w:trPr>
        <w:tc>
          <w:tcPr>
            <w:tcW w:w="735" w:type="pct"/>
            <w:gridSpan w:val="2"/>
            <w:vMerge/>
            <w:vAlign w:val="center"/>
          </w:tcPr>
          <w:p w14:paraId="28F9840E" w14:textId="77777777" w:rsidR="00F41466" w:rsidRPr="00DD0D1F" w:rsidRDefault="00F41466" w:rsidP="003328F9">
            <w:pPr>
              <w:spacing w:line="240" w:lineRule="auto"/>
              <w:ind w:left="74" w:right="74"/>
              <w:rPr>
                <w:rFonts w:cs="Times New Roman"/>
                <w:szCs w:val="24"/>
                <w:lang w:val="tr-TR"/>
              </w:rPr>
            </w:pPr>
          </w:p>
        </w:tc>
        <w:tc>
          <w:tcPr>
            <w:tcW w:w="1230" w:type="pct"/>
            <w:gridSpan w:val="2"/>
            <w:vAlign w:val="center"/>
          </w:tcPr>
          <w:p w14:paraId="074BE8F4" w14:textId="77777777" w:rsidR="00F41466" w:rsidRPr="00DD0D1F" w:rsidRDefault="00F41466" w:rsidP="00FF111D">
            <w:pPr>
              <w:pStyle w:val="TableParagraph"/>
              <w:numPr>
                <w:ilvl w:val="0"/>
                <w:numId w:val="37"/>
              </w:numPr>
              <w:tabs>
                <w:tab w:val="left" w:pos="428"/>
              </w:tabs>
              <w:ind w:left="326" w:right="74"/>
              <w:jc w:val="both"/>
              <w:rPr>
                <w:szCs w:val="24"/>
              </w:rPr>
            </w:pPr>
            <w:r w:rsidRPr="00DD0D1F">
              <w:rPr>
                <w:szCs w:val="24"/>
              </w:rPr>
              <w:t>Katı biyokütle ve/veya turba</w:t>
            </w:r>
          </w:p>
        </w:tc>
        <w:tc>
          <w:tcPr>
            <w:tcW w:w="636" w:type="pct"/>
            <w:gridSpan w:val="3"/>
            <w:vAlign w:val="center"/>
          </w:tcPr>
          <w:p w14:paraId="06348048" w14:textId="77777777" w:rsidR="00F41466" w:rsidRPr="00DD0D1F" w:rsidRDefault="00F41466" w:rsidP="003328F9">
            <w:pPr>
              <w:pStyle w:val="TableParagraph"/>
              <w:ind w:left="74" w:right="74"/>
              <w:jc w:val="center"/>
              <w:rPr>
                <w:szCs w:val="24"/>
              </w:rPr>
            </w:pPr>
            <w:r w:rsidRPr="00DD0D1F">
              <w:rPr>
                <w:szCs w:val="24"/>
              </w:rPr>
              <w:t>Tümü</w:t>
            </w:r>
          </w:p>
        </w:tc>
        <w:tc>
          <w:tcPr>
            <w:tcW w:w="841" w:type="pct"/>
            <w:gridSpan w:val="2"/>
            <w:vAlign w:val="center"/>
          </w:tcPr>
          <w:p w14:paraId="272A0101" w14:textId="77777777" w:rsidR="00F41466" w:rsidRPr="00DD0D1F" w:rsidRDefault="00F41466" w:rsidP="003328F9">
            <w:pPr>
              <w:pStyle w:val="TableParagraph"/>
              <w:ind w:left="74" w:right="74"/>
              <w:jc w:val="center"/>
              <w:rPr>
                <w:szCs w:val="24"/>
              </w:rPr>
            </w:pPr>
            <w:r w:rsidRPr="00DD0D1F">
              <w:rPr>
                <w:szCs w:val="24"/>
              </w:rPr>
              <w:t>EN standardı yok</w:t>
            </w:r>
          </w:p>
        </w:tc>
        <w:tc>
          <w:tcPr>
            <w:tcW w:w="679" w:type="pct"/>
            <w:gridSpan w:val="2"/>
            <w:vAlign w:val="center"/>
          </w:tcPr>
          <w:p w14:paraId="11755BB5" w14:textId="77777777" w:rsidR="00F41466" w:rsidRPr="00DD0D1F" w:rsidRDefault="00F41466" w:rsidP="003328F9">
            <w:pPr>
              <w:pStyle w:val="TableParagraph"/>
              <w:ind w:left="74" w:right="74"/>
              <w:jc w:val="center"/>
              <w:rPr>
                <w:szCs w:val="24"/>
              </w:rPr>
            </w:pPr>
            <w:r w:rsidRPr="00DD0D1F">
              <w:rPr>
                <w:szCs w:val="24"/>
              </w:rPr>
              <w:t>Yılda bir kez</w:t>
            </w:r>
          </w:p>
        </w:tc>
        <w:tc>
          <w:tcPr>
            <w:tcW w:w="879" w:type="pct"/>
            <w:vAlign w:val="center"/>
          </w:tcPr>
          <w:p w14:paraId="5E4BE826" w14:textId="77777777" w:rsidR="00F41466" w:rsidRPr="00DD0D1F" w:rsidRDefault="00F41466" w:rsidP="003328F9">
            <w:pPr>
              <w:pStyle w:val="TableParagraph"/>
              <w:ind w:left="74" w:right="74"/>
              <w:jc w:val="center"/>
              <w:rPr>
                <w:szCs w:val="24"/>
              </w:rPr>
            </w:pPr>
            <w:r w:rsidRPr="00DD0D1F">
              <w:rPr>
                <w:szCs w:val="24"/>
              </w:rPr>
              <w:t>MET 25</w:t>
            </w:r>
          </w:p>
        </w:tc>
      </w:tr>
      <w:tr w:rsidR="00F41466" w:rsidRPr="00DD0D1F" w14:paraId="601BED0A" w14:textId="77777777" w:rsidTr="003328F9">
        <w:trPr>
          <w:trHeight w:val="458"/>
        </w:trPr>
        <w:tc>
          <w:tcPr>
            <w:tcW w:w="735" w:type="pct"/>
            <w:gridSpan w:val="2"/>
            <w:vMerge/>
            <w:vAlign w:val="center"/>
          </w:tcPr>
          <w:p w14:paraId="5E2E698F" w14:textId="77777777" w:rsidR="00F41466" w:rsidRPr="00DD0D1F" w:rsidRDefault="00F41466" w:rsidP="003328F9">
            <w:pPr>
              <w:pStyle w:val="TableParagraph"/>
              <w:ind w:left="74" w:right="74"/>
              <w:jc w:val="both"/>
              <w:rPr>
                <w:szCs w:val="24"/>
              </w:rPr>
            </w:pPr>
          </w:p>
        </w:tc>
        <w:tc>
          <w:tcPr>
            <w:tcW w:w="1220" w:type="pct"/>
            <w:vAlign w:val="center"/>
          </w:tcPr>
          <w:p w14:paraId="35947EC6" w14:textId="77777777" w:rsidR="00F41466" w:rsidRPr="00DD0D1F" w:rsidRDefault="00F41466" w:rsidP="00FF111D">
            <w:pPr>
              <w:pStyle w:val="TableParagraph"/>
              <w:numPr>
                <w:ilvl w:val="0"/>
                <w:numId w:val="36"/>
              </w:numPr>
              <w:tabs>
                <w:tab w:val="left" w:pos="430"/>
              </w:tabs>
              <w:ind w:left="326" w:right="74"/>
              <w:jc w:val="both"/>
              <w:rPr>
                <w:szCs w:val="24"/>
              </w:rPr>
            </w:pPr>
            <w:r w:rsidRPr="00DD0D1F">
              <w:rPr>
                <w:szCs w:val="24"/>
              </w:rPr>
              <w:t>Atıkların beraber yakılması</w:t>
            </w:r>
          </w:p>
        </w:tc>
        <w:tc>
          <w:tcPr>
            <w:tcW w:w="646" w:type="pct"/>
            <w:gridSpan w:val="4"/>
            <w:vAlign w:val="center"/>
          </w:tcPr>
          <w:p w14:paraId="1CD03405" w14:textId="77777777" w:rsidR="00F41466" w:rsidRPr="00DD0D1F" w:rsidRDefault="00F41466" w:rsidP="003328F9">
            <w:pPr>
              <w:pStyle w:val="TableParagraph"/>
              <w:ind w:left="74" w:right="74"/>
              <w:jc w:val="center"/>
              <w:rPr>
                <w:szCs w:val="24"/>
              </w:rPr>
            </w:pPr>
            <w:r w:rsidRPr="00DD0D1F">
              <w:rPr>
                <w:szCs w:val="24"/>
              </w:rPr>
              <w:t>Tümü</w:t>
            </w:r>
          </w:p>
        </w:tc>
        <w:tc>
          <w:tcPr>
            <w:tcW w:w="841" w:type="pct"/>
            <w:gridSpan w:val="2"/>
            <w:vAlign w:val="center"/>
          </w:tcPr>
          <w:p w14:paraId="7A685F3B" w14:textId="77777777" w:rsidR="00F41466" w:rsidRPr="00DD0D1F" w:rsidRDefault="00F41466" w:rsidP="003328F9">
            <w:pPr>
              <w:pStyle w:val="TableParagraph"/>
              <w:ind w:left="74" w:right="74" w:hanging="52"/>
              <w:jc w:val="center"/>
              <w:rPr>
                <w:szCs w:val="24"/>
              </w:rPr>
            </w:pPr>
            <w:r w:rsidRPr="00DD0D1F">
              <w:rPr>
                <w:szCs w:val="24"/>
              </w:rPr>
              <w:t>Genel EN standartları</w:t>
            </w:r>
          </w:p>
        </w:tc>
        <w:tc>
          <w:tcPr>
            <w:tcW w:w="679" w:type="pct"/>
            <w:gridSpan w:val="2"/>
            <w:vAlign w:val="center"/>
          </w:tcPr>
          <w:p w14:paraId="111A5C36" w14:textId="77777777" w:rsidR="00F41466" w:rsidRPr="00DD0D1F" w:rsidRDefault="00F41466" w:rsidP="003328F9">
            <w:pPr>
              <w:pStyle w:val="TableParagraph"/>
              <w:ind w:left="74" w:right="74"/>
              <w:jc w:val="center"/>
              <w:rPr>
                <w:szCs w:val="24"/>
              </w:rPr>
            </w:pPr>
            <w:r w:rsidRPr="00DD0D1F">
              <w:rPr>
                <w:w w:val="95"/>
                <w:szCs w:val="24"/>
              </w:rPr>
              <w:t>Sürekli (</w:t>
            </w:r>
            <w:r w:rsidRPr="00DD0D1F">
              <w:rPr>
                <w:szCs w:val="24"/>
                <w:vertAlign w:val="superscript"/>
              </w:rPr>
              <w:t>3</w:t>
            </w:r>
            <w:r w:rsidRPr="00DD0D1F">
              <w:rPr>
                <w:w w:val="95"/>
                <w:szCs w:val="24"/>
              </w:rPr>
              <w:t>)(</w:t>
            </w:r>
            <w:r w:rsidRPr="00DD0D1F">
              <w:rPr>
                <w:szCs w:val="24"/>
                <w:vertAlign w:val="superscript"/>
              </w:rPr>
              <w:t>13</w:t>
            </w:r>
            <w:r w:rsidRPr="00DD0D1F">
              <w:rPr>
                <w:w w:val="95"/>
                <w:szCs w:val="24"/>
              </w:rPr>
              <w:t>)</w:t>
            </w:r>
          </w:p>
        </w:tc>
        <w:tc>
          <w:tcPr>
            <w:tcW w:w="879" w:type="pct"/>
            <w:vAlign w:val="center"/>
          </w:tcPr>
          <w:p w14:paraId="3B504E2C" w14:textId="77777777" w:rsidR="00F41466" w:rsidRPr="00DD0D1F" w:rsidRDefault="00F41466" w:rsidP="003328F9">
            <w:pPr>
              <w:pStyle w:val="TableParagraph"/>
              <w:ind w:left="74" w:right="74"/>
              <w:jc w:val="center"/>
              <w:rPr>
                <w:szCs w:val="24"/>
              </w:rPr>
            </w:pPr>
            <w:r w:rsidRPr="00DD0D1F">
              <w:rPr>
                <w:szCs w:val="24"/>
              </w:rPr>
              <w:t>MET 66</w:t>
            </w:r>
          </w:p>
          <w:p w14:paraId="12D3BD90" w14:textId="77777777" w:rsidR="00F41466" w:rsidRPr="00DD0D1F" w:rsidRDefault="00F41466" w:rsidP="003328F9">
            <w:pPr>
              <w:pStyle w:val="TableParagraph"/>
              <w:ind w:left="74" w:right="74"/>
              <w:jc w:val="center"/>
              <w:rPr>
                <w:szCs w:val="24"/>
              </w:rPr>
            </w:pPr>
            <w:r w:rsidRPr="00DD0D1F">
              <w:rPr>
                <w:szCs w:val="24"/>
              </w:rPr>
              <w:t>MET 67</w:t>
            </w:r>
          </w:p>
        </w:tc>
      </w:tr>
      <w:tr w:rsidR="003328F9" w:rsidRPr="00DD0D1F" w14:paraId="12F5BA91" w14:textId="77777777" w:rsidTr="003328F9">
        <w:trPr>
          <w:trHeight w:val="3441"/>
        </w:trPr>
        <w:tc>
          <w:tcPr>
            <w:tcW w:w="735" w:type="pct"/>
            <w:gridSpan w:val="2"/>
            <w:vMerge w:val="restart"/>
            <w:vAlign w:val="center"/>
          </w:tcPr>
          <w:p w14:paraId="2A618D86" w14:textId="77777777" w:rsidR="003328F9" w:rsidRPr="00DD0D1F" w:rsidRDefault="003328F9" w:rsidP="003328F9">
            <w:pPr>
              <w:pStyle w:val="TableParagraph"/>
              <w:ind w:left="74" w:right="74"/>
              <w:jc w:val="both"/>
              <w:rPr>
                <w:szCs w:val="24"/>
              </w:rPr>
            </w:pPr>
            <w:r w:rsidRPr="00DD0D1F">
              <w:rPr>
                <w:szCs w:val="24"/>
              </w:rPr>
              <w:t>Toz</w:t>
            </w:r>
          </w:p>
        </w:tc>
        <w:tc>
          <w:tcPr>
            <w:tcW w:w="1220" w:type="pct"/>
            <w:vAlign w:val="center"/>
          </w:tcPr>
          <w:p w14:paraId="7B7F0EF0"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Kömür ve/veya linyit</w:t>
            </w:r>
          </w:p>
          <w:p w14:paraId="546D1568"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Katı biyokütle ve/veya turba</w:t>
            </w:r>
          </w:p>
          <w:p w14:paraId="77DB194F"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HFO ve/veya gaz yağı ile çalışan kazanlar</w:t>
            </w:r>
          </w:p>
          <w:p w14:paraId="2B66E66F"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Demir ve çelik proses gazları</w:t>
            </w:r>
          </w:p>
          <w:p w14:paraId="25A2F82F"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Kazanlardaki kimya endüstrisinden elde edilen proses yakıtları</w:t>
            </w:r>
          </w:p>
          <w:p w14:paraId="7817DDF7"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IGCC tesisleri</w:t>
            </w:r>
          </w:p>
          <w:p w14:paraId="46AB4417"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HFO ve/veya gaz yağıyla çalışan motorlar</w:t>
            </w:r>
          </w:p>
          <w:p w14:paraId="33600DD5"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Gaz yağıyla çalışan gaz türbinleri</w:t>
            </w:r>
          </w:p>
        </w:tc>
        <w:tc>
          <w:tcPr>
            <w:tcW w:w="646" w:type="pct"/>
            <w:gridSpan w:val="4"/>
            <w:vAlign w:val="center"/>
          </w:tcPr>
          <w:p w14:paraId="06FF784D"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11B6E63C" w14:textId="77777777" w:rsidR="003328F9" w:rsidRPr="00DD0D1F" w:rsidRDefault="003328F9" w:rsidP="003328F9">
            <w:pPr>
              <w:pStyle w:val="TableParagraph"/>
              <w:ind w:left="74" w:right="74" w:firstLine="151"/>
              <w:jc w:val="center"/>
              <w:rPr>
                <w:szCs w:val="24"/>
              </w:rPr>
            </w:pPr>
            <w:r w:rsidRPr="00DD0D1F">
              <w:rPr>
                <w:szCs w:val="24"/>
              </w:rPr>
              <w:t>Genel EN standartları</w:t>
            </w:r>
          </w:p>
          <w:p w14:paraId="30AB517B" w14:textId="77777777" w:rsidR="003328F9" w:rsidRPr="00DD0D1F" w:rsidRDefault="003328F9" w:rsidP="003328F9">
            <w:pPr>
              <w:pStyle w:val="TableParagraph"/>
              <w:ind w:left="74" w:right="74" w:firstLine="151"/>
              <w:jc w:val="center"/>
              <w:rPr>
                <w:szCs w:val="24"/>
              </w:rPr>
            </w:pPr>
            <w:r w:rsidRPr="00DD0D1F">
              <w:rPr>
                <w:szCs w:val="24"/>
              </w:rPr>
              <w:t>ve EN 13284-1 ve</w:t>
            </w:r>
          </w:p>
          <w:p w14:paraId="3761B2AD" w14:textId="77777777" w:rsidR="003328F9" w:rsidRPr="00DD0D1F" w:rsidRDefault="003328F9" w:rsidP="003328F9">
            <w:pPr>
              <w:pStyle w:val="TableParagraph"/>
              <w:ind w:left="74" w:right="74"/>
              <w:jc w:val="center"/>
              <w:rPr>
                <w:szCs w:val="24"/>
              </w:rPr>
            </w:pPr>
            <w:r w:rsidRPr="00DD0D1F">
              <w:rPr>
                <w:szCs w:val="24"/>
              </w:rPr>
              <w:t>EN 13284-2</w:t>
            </w:r>
          </w:p>
        </w:tc>
        <w:tc>
          <w:tcPr>
            <w:tcW w:w="679" w:type="pct"/>
            <w:gridSpan w:val="2"/>
            <w:vAlign w:val="center"/>
          </w:tcPr>
          <w:p w14:paraId="3A106C44" w14:textId="77777777" w:rsidR="003328F9" w:rsidRPr="00DD0D1F" w:rsidRDefault="003328F9" w:rsidP="003328F9">
            <w:pPr>
              <w:pStyle w:val="TableParagraph"/>
              <w:ind w:left="305" w:right="74" w:hanging="231"/>
              <w:jc w:val="center"/>
              <w:rPr>
                <w:w w:val="95"/>
                <w:szCs w:val="24"/>
              </w:rPr>
            </w:pPr>
            <w:r w:rsidRPr="00DD0D1F">
              <w:rPr>
                <w:w w:val="95"/>
                <w:szCs w:val="24"/>
              </w:rPr>
              <w:t>Sürekli (</w:t>
            </w:r>
            <w:r w:rsidRPr="00DD0D1F">
              <w:rPr>
                <w:szCs w:val="24"/>
                <w:vertAlign w:val="superscript"/>
              </w:rPr>
              <w:t>3</w:t>
            </w:r>
            <w:r w:rsidRPr="00DD0D1F">
              <w:rPr>
                <w:w w:val="95"/>
                <w:szCs w:val="24"/>
              </w:rPr>
              <w:t>)(</w:t>
            </w:r>
            <w:r w:rsidRPr="00DD0D1F">
              <w:rPr>
                <w:szCs w:val="24"/>
                <w:vertAlign w:val="superscript"/>
              </w:rPr>
              <w:t>14</w:t>
            </w:r>
            <w:r w:rsidRPr="00DD0D1F">
              <w:rPr>
                <w:w w:val="95"/>
                <w:szCs w:val="24"/>
              </w:rPr>
              <w:t>)</w:t>
            </w:r>
          </w:p>
        </w:tc>
        <w:tc>
          <w:tcPr>
            <w:tcW w:w="879" w:type="pct"/>
            <w:vAlign w:val="center"/>
          </w:tcPr>
          <w:p w14:paraId="2316493E" w14:textId="77777777" w:rsidR="003328F9" w:rsidRPr="00DD0D1F" w:rsidRDefault="003328F9" w:rsidP="003328F9">
            <w:pPr>
              <w:pStyle w:val="TableParagraph"/>
              <w:ind w:left="74" w:right="74"/>
              <w:jc w:val="center"/>
              <w:rPr>
                <w:szCs w:val="24"/>
              </w:rPr>
            </w:pPr>
            <w:r w:rsidRPr="00DD0D1F">
              <w:rPr>
                <w:szCs w:val="24"/>
              </w:rPr>
              <w:t>MET 22</w:t>
            </w:r>
          </w:p>
          <w:p w14:paraId="29048F84" w14:textId="77777777" w:rsidR="003328F9" w:rsidRPr="00DD0D1F" w:rsidRDefault="003328F9" w:rsidP="003328F9">
            <w:pPr>
              <w:pStyle w:val="TableParagraph"/>
              <w:ind w:left="74" w:right="74"/>
              <w:jc w:val="center"/>
              <w:rPr>
                <w:szCs w:val="24"/>
              </w:rPr>
            </w:pPr>
            <w:r w:rsidRPr="00DD0D1F">
              <w:rPr>
                <w:szCs w:val="24"/>
              </w:rPr>
              <w:t>MET 26</w:t>
            </w:r>
          </w:p>
          <w:p w14:paraId="2F027313" w14:textId="77777777" w:rsidR="003328F9" w:rsidRPr="00DD0D1F" w:rsidRDefault="003328F9" w:rsidP="003328F9">
            <w:pPr>
              <w:pStyle w:val="TableParagraph"/>
              <w:ind w:left="74" w:right="74"/>
              <w:jc w:val="center"/>
              <w:rPr>
                <w:szCs w:val="24"/>
              </w:rPr>
            </w:pPr>
            <w:r w:rsidRPr="00DD0D1F">
              <w:rPr>
                <w:szCs w:val="24"/>
              </w:rPr>
              <w:t>MET 30</w:t>
            </w:r>
          </w:p>
          <w:p w14:paraId="0C057B9E" w14:textId="77777777" w:rsidR="003328F9" w:rsidRPr="00DD0D1F" w:rsidRDefault="003328F9" w:rsidP="003328F9">
            <w:pPr>
              <w:pStyle w:val="TableParagraph"/>
              <w:ind w:left="74" w:right="74"/>
              <w:jc w:val="center"/>
              <w:rPr>
                <w:szCs w:val="24"/>
              </w:rPr>
            </w:pPr>
            <w:r w:rsidRPr="00DD0D1F">
              <w:rPr>
                <w:szCs w:val="24"/>
              </w:rPr>
              <w:t>MET 35</w:t>
            </w:r>
          </w:p>
          <w:p w14:paraId="49641C76" w14:textId="77777777" w:rsidR="003328F9" w:rsidRPr="00DD0D1F" w:rsidRDefault="003328F9" w:rsidP="003328F9">
            <w:pPr>
              <w:pStyle w:val="TableParagraph"/>
              <w:ind w:left="74" w:right="74"/>
              <w:jc w:val="center"/>
              <w:rPr>
                <w:szCs w:val="24"/>
              </w:rPr>
            </w:pPr>
            <w:r w:rsidRPr="00DD0D1F">
              <w:rPr>
                <w:szCs w:val="24"/>
              </w:rPr>
              <w:t>MET 39</w:t>
            </w:r>
          </w:p>
          <w:p w14:paraId="20A4C053" w14:textId="77777777" w:rsidR="003328F9" w:rsidRPr="00DD0D1F" w:rsidRDefault="003328F9" w:rsidP="003328F9">
            <w:pPr>
              <w:pStyle w:val="TableParagraph"/>
              <w:ind w:left="74" w:right="74"/>
              <w:jc w:val="center"/>
              <w:rPr>
                <w:szCs w:val="24"/>
              </w:rPr>
            </w:pPr>
            <w:r w:rsidRPr="00DD0D1F">
              <w:rPr>
                <w:szCs w:val="24"/>
              </w:rPr>
              <w:t>MET 51</w:t>
            </w:r>
          </w:p>
          <w:p w14:paraId="6B72E161" w14:textId="77777777" w:rsidR="003328F9" w:rsidRPr="00DD0D1F" w:rsidRDefault="003328F9" w:rsidP="003328F9">
            <w:pPr>
              <w:pStyle w:val="TableParagraph"/>
              <w:ind w:left="74" w:right="74"/>
              <w:jc w:val="center"/>
              <w:rPr>
                <w:szCs w:val="24"/>
              </w:rPr>
            </w:pPr>
            <w:r w:rsidRPr="00DD0D1F">
              <w:rPr>
                <w:szCs w:val="24"/>
              </w:rPr>
              <w:t>MET 58</w:t>
            </w:r>
          </w:p>
          <w:p w14:paraId="313D2D0B" w14:textId="77777777" w:rsidR="003328F9" w:rsidRPr="00DD0D1F" w:rsidRDefault="003328F9" w:rsidP="003328F9">
            <w:pPr>
              <w:pStyle w:val="TableParagraph"/>
              <w:ind w:left="74" w:right="74"/>
              <w:jc w:val="center"/>
              <w:rPr>
                <w:szCs w:val="24"/>
              </w:rPr>
            </w:pPr>
            <w:r w:rsidRPr="00DD0D1F">
              <w:rPr>
                <w:szCs w:val="24"/>
              </w:rPr>
              <w:t>MET 75</w:t>
            </w:r>
          </w:p>
        </w:tc>
      </w:tr>
      <w:tr w:rsidR="003328F9" w:rsidRPr="00DD0D1F" w14:paraId="27639321" w14:textId="77777777" w:rsidTr="003328F9">
        <w:trPr>
          <w:trHeight w:val="916"/>
        </w:trPr>
        <w:tc>
          <w:tcPr>
            <w:tcW w:w="735" w:type="pct"/>
            <w:gridSpan w:val="2"/>
            <w:vMerge/>
            <w:tcBorders>
              <w:top w:val="nil"/>
            </w:tcBorders>
            <w:vAlign w:val="center"/>
          </w:tcPr>
          <w:p w14:paraId="78030FA9"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287CAF12" w14:textId="77777777" w:rsidR="003328F9" w:rsidRPr="00DD0D1F" w:rsidRDefault="003328F9" w:rsidP="003328F9">
            <w:pPr>
              <w:pStyle w:val="TableParagraph"/>
              <w:ind w:left="74" w:right="74"/>
              <w:jc w:val="both"/>
              <w:rPr>
                <w:szCs w:val="24"/>
              </w:rPr>
            </w:pPr>
            <w:r w:rsidRPr="00DD0D1F">
              <w:rPr>
                <w:szCs w:val="24"/>
              </w:rPr>
              <w:t>Atıkların beraber yakılması</w:t>
            </w:r>
          </w:p>
        </w:tc>
        <w:tc>
          <w:tcPr>
            <w:tcW w:w="646" w:type="pct"/>
            <w:gridSpan w:val="4"/>
            <w:vAlign w:val="center"/>
          </w:tcPr>
          <w:p w14:paraId="525515F0"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5376E35" w14:textId="77777777" w:rsidR="003328F9" w:rsidRPr="00DD0D1F" w:rsidRDefault="003328F9" w:rsidP="003328F9">
            <w:pPr>
              <w:pStyle w:val="TableParagraph"/>
              <w:ind w:left="74" w:right="74"/>
              <w:jc w:val="center"/>
              <w:rPr>
                <w:szCs w:val="24"/>
              </w:rPr>
            </w:pPr>
            <w:r w:rsidRPr="00DD0D1F">
              <w:rPr>
                <w:szCs w:val="24"/>
              </w:rPr>
              <w:t>Genel EN standartları</w:t>
            </w:r>
          </w:p>
          <w:p w14:paraId="5A8BAECF" w14:textId="77777777" w:rsidR="003328F9" w:rsidRPr="00DD0D1F" w:rsidRDefault="003328F9" w:rsidP="003328F9">
            <w:pPr>
              <w:pStyle w:val="TableParagraph"/>
              <w:ind w:left="74" w:right="74"/>
              <w:jc w:val="center"/>
              <w:rPr>
                <w:szCs w:val="24"/>
              </w:rPr>
            </w:pPr>
            <w:r w:rsidRPr="00DD0D1F">
              <w:rPr>
                <w:szCs w:val="24"/>
              </w:rPr>
              <w:t>ve</w:t>
            </w:r>
          </w:p>
          <w:p w14:paraId="3BBE26F2" w14:textId="77777777" w:rsidR="003328F9" w:rsidRPr="00DD0D1F" w:rsidRDefault="003328F9" w:rsidP="003328F9">
            <w:pPr>
              <w:pStyle w:val="TableParagraph"/>
              <w:ind w:left="74" w:right="74"/>
              <w:jc w:val="center"/>
              <w:rPr>
                <w:szCs w:val="24"/>
              </w:rPr>
            </w:pPr>
            <w:r w:rsidRPr="00DD0D1F">
              <w:rPr>
                <w:szCs w:val="24"/>
              </w:rPr>
              <w:t>EN 13284-2</w:t>
            </w:r>
          </w:p>
        </w:tc>
        <w:tc>
          <w:tcPr>
            <w:tcW w:w="679" w:type="pct"/>
            <w:gridSpan w:val="2"/>
            <w:vAlign w:val="center"/>
          </w:tcPr>
          <w:p w14:paraId="08E8F366" w14:textId="77777777" w:rsidR="003328F9" w:rsidRPr="00DD0D1F" w:rsidRDefault="003328F9" w:rsidP="003328F9">
            <w:pPr>
              <w:pStyle w:val="TableParagraph"/>
              <w:ind w:left="74" w:right="74"/>
              <w:jc w:val="center"/>
              <w:rPr>
                <w:szCs w:val="24"/>
              </w:rPr>
            </w:pPr>
            <w:r w:rsidRPr="00DD0D1F">
              <w:rPr>
                <w:szCs w:val="24"/>
              </w:rPr>
              <w:t>Sürekli</w:t>
            </w:r>
          </w:p>
        </w:tc>
        <w:tc>
          <w:tcPr>
            <w:tcW w:w="879" w:type="pct"/>
            <w:vAlign w:val="center"/>
          </w:tcPr>
          <w:p w14:paraId="6BCE4F97" w14:textId="77777777" w:rsidR="003328F9" w:rsidRPr="00DD0D1F" w:rsidRDefault="003328F9" w:rsidP="003328F9">
            <w:pPr>
              <w:pStyle w:val="TableParagraph"/>
              <w:ind w:left="74" w:right="74"/>
              <w:jc w:val="center"/>
              <w:rPr>
                <w:szCs w:val="24"/>
              </w:rPr>
            </w:pPr>
            <w:r w:rsidRPr="00DD0D1F">
              <w:rPr>
                <w:szCs w:val="24"/>
              </w:rPr>
              <w:t>MET 68</w:t>
            </w:r>
          </w:p>
          <w:p w14:paraId="64D05541" w14:textId="77777777" w:rsidR="003328F9" w:rsidRPr="00DD0D1F" w:rsidRDefault="003328F9" w:rsidP="003328F9">
            <w:pPr>
              <w:pStyle w:val="TableParagraph"/>
              <w:ind w:left="74" w:right="74"/>
              <w:jc w:val="center"/>
              <w:rPr>
                <w:szCs w:val="24"/>
              </w:rPr>
            </w:pPr>
            <w:r w:rsidRPr="00DD0D1F">
              <w:rPr>
                <w:szCs w:val="24"/>
              </w:rPr>
              <w:t>MET 69</w:t>
            </w:r>
          </w:p>
        </w:tc>
      </w:tr>
      <w:tr w:rsidR="003328F9" w:rsidRPr="00DD0D1F" w14:paraId="7D321A06" w14:textId="77777777" w:rsidTr="003328F9">
        <w:trPr>
          <w:trHeight w:val="1374"/>
        </w:trPr>
        <w:tc>
          <w:tcPr>
            <w:tcW w:w="735" w:type="pct"/>
            <w:gridSpan w:val="2"/>
            <w:vMerge w:val="restart"/>
            <w:vAlign w:val="center"/>
          </w:tcPr>
          <w:p w14:paraId="32101DC6" w14:textId="77777777" w:rsidR="003328F9" w:rsidRPr="00DD0D1F" w:rsidRDefault="003328F9" w:rsidP="003328F9">
            <w:pPr>
              <w:pStyle w:val="TableParagraph"/>
              <w:tabs>
                <w:tab w:val="left" w:pos="825"/>
              </w:tabs>
              <w:ind w:left="74" w:right="74"/>
              <w:jc w:val="both"/>
              <w:rPr>
                <w:szCs w:val="24"/>
              </w:rPr>
            </w:pPr>
            <w:r w:rsidRPr="00DD0D1F">
              <w:rPr>
                <w:szCs w:val="24"/>
              </w:rPr>
              <w:t xml:space="preserve">Cıva hariç metaller ve yarı metaller (As, </w:t>
            </w:r>
            <w:r w:rsidRPr="00DD0D1F">
              <w:rPr>
                <w:szCs w:val="24"/>
              </w:rPr>
              <w:tab/>
              <w:t>Cd,</w:t>
            </w:r>
          </w:p>
          <w:p w14:paraId="2F530508" w14:textId="77777777" w:rsidR="003328F9" w:rsidRPr="00DD0D1F" w:rsidRDefault="003328F9" w:rsidP="003328F9">
            <w:pPr>
              <w:pStyle w:val="TableParagraph"/>
              <w:ind w:left="74" w:right="74"/>
              <w:jc w:val="both"/>
              <w:rPr>
                <w:szCs w:val="24"/>
              </w:rPr>
            </w:pPr>
            <w:r w:rsidRPr="00DD0D1F">
              <w:rPr>
                <w:szCs w:val="24"/>
              </w:rPr>
              <w:t>Co, Cr, Cu,</w:t>
            </w:r>
          </w:p>
          <w:p w14:paraId="1EF4BE0E" w14:textId="77777777" w:rsidR="003328F9" w:rsidRPr="00DD0D1F" w:rsidRDefault="003328F9" w:rsidP="003328F9">
            <w:pPr>
              <w:pStyle w:val="TableParagraph"/>
              <w:ind w:left="74" w:right="74"/>
              <w:jc w:val="both"/>
              <w:rPr>
                <w:szCs w:val="24"/>
              </w:rPr>
            </w:pPr>
            <w:r w:rsidRPr="00DD0D1F">
              <w:rPr>
                <w:szCs w:val="24"/>
              </w:rPr>
              <w:t>Mn, Ni, Pb,</w:t>
            </w:r>
          </w:p>
          <w:p w14:paraId="2E2BD0C4" w14:textId="77777777" w:rsidR="003328F9" w:rsidRPr="00DD0D1F" w:rsidRDefault="003328F9" w:rsidP="003328F9">
            <w:pPr>
              <w:pStyle w:val="TableParagraph"/>
              <w:ind w:left="74" w:right="74"/>
              <w:jc w:val="both"/>
              <w:rPr>
                <w:szCs w:val="24"/>
              </w:rPr>
            </w:pPr>
            <w:r w:rsidRPr="00DD0D1F">
              <w:rPr>
                <w:szCs w:val="24"/>
              </w:rPr>
              <w:t>Sb, Se, Tl, V, Zn)</w:t>
            </w:r>
          </w:p>
        </w:tc>
        <w:tc>
          <w:tcPr>
            <w:tcW w:w="1220" w:type="pct"/>
            <w:vAlign w:val="center"/>
          </w:tcPr>
          <w:p w14:paraId="61F4B316" w14:textId="77777777" w:rsidR="003328F9" w:rsidRPr="00DD0D1F" w:rsidRDefault="003328F9" w:rsidP="00FF111D">
            <w:pPr>
              <w:pStyle w:val="TableParagraph"/>
              <w:numPr>
                <w:ilvl w:val="0"/>
                <w:numId w:val="34"/>
              </w:numPr>
              <w:tabs>
                <w:tab w:val="left" w:pos="430"/>
              </w:tabs>
              <w:ind w:left="326" w:right="74"/>
              <w:jc w:val="both"/>
              <w:rPr>
                <w:szCs w:val="24"/>
              </w:rPr>
            </w:pPr>
            <w:r w:rsidRPr="00DD0D1F">
              <w:rPr>
                <w:szCs w:val="24"/>
              </w:rPr>
              <w:t>Kömür ve/veya linyit</w:t>
            </w:r>
          </w:p>
          <w:p w14:paraId="03874290" w14:textId="77777777" w:rsidR="003328F9" w:rsidRPr="00DD0D1F" w:rsidRDefault="003328F9" w:rsidP="00FF111D">
            <w:pPr>
              <w:pStyle w:val="TableParagraph"/>
              <w:numPr>
                <w:ilvl w:val="0"/>
                <w:numId w:val="34"/>
              </w:numPr>
              <w:tabs>
                <w:tab w:val="left" w:pos="430"/>
              </w:tabs>
              <w:ind w:left="326" w:right="74"/>
              <w:jc w:val="both"/>
              <w:rPr>
                <w:szCs w:val="24"/>
              </w:rPr>
            </w:pPr>
            <w:r w:rsidRPr="00DD0D1F">
              <w:rPr>
                <w:szCs w:val="24"/>
              </w:rPr>
              <w:t>Katı biyokütle ve/veya turba</w:t>
            </w:r>
          </w:p>
          <w:p w14:paraId="7711538B" w14:textId="77777777" w:rsidR="003328F9" w:rsidRPr="00DD0D1F" w:rsidRDefault="003328F9" w:rsidP="00FF111D">
            <w:pPr>
              <w:pStyle w:val="TableParagraph"/>
              <w:numPr>
                <w:ilvl w:val="0"/>
                <w:numId w:val="34"/>
              </w:numPr>
              <w:tabs>
                <w:tab w:val="left" w:pos="430"/>
              </w:tabs>
              <w:ind w:left="326" w:right="74"/>
              <w:jc w:val="both"/>
              <w:rPr>
                <w:szCs w:val="24"/>
              </w:rPr>
            </w:pPr>
            <w:r w:rsidRPr="00DD0D1F">
              <w:rPr>
                <w:szCs w:val="24"/>
              </w:rPr>
              <w:t>HFO ve/veya gaz yağı ile çalışan kazan ve motorlar</w:t>
            </w:r>
          </w:p>
        </w:tc>
        <w:tc>
          <w:tcPr>
            <w:tcW w:w="646" w:type="pct"/>
            <w:gridSpan w:val="4"/>
            <w:vAlign w:val="center"/>
          </w:tcPr>
          <w:p w14:paraId="6EBEF567"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ED95EA4"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6410748B" w14:textId="77777777" w:rsidR="003328F9" w:rsidRPr="00DD0D1F" w:rsidRDefault="003328F9" w:rsidP="003328F9">
            <w:pPr>
              <w:pStyle w:val="TableParagraph"/>
              <w:ind w:left="204" w:right="74" w:hanging="130"/>
              <w:jc w:val="center"/>
              <w:rPr>
                <w:szCs w:val="24"/>
              </w:rPr>
            </w:pPr>
            <w:r w:rsidRPr="00DD0D1F">
              <w:rPr>
                <w:szCs w:val="24"/>
              </w:rPr>
              <w:t>Yılda bir kez (</w:t>
            </w:r>
            <w:r w:rsidRPr="00DD0D1F">
              <w:rPr>
                <w:szCs w:val="24"/>
                <w:vertAlign w:val="superscript"/>
              </w:rPr>
              <w:t>15</w:t>
            </w:r>
            <w:r w:rsidRPr="00DD0D1F">
              <w:rPr>
                <w:szCs w:val="24"/>
              </w:rPr>
              <w:t>)</w:t>
            </w:r>
          </w:p>
        </w:tc>
        <w:tc>
          <w:tcPr>
            <w:tcW w:w="879" w:type="pct"/>
            <w:vAlign w:val="center"/>
          </w:tcPr>
          <w:p w14:paraId="6653F6D3" w14:textId="77777777" w:rsidR="003328F9" w:rsidRPr="00DD0D1F" w:rsidRDefault="003328F9" w:rsidP="003328F9">
            <w:pPr>
              <w:pStyle w:val="TableParagraph"/>
              <w:ind w:left="74" w:right="74"/>
              <w:jc w:val="center"/>
              <w:rPr>
                <w:szCs w:val="24"/>
              </w:rPr>
            </w:pPr>
            <w:r w:rsidRPr="00DD0D1F">
              <w:rPr>
                <w:szCs w:val="24"/>
              </w:rPr>
              <w:t>MET 22</w:t>
            </w:r>
          </w:p>
          <w:p w14:paraId="3E30DFEF" w14:textId="77777777" w:rsidR="003328F9" w:rsidRPr="00DD0D1F" w:rsidRDefault="003328F9" w:rsidP="003328F9">
            <w:pPr>
              <w:pStyle w:val="TableParagraph"/>
              <w:ind w:left="74" w:right="74"/>
              <w:jc w:val="center"/>
              <w:rPr>
                <w:szCs w:val="24"/>
              </w:rPr>
            </w:pPr>
            <w:r w:rsidRPr="00DD0D1F">
              <w:rPr>
                <w:szCs w:val="24"/>
              </w:rPr>
              <w:t>MET 26</w:t>
            </w:r>
          </w:p>
          <w:p w14:paraId="740BA126" w14:textId="77777777" w:rsidR="003328F9" w:rsidRPr="00DD0D1F" w:rsidRDefault="003328F9" w:rsidP="003328F9">
            <w:pPr>
              <w:pStyle w:val="TableParagraph"/>
              <w:ind w:left="74" w:right="74"/>
              <w:jc w:val="center"/>
              <w:rPr>
                <w:szCs w:val="24"/>
              </w:rPr>
            </w:pPr>
            <w:r w:rsidRPr="00DD0D1F">
              <w:rPr>
                <w:szCs w:val="24"/>
              </w:rPr>
              <w:t>MET 30</w:t>
            </w:r>
          </w:p>
        </w:tc>
      </w:tr>
      <w:tr w:rsidR="003328F9" w:rsidRPr="00DD0D1F" w14:paraId="3881FA3D" w14:textId="77777777" w:rsidTr="003328F9">
        <w:trPr>
          <w:trHeight w:val="687"/>
        </w:trPr>
        <w:tc>
          <w:tcPr>
            <w:tcW w:w="735" w:type="pct"/>
            <w:gridSpan w:val="2"/>
            <w:vMerge/>
            <w:tcBorders>
              <w:top w:val="nil"/>
            </w:tcBorders>
            <w:vAlign w:val="center"/>
          </w:tcPr>
          <w:p w14:paraId="061D55B0" w14:textId="77777777" w:rsidR="003328F9" w:rsidRPr="00DD0D1F" w:rsidRDefault="003328F9" w:rsidP="003328F9">
            <w:pPr>
              <w:spacing w:line="240" w:lineRule="auto"/>
              <w:ind w:left="74" w:right="74"/>
              <w:rPr>
                <w:rFonts w:cs="Times New Roman"/>
                <w:szCs w:val="24"/>
                <w:lang w:val="tr-TR"/>
              </w:rPr>
            </w:pPr>
          </w:p>
        </w:tc>
        <w:tc>
          <w:tcPr>
            <w:tcW w:w="1220" w:type="pct"/>
            <w:vMerge w:val="restart"/>
            <w:vAlign w:val="center"/>
          </w:tcPr>
          <w:p w14:paraId="2E6CFE01" w14:textId="77777777" w:rsidR="003328F9" w:rsidRPr="00DD0D1F" w:rsidRDefault="003328F9" w:rsidP="00FF111D">
            <w:pPr>
              <w:pStyle w:val="TableParagraph"/>
              <w:numPr>
                <w:ilvl w:val="0"/>
                <w:numId w:val="33"/>
              </w:numPr>
              <w:tabs>
                <w:tab w:val="left" w:pos="430"/>
              </w:tabs>
              <w:ind w:left="326" w:right="74"/>
              <w:jc w:val="both"/>
              <w:rPr>
                <w:szCs w:val="24"/>
              </w:rPr>
            </w:pPr>
            <w:r w:rsidRPr="00DD0D1F">
              <w:rPr>
                <w:szCs w:val="24"/>
              </w:rPr>
              <w:t>Atıkların beraber yakılması</w:t>
            </w:r>
          </w:p>
        </w:tc>
        <w:tc>
          <w:tcPr>
            <w:tcW w:w="646" w:type="pct"/>
            <w:gridSpan w:val="4"/>
            <w:vAlign w:val="center"/>
          </w:tcPr>
          <w:p w14:paraId="265947A1" w14:textId="77777777" w:rsidR="003328F9" w:rsidRPr="00DD0D1F" w:rsidRDefault="003328F9" w:rsidP="003328F9">
            <w:pPr>
              <w:pStyle w:val="TableParagraph"/>
              <w:ind w:left="74" w:right="74"/>
              <w:jc w:val="center"/>
              <w:rPr>
                <w:szCs w:val="24"/>
              </w:rPr>
            </w:pPr>
            <w:r w:rsidRPr="00DD0D1F">
              <w:rPr>
                <w:szCs w:val="24"/>
              </w:rPr>
              <w:t>&lt; 300 MW</w:t>
            </w:r>
            <w:r w:rsidRPr="00DD0D1F">
              <w:rPr>
                <w:szCs w:val="24"/>
                <w:vertAlign w:val="subscript"/>
              </w:rPr>
              <w:t>th</w:t>
            </w:r>
          </w:p>
        </w:tc>
        <w:tc>
          <w:tcPr>
            <w:tcW w:w="841" w:type="pct"/>
            <w:gridSpan w:val="2"/>
            <w:vAlign w:val="center"/>
          </w:tcPr>
          <w:p w14:paraId="4A1DA81B"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6EC6EB9F" w14:textId="77777777" w:rsidR="003328F9" w:rsidRPr="00DD0D1F" w:rsidRDefault="003328F9" w:rsidP="003328F9">
            <w:pPr>
              <w:pStyle w:val="TableParagraph"/>
              <w:ind w:left="96" w:right="74" w:hanging="22"/>
              <w:jc w:val="center"/>
              <w:rPr>
                <w:szCs w:val="24"/>
              </w:rPr>
            </w:pPr>
            <w:r w:rsidRPr="00DD0D1F">
              <w:rPr>
                <w:szCs w:val="24"/>
              </w:rPr>
              <w:t>Altı ayda bir (10)</w:t>
            </w:r>
          </w:p>
        </w:tc>
        <w:tc>
          <w:tcPr>
            <w:tcW w:w="879" w:type="pct"/>
            <w:vMerge w:val="restart"/>
            <w:vAlign w:val="center"/>
          </w:tcPr>
          <w:p w14:paraId="604A2E77" w14:textId="77777777" w:rsidR="003328F9" w:rsidRPr="00DD0D1F" w:rsidRDefault="003328F9" w:rsidP="003328F9">
            <w:pPr>
              <w:pStyle w:val="TableParagraph"/>
              <w:ind w:left="74" w:right="74"/>
              <w:jc w:val="center"/>
              <w:rPr>
                <w:szCs w:val="24"/>
              </w:rPr>
            </w:pPr>
            <w:r w:rsidRPr="00DD0D1F">
              <w:rPr>
                <w:szCs w:val="24"/>
              </w:rPr>
              <w:t>MET 68</w:t>
            </w:r>
          </w:p>
          <w:p w14:paraId="18E5873D" w14:textId="77777777" w:rsidR="003328F9" w:rsidRPr="00DD0D1F" w:rsidRDefault="003328F9" w:rsidP="003328F9">
            <w:pPr>
              <w:pStyle w:val="TableParagraph"/>
              <w:ind w:left="74" w:right="74"/>
              <w:jc w:val="center"/>
              <w:rPr>
                <w:szCs w:val="24"/>
              </w:rPr>
            </w:pPr>
            <w:r w:rsidRPr="00DD0D1F">
              <w:rPr>
                <w:szCs w:val="24"/>
              </w:rPr>
              <w:t>MET 69</w:t>
            </w:r>
          </w:p>
        </w:tc>
      </w:tr>
      <w:tr w:rsidR="003328F9" w:rsidRPr="00DD0D1F" w14:paraId="5A51D88E" w14:textId="77777777" w:rsidTr="003328F9">
        <w:trPr>
          <w:trHeight w:val="918"/>
        </w:trPr>
        <w:tc>
          <w:tcPr>
            <w:tcW w:w="735" w:type="pct"/>
            <w:gridSpan w:val="2"/>
            <w:vMerge/>
            <w:tcBorders>
              <w:top w:val="nil"/>
            </w:tcBorders>
            <w:vAlign w:val="center"/>
          </w:tcPr>
          <w:p w14:paraId="6D69D026" w14:textId="77777777" w:rsidR="003328F9" w:rsidRPr="00DD0D1F" w:rsidRDefault="003328F9" w:rsidP="003328F9">
            <w:pPr>
              <w:spacing w:line="240" w:lineRule="auto"/>
              <w:ind w:left="74" w:right="74"/>
              <w:rPr>
                <w:rFonts w:cs="Times New Roman"/>
                <w:szCs w:val="24"/>
                <w:lang w:val="tr-TR"/>
              </w:rPr>
            </w:pPr>
          </w:p>
        </w:tc>
        <w:tc>
          <w:tcPr>
            <w:tcW w:w="1220" w:type="pct"/>
            <w:vMerge/>
            <w:tcBorders>
              <w:top w:val="nil"/>
            </w:tcBorders>
            <w:vAlign w:val="center"/>
          </w:tcPr>
          <w:p w14:paraId="0F63216B" w14:textId="77777777" w:rsidR="003328F9" w:rsidRPr="00DD0D1F" w:rsidRDefault="003328F9" w:rsidP="003328F9">
            <w:pPr>
              <w:spacing w:line="240" w:lineRule="auto"/>
              <w:ind w:left="74" w:right="74"/>
              <w:rPr>
                <w:rFonts w:cs="Times New Roman"/>
                <w:szCs w:val="24"/>
                <w:lang w:val="tr-TR"/>
              </w:rPr>
            </w:pPr>
          </w:p>
        </w:tc>
        <w:tc>
          <w:tcPr>
            <w:tcW w:w="646" w:type="pct"/>
            <w:gridSpan w:val="4"/>
            <w:vAlign w:val="center"/>
          </w:tcPr>
          <w:p w14:paraId="6905B0A7" w14:textId="77777777" w:rsidR="003328F9" w:rsidRPr="00DD0D1F" w:rsidRDefault="003328F9" w:rsidP="003328F9">
            <w:pPr>
              <w:pStyle w:val="TableParagraph"/>
              <w:ind w:left="74" w:right="74"/>
              <w:jc w:val="center"/>
              <w:rPr>
                <w:szCs w:val="24"/>
              </w:rPr>
            </w:pPr>
            <w:r w:rsidRPr="00DD0D1F">
              <w:rPr>
                <w:szCs w:val="24"/>
              </w:rPr>
              <w:t>≥ 300 MW</w:t>
            </w:r>
            <w:r w:rsidRPr="00DD0D1F">
              <w:rPr>
                <w:szCs w:val="24"/>
                <w:vertAlign w:val="subscript"/>
              </w:rPr>
              <w:t>th</w:t>
            </w:r>
          </w:p>
        </w:tc>
        <w:tc>
          <w:tcPr>
            <w:tcW w:w="841" w:type="pct"/>
            <w:gridSpan w:val="2"/>
            <w:vAlign w:val="center"/>
          </w:tcPr>
          <w:p w14:paraId="1A56EC02"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13A8CD70" w14:textId="77777777" w:rsidR="003328F9" w:rsidRPr="00DD0D1F" w:rsidRDefault="003328F9" w:rsidP="003328F9">
            <w:pPr>
              <w:pStyle w:val="TableParagraph"/>
              <w:ind w:left="74" w:right="74"/>
              <w:jc w:val="center"/>
              <w:rPr>
                <w:szCs w:val="24"/>
              </w:rPr>
            </w:pPr>
            <w:r w:rsidRPr="00DD0D1F">
              <w:rPr>
                <w:szCs w:val="24"/>
              </w:rPr>
              <w:t>Üç ayda bir (</w:t>
            </w:r>
            <w:r w:rsidRPr="00DD0D1F">
              <w:rPr>
                <w:szCs w:val="24"/>
                <w:vertAlign w:val="superscript"/>
              </w:rPr>
              <w:t>16</w:t>
            </w:r>
            <w:r w:rsidRPr="00DD0D1F">
              <w:rPr>
                <w:szCs w:val="24"/>
              </w:rPr>
              <w:t>) (</w:t>
            </w:r>
            <w:r w:rsidRPr="00DD0D1F">
              <w:rPr>
                <w:szCs w:val="24"/>
                <w:vertAlign w:val="superscript"/>
              </w:rPr>
              <w:t>10</w:t>
            </w:r>
            <w:r w:rsidRPr="00DD0D1F">
              <w:rPr>
                <w:szCs w:val="24"/>
              </w:rPr>
              <w:t>)</w:t>
            </w:r>
          </w:p>
        </w:tc>
        <w:tc>
          <w:tcPr>
            <w:tcW w:w="879" w:type="pct"/>
            <w:vMerge/>
            <w:tcBorders>
              <w:top w:val="nil"/>
            </w:tcBorders>
            <w:vAlign w:val="center"/>
          </w:tcPr>
          <w:p w14:paraId="4DDE0AD1"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70CA35D" w14:textId="77777777" w:rsidTr="003328F9">
        <w:trPr>
          <w:trHeight w:val="456"/>
        </w:trPr>
        <w:tc>
          <w:tcPr>
            <w:tcW w:w="735" w:type="pct"/>
            <w:gridSpan w:val="2"/>
            <w:vMerge/>
            <w:tcBorders>
              <w:top w:val="nil"/>
            </w:tcBorders>
            <w:vAlign w:val="center"/>
          </w:tcPr>
          <w:p w14:paraId="10ED9741"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05D06006" w14:textId="77777777" w:rsidR="003328F9" w:rsidRPr="00DD0D1F" w:rsidRDefault="003328F9" w:rsidP="00FF111D">
            <w:pPr>
              <w:pStyle w:val="TableParagraph"/>
              <w:numPr>
                <w:ilvl w:val="0"/>
                <w:numId w:val="32"/>
              </w:numPr>
              <w:tabs>
                <w:tab w:val="left" w:pos="430"/>
              </w:tabs>
              <w:ind w:left="326" w:right="74"/>
              <w:jc w:val="both"/>
              <w:rPr>
                <w:szCs w:val="24"/>
              </w:rPr>
            </w:pPr>
            <w:r w:rsidRPr="00DD0D1F">
              <w:rPr>
                <w:szCs w:val="24"/>
              </w:rPr>
              <w:t>IGCC tesisleri</w:t>
            </w:r>
          </w:p>
        </w:tc>
        <w:tc>
          <w:tcPr>
            <w:tcW w:w="646" w:type="pct"/>
            <w:gridSpan w:val="4"/>
            <w:vAlign w:val="center"/>
          </w:tcPr>
          <w:p w14:paraId="26007DA1" w14:textId="77777777" w:rsidR="003328F9" w:rsidRPr="00DD0D1F" w:rsidRDefault="003328F9" w:rsidP="003328F9">
            <w:pPr>
              <w:pStyle w:val="TableParagraph"/>
              <w:ind w:left="74" w:right="74"/>
              <w:jc w:val="center"/>
              <w:rPr>
                <w:szCs w:val="24"/>
              </w:rPr>
            </w:pPr>
            <w:r w:rsidRPr="00DD0D1F">
              <w:rPr>
                <w:szCs w:val="24"/>
              </w:rPr>
              <w:t>≥ 100 MW</w:t>
            </w:r>
            <w:r w:rsidRPr="00DD0D1F">
              <w:rPr>
                <w:szCs w:val="24"/>
                <w:vertAlign w:val="subscript"/>
              </w:rPr>
              <w:t>th</w:t>
            </w:r>
          </w:p>
        </w:tc>
        <w:tc>
          <w:tcPr>
            <w:tcW w:w="841" w:type="pct"/>
            <w:gridSpan w:val="2"/>
            <w:vAlign w:val="center"/>
          </w:tcPr>
          <w:p w14:paraId="7BE04CD8"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66F105FC" w14:textId="77777777" w:rsidR="003328F9" w:rsidRPr="00DD0D1F" w:rsidRDefault="003328F9" w:rsidP="003328F9">
            <w:pPr>
              <w:pStyle w:val="TableParagraph"/>
              <w:ind w:left="74" w:right="74"/>
              <w:jc w:val="center"/>
              <w:rPr>
                <w:szCs w:val="24"/>
              </w:rPr>
            </w:pPr>
            <w:r w:rsidRPr="00DD0D1F">
              <w:rPr>
                <w:szCs w:val="24"/>
              </w:rPr>
              <w:t>Yılda bir</w:t>
            </w:r>
          </w:p>
          <w:p w14:paraId="477F76C7" w14:textId="77777777" w:rsidR="003328F9" w:rsidRPr="00DD0D1F" w:rsidRDefault="003328F9" w:rsidP="003328F9">
            <w:pPr>
              <w:pStyle w:val="TableParagraph"/>
              <w:ind w:left="74" w:right="74"/>
              <w:jc w:val="center"/>
              <w:rPr>
                <w:szCs w:val="24"/>
              </w:rPr>
            </w:pPr>
            <w:r w:rsidRPr="00DD0D1F">
              <w:rPr>
                <w:szCs w:val="24"/>
              </w:rPr>
              <w:t>kez (</w:t>
            </w:r>
            <w:r w:rsidRPr="00DD0D1F">
              <w:rPr>
                <w:szCs w:val="24"/>
                <w:vertAlign w:val="superscript"/>
              </w:rPr>
              <w:t>15</w:t>
            </w:r>
            <w:r w:rsidRPr="00DD0D1F">
              <w:rPr>
                <w:szCs w:val="24"/>
              </w:rPr>
              <w:t>)</w:t>
            </w:r>
          </w:p>
        </w:tc>
        <w:tc>
          <w:tcPr>
            <w:tcW w:w="879" w:type="pct"/>
            <w:vAlign w:val="center"/>
          </w:tcPr>
          <w:p w14:paraId="7FFC8F26" w14:textId="77777777" w:rsidR="003328F9" w:rsidRPr="00DD0D1F" w:rsidRDefault="003328F9" w:rsidP="003328F9">
            <w:pPr>
              <w:pStyle w:val="TableParagraph"/>
              <w:ind w:left="74" w:right="74"/>
              <w:jc w:val="center"/>
              <w:rPr>
                <w:szCs w:val="24"/>
              </w:rPr>
            </w:pPr>
            <w:r w:rsidRPr="00DD0D1F">
              <w:rPr>
                <w:szCs w:val="24"/>
              </w:rPr>
              <w:t>MET 75</w:t>
            </w:r>
          </w:p>
        </w:tc>
      </w:tr>
      <w:tr w:rsidR="003328F9" w:rsidRPr="00DD0D1F" w14:paraId="6DA1DF4A" w14:textId="77777777" w:rsidTr="003328F9">
        <w:trPr>
          <w:trHeight w:val="918"/>
        </w:trPr>
        <w:tc>
          <w:tcPr>
            <w:tcW w:w="735" w:type="pct"/>
            <w:gridSpan w:val="2"/>
            <w:vMerge w:val="restart"/>
            <w:vAlign w:val="center"/>
          </w:tcPr>
          <w:p w14:paraId="5AE3D251" w14:textId="77777777" w:rsidR="003328F9" w:rsidRPr="00DD0D1F" w:rsidRDefault="003328F9" w:rsidP="003328F9">
            <w:pPr>
              <w:pStyle w:val="TableParagraph"/>
              <w:ind w:left="74" w:right="74"/>
              <w:jc w:val="both"/>
              <w:rPr>
                <w:szCs w:val="24"/>
              </w:rPr>
            </w:pPr>
            <w:r w:rsidRPr="00DD0D1F">
              <w:rPr>
                <w:szCs w:val="24"/>
              </w:rPr>
              <w:t>Hg</w:t>
            </w:r>
          </w:p>
        </w:tc>
        <w:tc>
          <w:tcPr>
            <w:tcW w:w="1220" w:type="pct"/>
            <w:vMerge w:val="restart"/>
            <w:vAlign w:val="center"/>
          </w:tcPr>
          <w:p w14:paraId="71085BB8" w14:textId="77777777" w:rsidR="003328F9" w:rsidRPr="00DD0D1F" w:rsidRDefault="003328F9" w:rsidP="00FF111D">
            <w:pPr>
              <w:pStyle w:val="TableParagraph"/>
              <w:numPr>
                <w:ilvl w:val="0"/>
                <w:numId w:val="31"/>
              </w:numPr>
              <w:tabs>
                <w:tab w:val="left" w:pos="430"/>
              </w:tabs>
              <w:ind w:left="326" w:right="74"/>
              <w:jc w:val="both"/>
              <w:rPr>
                <w:szCs w:val="24"/>
              </w:rPr>
            </w:pPr>
            <w:r w:rsidRPr="00DD0D1F">
              <w:rPr>
                <w:szCs w:val="24"/>
              </w:rPr>
              <w:t>Beraber yakma dahil kömür ve/veya linyit</w:t>
            </w:r>
          </w:p>
        </w:tc>
        <w:tc>
          <w:tcPr>
            <w:tcW w:w="646" w:type="pct"/>
            <w:gridSpan w:val="4"/>
            <w:vAlign w:val="center"/>
          </w:tcPr>
          <w:p w14:paraId="68B38A11" w14:textId="77777777" w:rsidR="003328F9" w:rsidRPr="00DD0D1F" w:rsidRDefault="003328F9" w:rsidP="003328F9">
            <w:pPr>
              <w:pStyle w:val="TableParagraph"/>
              <w:ind w:left="74" w:right="74"/>
              <w:jc w:val="center"/>
              <w:rPr>
                <w:szCs w:val="24"/>
              </w:rPr>
            </w:pPr>
            <w:r w:rsidRPr="00DD0D1F">
              <w:rPr>
                <w:szCs w:val="24"/>
              </w:rPr>
              <w:t>&lt; 300 MW</w:t>
            </w:r>
            <w:r w:rsidRPr="00DD0D1F">
              <w:rPr>
                <w:szCs w:val="24"/>
                <w:vertAlign w:val="subscript"/>
              </w:rPr>
              <w:t>th</w:t>
            </w:r>
          </w:p>
        </w:tc>
        <w:tc>
          <w:tcPr>
            <w:tcW w:w="841" w:type="pct"/>
            <w:gridSpan w:val="2"/>
            <w:vAlign w:val="center"/>
          </w:tcPr>
          <w:p w14:paraId="4AC4A17D"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270EEED7" w14:textId="41FB1376" w:rsidR="003328F9" w:rsidRPr="00DD0D1F" w:rsidRDefault="003328F9" w:rsidP="00C355F8">
            <w:pPr>
              <w:pStyle w:val="TableParagraph"/>
              <w:ind w:left="74" w:right="74"/>
              <w:jc w:val="center"/>
              <w:rPr>
                <w:szCs w:val="24"/>
              </w:rPr>
            </w:pPr>
            <w:r w:rsidRPr="00DD0D1F">
              <w:rPr>
                <w:szCs w:val="24"/>
              </w:rPr>
              <w:t>Üç ayda bir (</w:t>
            </w:r>
            <w:r w:rsidRPr="00DD0D1F">
              <w:rPr>
                <w:szCs w:val="24"/>
                <w:vertAlign w:val="superscript"/>
              </w:rPr>
              <w:t>10</w:t>
            </w:r>
            <w:r w:rsidRPr="00DD0D1F">
              <w:rPr>
                <w:szCs w:val="24"/>
              </w:rPr>
              <w:t>)</w:t>
            </w:r>
            <w:r w:rsidR="00C355F8" w:rsidRPr="00DD0D1F">
              <w:rPr>
                <w:szCs w:val="24"/>
              </w:rPr>
              <w:t>(</w:t>
            </w:r>
            <w:r w:rsidR="00C355F8" w:rsidRPr="00DD0D1F">
              <w:rPr>
                <w:szCs w:val="24"/>
                <w:vertAlign w:val="superscript"/>
              </w:rPr>
              <w:t>17</w:t>
            </w:r>
            <w:r w:rsidR="00C355F8" w:rsidRPr="00DD0D1F">
              <w:rPr>
                <w:szCs w:val="24"/>
              </w:rPr>
              <w:t>)</w:t>
            </w:r>
          </w:p>
        </w:tc>
        <w:tc>
          <w:tcPr>
            <w:tcW w:w="879" w:type="pct"/>
            <w:vMerge w:val="restart"/>
            <w:vAlign w:val="center"/>
          </w:tcPr>
          <w:p w14:paraId="02ED88B3" w14:textId="77777777" w:rsidR="003328F9" w:rsidRPr="00DD0D1F" w:rsidRDefault="003328F9" w:rsidP="003328F9">
            <w:pPr>
              <w:pStyle w:val="TableParagraph"/>
              <w:ind w:left="74" w:right="74"/>
              <w:jc w:val="center"/>
              <w:rPr>
                <w:szCs w:val="24"/>
              </w:rPr>
            </w:pPr>
            <w:r w:rsidRPr="00DD0D1F">
              <w:rPr>
                <w:szCs w:val="24"/>
              </w:rPr>
              <w:t>MET 23</w:t>
            </w:r>
          </w:p>
        </w:tc>
      </w:tr>
      <w:tr w:rsidR="003328F9" w:rsidRPr="00DD0D1F" w14:paraId="04E9DDCF" w14:textId="77777777" w:rsidTr="003328F9">
        <w:trPr>
          <w:trHeight w:val="915"/>
        </w:trPr>
        <w:tc>
          <w:tcPr>
            <w:tcW w:w="735" w:type="pct"/>
            <w:gridSpan w:val="2"/>
            <w:vMerge/>
            <w:tcBorders>
              <w:top w:val="nil"/>
            </w:tcBorders>
            <w:vAlign w:val="center"/>
          </w:tcPr>
          <w:p w14:paraId="760016CA" w14:textId="77777777" w:rsidR="003328F9" w:rsidRPr="00DD0D1F" w:rsidRDefault="003328F9" w:rsidP="003328F9">
            <w:pPr>
              <w:spacing w:line="240" w:lineRule="auto"/>
              <w:ind w:left="74" w:right="74"/>
              <w:rPr>
                <w:rFonts w:cs="Times New Roman"/>
                <w:szCs w:val="24"/>
                <w:lang w:val="tr-TR"/>
              </w:rPr>
            </w:pPr>
          </w:p>
        </w:tc>
        <w:tc>
          <w:tcPr>
            <w:tcW w:w="1220" w:type="pct"/>
            <w:vMerge/>
            <w:tcBorders>
              <w:top w:val="nil"/>
            </w:tcBorders>
            <w:vAlign w:val="center"/>
          </w:tcPr>
          <w:p w14:paraId="7C772C5B" w14:textId="77777777" w:rsidR="003328F9" w:rsidRPr="00DD0D1F" w:rsidRDefault="003328F9" w:rsidP="003328F9">
            <w:pPr>
              <w:spacing w:line="240" w:lineRule="auto"/>
              <w:ind w:left="74" w:right="74"/>
              <w:rPr>
                <w:rFonts w:cs="Times New Roman"/>
                <w:szCs w:val="24"/>
                <w:lang w:val="tr-TR"/>
              </w:rPr>
            </w:pPr>
          </w:p>
        </w:tc>
        <w:tc>
          <w:tcPr>
            <w:tcW w:w="646" w:type="pct"/>
            <w:gridSpan w:val="4"/>
            <w:vAlign w:val="center"/>
          </w:tcPr>
          <w:p w14:paraId="02ED8B56" w14:textId="77777777" w:rsidR="003328F9" w:rsidRPr="00DD0D1F" w:rsidRDefault="003328F9" w:rsidP="003328F9">
            <w:pPr>
              <w:pStyle w:val="TableParagraph"/>
              <w:ind w:left="74" w:right="74"/>
              <w:jc w:val="center"/>
              <w:rPr>
                <w:szCs w:val="24"/>
              </w:rPr>
            </w:pPr>
            <w:r w:rsidRPr="00DD0D1F">
              <w:rPr>
                <w:szCs w:val="24"/>
              </w:rPr>
              <w:t>≥ 300 MW</w:t>
            </w:r>
            <w:r w:rsidRPr="00DD0D1F">
              <w:rPr>
                <w:szCs w:val="24"/>
                <w:vertAlign w:val="subscript"/>
              </w:rPr>
              <w:t>th</w:t>
            </w:r>
          </w:p>
        </w:tc>
        <w:tc>
          <w:tcPr>
            <w:tcW w:w="841" w:type="pct"/>
            <w:gridSpan w:val="2"/>
            <w:vAlign w:val="center"/>
          </w:tcPr>
          <w:p w14:paraId="6E07017C" w14:textId="77777777" w:rsidR="003328F9" w:rsidRPr="00DD0D1F" w:rsidRDefault="003328F9" w:rsidP="003328F9">
            <w:pPr>
              <w:pStyle w:val="TableParagraph"/>
              <w:ind w:left="74" w:right="74"/>
              <w:jc w:val="center"/>
              <w:rPr>
                <w:szCs w:val="24"/>
              </w:rPr>
            </w:pPr>
            <w:r w:rsidRPr="00DD0D1F">
              <w:rPr>
                <w:szCs w:val="24"/>
              </w:rPr>
              <w:t>Genel EN standartları</w:t>
            </w:r>
          </w:p>
          <w:p w14:paraId="1DD0E870" w14:textId="77777777" w:rsidR="003328F9" w:rsidRPr="00DD0D1F" w:rsidRDefault="003328F9" w:rsidP="003328F9">
            <w:pPr>
              <w:pStyle w:val="TableParagraph"/>
              <w:ind w:left="74" w:right="74"/>
              <w:jc w:val="center"/>
              <w:rPr>
                <w:szCs w:val="24"/>
              </w:rPr>
            </w:pPr>
            <w:r w:rsidRPr="00DD0D1F">
              <w:rPr>
                <w:szCs w:val="24"/>
              </w:rPr>
              <w:t>ve</w:t>
            </w:r>
          </w:p>
          <w:p w14:paraId="7271DAF0" w14:textId="77777777" w:rsidR="003328F9" w:rsidRPr="00DD0D1F" w:rsidRDefault="003328F9" w:rsidP="003328F9">
            <w:pPr>
              <w:pStyle w:val="TableParagraph"/>
              <w:ind w:left="74" w:right="74"/>
              <w:jc w:val="center"/>
              <w:rPr>
                <w:szCs w:val="24"/>
              </w:rPr>
            </w:pPr>
            <w:r w:rsidRPr="00DD0D1F">
              <w:rPr>
                <w:szCs w:val="24"/>
              </w:rPr>
              <w:t>EN 14884</w:t>
            </w:r>
          </w:p>
        </w:tc>
        <w:tc>
          <w:tcPr>
            <w:tcW w:w="679" w:type="pct"/>
            <w:gridSpan w:val="2"/>
            <w:vAlign w:val="center"/>
          </w:tcPr>
          <w:p w14:paraId="14E9299E" w14:textId="3BA33C38" w:rsidR="003328F9" w:rsidRPr="00DD0D1F" w:rsidRDefault="003328F9" w:rsidP="00C355F8">
            <w:pPr>
              <w:pStyle w:val="TableParagraph"/>
              <w:ind w:left="74" w:right="74"/>
              <w:jc w:val="center"/>
              <w:rPr>
                <w:w w:val="95"/>
                <w:szCs w:val="24"/>
              </w:rPr>
            </w:pPr>
            <w:r w:rsidRPr="00DD0D1F">
              <w:rPr>
                <w:w w:val="95"/>
                <w:szCs w:val="24"/>
              </w:rPr>
              <w:t>Sürekli (</w:t>
            </w:r>
            <w:r w:rsidRPr="00DD0D1F">
              <w:rPr>
                <w:szCs w:val="24"/>
                <w:vertAlign w:val="superscript"/>
              </w:rPr>
              <w:t>13</w:t>
            </w:r>
            <w:r w:rsidR="00C355F8" w:rsidRPr="00DD0D1F">
              <w:rPr>
                <w:w w:val="95"/>
                <w:szCs w:val="24"/>
              </w:rPr>
              <w:t>)(</w:t>
            </w:r>
            <w:r w:rsidRPr="00DD0D1F">
              <w:rPr>
                <w:szCs w:val="24"/>
                <w:vertAlign w:val="superscript"/>
              </w:rPr>
              <w:t>18</w:t>
            </w:r>
            <w:r w:rsidRPr="00DD0D1F">
              <w:rPr>
                <w:w w:val="95"/>
                <w:szCs w:val="24"/>
              </w:rPr>
              <w:t>)</w:t>
            </w:r>
          </w:p>
        </w:tc>
        <w:tc>
          <w:tcPr>
            <w:tcW w:w="879" w:type="pct"/>
            <w:vMerge/>
            <w:tcBorders>
              <w:top w:val="nil"/>
            </w:tcBorders>
            <w:vAlign w:val="center"/>
          </w:tcPr>
          <w:p w14:paraId="4FEE52C3"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0F40D4D3" w14:textId="77777777" w:rsidTr="003328F9">
        <w:trPr>
          <w:trHeight w:val="458"/>
        </w:trPr>
        <w:tc>
          <w:tcPr>
            <w:tcW w:w="735" w:type="pct"/>
            <w:gridSpan w:val="2"/>
            <w:vMerge/>
            <w:tcBorders>
              <w:top w:val="nil"/>
            </w:tcBorders>
            <w:vAlign w:val="center"/>
          </w:tcPr>
          <w:p w14:paraId="1AEEEEF2"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5B517BDA" w14:textId="77777777" w:rsidR="003328F9" w:rsidRPr="00DD0D1F" w:rsidRDefault="003328F9" w:rsidP="00FF111D">
            <w:pPr>
              <w:pStyle w:val="TableParagraph"/>
              <w:numPr>
                <w:ilvl w:val="0"/>
                <w:numId w:val="30"/>
              </w:numPr>
              <w:tabs>
                <w:tab w:val="left" w:pos="430"/>
              </w:tabs>
              <w:ind w:left="326" w:right="74"/>
              <w:jc w:val="both"/>
              <w:rPr>
                <w:szCs w:val="24"/>
              </w:rPr>
            </w:pPr>
            <w:r w:rsidRPr="00DD0D1F">
              <w:rPr>
                <w:szCs w:val="24"/>
              </w:rPr>
              <w:t>Katı biyokütle</w:t>
            </w:r>
          </w:p>
          <w:p w14:paraId="60092E0A" w14:textId="77777777" w:rsidR="003328F9" w:rsidRPr="00DD0D1F" w:rsidRDefault="003328F9" w:rsidP="003328F9">
            <w:pPr>
              <w:pStyle w:val="TableParagraph"/>
              <w:ind w:left="74" w:right="74"/>
              <w:jc w:val="both"/>
              <w:rPr>
                <w:szCs w:val="24"/>
              </w:rPr>
            </w:pPr>
            <w:r w:rsidRPr="00DD0D1F">
              <w:rPr>
                <w:szCs w:val="24"/>
              </w:rPr>
              <w:t>ve/veya turba</w:t>
            </w:r>
          </w:p>
        </w:tc>
        <w:tc>
          <w:tcPr>
            <w:tcW w:w="646" w:type="pct"/>
            <w:gridSpan w:val="4"/>
            <w:vAlign w:val="center"/>
          </w:tcPr>
          <w:p w14:paraId="5B381949"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122EF5B1"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2E94378E"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19</w:t>
            </w:r>
            <w:r w:rsidRPr="00DD0D1F">
              <w:rPr>
                <w:szCs w:val="24"/>
              </w:rPr>
              <w:t>)</w:t>
            </w:r>
          </w:p>
        </w:tc>
        <w:tc>
          <w:tcPr>
            <w:tcW w:w="879" w:type="pct"/>
            <w:vAlign w:val="center"/>
          </w:tcPr>
          <w:p w14:paraId="07241B88" w14:textId="77777777" w:rsidR="003328F9" w:rsidRPr="00DD0D1F" w:rsidRDefault="003328F9" w:rsidP="003328F9">
            <w:pPr>
              <w:pStyle w:val="TableParagraph"/>
              <w:ind w:left="74" w:right="74"/>
              <w:jc w:val="center"/>
              <w:rPr>
                <w:szCs w:val="24"/>
              </w:rPr>
            </w:pPr>
            <w:r w:rsidRPr="00DD0D1F">
              <w:rPr>
                <w:szCs w:val="24"/>
              </w:rPr>
              <w:t>MET 27</w:t>
            </w:r>
          </w:p>
        </w:tc>
      </w:tr>
      <w:tr w:rsidR="003328F9" w:rsidRPr="00DD0D1F" w14:paraId="5446D766" w14:textId="77777777" w:rsidTr="003328F9">
        <w:trPr>
          <w:trHeight w:val="918"/>
        </w:trPr>
        <w:tc>
          <w:tcPr>
            <w:tcW w:w="735" w:type="pct"/>
            <w:gridSpan w:val="2"/>
            <w:vMerge/>
            <w:tcBorders>
              <w:top w:val="nil"/>
            </w:tcBorders>
            <w:vAlign w:val="center"/>
          </w:tcPr>
          <w:p w14:paraId="453160C5"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125A2F4D" w14:textId="77777777" w:rsidR="003328F9" w:rsidRPr="00DD0D1F" w:rsidRDefault="003328F9" w:rsidP="00FF111D">
            <w:pPr>
              <w:pStyle w:val="TableParagraph"/>
              <w:numPr>
                <w:ilvl w:val="0"/>
                <w:numId w:val="29"/>
              </w:numPr>
              <w:tabs>
                <w:tab w:val="left" w:pos="430"/>
              </w:tabs>
              <w:ind w:left="326" w:right="74"/>
              <w:jc w:val="both"/>
              <w:rPr>
                <w:szCs w:val="24"/>
              </w:rPr>
            </w:pPr>
            <w:r w:rsidRPr="00DD0D1F">
              <w:rPr>
                <w:szCs w:val="24"/>
              </w:rPr>
              <w:t>Katı biyokütle ve/veya turba ile atıkların beraber yakılması</w:t>
            </w:r>
          </w:p>
        </w:tc>
        <w:tc>
          <w:tcPr>
            <w:tcW w:w="646" w:type="pct"/>
            <w:gridSpan w:val="4"/>
            <w:vAlign w:val="center"/>
          </w:tcPr>
          <w:p w14:paraId="28D54643"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18F52F0A"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111A5D0A" w14:textId="77777777" w:rsidR="003328F9" w:rsidRPr="00DD0D1F" w:rsidRDefault="003328F9" w:rsidP="003328F9">
            <w:pPr>
              <w:pStyle w:val="TableParagraph"/>
              <w:ind w:left="74" w:right="74"/>
              <w:jc w:val="center"/>
              <w:rPr>
                <w:szCs w:val="24"/>
              </w:rPr>
            </w:pPr>
            <w:r w:rsidRPr="00DD0D1F">
              <w:rPr>
                <w:szCs w:val="24"/>
              </w:rPr>
              <w:t>Üç ayda bir (</w:t>
            </w:r>
            <w:r w:rsidRPr="00DD0D1F">
              <w:rPr>
                <w:szCs w:val="24"/>
                <w:vertAlign w:val="superscript"/>
              </w:rPr>
              <w:t>10</w:t>
            </w:r>
            <w:r w:rsidRPr="00DD0D1F">
              <w:rPr>
                <w:szCs w:val="24"/>
              </w:rPr>
              <w:t>)</w:t>
            </w:r>
          </w:p>
        </w:tc>
        <w:tc>
          <w:tcPr>
            <w:tcW w:w="879" w:type="pct"/>
            <w:vAlign w:val="center"/>
          </w:tcPr>
          <w:p w14:paraId="3B700A45" w14:textId="77777777" w:rsidR="003328F9" w:rsidRPr="00DD0D1F" w:rsidRDefault="003328F9" w:rsidP="003328F9">
            <w:pPr>
              <w:pStyle w:val="TableParagraph"/>
              <w:ind w:left="74" w:right="74"/>
              <w:jc w:val="center"/>
              <w:rPr>
                <w:szCs w:val="24"/>
              </w:rPr>
            </w:pPr>
            <w:r w:rsidRPr="00DD0D1F">
              <w:rPr>
                <w:szCs w:val="24"/>
              </w:rPr>
              <w:t>MET 70</w:t>
            </w:r>
          </w:p>
        </w:tc>
      </w:tr>
      <w:tr w:rsidR="003328F9" w:rsidRPr="00DD0D1F" w14:paraId="528199D3" w14:textId="77777777" w:rsidTr="003328F9">
        <w:trPr>
          <w:trHeight w:val="455"/>
        </w:trPr>
        <w:tc>
          <w:tcPr>
            <w:tcW w:w="735" w:type="pct"/>
            <w:gridSpan w:val="2"/>
            <w:vMerge/>
            <w:tcBorders>
              <w:top w:val="nil"/>
            </w:tcBorders>
            <w:vAlign w:val="center"/>
          </w:tcPr>
          <w:p w14:paraId="3CC25832"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06BE3E79" w14:textId="77777777" w:rsidR="003328F9" w:rsidRPr="00DD0D1F" w:rsidRDefault="003328F9" w:rsidP="00FF111D">
            <w:pPr>
              <w:pStyle w:val="TableParagraph"/>
              <w:numPr>
                <w:ilvl w:val="0"/>
                <w:numId w:val="28"/>
              </w:numPr>
              <w:tabs>
                <w:tab w:val="left" w:pos="430"/>
              </w:tabs>
              <w:ind w:left="326" w:right="74"/>
              <w:jc w:val="both"/>
              <w:rPr>
                <w:szCs w:val="24"/>
              </w:rPr>
            </w:pPr>
            <w:r w:rsidRPr="00DD0D1F">
              <w:rPr>
                <w:szCs w:val="24"/>
              </w:rPr>
              <w:t>IGCC tesisleri</w:t>
            </w:r>
          </w:p>
        </w:tc>
        <w:tc>
          <w:tcPr>
            <w:tcW w:w="646" w:type="pct"/>
            <w:gridSpan w:val="4"/>
            <w:vAlign w:val="center"/>
          </w:tcPr>
          <w:p w14:paraId="4B6F664C" w14:textId="77777777" w:rsidR="003328F9" w:rsidRPr="00DD0D1F" w:rsidRDefault="003328F9" w:rsidP="003328F9">
            <w:pPr>
              <w:pStyle w:val="TableParagraph"/>
              <w:ind w:left="74" w:right="74"/>
              <w:jc w:val="center"/>
              <w:rPr>
                <w:szCs w:val="24"/>
              </w:rPr>
            </w:pPr>
            <w:r w:rsidRPr="00DD0D1F">
              <w:rPr>
                <w:szCs w:val="24"/>
              </w:rPr>
              <w:t>≥ 100 MW</w:t>
            </w:r>
            <w:r w:rsidRPr="00DD0D1F">
              <w:rPr>
                <w:szCs w:val="24"/>
                <w:vertAlign w:val="subscript"/>
              </w:rPr>
              <w:t>th</w:t>
            </w:r>
          </w:p>
        </w:tc>
        <w:tc>
          <w:tcPr>
            <w:tcW w:w="841" w:type="pct"/>
            <w:gridSpan w:val="2"/>
            <w:vAlign w:val="center"/>
          </w:tcPr>
          <w:p w14:paraId="0BB4503F"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1F77442D"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20</w:t>
            </w:r>
            <w:r w:rsidRPr="00DD0D1F">
              <w:rPr>
                <w:szCs w:val="24"/>
              </w:rPr>
              <w:t>)</w:t>
            </w:r>
          </w:p>
        </w:tc>
        <w:tc>
          <w:tcPr>
            <w:tcW w:w="879" w:type="pct"/>
            <w:vAlign w:val="center"/>
          </w:tcPr>
          <w:p w14:paraId="3D7F2A2B" w14:textId="77777777" w:rsidR="003328F9" w:rsidRPr="00DD0D1F" w:rsidRDefault="003328F9" w:rsidP="003328F9">
            <w:pPr>
              <w:pStyle w:val="TableParagraph"/>
              <w:ind w:left="74" w:right="74"/>
              <w:jc w:val="center"/>
              <w:rPr>
                <w:szCs w:val="24"/>
              </w:rPr>
            </w:pPr>
            <w:r w:rsidRPr="00DD0D1F">
              <w:rPr>
                <w:szCs w:val="24"/>
              </w:rPr>
              <w:t>MET 75</w:t>
            </w:r>
          </w:p>
        </w:tc>
      </w:tr>
      <w:tr w:rsidR="003328F9" w:rsidRPr="00DD0D1F" w14:paraId="729B41BC" w14:textId="77777777" w:rsidTr="003328F9">
        <w:trPr>
          <w:trHeight w:val="1147"/>
        </w:trPr>
        <w:tc>
          <w:tcPr>
            <w:tcW w:w="735" w:type="pct"/>
            <w:gridSpan w:val="2"/>
            <w:vMerge w:val="restart"/>
            <w:vAlign w:val="center"/>
          </w:tcPr>
          <w:p w14:paraId="50F70433" w14:textId="77777777" w:rsidR="003328F9" w:rsidRPr="00DD0D1F" w:rsidRDefault="003328F9" w:rsidP="003328F9">
            <w:pPr>
              <w:pStyle w:val="TableParagraph"/>
              <w:ind w:left="74" w:right="74"/>
              <w:jc w:val="both"/>
              <w:rPr>
                <w:szCs w:val="24"/>
              </w:rPr>
            </w:pPr>
            <w:r w:rsidRPr="00DD0D1F">
              <w:rPr>
                <w:szCs w:val="24"/>
              </w:rPr>
              <w:t>TVOC</w:t>
            </w:r>
          </w:p>
        </w:tc>
        <w:tc>
          <w:tcPr>
            <w:tcW w:w="1220" w:type="pct"/>
            <w:vAlign w:val="center"/>
          </w:tcPr>
          <w:p w14:paraId="2F68FC7C" w14:textId="77777777" w:rsidR="003328F9" w:rsidRPr="00DD0D1F" w:rsidRDefault="003328F9" w:rsidP="00FF111D">
            <w:pPr>
              <w:pStyle w:val="TableParagraph"/>
              <w:numPr>
                <w:ilvl w:val="0"/>
                <w:numId w:val="27"/>
              </w:numPr>
              <w:tabs>
                <w:tab w:val="left" w:pos="430"/>
              </w:tabs>
              <w:ind w:left="326" w:right="74"/>
              <w:jc w:val="both"/>
              <w:rPr>
                <w:szCs w:val="24"/>
              </w:rPr>
            </w:pPr>
            <w:r w:rsidRPr="00DD0D1F">
              <w:rPr>
                <w:szCs w:val="24"/>
              </w:rPr>
              <w:t>HFO ve/veya gaz yağıyla çalışan motorlar</w:t>
            </w:r>
          </w:p>
          <w:p w14:paraId="69AAE05C" w14:textId="77777777" w:rsidR="003328F9" w:rsidRPr="00DD0D1F" w:rsidRDefault="003328F9" w:rsidP="00FF111D">
            <w:pPr>
              <w:pStyle w:val="TableParagraph"/>
              <w:numPr>
                <w:ilvl w:val="0"/>
                <w:numId w:val="27"/>
              </w:numPr>
              <w:tabs>
                <w:tab w:val="left" w:pos="430"/>
              </w:tabs>
              <w:ind w:left="326" w:right="74"/>
              <w:jc w:val="both"/>
              <w:rPr>
                <w:szCs w:val="24"/>
              </w:rPr>
            </w:pPr>
            <w:r w:rsidRPr="00DD0D1F">
              <w:rPr>
                <w:szCs w:val="24"/>
              </w:rPr>
              <w:t>Kazanlardaki kimya endüstrisinden elde edilen proses yakıtları</w:t>
            </w:r>
          </w:p>
        </w:tc>
        <w:tc>
          <w:tcPr>
            <w:tcW w:w="646" w:type="pct"/>
            <w:gridSpan w:val="4"/>
            <w:vAlign w:val="center"/>
          </w:tcPr>
          <w:p w14:paraId="5B6E15EB"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94BB2D0" w14:textId="77777777" w:rsidR="003328F9" w:rsidRPr="00DD0D1F" w:rsidRDefault="003328F9" w:rsidP="003328F9">
            <w:pPr>
              <w:pStyle w:val="TableParagraph"/>
              <w:ind w:left="74" w:right="74"/>
              <w:jc w:val="center"/>
              <w:rPr>
                <w:szCs w:val="24"/>
              </w:rPr>
            </w:pPr>
            <w:r w:rsidRPr="00DD0D1F">
              <w:rPr>
                <w:szCs w:val="24"/>
              </w:rPr>
              <w:t>EN 12619</w:t>
            </w:r>
          </w:p>
        </w:tc>
        <w:tc>
          <w:tcPr>
            <w:tcW w:w="679" w:type="pct"/>
            <w:gridSpan w:val="2"/>
            <w:vAlign w:val="center"/>
          </w:tcPr>
          <w:p w14:paraId="58179241" w14:textId="77777777" w:rsidR="003328F9" w:rsidRPr="00DD0D1F" w:rsidRDefault="003328F9" w:rsidP="003328F9">
            <w:pPr>
              <w:pStyle w:val="TableParagraph"/>
              <w:ind w:left="74" w:right="74"/>
              <w:jc w:val="center"/>
              <w:rPr>
                <w:szCs w:val="24"/>
              </w:rPr>
            </w:pPr>
            <w:r w:rsidRPr="00DD0D1F">
              <w:rPr>
                <w:szCs w:val="24"/>
              </w:rPr>
              <w:t>Altı ayda bir (10)</w:t>
            </w:r>
          </w:p>
        </w:tc>
        <w:tc>
          <w:tcPr>
            <w:tcW w:w="879" w:type="pct"/>
            <w:vAlign w:val="center"/>
          </w:tcPr>
          <w:p w14:paraId="1B52A666" w14:textId="77777777" w:rsidR="003328F9" w:rsidRPr="00DD0D1F" w:rsidRDefault="003328F9" w:rsidP="003328F9">
            <w:pPr>
              <w:pStyle w:val="TableParagraph"/>
              <w:ind w:left="74" w:right="74"/>
              <w:jc w:val="center"/>
              <w:rPr>
                <w:szCs w:val="24"/>
              </w:rPr>
            </w:pPr>
            <w:r w:rsidRPr="00DD0D1F">
              <w:rPr>
                <w:szCs w:val="24"/>
              </w:rPr>
              <w:t>MET 33</w:t>
            </w:r>
          </w:p>
          <w:p w14:paraId="4CC66847" w14:textId="77777777" w:rsidR="003328F9" w:rsidRPr="00DD0D1F" w:rsidRDefault="003328F9" w:rsidP="003328F9">
            <w:pPr>
              <w:pStyle w:val="TableParagraph"/>
              <w:ind w:left="74" w:right="74"/>
              <w:jc w:val="center"/>
              <w:rPr>
                <w:szCs w:val="24"/>
              </w:rPr>
            </w:pPr>
            <w:r w:rsidRPr="00DD0D1F">
              <w:rPr>
                <w:szCs w:val="24"/>
              </w:rPr>
              <w:t>MET 59</w:t>
            </w:r>
          </w:p>
        </w:tc>
      </w:tr>
      <w:tr w:rsidR="003328F9" w:rsidRPr="00DD0D1F" w14:paraId="3FC74782" w14:textId="77777777" w:rsidTr="003328F9">
        <w:trPr>
          <w:trHeight w:val="915"/>
        </w:trPr>
        <w:tc>
          <w:tcPr>
            <w:tcW w:w="735" w:type="pct"/>
            <w:gridSpan w:val="2"/>
            <w:vMerge/>
            <w:tcBorders>
              <w:top w:val="nil"/>
            </w:tcBorders>
            <w:vAlign w:val="center"/>
          </w:tcPr>
          <w:p w14:paraId="4935B040"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2BB750E8" w14:textId="77777777" w:rsidR="003328F9" w:rsidRPr="00DD0D1F" w:rsidRDefault="003328F9" w:rsidP="00FF111D">
            <w:pPr>
              <w:pStyle w:val="TableParagraph"/>
              <w:numPr>
                <w:ilvl w:val="0"/>
                <w:numId w:val="26"/>
              </w:numPr>
              <w:tabs>
                <w:tab w:val="left" w:pos="430"/>
              </w:tabs>
              <w:ind w:left="326" w:right="74"/>
              <w:jc w:val="both"/>
              <w:rPr>
                <w:szCs w:val="24"/>
              </w:rPr>
            </w:pPr>
            <w:r w:rsidRPr="00DD0D1F">
              <w:rPr>
                <w:szCs w:val="24"/>
              </w:rPr>
              <w:t>Kömür, linyit, katı biyokütle ve/veya turba ile atıkların beraber yakılması</w:t>
            </w:r>
          </w:p>
        </w:tc>
        <w:tc>
          <w:tcPr>
            <w:tcW w:w="646" w:type="pct"/>
            <w:gridSpan w:val="4"/>
            <w:vAlign w:val="center"/>
          </w:tcPr>
          <w:p w14:paraId="32A79CF6"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633D6A8C" w14:textId="77777777" w:rsidR="003328F9" w:rsidRPr="00DD0D1F" w:rsidRDefault="003328F9" w:rsidP="003328F9">
            <w:pPr>
              <w:pStyle w:val="TableParagraph"/>
              <w:ind w:left="74" w:right="74" w:hanging="96"/>
              <w:jc w:val="center"/>
              <w:rPr>
                <w:szCs w:val="24"/>
              </w:rPr>
            </w:pPr>
            <w:r w:rsidRPr="00DD0D1F">
              <w:rPr>
                <w:szCs w:val="24"/>
              </w:rPr>
              <w:t>Genel EN standartları</w:t>
            </w:r>
          </w:p>
        </w:tc>
        <w:tc>
          <w:tcPr>
            <w:tcW w:w="679" w:type="pct"/>
            <w:gridSpan w:val="2"/>
            <w:vAlign w:val="center"/>
          </w:tcPr>
          <w:p w14:paraId="462D6D40" w14:textId="77777777" w:rsidR="003328F9" w:rsidRPr="00DD0D1F" w:rsidRDefault="003328F9" w:rsidP="003328F9">
            <w:pPr>
              <w:pStyle w:val="TableParagraph"/>
              <w:ind w:left="74" w:right="74"/>
              <w:jc w:val="center"/>
              <w:rPr>
                <w:szCs w:val="24"/>
              </w:rPr>
            </w:pPr>
            <w:r w:rsidRPr="00DD0D1F">
              <w:rPr>
                <w:szCs w:val="24"/>
              </w:rPr>
              <w:t>Sürekli</w:t>
            </w:r>
          </w:p>
        </w:tc>
        <w:tc>
          <w:tcPr>
            <w:tcW w:w="879" w:type="pct"/>
            <w:vAlign w:val="center"/>
          </w:tcPr>
          <w:p w14:paraId="57C51BC5" w14:textId="77777777" w:rsidR="003328F9" w:rsidRPr="00DD0D1F" w:rsidRDefault="003328F9" w:rsidP="003328F9">
            <w:pPr>
              <w:pStyle w:val="TableParagraph"/>
              <w:ind w:left="74" w:right="74"/>
              <w:jc w:val="center"/>
              <w:rPr>
                <w:szCs w:val="24"/>
              </w:rPr>
            </w:pPr>
            <w:r w:rsidRPr="00DD0D1F">
              <w:rPr>
                <w:szCs w:val="24"/>
              </w:rPr>
              <w:t>MET 71</w:t>
            </w:r>
          </w:p>
        </w:tc>
      </w:tr>
      <w:tr w:rsidR="003328F9" w:rsidRPr="00DD0D1F" w14:paraId="3F6C93A0" w14:textId="77777777" w:rsidTr="003328F9">
        <w:trPr>
          <w:trHeight w:val="1104"/>
        </w:trPr>
        <w:tc>
          <w:tcPr>
            <w:tcW w:w="735" w:type="pct"/>
            <w:gridSpan w:val="2"/>
            <w:vAlign w:val="center"/>
          </w:tcPr>
          <w:p w14:paraId="5B0F1221" w14:textId="77777777" w:rsidR="003328F9" w:rsidRPr="00DD0D1F" w:rsidRDefault="003328F9" w:rsidP="003328F9">
            <w:pPr>
              <w:pStyle w:val="TableParagraph"/>
              <w:ind w:left="74" w:right="74"/>
              <w:jc w:val="both"/>
              <w:rPr>
                <w:szCs w:val="24"/>
              </w:rPr>
            </w:pPr>
            <w:r w:rsidRPr="00DD0D1F">
              <w:rPr>
                <w:szCs w:val="24"/>
              </w:rPr>
              <w:t>Formaldehit</w:t>
            </w:r>
          </w:p>
        </w:tc>
        <w:tc>
          <w:tcPr>
            <w:tcW w:w="1220" w:type="pct"/>
            <w:vAlign w:val="center"/>
          </w:tcPr>
          <w:p w14:paraId="6C3755E6" w14:textId="77777777" w:rsidR="003328F9" w:rsidRPr="00DD0D1F" w:rsidRDefault="003328F9" w:rsidP="00FF111D">
            <w:pPr>
              <w:pStyle w:val="TableParagraph"/>
              <w:numPr>
                <w:ilvl w:val="0"/>
                <w:numId w:val="25"/>
              </w:numPr>
              <w:tabs>
                <w:tab w:val="left" w:pos="430"/>
              </w:tabs>
              <w:ind w:left="326" w:right="74"/>
              <w:jc w:val="both"/>
              <w:rPr>
                <w:szCs w:val="24"/>
              </w:rPr>
            </w:pPr>
            <w:r w:rsidRPr="00DD0D1F">
              <w:rPr>
                <w:szCs w:val="24"/>
              </w:rPr>
              <w:t>Kıvılcımla ateşlemeli zayıf yanan gazlı ve çift yakıtlı motorlar</w:t>
            </w:r>
          </w:p>
        </w:tc>
        <w:tc>
          <w:tcPr>
            <w:tcW w:w="646" w:type="pct"/>
            <w:gridSpan w:val="4"/>
            <w:vAlign w:val="center"/>
          </w:tcPr>
          <w:p w14:paraId="21E7578F"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4316DE4B" w14:textId="77777777" w:rsidR="003328F9" w:rsidRPr="00DD0D1F" w:rsidRDefault="003328F9" w:rsidP="003328F9">
            <w:pPr>
              <w:pStyle w:val="TableParagraph"/>
              <w:ind w:left="74" w:right="74"/>
              <w:jc w:val="center"/>
              <w:rPr>
                <w:szCs w:val="24"/>
              </w:rPr>
            </w:pPr>
            <w:r w:rsidRPr="00DD0D1F">
              <w:rPr>
                <w:szCs w:val="24"/>
              </w:rPr>
              <w:t>EN Standardı</w:t>
            </w:r>
          </w:p>
          <w:p w14:paraId="5F5AB8D0" w14:textId="77777777" w:rsidR="003328F9" w:rsidRPr="00DD0D1F" w:rsidRDefault="003328F9" w:rsidP="003328F9">
            <w:pPr>
              <w:pStyle w:val="TableParagraph"/>
              <w:ind w:left="74" w:right="74" w:firstLine="21"/>
              <w:jc w:val="center"/>
              <w:rPr>
                <w:szCs w:val="24"/>
              </w:rPr>
            </w:pPr>
            <w:r w:rsidRPr="00DD0D1F">
              <w:rPr>
                <w:szCs w:val="24"/>
              </w:rPr>
              <w:t>yok</w:t>
            </w:r>
          </w:p>
        </w:tc>
        <w:tc>
          <w:tcPr>
            <w:tcW w:w="679" w:type="pct"/>
            <w:gridSpan w:val="2"/>
            <w:vAlign w:val="center"/>
          </w:tcPr>
          <w:p w14:paraId="3670EE09" w14:textId="77777777" w:rsidR="003328F9" w:rsidRPr="00DD0D1F" w:rsidRDefault="003328F9" w:rsidP="003328F9">
            <w:pPr>
              <w:pStyle w:val="TableParagraph"/>
              <w:ind w:left="74" w:right="74"/>
              <w:jc w:val="center"/>
              <w:rPr>
                <w:szCs w:val="24"/>
              </w:rPr>
            </w:pPr>
            <w:r w:rsidRPr="00DD0D1F">
              <w:rPr>
                <w:szCs w:val="24"/>
              </w:rPr>
              <w:t>Yılda bir</w:t>
            </w:r>
          </w:p>
          <w:p w14:paraId="2568AD62" w14:textId="77777777" w:rsidR="003328F9" w:rsidRPr="00DD0D1F" w:rsidRDefault="003328F9" w:rsidP="003328F9">
            <w:pPr>
              <w:pStyle w:val="TableParagraph"/>
              <w:ind w:left="74" w:right="74"/>
              <w:jc w:val="center"/>
              <w:rPr>
                <w:szCs w:val="24"/>
              </w:rPr>
            </w:pPr>
            <w:r w:rsidRPr="00DD0D1F">
              <w:rPr>
                <w:szCs w:val="24"/>
              </w:rPr>
              <w:t>kez</w:t>
            </w:r>
          </w:p>
        </w:tc>
        <w:tc>
          <w:tcPr>
            <w:tcW w:w="879" w:type="pct"/>
            <w:vAlign w:val="center"/>
          </w:tcPr>
          <w:p w14:paraId="3BD04179" w14:textId="77777777" w:rsidR="003328F9" w:rsidRPr="00DD0D1F" w:rsidRDefault="003328F9" w:rsidP="003328F9">
            <w:pPr>
              <w:pStyle w:val="TableParagraph"/>
              <w:ind w:left="74" w:right="74"/>
              <w:jc w:val="center"/>
              <w:rPr>
                <w:szCs w:val="24"/>
              </w:rPr>
            </w:pPr>
            <w:r w:rsidRPr="00DD0D1F">
              <w:rPr>
                <w:szCs w:val="24"/>
              </w:rPr>
              <w:t>MET 45</w:t>
            </w:r>
          </w:p>
        </w:tc>
      </w:tr>
      <w:tr w:rsidR="003328F9" w:rsidRPr="00DD0D1F" w14:paraId="7DF6AD92" w14:textId="77777777" w:rsidTr="003328F9">
        <w:trPr>
          <w:trHeight w:val="460"/>
        </w:trPr>
        <w:tc>
          <w:tcPr>
            <w:tcW w:w="735" w:type="pct"/>
            <w:gridSpan w:val="2"/>
            <w:vAlign w:val="center"/>
          </w:tcPr>
          <w:p w14:paraId="436844B4" w14:textId="77777777" w:rsidR="003328F9" w:rsidRPr="00DD0D1F" w:rsidRDefault="003328F9" w:rsidP="003328F9">
            <w:pPr>
              <w:pStyle w:val="TableParagraph"/>
              <w:ind w:left="74" w:right="74"/>
              <w:jc w:val="both"/>
              <w:rPr>
                <w:szCs w:val="24"/>
              </w:rPr>
            </w:pPr>
            <w:r w:rsidRPr="00DD0D1F">
              <w:rPr>
                <w:szCs w:val="24"/>
              </w:rPr>
              <w:t>CH</w:t>
            </w:r>
            <w:r w:rsidRPr="00DD0D1F">
              <w:rPr>
                <w:szCs w:val="24"/>
                <w:vertAlign w:val="subscript"/>
              </w:rPr>
              <w:t>4</w:t>
            </w:r>
          </w:p>
        </w:tc>
        <w:tc>
          <w:tcPr>
            <w:tcW w:w="1220" w:type="pct"/>
            <w:vAlign w:val="center"/>
          </w:tcPr>
          <w:p w14:paraId="12209698" w14:textId="1D80A73B" w:rsidR="003328F9" w:rsidRPr="00DD0D1F" w:rsidRDefault="003328F9" w:rsidP="00FF111D">
            <w:pPr>
              <w:pStyle w:val="TableParagraph"/>
              <w:numPr>
                <w:ilvl w:val="0"/>
                <w:numId w:val="24"/>
              </w:numPr>
              <w:tabs>
                <w:tab w:val="left" w:pos="428"/>
              </w:tabs>
              <w:ind w:left="326" w:right="74"/>
              <w:jc w:val="both"/>
              <w:rPr>
                <w:szCs w:val="24"/>
              </w:rPr>
            </w:pPr>
            <w:r w:rsidRPr="00DD0D1F">
              <w:rPr>
                <w:szCs w:val="24"/>
              </w:rPr>
              <w:t>Doğalgaz ile çalışan</w:t>
            </w:r>
            <w:r w:rsidR="000C6F21" w:rsidRPr="00DD0D1F">
              <w:rPr>
                <w:szCs w:val="24"/>
              </w:rPr>
              <w:t xml:space="preserve"> </w:t>
            </w:r>
            <w:r w:rsidRPr="00DD0D1F">
              <w:rPr>
                <w:szCs w:val="24"/>
              </w:rPr>
              <w:t>motorlar</w:t>
            </w:r>
          </w:p>
        </w:tc>
        <w:tc>
          <w:tcPr>
            <w:tcW w:w="646" w:type="pct"/>
            <w:gridSpan w:val="4"/>
            <w:vAlign w:val="center"/>
          </w:tcPr>
          <w:p w14:paraId="073DF999"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6F9D14C8" w14:textId="77777777" w:rsidR="003328F9" w:rsidRPr="00DD0D1F" w:rsidRDefault="003328F9" w:rsidP="003328F9">
            <w:pPr>
              <w:pStyle w:val="TableParagraph"/>
              <w:ind w:left="74" w:right="74"/>
              <w:jc w:val="center"/>
              <w:rPr>
                <w:szCs w:val="24"/>
              </w:rPr>
            </w:pPr>
            <w:r w:rsidRPr="00DD0D1F">
              <w:rPr>
                <w:szCs w:val="24"/>
              </w:rPr>
              <w:t>EN ISO</w:t>
            </w:r>
          </w:p>
          <w:p w14:paraId="78333151" w14:textId="77777777" w:rsidR="003328F9" w:rsidRPr="00DD0D1F" w:rsidRDefault="003328F9" w:rsidP="003328F9">
            <w:pPr>
              <w:pStyle w:val="TableParagraph"/>
              <w:ind w:left="74" w:right="74"/>
              <w:jc w:val="center"/>
              <w:rPr>
                <w:szCs w:val="24"/>
              </w:rPr>
            </w:pPr>
            <w:r w:rsidRPr="00DD0D1F">
              <w:rPr>
                <w:szCs w:val="24"/>
              </w:rPr>
              <w:t>25139</w:t>
            </w:r>
          </w:p>
        </w:tc>
        <w:tc>
          <w:tcPr>
            <w:tcW w:w="679" w:type="pct"/>
            <w:gridSpan w:val="2"/>
            <w:vAlign w:val="center"/>
          </w:tcPr>
          <w:p w14:paraId="5EF7E995" w14:textId="77777777" w:rsidR="003328F9" w:rsidRPr="00DD0D1F" w:rsidRDefault="003328F9" w:rsidP="003328F9">
            <w:pPr>
              <w:pStyle w:val="TableParagraph"/>
              <w:ind w:left="74" w:right="74"/>
              <w:jc w:val="center"/>
              <w:rPr>
                <w:szCs w:val="24"/>
              </w:rPr>
            </w:pPr>
            <w:r w:rsidRPr="00DD0D1F">
              <w:rPr>
                <w:szCs w:val="24"/>
              </w:rPr>
              <w:t>Yılda bir</w:t>
            </w:r>
          </w:p>
          <w:p w14:paraId="67C8EE64" w14:textId="77777777" w:rsidR="003328F9" w:rsidRPr="00DD0D1F" w:rsidRDefault="003328F9" w:rsidP="003328F9">
            <w:pPr>
              <w:pStyle w:val="TableParagraph"/>
              <w:ind w:left="74" w:right="74"/>
              <w:jc w:val="center"/>
              <w:rPr>
                <w:szCs w:val="24"/>
              </w:rPr>
            </w:pPr>
            <w:r w:rsidRPr="00DD0D1F">
              <w:rPr>
                <w:szCs w:val="24"/>
              </w:rPr>
              <w:t>kez (</w:t>
            </w:r>
            <w:r w:rsidRPr="00DD0D1F">
              <w:rPr>
                <w:szCs w:val="24"/>
                <w:vertAlign w:val="superscript"/>
              </w:rPr>
              <w:t>21</w:t>
            </w:r>
            <w:r w:rsidRPr="00DD0D1F">
              <w:rPr>
                <w:szCs w:val="24"/>
              </w:rPr>
              <w:t>)</w:t>
            </w:r>
          </w:p>
        </w:tc>
        <w:tc>
          <w:tcPr>
            <w:tcW w:w="879" w:type="pct"/>
            <w:vAlign w:val="center"/>
          </w:tcPr>
          <w:p w14:paraId="226E566F" w14:textId="77777777" w:rsidR="003328F9" w:rsidRPr="00DD0D1F" w:rsidRDefault="003328F9" w:rsidP="003328F9">
            <w:pPr>
              <w:pStyle w:val="TableParagraph"/>
              <w:ind w:left="74" w:right="74"/>
              <w:jc w:val="center"/>
              <w:rPr>
                <w:szCs w:val="24"/>
              </w:rPr>
            </w:pPr>
            <w:r w:rsidRPr="00DD0D1F">
              <w:rPr>
                <w:szCs w:val="24"/>
              </w:rPr>
              <w:t>MET 45</w:t>
            </w:r>
          </w:p>
        </w:tc>
      </w:tr>
      <w:tr w:rsidR="003328F9" w:rsidRPr="00DD0D1F" w14:paraId="3B1F058C" w14:textId="77777777" w:rsidTr="003328F9">
        <w:trPr>
          <w:trHeight w:val="1149"/>
        </w:trPr>
        <w:tc>
          <w:tcPr>
            <w:tcW w:w="735" w:type="pct"/>
            <w:gridSpan w:val="2"/>
            <w:vAlign w:val="center"/>
          </w:tcPr>
          <w:p w14:paraId="7B6DC4A7" w14:textId="77777777" w:rsidR="003328F9" w:rsidRPr="00DD0D1F" w:rsidRDefault="003328F9" w:rsidP="003328F9">
            <w:pPr>
              <w:pStyle w:val="TableParagraph"/>
              <w:ind w:left="74" w:right="74"/>
              <w:jc w:val="both"/>
              <w:rPr>
                <w:szCs w:val="24"/>
              </w:rPr>
            </w:pPr>
            <w:r w:rsidRPr="00DD0D1F">
              <w:rPr>
                <w:szCs w:val="24"/>
              </w:rPr>
              <w:t>PCDD/F</w:t>
            </w:r>
          </w:p>
        </w:tc>
        <w:tc>
          <w:tcPr>
            <w:tcW w:w="1220" w:type="pct"/>
            <w:vAlign w:val="center"/>
          </w:tcPr>
          <w:p w14:paraId="3D1E3C5F" w14:textId="77777777" w:rsidR="003328F9" w:rsidRPr="00DD0D1F" w:rsidRDefault="003328F9" w:rsidP="00FF111D">
            <w:pPr>
              <w:pStyle w:val="TableParagraph"/>
              <w:numPr>
                <w:ilvl w:val="0"/>
                <w:numId w:val="23"/>
              </w:numPr>
              <w:tabs>
                <w:tab w:val="left" w:pos="428"/>
              </w:tabs>
              <w:ind w:left="326" w:right="74"/>
              <w:jc w:val="both"/>
              <w:rPr>
                <w:szCs w:val="24"/>
              </w:rPr>
            </w:pPr>
            <w:r w:rsidRPr="00DD0D1F">
              <w:rPr>
                <w:szCs w:val="24"/>
              </w:rPr>
              <w:t>Kazanlardaki kimya endüstrisinden elde edilen proses yakıtları</w:t>
            </w:r>
          </w:p>
          <w:p w14:paraId="4BFECC2C" w14:textId="77777777" w:rsidR="003328F9" w:rsidRPr="00DD0D1F" w:rsidRDefault="003328F9" w:rsidP="00FF111D">
            <w:pPr>
              <w:pStyle w:val="TableParagraph"/>
              <w:numPr>
                <w:ilvl w:val="0"/>
                <w:numId w:val="23"/>
              </w:numPr>
              <w:tabs>
                <w:tab w:val="left" w:pos="428"/>
              </w:tabs>
              <w:ind w:left="326" w:right="74"/>
              <w:jc w:val="both"/>
              <w:rPr>
                <w:szCs w:val="24"/>
              </w:rPr>
            </w:pPr>
            <w:r w:rsidRPr="00DD0D1F">
              <w:rPr>
                <w:szCs w:val="24"/>
              </w:rPr>
              <w:t>Atıkların beraber yakılması</w:t>
            </w:r>
          </w:p>
        </w:tc>
        <w:tc>
          <w:tcPr>
            <w:tcW w:w="646" w:type="pct"/>
            <w:gridSpan w:val="4"/>
            <w:vAlign w:val="center"/>
          </w:tcPr>
          <w:p w14:paraId="08EB8EA7"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4FCC47E7" w14:textId="77777777" w:rsidR="003328F9" w:rsidRPr="00DD0D1F" w:rsidRDefault="003328F9" w:rsidP="003328F9">
            <w:pPr>
              <w:pStyle w:val="TableParagraph"/>
              <w:ind w:left="74" w:right="74"/>
              <w:jc w:val="center"/>
              <w:rPr>
                <w:szCs w:val="24"/>
              </w:rPr>
            </w:pPr>
            <w:r w:rsidRPr="00DD0D1F">
              <w:rPr>
                <w:szCs w:val="24"/>
              </w:rPr>
              <w:t>EN 1948-1,</w:t>
            </w:r>
          </w:p>
          <w:p w14:paraId="6AEF3B56" w14:textId="77777777" w:rsidR="003328F9" w:rsidRPr="00DD0D1F" w:rsidRDefault="003328F9" w:rsidP="003328F9">
            <w:pPr>
              <w:pStyle w:val="TableParagraph"/>
              <w:ind w:left="74" w:right="74"/>
              <w:jc w:val="center"/>
              <w:rPr>
                <w:szCs w:val="24"/>
              </w:rPr>
            </w:pPr>
            <w:r w:rsidRPr="00DD0D1F">
              <w:rPr>
                <w:szCs w:val="24"/>
              </w:rPr>
              <w:t>EN 1948-2,</w:t>
            </w:r>
          </w:p>
          <w:p w14:paraId="76C44AF3" w14:textId="77777777" w:rsidR="003328F9" w:rsidRPr="00DD0D1F" w:rsidRDefault="003328F9" w:rsidP="003328F9">
            <w:pPr>
              <w:pStyle w:val="TableParagraph"/>
              <w:ind w:left="74" w:right="74"/>
              <w:jc w:val="center"/>
              <w:rPr>
                <w:szCs w:val="24"/>
              </w:rPr>
            </w:pPr>
            <w:r w:rsidRPr="00DD0D1F">
              <w:rPr>
                <w:szCs w:val="24"/>
              </w:rPr>
              <w:t>EN 1948-3</w:t>
            </w:r>
          </w:p>
        </w:tc>
        <w:tc>
          <w:tcPr>
            <w:tcW w:w="679" w:type="pct"/>
            <w:gridSpan w:val="2"/>
            <w:vAlign w:val="center"/>
          </w:tcPr>
          <w:p w14:paraId="637C3E17" w14:textId="77777777" w:rsidR="003328F9" w:rsidRPr="00DD0D1F" w:rsidRDefault="003328F9" w:rsidP="003328F9">
            <w:pPr>
              <w:pStyle w:val="TableParagraph"/>
              <w:ind w:left="74" w:right="74"/>
              <w:jc w:val="center"/>
              <w:rPr>
                <w:szCs w:val="24"/>
              </w:rPr>
            </w:pPr>
            <w:r w:rsidRPr="00DD0D1F">
              <w:rPr>
                <w:szCs w:val="24"/>
              </w:rPr>
              <w:t>Altı ayda bir</w:t>
            </w:r>
          </w:p>
          <w:p w14:paraId="3066F543"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10</w:t>
            </w:r>
            <w:r w:rsidRPr="00DD0D1F">
              <w:rPr>
                <w:szCs w:val="24"/>
              </w:rPr>
              <w:t>) (</w:t>
            </w:r>
            <w:r w:rsidRPr="00DD0D1F">
              <w:rPr>
                <w:szCs w:val="24"/>
                <w:vertAlign w:val="superscript"/>
              </w:rPr>
              <w:t>22</w:t>
            </w:r>
            <w:r w:rsidRPr="00DD0D1F">
              <w:rPr>
                <w:szCs w:val="24"/>
              </w:rPr>
              <w:t>)</w:t>
            </w:r>
          </w:p>
        </w:tc>
        <w:tc>
          <w:tcPr>
            <w:tcW w:w="879" w:type="pct"/>
            <w:vAlign w:val="center"/>
          </w:tcPr>
          <w:p w14:paraId="78DBDD4F" w14:textId="77777777" w:rsidR="003328F9" w:rsidRPr="00DD0D1F" w:rsidRDefault="003328F9" w:rsidP="003328F9">
            <w:pPr>
              <w:pStyle w:val="TableParagraph"/>
              <w:ind w:left="74" w:right="74"/>
              <w:jc w:val="center"/>
              <w:rPr>
                <w:szCs w:val="24"/>
              </w:rPr>
            </w:pPr>
            <w:r w:rsidRPr="00DD0D1F">
              <w:rPr>
                <w:szCs w:val="24"/>
              </w:rPr>
              <w:t>MET 59</w:t>
            </w:r>
          </w:p>
          <w:p w14:paraId="25C614F7" w14:textId="77777777" w:rsidR="003328F9" w:rsidRPr="00DD0D1F" w:rsidRDefault="003328F9" w:rsidP="003328F9">
            <w:pPr>
              <w:pStyle w:val="TableParagraph"/>
              <w:ind w:left="74" w:right="74"/>
              <w:jc w:val="center"/>
              <w:rPr>
                <w:szCs w:val="24"/>
              </w:rPr>
            </w:pPr>
            <w:r w:rsidRPr="00DD0D1F">
              <w:rPr>
                <w:szCs w:val="24"/>
              </w:rPr>
              <w:t>MET 71</w:t>
            </w:r>
          </w:p>
        </w:tc>
      </w:tr>
      <w:tr w:rsidR="003328F9" w:rsidRPr="00DD0D1F" w14:paraId="3286133F" w14:textId="77777777" w:rsidTr="003328F9">
        <w:trPr>
          <w:trHeight w:val="2686"/>
        </w:trPr>
        <w:tc>
          <w:tcPr>
            <w:tcW w:w="5000" w:type="pct"/>
            <w:gridSpan w:val="12"/>
            <w:vAlign w:val="center"/>
          </w:tcPr>
          <w:p w14:paraId="3024A014" w14:textId="77777777" w:rsidR="003328F9" w:rsidRPr="00DD0D1F" w:rsidRDefault="003328F9" w:rsidP="00FF111D">
            <w:pPr>
              <w:pStyle w:val="TableParagraph"/>
              <w:numPr>
                <w:ilvl w:val="0"/>
                <w:numId w:val="22"/>
              </w:numPr>
              <w:tabs>
                <w:tab w:val="left" w:pos="338"/>
              </w:tabs>
              <w:ind w:left="304" w:right="74" w:hanging="230"/>
              <w:jc w:val="both"/>
              <w:rPr>
                <w:szCs w:val="24"/>
              </w:rPr>
            </w:pPr>
            <w:r w:rsidRPr="00DD0D1F">
              <w:rPr>
                <w:szCs w:val="24"/>
              </w:rPr>
              <w:t>Sürekli ölçümlere yönelik genel EN standartları EN 15267-1, EN 15267-2, EN 15267-3 ve EN 14181'dir.</w:t>
            </w:r>
          </w:p>
          <w:p w14:paraId="081DFF67" w14:textId="77777777" w:rsidR="003328F9" w:rsidRPr="00DD0D1F" w:rsidRDefault="003328F9" w:rsidP="003328F9">
            <w:pPr>
              <w:pStyle w:val="TableParagraph"/>
              <w:ind w:left="74" w:right="74"/>
              <w:jc w:val="both"/>
              <w:rPr>
                <w:szCs w:val="24"/>
              </w:rPr>
            </w:pPr>
            <w:r w:rsidRPr="00DD0D1F">
              <w:rPr>
                <w:szCs w:val="24"/>
              </w:rPr>
              <w:t>Periyodik ölçümlere yönelik EN standartları tabloda verilmiştir.</w:t>
            </w:r>
          </w:p>
          <w:p w14:paraId="01DBC79F" w14:textId="77777777" w:rsidR="003328F9" w:rsidRPr="00DD0D1F" w:rsidRDefault="003328F9" w:rsidP="00FF111D">
            <w:pPr>
              <w:pStyle w:val="TableParagraph"/>
              <w:numPr>
                <w:ilvl w:val="0"/>
                <w:numId w:val="22"/>
              </w:numPr>
              <w:tabs>
                <w:tab w:val="left" w:pos="338"/>
              </w:tabs>
              <w:ind w:left="74" w:right="74" w:firstLine="0"/>
              <w:jc w:val="both"/>
              <w:rPr>
                <w:szCs w:val="24"/>
              </w:rPr>
            </w:pPr>
            <w:r w:rsidRPr="00DD0D1F">
              <w:rPr>
                <w:szCs w:val="24"/>
              </w:rPr>
              <w:t>İzleme sıklığı, tesis işletiminin yalnızca bir emisyon ölçümü gerçekleştirme amacına yönelik olduğu durumlarda geçerli değildir.</w:t>
            </w:r>
          </w:p>
          <w:p w14:paraId="6785D0E3" w14:textId="1B07492E" w:rsidR="003328F9" w:rsidRPr="00DD0D1F" w:rsidRDefault="003328F9" w:rsidP="00FF111D">
            <w:pPr>
              <w:pStyle w:val="TableParagraph"/>
              <w:numPr>
                <w:ilvl w:val="0"/>
                <w:numId w:val="22"/>
              </w:numPr>
              <w:tabs>
                <w:tab w:val="left" w:pos="348"/>
              </w:tabs>
              <w:ind w:left="95" w:right="74" w:hanging="21"/>
              <w:jc w:val="both"/>
              <w:rPr>
                <w:szCs w:val="24"/>
              </w:rPr>
            </w:pPr>
            <w:r w:rsidRPr="00DD0D1F">
              <w:rPr>
                <w:szCs w:val="24"/>
              </w:rPr>
              <w:t xml:space="preserve">Anma ısıl gücü &lt;100 MW olan ve &lt;1500 saat/yıl çalıştırılan tesislerde, minimum izleme sıklığı en az altı ayda bir olabilir.  Gaz türbinleri için periyodik izleme &gt; %70'lik bir yakma tesisi yükü ile gerçekleştirilir. Atıkların kömür, linyit, katı biyokütle ve/veya turba ile birlikte yakılmasına yönelik izleme sıklığında </w:t>
            </w:r>
            <w:r w:rsidR="00094F4A" w:rsidRPr="00DD0D1F">
              <w:rPr>
                <w:szCs w:val="24"/>
              </w:rPr>
              <w:t xml:space="preserve">Atık Yönetimi Tebliği Atık Yakma </w:t>
            </w:r>
            <w:r w:rsidRPr="00DD0D1F">
              <w:rPr>
                <w:szCs w:val="24"/>
              </w:rPr>
              <w:t>Bölümünün de dikkate alınması gerekir.</w:t>
            </w:r>
          </w:p>
          <w:p w14:paraId="13AB822A" w14:textId="77777777" w:rsidR="003328F9" w:rsidRPr="00DD0D1F" w:rsidRDefault="003328F9" w:rsidP="00FF111D">
            <w:pPr>
              <w:pStyle w:val="TableParagraph"/>
              <w:numPr>
                <w:ilvl w:val="0"/>
                <w:numId w:val="22"/>
              </w:numPr>
              <w:tabs>
                <w:tab w:val="left" w:pos="341"/>
              </w:tabs>
              <w:ind w:left="95" w:right="74" w:hanging="21"/>
              <w:jc w:val="both"/>
              <w:rPr>
                <w:szCs w:val="24"/>
              </w:rPr>
            </w:pPr>
            <w:r w:rsidRPr="00DD0D1F">
              <w:rPr>
                <w:szCs w:val="24"/>
              </w:rPr>
              <w:t>SCR söz konusu olduğunda, emisyon seviyelerinin kararlı olduğu kanıtlanırsa minimum izleme sıklığı en az yılda bir kez olabilir.</w:t>
            </w:r>
          </w:p>
          <w:p w14:paraId="35AD4CBE" w14:textId="77777777" w:rsidR="003328F9" w:rsidRPr="00DD0D1F" w:rsidRDefault="003328F9" w:rsidP="00FF111D">
            <w:pPr>
              <w:pStyle w:val="TableParagraph"/>
              <w:numPr>
                <w:ilvl w:val="0"/>
                <w:numId w:val="22"/>
              </w:numPr>
              <w:tabs>
                <w:tab w:val="left" w:pos="338"/>
              </w:tabs>
              <w:ind w:left="74" w:right="74" w:firstLine="0"/>
              <w:jc w:val="both"/>
              <w:rPr>
                <w:szCs w:val="24"/>
              </w:rPr>
            </w:pPr>
            <w:r w:rsidRPr="00DD0D1F">
              <w:rPr>
                <w:szCs w:val="24"/>
              </w:rPr>
              <w:t>Anma ısıl gücü &lt;100 MW olan ve &lt;1500 saat/yıl işletilen doğalgaz ile çalışan türbinlerde veya mevcut OCGT'lerde TEİS alternatif olarak kullanılabilir.</w:t>
            </w:r>
          </w:p>
          <w:p w14:paraId="5465D370" w14:textId="77777777" w:rsidR="003328F9" w:rsidRPr="00DD0D1F" w:rsidRDefault="003328F9" w:rsidP="00FF111D">
            <w:pPr>
              <w:pStyle w:val="TableParagraph"/>
              <w:numPr>
                <w:ilvl w:val="0"/>
                <w:numId w:val="22"/>
              </w:numPr>
              <w:tabs>
                <w:tab w:val="left" w:pos="331"/>
              </w:tabs>
              <w:ind w:left="297" w:right="74" w:hanging="223"/>
              <w:jc w:val="both"/>
              <w:rPr>
                <w:szCs w:val="24"/>
              </w:rPr>
            </w:pPr>
            <w:r w:rsidRPr="00DD0D1F">
              <w:rPr>
                <w:szCs w:val="24"/>
              </w:rPr>
              <w:t>TEİS alternatif olarak kullanılabilir.</w:t>
            </w:r>
          </w:p>
          <w:p w14:paraId="616D554A" w14:textId="77777777" w:rsidR="003328F9" w:rsidRPr="00DD0D1F" w:rsidRDefault="003328F9" w:rsidP="00FF111D">
            <w:pPr>
              <w:pStyle w:val="TableParagraph"/>
              <w:numPr>
                <w:ilvl w:val="0"/>
                <w:numId w:val="22"/>
              </w:numPr>
              <w:tabs>
                <w:tab w:val="left" w:pos="346"/>
              </w:tabs>
              <w:ind w:left="74" w:right="74" w:firstLine="0"/>
              <w:jc w:val="both"/>
              <w:rPr>
                <w:szCs w:val="24"/>
              </w:rPr>
            </w:pPr>
            <w:r w:rsidRPr="00DD0D1F">
              <w:rPr>
                <w:szCs w:val="24"/>
              </w:rPr>
              <w:t>Birisi, tesisin &gt;%70 yüklerde ve diğeri &lt;%70 yüklerde çalıştırıldığı durumlarda olmak üzere iki grup ölçüm gerçekleştirilir.</w:t>
            </w:r>
          </w:p>
          <w:p w14:paraId="3A6DDD69" w14:textId="27374DA0" w:rsidR="003328F9" w:rsidRPr="00DD0D1F" w:rsidRDefault="003328F9" w:rsidP="00FF111D">
            <w:pPr>
              <w:pStyle w:val="TableParagraph"/>
              <w:numPr>
                <w:ilvl w:val="0"/>
                <w:numId w:val="22"/>
              </w:numPr>
              <w:tabs>
                <w:tab w:val="left" w:pos="358"/>
              </w:tabs>
              <w:ind w:left="74" w:right="74" w:firstLine="0"/>
              <w:jc w:val="both"/>
              <w:rPr>
                <w:szCs w:val="24"/>
              </w:rPr>
            </w:pPr>
            <w:r w:rsidRPr="00DD0D1F">
              <w:rPr>
                <w:szCs w:val="24"/>
              </w:rPr>
              <w:t>Bilinen kükürt içeriğiyle tesislerin yağ yakması durumunda ve baca gazı kükürt giderme sisteminin bulunmadığı yerlerde sürekli ölçüme alternatif olarak en az üç ayda bir periyodik ölçümler ve/veya eşdeğer bilimsel nitelikte verilerin sunulmasını sağlayan diğer prosedürler SO</w:t>
            </w:r>
            <w:r w:rsidRPr="00DD0D1F">
              <w:rPr>
                <w:szCs w:val="24"/>
                <w:vertAlign w:val="subscript"/>
              </w:rPr>
              <w:t>2</w:t>
            </w:r>
            <w:r w:rsidRPr="00DD0D1F">
              <w:rPr>
                <w:szCs w:val="24"/>
              </w:rPr>
              <w:t xml:space="preserve"> emisyonlarını belirlemek için kullanılabilir.</w:t>
            </w:r>
          </w:p>
          <w:p w14:paraId="23D3E3B5" w14:textId="75FDDDEA" w:rsidR="003328F9" w:rsidRPr="00DD0D1F" w:rsidRDefault="003328F9" w:rsidP="00FF111D">
            <w:pPr>
              <w:pStyle w:val="TableParagraph"/>
              <w:numPr>
                <w:ilvl w:val="0"/>
                <w:numId w:val="22"/>
              </w:numPr>
              <w:tabs>
                <w:tab w:val="left" w:pos="341"/>
              </w:tabs>
              <w:ind w:left="95" w:right="74" w:hanging="21"/>
              <w:jc w:val="both"/>
              <w:rPr>
                <w:szCs w:val="24"/>
              </w:rPr>
            </w:pPr>
            <w:r w:rsidRPr="00DD0D1F">
              <w:rPr>
                <w:szCs w:val="24"/>
              </w:rPr>
              <w:t>Kimya endüstrisinden kaynaklanan proses yakıtları söz konusu olduğunda, izleme sıklığı, havaya emisyonlarda kirletici salımlarının (örneğin yakıt konsantrasyonu, kullanılan baca gazı arıtması) önemine ilişkin bir değerlendirmeye dayanarak yakıtın başlangıç karakterizasyonu sonrası (bk. MET 5) ancak her durumda yakıt özelliklerindeki değişimin emisyonlar üzerinde bir etki yaratabileceği her seferde &lt;100 MW</w:t>
            </w:r>
            <w:r w:rsidRPr="00DD0D1F">
              <w:rPr>
                <w:szCs w:val="24"/>
                <w:vertAlign w:val="subscript"/>
              </w:rPr>
              <w:t>th</w:t>
            </w:r>
            <w:r w:rsidRPr="00DD0D1F">
              <w:rPr>
                <w:szCs w:val="24"/>
              </w:rPr>
              <w:t>'lik tesisler için ayarlanabilir.</w:t>
            </w:r>
          </w:p>
          <w:p w14:paraId="12D35313" w14:textId="77777777" w:rsidR="003328F9" w:rsidRPr="00DD0D1F" w:rsidRDefault="003328F9" w:rsidP="00FF111D">
            <w:pPr>
              <w:pStyle w:val="TableParagraph"/>
              <w:numPr>
                <w:ilvl w:val="0"/>
                <w:numId w:val="22"/>
              </w:numPr>
              <w:ind w:left="74" w:right="74" w:firstLine="0"/>
              <w:jc w:val="both"/>
              <w:rPr>
                <w:szCs w:val="24"/>
              </w:rPr>
            </w:pPr>
            <w:r w:rsidRPr="00DD0D1F">
              <w:rPr>
                <w:szCs w:val="24"/>
              </w:rPr>
              <w:t>Emisyon seviyelerinin yeterince istikrarlı olduğu kanıtlanırsa, yakıt ve/veya atık özelliklerindeki bir değişikliğin emisyonlar üzerinde bir etkisi olabileceği her durumda, ancak her halükarda en az yılda bir periyodik ölçümler yapılabilir. Atıkların kömür, linyit, katı biyokütle ve/veya turba ile birlikte yakılmasına yönelik izleme</w:t>
            </w:r>
          </w:p>
          <w:p w14:paraId="5026BBD8" w14:textId="5A3AF065" w:rsidR="003328F9" w:rsidRPr="00DD0D1F" w:rsidRDefault="003328F9" w:rsidP="003328F9">
            <w:pPr>
              <w:pStyle w:val="TableParagraph"/>
              <w:ind w:left="74" w:right="74"/>
              <w:jc w:val="both"/>
              <w:rPr>
                <w:szCs w:val="24"/>
              </w:rPr>
            </w:pPr>
            <w:r w:rsidRPr="00DD0D1F">
              <w:rPr>
                <w:szCs w:val="24"/>
              </w:rPr>
              <w:t xml:space="preserve">sıklığında </w:t>
            </w:r>
            <w:r w:rsidR="00094F4A" w:rsidRPr="00DD0D1F">
              <w:rPr>
                <w:szCs w:val="24"/>
              </w:rPr>
              <w:t>Atık Yakma Tebliği ilgili b</w:t>
            </w:r>
            <w:r w:rsidRPr="00DD0D1F">
              <w:rPr>
                <w:szCs w:val="24"/>
              </w:rPr>
              <w:t>ölümünün de dikkate alınması gerekir.</w:t>
            </w:r>
          </w:p>
          <w:p w14:paraId="7901334B" w14:textId="6CEDB321" w:rsidR="003328F9" w:rsidRPr="00DD0D1F" w:rsidRDefault="003328F9" w:rsidP="00FF111D">
            <w:pPr>
              <w:pStyle w:val="TableParagraph"/>
              <w:numPr>
                <w:ilvl w:val="0"/>
                <w:numId w:val="22"/>
              </w:numPr>
              <w:tabs>
                <w:tab w:val="left" w:pos="415"/>
              </w:tabs>
              <w:ind w:left="74" w:right="74" w:firstLine="0"/>
              <w:jc w:val="both"/>
              <w:rPr>
                <w:szCs w:val="24"/>
              </w:rPr>
            </w:pPr>
            <w:r w:rsidRPr="00DD0D1F">
              <w:rPr>
                <w:szCs w:val="24"/>
              </w:rPr>
              <w:t>Kimya endüstrisinden kaynaklanan proses yakıtları söz konusu olduğunda, izleme sıklığı havaya emisyonlarda kirletici salımlarının (örneğin yakıt konsantrasyonu, kullanılan baca gazı arıtması) önemine ilişkin bir değerlendirmeye dayanarak yakıtın başlangıç karakterizasyonu sonrası (bk. MET 5) ancak her durumda yakıt özelliklerindeki değişimin emisyonlar üzerinde bir etki yaratabileceği her seferde ayarlanabilir.</w:t>
            </w:r>
          </w:p>
          <w:p w14:paraId="3E19BEAE" w14:textId="77777777" w:rsidR="003328F9" w:rsidRPr="00DD0D1F" w:rsidRDefault="003328F9" w:rsidP="00FF111D">
            <w:pPr>
              <w:pStyle w:val="TableParagraph"/>
              <w:numPr>
                <w:ilvl w:val="0"/>
                <w:numId w:val="22"/>
              </w:numPr>
              <w:tabs>
                <w:tab w:val="left" w:pos="413"/>
              </w:tabs>
              <w:ind w:left="74" w:right="74" w:firstLine="0"/>
              <w:jc w:val="both"/>
              <w:rPr>
                <w:szCs w:val="24"/>
              </w:rPr>
            </w:pPr>
            <w:r w:rsidRPr="00DD0D1F">
              <w:rPr>
                <w:szCs w:val="24"/>
              </w:rPr>
              <w:t>Anma ısıl gücü &lt;100 MW olan ve &lt;500 saat/yıl çalıştırılan tesislerde, minimum izleme sıklığı en az yılda bir kez olabilir. Anma ısıl gücü &lt;100 MW olan ve 500 saat/yıl ile 1500 saat/yıl arasında çalıştırılan tesislerde, izleme sıklığı en az altı ayda bire düşürülebilir.</w:t>
            </w:r>
          </w:p>
          <w:p w14:paraId="7CB4EB8E" w14:textId="77777777" w:rsidR="003328F9" w:rsidRPr="00DD0D1F" w:rsidRDefault="003328F9" w:rsidP="00FF111D">
            <w:pPr>
              <w:pStyle w:val="TableParagraph"/>
              <w:numPr>
                <w:ilvl w:val="0"/>
                <w:numId w:val="22"/>
              </w:numPr>
              <w:tabs>
                <w:tab w:val="left" w:pos="398"/>
              </w:tabs>
              <w:ind w:left="74" w:right="74" w:firstLine="0"/>
              <w:jc w:val="both"/>
              <w:rPr>
                <w:szCs w:val="24"/>
              </w:rPr>
            </w:pPr>
            <w:r w:rsidRPr="00DD0D1F">
              <w:rPr>
                <w:szCs w:val="24"/>
              </w:rPr>
              <w:t>Emisyon seviyelerinin yeterince istikrarlı olduğu kanıtlanırsa, yakıt ve/veya atık özelliklerindeki bir değişikliğin emisyonlar üzerinde bir etkisi olabileceği her durumda, ancak her halükarda en az altı ayda bir periyodik ölçümler yapılabilir.</w:t>
            </w:r>
          </w:p>
          <w:p w14:paraId="43BD9854" w14:textId="77777777" w:rsidR="003328F9" w:rsidRPr="00DD0D1F" w:rsidRDefault="003328F9" w:rsidP="00FF111D">
            <w:pPr>
              <w:pStyle w:val="TableParagraph"/>
              <w:numPr>
                <w:ilvl w:val="0"/>
                <w:numId w:val="22"/>
              </w:numPr>
              <w:tabs>
                <w:tab w:val="left" w:pos="411"/>
              </w:tabs>
              <w:ind w:left="95" w:right="74" w:hanging="21"/>
              <w:jc w:val="both"/>
              <w:rPr>
                <w:szCs w:val="24"/>
              </w:rPr>
            </w:pPr>
            <w:r w:rsidRPr="00DD0D1F">
              <w:rPr>
                <w:szCs w:val="24"/>
              </w:rPr>
              <w:t>Demir ve çelik proses gazlarını yakan tesislerde, minimum izleme sıklığı,emisyon seviyelerinin yeterince istikrarlı olduğu kanıtlanırsa en az altı ayda bir olabilir.</w:t>
            </w:r>
          </w:p>
          <w:p w14:paraId="5B899E2A" w14:textId="7695D3DD" w:rsidR="003328F9" w:rsidRPr="00DD0D1F" w:rsidRDefault="003328F9" w:rsidP="00FF111D">
            <w:pPr>
              <w:pStyle w:val="TableParagraph"/>
              <w:numPr>
                <w:ilvl w:val="0"/>
                <w:numId w:val="22"/>
              </w:numPr>
              <w:tabs>
                <w:tab w:val="left" w:pos="403"/>
              </w:tabs>
              <w:ind w:left="74" w:right="74" w:firstLine="0"/>
              <w:jc w:val="both"/>
              <w:rPr>
                <w:szCs w:val="24"/>
              </w:rPr>
            </w:pPr>
            <w:r w:rsidRPr="00DD0D1F">
              <w:rPr>
                <w:szCs w:val="24"/>
              </w:rPr>
              <w:t>İzlenen kirleticilerin listesi ile izleme sıklığı, havaya emisyonlarda kirletici salımlarının (örneğin yakıt konsantrasyonu, kullanılan baca gazı arıtması) önemine ilişkin bir değerlendirmeye dayanarak yakıtın başlangıç karakterizasyonu sonrası (bk. MET 5) ancak her halükarda yakıt özelliklerindeki değişimin emisyonlar üzerinde bir etki yaratabileceği her seferde ayarlanabilir.</w:t>
            </w:r>
          </w:p>
          <w:p w14:paraId="49858E52" w14:textId="77777777" w:rsidR="003328F9" w:rsidRPr="00DD0D1F" w:rsidRDefault="003328F9" w:rsidP="00FF111D">
            <w:pPr>
              <w:pStyle w:val="TableParagraph"/>
              <w:numPr>
                <w:ilvl w:val="0"/>
                <w:numId w:val="22"/>
              </w:numPr>
              <w:tabs>
                <w:tab w:val="left" w:pos="403"/>
              </w:tabs>
              <w:ind w:left="74" w:right="74" w:firstLine="0"/>
              <w:jc w:val="both"/>
              <w:rPr>
                <w:szCs w:val="24"/>
              </w:rPr>
            </w:pPr>
            <w:r w:rsidRPr="00DD0D1F">
              <w:rPr>
                <w:szCs w:val="24"/>
              </w:rPr>
              <w:t>&lt; 1 500 saat/yıl çalıştırılan tesislerde, minimum izleme sıklığı en az altı ayda bir olabilir.</w:t>
            </w:r>
          </w:p>
          <w:p w14:paraId="23B1AA32" w14:textId="77777777" w:rsidR="003328F9" w:rsidRPr="00DD0D1F" w:rsidRDefault="003328F9" w:rsidP="00FF111D">
            <w:pPr>
              <w:pStyle w:val="TableParagraph"/>
              <w:numPr>
                <w:ilvl w:val="0"/>
                <w:numId w:val="22"/>
              </w:numPr>
              <w:tabs>
                <w:tab w:val="left" w:pos="394"/>
              </w:tabs>
              <w:ind w:left="360" w:right="74" w:hanging="286"/>
              <w:jc w:val="both"/>
              <w:rPr>
                <w:szCs w:val="24"/>
              </w:rPr>
            </w:pPr>
            <w:r w:rsidRPr="00DD0D1F">
              <w:rPr>
                <w:szCs w:val="24"/>
              </w:rPr>
              <w:t>&lt; 1 500 saat/yıl çalıştırılan tesislerde, minimum izleme sıklığı en az yılda bir kez olabilir.</w:t>
            </w:r>
          </w:p>
          <w:p w14:paraId="71DB01CC" w14:textId="77777777" w:rsidR="003328F9" w:rsidRPr="00DD0D1F" w:rsidRDefault="003328F9" w:rsidP="00FF111D">
            <w:pPr>
              <w:pStyle w:val="TableParagraph"/>
              <w:numPr>
                <w:ilvl w:val="0"/>
                <w:numId w:val="22"/>
              </w:numPr>
              <w:tabs>
                <w:tab w:val="left" w:pos="434"/>
              </w:tabs>
              <w:ind w:left="74" w:right="74" w:firstLine="0"/>
              <w:jc w:val="both"/>
              <w:rPr>
                <w:szCs w:val="24"/>
              </w:rPr>
            </w:pPr>
            <w:r w:rsidRPr="00DD0D1F">
              <w:rPr>
                <w:szCs w:val="24"/>
              </w:rPr>
              <w:t>Örneğin standartlaştırılmış bir sorbent tutucu izleme yöntemiyle zaman entegreli numunelerin sık analiziyle birlikte sürekli numune alımı, sürekli ölçümlere alternatif olarak kullanılabilir.</w:t>
            </w:r>
          </w:p>
          <w:p w14:paraId="79E0F3CE" w14:textId="77777777" w:rsidR="003328F9" w:rsidRPr="00DD0D1F" w:rsidRDefault="003328F9" w:rsidP="00FF111D">
            <w:pPr>
              <w:pStyle w:val="TableParagraph"/>
              <w:numPr>
                <w:ilvl w:val="0"/>
                <w:numId w:val="22"/>
              </w:numPr>
              <w:tabs>
                <w:tab w:val="left" w:pos="406"/>
              </w:tabs>
              <w:ind w:left="74" w:right="74" w:firstLine="0"/>
              <w:jc w:val="both"/>
              <w:rPr>
                <w:szCs w:val="24"/>
              </w:rPr>
            </w:pPr>
            <w:r w:rsidRPr="00DD0D1F">
              <w:rPr>
                <w:szCs w:val="24"/>
              </w:rPr>
              <w:t>Yakıttaki düşük cıva içeriği nedeniyle emisyon seviyelerinin yeterince kararlı olduğu kanıtlanırsa, periyodik ölçümler yalnızca yakıt özelliklerindeki bir değişikliğin performansı etkileyebileceği her seferde yapılabilir.</w:t>
            </w:r>
          </w:p>
          <w:p w14:paraId="45F61A0D" w14:textId="77777777" w:rsidR="003328F9" w:rsidRPr="00DD0D1F" w:rsidRDefault="003328F9" w:rsidP="00FF111D">
            <w:pPr>
              <w:pStyle w:val="TableParagraph"/>
              <w:numPr>
                <w:ilvl w:val="0"/>
                <w:numId w:val="22"/>
              </w:numPr>
              <w:tabs>
                <w:tab w:val="left" w:pos="394"/>
              </w:tabs>
              <w:ind w:left="360" w:right="74" w:hanging="286"/>
              <w:jc w:val="both"/>
              <w:rPr>
                <w:szCs w:val="24"/>
              </w:rPr>
            </w:pPr>
            <w:r w:rsidRPr="00DD0D1F">
              <w:rPr>
                <w:szCs w:val="24"/>
              </w:rPr>
              <w:t>Minimum izleme sıklığı, &lt; 1 500 saat/yıl çalıştırılan tesisler için geçerli değildir.</w:t>
            </w:r>
          </w:p>
          <w:p w14:paraId="0D523413" w14:textId="77777777" w:rsidR="003328F9" w:rsidRPr="00DD0D1F" w:rsidRDefault="003328F9" w:rsidP="00FF111D">
            <w:pPr>
              <w:pStyle w:val="TableParagraph"/>
              <w:numPr>
                <w:ilvl w:val="0"/>
                <w:numId w:val="22"/>
              </w:numPr>
              <w:tabs>
                <w:tab w:val="left" w:pos="394"/>
              </w:tabs>
              <w:ind w:left="360" w:right="74" w:hanging="286"/>
              <w:jc w:val="both"/>
              <w:rPr>
                <w:szCs w:val="24"/>
              </w:rPr>
            </w:pPr>
            <w:r w:rsidRPr="00DD0D1F">
              <w:rPr>
                <w:szCs w:val="24"/>
              </w:rPr>
              <w:t>Ölçümler, tesis &gt; %70'lik yüklerde çalıştırıldığında gerçekleştirilir.</w:t>
            </w:r>
          </w:p>
          <w:p w14:paraId="25A47E18" w14:textId="77777777" w:rsidR="003328F9" w:rsidRPr="00DD0D1F" w:rsidRDefault="003328F9" w:rsidP="00FF111D">
            <w:pPr>
              <w:pStyle w:val="TableParagraph"/>
              <w:numPr>
                <w:ilvl w:val="0"/>
                <w:numId w:val="22"/>
              </w:numPr>
              <w:tabs>
                <w:tab w:val="left" w:pos="408"/>
              </w:tabs>
              <w:ind w:left="74" w:right="74" w:firstLine="0"/>
              <w:jc w:val="both"/>
              <w:rPr>
                <w:szCs w:val="24"/>
              </w:rPr>
            </w:pPr>
            <w:r w:rsidRPr="00DD0D1F">
              <w:rPr>
                <w:szCs w:val="24"/>
              </w:rPr>
              <w:t>Kimya endüstrisinden kaynaklanan proses yakıtları söz konusu olduğunda, izleme yalnızca yakıtlar klorlu maddeler içerdiğinde uygulanabilir.</w:t>
            </w:r>
          </w:p>
        </w:tc>
      </w:tr>
    </w:tbl>
    <w:p w14:paraId="5C9D1806" w14:textId="30CE54BE" w:rsidR="003328F9" w:rsidRPr="00DD0D1F" w:rsidRDefault="003328F9" w:rsidP="003328F9">
      <w:pPr>
        <w:spacing w:before="240"/>
        <w:rPr>
          <w:rFonts w:cs="Times New Roman"/>
          <w:b/>
          <w:bCs/>
          <w:szCs w:val="24"/>
          <w:lang w:val="tr-TR"/>
        </w:rPr>
      </w:pPr>
      <w:r w:rsidRPr="00DD0D1F">
        <w:rPr>
          <w:rFonts w:cs="Times New Roman"/>
          <w:b/>
          <w:bCs/>
          <w:szCs w:val="24"/>
          <w:lang w:val="tr-TR"/>
        </w:rPr>
        <w:t>MET 5: Baca gazı arıtımından kaynaklanan suya emisyonları en azından aşağıda verilen sıklıkta ve EN standartlarına uygun olarak izle</w:t>
      </w:r>
      <w:r w:rsidR="00FA1A88" w:rsidRPr="00DD0D1F">
        <w:rPr>
          <w:rFonts w:cs="Times New Roman"/>
          <w:b/>
          <w:bCs/>
          <w:szCs w:val="24"/>
          <w:lang w:val="tr-TR"/>
        </w:rPr>
        <w:t>nir.</w:t>
      </w:r>
      <w:r w:rsidRPr="00DD0D1F">
        <w:rPr>
          <w:rFonts w:cs="Times New Roman"/>
          <w:b/>
          <w:bCs/>
          <w:szCs w:val="24"/>
          <w:lang w:val="tr-TR"/>
        </w:rPr>
        <w:t xml:space="preserve"> EN standartları mevcut değilse, MET, eşdeğer bilimsel kalitede verilerin sağlanmasını mümkün kılan ISO, ulusal veya</w:t>
      </w:r>
      <w:r w:rsidR="00FA1A88" w:rsidRPr="00DD0D1F">
        <w:rPr>
          <w:rFonts w:cs="Times New Roman"/>
          <w:b/>
          <w:bCs/>
          <w:szCs w:val="24"/>
          <w:lang w:val="tr-TR"/>
        </w:rPr>
        <w:t xml:space="preserve"> diğer uluslararası standartlar</w:t>
      </w:r>
      <w:r w:rsidRPr="00DD0D1F">
        <w:rPr>
          <w:rFonts w:cs="Times New Roman"/>
          <w:b/>
          <w:bCs/>
          <w:szCs w:val="24"/>
          <w:lang w:val="tr-TR"/>
        </w:rPr>
        <w:t xml:space="preserve"> kullan</w:t>
      </w:r>
      <w:r w:rsidR="00FA1A88" w:rsidRPr="00DD0D1F">
        <w:rPr>
          <w:rFonts w:cs="Times New Roman"/>
          <w:b/>
          <w:bCs/>
          <w:szCs w:val="24"/>
          <w:lang w:val="tr-TR"/>
        </w:rPr>
        <w:t>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3"/>
        <w:gridCol w:w="902"/>
        <w:gridCol w:w="2792"/>
        <w:gridCol w:w="1627"/>
        <w:gridCol w:w="1923"/>
      </w:tblGrid>
      <w:tr w:rsidR="003328F9" w:rsidRPr="00DD0D1F" w14:paraId="0A2CF70B" w14:textId="77777777" w:rsidTr="003328F9">
        <w:trPr>
          <w:trHeight w:val="690"/>
          <w:tblHeader/>
        </w:trPr>
        <w:tc>
          <w:tcPr>
            <w:tcW w:w="1507" w:type="pct"/>
            <w:gridSpan w:val="2"/>
            <w:vAlign w:val="center"/>
          </w:tcPr>
          <w:p w14:paraId="11AF8A9B" w14:textId="77777777" w:rsidR="003328F9" w:rsidRPr="00DD0D1F" w:rsidRDefault="003328F9" w:rsidP="003328F9">
            <w:pPr>
              <w:pStyle w:val="TableParagraph"/>
              <w:ind w:left="74" w:right="74"/>
              <w:jc w:val="center"/>
              <w:rPr>
                <w:b/>
                <w:szCs w:val="24"/>
              </w:rPr>
            </w:pPr>
            <w:r w:rsidRPr="00DD0D1F">
              <w:rPr>
                <w:b/>
                <w:szCs w:val="24"/>
              </w:rPr>
              <w:t>Madde/Parametre</w:t>
            </w:r>
          </w:p>
        </w:tc>
        <w:tc>
          <w:tcPr>
            <w:tcW w:w="1538" w:type="pct"/>
            <w:vAlign w:val="center"/>
          </w:tcPr>
          <w:p w14:paraId="1665096B" w14:textId="77777777" w:rsidR="003328F9" w:rsidRPr="00DD0D1F" w:rsidRDefault="003328F9" w:rsidP="003328F9">
            <w:pPr>
              <w:pStyle w:val="TableParagraph"/>
              <w:ind w:left="74" w:right="74"/>
              <w:jc w:val="center"/>
              <w:rPr>
                <w:b/>
                <w:szCs w:val="24"/>
              </w:rPr>
            </w:pPr>
            <w:r w:rsidRPr="00DD0D1F">
              <w:rPr>
                <w:b/>
                <w:szCs w:val="24"/>
              </w:rPr>
              <w:t>Standart(lar)</w:t>
            </w:r>
          </w:p>
        </w:tc>
        <w:tc>
          <w:tcPr>
            <w:tcW w:w="896" w:type="pct"/>
            <w:vAlign w:val="center"/>
          </w:tcPr>
          <w:p w14:paraId="3D270EAF" w14:textId="77777777" w:rsidR="003328F9" w:rsidRPr="00DD0D1F" w:rsidRDefault="003328F9" w:rsidP="003328F9">
            <w:pPr>
              <w:pStyle w:val="TableParagraph"/>
              <w:ind w:left="74" w:right="74"/>
              <w:jc w:val="center"/>
              <w:rPr>
                <w:b/>
                <w:szCs w:val="24"/>
              </w:rPr>
            </w:pPr>
            <w:r w:rsidRPr="00DD0D1F">
              <w:rPr>
                <w:b/>
                <w:szCs w:val="24"/>
              </w:rPr>
              <w:t>Minimum</w:t>
            </w:r>
          </w:p>
          <w:p w14:paraId="1E6B2DFC" w14:textId="77777777" w:rsidR="003328F9" w:rsidRPr="00DD0D1F" w:rsidRDefault="003328F9" w:rsidP="003328F9">
            <w:pPr>
              <w:pStyle w:val="TableParagraph"/>
              <w:ind w:left="74" w:right="74"/>
              <w:jc w:val="center"/>
              <w:rPr>
                <w:b/>
                <w:w w:val="95"/>
                <w:szCs w:val="24"/>
              </w:rPr>
            </w:pPr>
            <w:r w:rsidRPr="00DD0D1F">
              <w:rPr>
                <w:b/>
                <w:w w:val="95"/>
                <w:szCs w:val="24"/>
              </w:rPr>
              <w:t>izleme</w:t>
            </w:r>
          </w:p>
          <w:p w14:paraId="10CFF14B" w14:textId="77777777" w:rsidR="003328F9" w:rsidRPr="00DD0D1F" w:rsidRDefault="003328F9" w:rsidP="003328F9">
            <w:pPr>
              <w:pStyle w:val="TableParagraph"/>
              <w:ind w:left="74" w:right="74"/>
              <w:jc w:val="center"/>
              <w:rPr>
                <w:b/>
                <w:szCs w:val="24"/>
              </w:rPr>
            </w:pPr>
            <w:r w:rsidRPr="00DD0D1F">
              <w:rPr>
                <w:b/>
                <w:w w:val="95"/>
                <w:szCs w:val="24"/>
              </w:rPr>
              <w:t>sıklığı</w:t>
            </w:r>
          </w:p>
        </w:tc>
        <w:tc>
          <w:tcPr>
            <w:tcW w:w="1059" w:type="pct"/>
            <w:vAlign w:val="center"/>
          </w:tcPr>
          <w:p w14:paraId="14688E6F" w14:textId="77777777" w:rsidR="003328F9" w:rsidRPr="00DD0D1F" w:rsidRDefault="003328F9" w:rsidP="003328F9">
            <w:pPr>
              <w:pStyle w:val="TableParagraph"/>
              <w:ind w:left="74" w:right="74" w:hanging="67"/>
              <w:jc w:val="center"/>
              <w:rPr>
                <w:b/>
                <w:szCs w:val="24"/>
              </w:rPr>
            </w:pPr>
            <w:r w:rsidRPr="00DD0D1F">
              <w:rPr>
                <w:b/>
                <w:szCs w:val="24"/>
              </w:rPr>
              <w:t>Aşağıdakilerle ilişkili izleme</w:t>
            </w:r>
          </w:p>
        </w:tc>
      </w:tr>
      <w:tr w:rsidR="003328F9" w:rsidRPr="00DD0D1F" w14:paraId="28C286B7" w14:textId="77777777" w:rsidTr="003328F9">
        <w:trPr>
          <w:trHeight w:val="461"/>
        </w:trPr>
        <w:tc>
          <w:tcPr>
            <w:tcW w:w="1507" w:type="pct"/>
            <w:gridSpan w:val="2"/>
            <w:vAlign w:val="center"/>
          </w:tcPr>
          <w:p w14:paraId="7A0E15BE" w14:textId="77777777" w:rsidR="003328F9" w:rsidRPr="00DD0D1F" w:rsidRDefault="003328F9" w:rsidP="003328F9">
            <w:pPr>
              <w:pStyle w:val="TableParagraph"/>
              <w:ind w:left="74" w:right="74"/>
              <w:jc w:val="both"/>
              <w:rPr>
                <w:szCs w:val="24"/>
              </w:rPr>
            </w:pPr>
            <w:r w:rsidRPr="00DD0D1F">
              <w:rPr>
                <w:szCs w:val="24"/>
              </w:rPr>
              <w:t>Toplam organik karbon</w:t>
            </w:r>
          </w:p>
          <w:p w14:paraId="0965156F" w14:textId="77777777" w:rsidR="003328F9" w:rsidRPr="00DD0D1F" w:rsidRDefault="003328F9" w:rsidP="003328F9">
            <w:pPr>
              <w:pStyle w:val="TableParagraph"/>
              <w:ind w:left="74" w:right="74"/>
              <w:jc w:val="both"/>
              <w:rPr>
                <w:szCs w:val="24"/>
              </w:rPr>
            </w:pPr>
            <w:r w:rsidRPr="00DD0D1F">
              <w:rPr>
                <w:szCs w:val="24"/>
              </w:rPr>
              <w:t>(TOC) (</w:t>
            </w:r>
            <w:r w:rsidRPr="00DD0D1F">
              <w:rPr>
                <w:szCs w:val="24"/>
                <w:vertAlign w:val="superscript"/>
              </w:rPr>
              <w:t>1</w:t>
            </w:r>
            <w:r w:rsidRPr="00DD0D1F">
              <w:rPr>
                <w:szCs w:val="24"/>
              </w:rPr>
              <w:t>)</w:t>
            </w:r>
          </w:p>
        </w:tc>
        <w:tc>
          <w:tcPr>
            <w:tcW w:w="1538" w:type="pct"/>
            <w:vAlign w:val="center"/>
          </w:tcPr>
          <w:p w14:paraId="05F3FD19" w14:textId="77777777" w:rsidR="003328F9" w:rsidRPr="00DD0D1F" w:rsidRDefault="003328F9" w:rsidP="003328F9">
            <w:pPr>
              <w:pStyle w:val="TableParagraph"/>
              <w:ind w:left="74" w:right="74"/>
              <w:jc w:val="center"/>
              <w:rPr>
                <w:szCs w:val="24"/>
              </w:rPr>
            </w:pPr>
            <w:r w:rsidRPr="00DD0D1F">
              <w:rPr>
                <w:szCs w:val="24"/>
              </w:rPr>
              <w:t>EN 1484</w:t>
            </w:r>
          </w:p>
        </w:tc>
        <w:tc>
          <w:tcPr>
            <w:tcW w:w="896" w:type="pct"/>
            <w:vMerge w:val="restart"/>
            <w:vAlign w:val="center"/>
          </w:tcPr>
          <w:p w14:paraId="7C415D47" w14:textId="77777777" w:rsidR="003328F9" w:rsidRPr="00DD0D1F" w:rsidRDefault="003328F9" w:rsidP="003328F9">
            <w:pPr>
              <w:pStyle w:val="TableParagraph"/>
              <w:ind w:left="74" w:right="74"/>
              <w:jc w:val="center"/>
              <w:rPr>
                <w:szCs w:val="24"/>
              </w:rPr>
            </w:pPr>
            <w:r w:rsidRPr="00DD0D1F">
              <w:rPr>
                <w:szCs w:val="24"/>
              </w:rPr>
              <w:t>Ayda bir kez</w:t>
            </w:r>
          </w:p>
        </w:tc>
        <w:tc>
          <w:tcPr>
            <w:tcW w:w="1059" w:type="pct"/>
            <w:vMerge w:val="restart"/>
            <w:vAlign w:val="center"/>
          </w:tcPr>
          <w:p w14:paraId="72A46BA5" w14:textId="77777777" w:rsidR="003328F9" w:rsidRPr="00DD0D1F" w:rsidRDefault="003328F9" w:rsidP="003328F9">
            <w:pPr>
              <w:pStyle w:val="TableParagraph"/>
              <w:ind w:left="74" w:right="74"/>
              <w:jc w:val="center"/>
              <w:rPr>
                <w:szCs w:val="24"/>
              </w:rPr>
            </w:pPr>
            <w:r w:rsidRPr="00DD0D1F">
              <w:rPr>
                <w:szCs w:val="24"/>
              </w:rPr>
              <w:t>MET 15</w:t>
            </w:r>
          </w:p>
        </w:tc>
      </w:tr>
      <w:tr w:rsidR="003328F9" w:rsidRPr="00DD0D1F" w14:paraId="727D74A4" w14:textId="77777777" w:rsidTr="003328F9">
        <w:trPr>
          <w:trHeight w:val="692"/>
        </w:trPr>
        <w:tc>
          <w:tcPr>
            <w:tcW w:w="1507" w:type="pct"/>
            <w:gridSpan w:val="2"/>
            <w:vAlign w:val="center"/>
          </w:tcPr>
          <w:p w14:paraId="49B6D201" w14:textId="77777777" w:rsidR="003328F9" w:rsidRPr="00DD0D1F" w:rsidRDefault="003328F9" w:rsidP="003328F9">
            <w:pPr>
              <w:pStyle w:val="TableParagraph"/>
              <w:ind w:left="74" w:right="74"/>
              <w:jc w:val="both"/>
              <w:rPr>
                <w:szCs w:val="24"/>
              </w:rPr>
            </w:pPr>
            <w:r w:rsidRPr="00DD0D1F">
              <w:rPr>
                <w:szCs w:val="24"/>
              </w:rPr>
              <w:t>Kimyasal oksijen ihtiyacı (COD) (</w:t>
            </w:r>
            <w:r w:rsidRPr="00DD0D1F">
              <w:rPr>
                <w:szCs w:val="24"/>
                <w:vertAlign w:val="superscript"/>
              </w:rPr>
              <w:t>1</w:t>
            </w:r>
            <w:r w:rsidRPr="00DD0D1F">
              <w:rPr>
                <w:szCs w:val="24"/>
              </w:rPr>
              <w:t>)</w:t>
            </w:r>
          </w:p>
        </w:tc>
        <w:tc>
          <w:tcPr>
            <w:tcW w:w="1538" w:type="pct"/>
            <w:vAlign w:val="center"/>
          </w:tcPr>
          <w:p w14:paraId="05A33AB2" w14:textId="77777777" w:rsidR="003328F9" w:rsidRPr="00DD0D1F" w:rsidRDefault="003328F9" w:rsidP="003328F9">
            <w:pPr>
              <w:pStyle w:val="TableParagraph"/>
              <w:ind w:left="74" w:right="74"/>
              <w:jc w:val="center"/>
              <w:rPr>
                <w:szCs w:val="24"/>
              </w:rPr>
            </w:pPr>
            <w:r w:rsidRPr="00DD0D1F">
              <w:rPr>
                <w:szCs w:val="24"/>
              </w:rPr>
              <w:t>EN standardı yok</w:t>
            </w:r>
          </w:p>
        </w:tc>
        <w:tc>
          <w:tcPr>
            <w:tcW w:w="896" w:type="pct"/>
            <w:vMerge/>
            <w:tcBorders>
              <w:top w:val="nil"/>
            </w:tcBorders>
            <w:vAlign w:val="center"/>
          </w:tcPr>
          <w:p w14:paraId="620F7955"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6AE9457"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4F6A19A8" w14:textId="77777777" w:rsidTr="003328F9">
        <w:trPr>
          <w:trHeight w:val="458"/>
        </w:trPr>
        <w:tc>
          <w:tcPr>
            <w:tcW w:w="1507" w:type="pct"/>
            <w:gridSpan w:val="2"/>
            <w:vAlign w:val="center"/>
          </w:tcPr>
          <w:p w14:paraId="51F0A9C5" w14:textId="77777777" w:rsidR="003328F9" w:rsidRPr="00DD0D1F" w:rsidRDefault="003328F9" w:rsidP="003328F9">
            <w:pPr>
              <w:pStyle w:val="TableParagraph"/>
              <w:ind w:left="74" w:right="74"/>
              <w:jc w:val="both"/>
              <w:rPr>
                <w:szCs w:val="24"/>
              </w:rPr>
            </w:pPr>
            <w:r w:rsidRPr="00DD0D1F">
              <w:rPr>
                <w:szCs w:val="24"/>
              </w:rPr>
              <w:t>Toplam askıdaki katı maddeler</w:t>
            </w:r>
          </w:p>
          <w:p w14:paraId="18ADBD84" w14:textId="77777777" w:rsidR="003328F9" w:rsidRPr="00DD0D1F" w:rsidRDefault="003328F9" w:rsidP="003328F9">
            <w:pPr>
              <w:pStyle w:val="TableParagraph"/>
              <w:ind w:left="74" w:right="74"/>
              <w:jc w:val="both"/>
              <w:rPr>
                <w:szCs w:val="24"/>
              </w:rPr>
            </w:pPr>
            <w:r w:rsidRPr="00DD0D1F">
              <w:rPr>
                <w:szCs w:val="24"/>
              </w:rPr>
              <w:t>(TSS)</w:t>
            </w:r>
          </w:p>
        </w:tc>
        <w:tc>
          <w:tcPr>
            <w:tcW w:w="1538" w:type="pct"/>
            <w:vAlign w:val="center"/>
          </w:tcPr>
          <w:p w14:paraId="5C4C275A" w14:textId="77777777" w:rsidR="003328F9" w:rsidRPr="00DD0D1F" w:rsidRDefault="003328F9" w:rsidP="003328F9">
            <w:pPr>
              <w:pStyle w:val="TableParagraph"/>
              <w:ind w:left="74" w:right="74"/>
              <w:jc w:val="center"/>
              <w:rPr>
                <w:szCs w:val="24"/>
              </w:rPr>
            </w:pPr>
            <w:r w:rsidRPr="00DD0D1F">
              <w:rPr>
                <w:szCs w:val="24"/>
              </w:rPr>
              <w:t>EN 872</w:t>
            </w:r>
          </w:p>
        </w:tc>
        <w:tc>
          <w:tcPr>
            <w:tcW w:w="896" w:type="pct"/>
            <w:vMerge/>
            <w:tcBorders>
              <w:top w:val="nil"/>
            </w:tcBorders>
            <w:vAlign w:val="center"/>
          </w:tcPr>
          <w:p w14:paraId="708E7C96"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254E7EF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6B0F7FB8" w14:textId="77777777" w:rsidTr="003328F9">
        <w:trPr>
          <w:trHeight w:val="230"/>
        </w:trPr>
        <w:tc>
          <w:tcPr>
            <w:tcW w:w="1507" w:type="pct"/>
            <w:gridSpan w:val="2"/>
            <w:vAlign w:val="center"/>
          </w:tcPr>
          <w:p w14:paraId="34671DE5" w14:textId="77777777" w:rsidR="003328F9" w:rsidRPr="00DD0D1F" w:rsidRDefault="003328F9" w:rsidP="003328F9">
            <w:pPr>
              <w:pStyle w:val="TableParagraph"/>
              <w:ind w:left="74" w:right="74"/>
              <w:jc w:val="both"/>
              <w:rPr>
                <w:szCs w:val="24"/>
              </w:rPr>
            </w:pPr>
            <w:r w:rsidRPr="00DD0D1F">
              <w:rPr>
                <w:szCs w:val="24"/>
              </w:rPr>
              <w:t>Florür (F</w:t>
            </w:r>
            <w:r w:rsidRPr="00DD0D1F">
              <w:rPr>
                <w:szCs w:val="24"/>
                <w:vertAlign w:val="superscript"/>
              </w:rPr>
              <w:t>-</w:t>
            </w:r>
            <w:r w:rsidRPr="00DD0D1F">
              <w:rPr>
                <w:szCs w:val="24"/>
              </w:rPr>
              <w:t>)</w:t>
            </w:r>
          </w:p>
        </w:tc>
        <w:tc>
          <w:tcPr>
            <w:tcW w:w="1538" w:type="pct"/>
            <w:vAlign w:val="center"/>
          </w:tcPr>
          <w:p w14:paraId="72F2A830" w14:textId="77777777" w:rsidR="003328F9" w:rsidRPr="00DD0D1F" w:rsidRDefault="003328F9" w:rsidP="003328F9">
            <w:pPr>
              <w:pStyle w:val="TableParagraph"/>
              <w:ind w:left="74" w:right="74"/>
              <w:jc w:val="center"/>
              <w:rPr>
                <w:szCs w:val="24"/>
              </w:rPr>
            </w:pPr>
            <w:r w:rsidRPr="00DD0D1F">
              <w:rPr>
                <w:szCs w:val="24"/>
              </w:rPr>
              <w:t>EN ISO 10304-1</w:t>
            </w:r>
          </w:p>
        </w:tc>
        <w:tc>
          <w:tcPr>
            <w:tcW w:w="896" w:type="pct"/>
            <w:vMerge/>
            <w:tcBorders>
              <w:top w:val="nil"/>
            </w:tcBorders>
            <w:vAlign w:val="center"/>
          </w:tcPr>
          <w:p w14:paraId="622B3D03"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2FD0746E"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58D5A0D6" w14:textId="77777777" w:rsidTr="003328F9">
        <w:trPr>
          <w:trHeight w:val="320"/>
        </w:trPr>
        <w:tc>
          <w:tcPr>
            <w:tcW w:w="1507" w:type="pct"/>
            <w:gridSpan w:val="2"/>
            <w:vAlign w:val="center"/>
          </w:tcPr>
          <w:p w14:paraId="4CA394ED" w14:textId="77777777" w:rsidR="003328F9" w:rsidRPr="00DD0D1F" w:rsidRDefault="003328F9" w:rsidP="003328F9">
            <w:pPr>
              <w:pStyle w:val="TableParagraph"/>
              <w:ind w:left="74" w:right="74"/>
              <w:jc w:val="both"/>
              <w:rPr>
                <w:szCs w:val="24"/>
              </w:rPr>
            </w:pPr>
            <w:r w:rsidRPr="00DD0D1F">
              <w:rPr>
                <w:szCs w:val="24"/>
              </w:rPr>
              <w:t>Sülfat (SO</w:t>
            </w:r>
            <w:r w:rsidRPr="00DD0D1F">
              <w:rPr>
                <w:szCs w:val="24"/>
                <w:vertAlign w:val="subscript"/>
              </w:rPr>
              <w:t>4</w:t>
            </w:r>
            <w:r w:rsidRPr="00DD0D1F">
              <w:rPr>
                <w:szCs w:val="24"/>
              </w:rPr>
              <w:t xml:space="preserve"> </w:t>
            </w:r>
            <w:r w:rsidRPr="00DD0D1F">
              <w:rPr>
                <w:szCs w:val="24"/>
                <w:vertAlign w:val="superscript"/>
              </w:rPr>
              <w:t>2-</w:t>
            </w:r>
            <w:r w:rsidRPr="00DD0D1F">
              <w:rPr>
                <w:szCs w:val="24"/>
              </w:rPr>
              <w:t>)</w:t>
            </w:r>
          </w:p>
          <w:p w14:paraId="3A953545" w14:textId="77777777" w:rsidR="003328F9" w:rsidRPr="00DD0D1F" w:rsidRDefault="003328F9" w:rsidP="003328F9">
            <w:pPr>
              <w:pStyle w:val="TableParagraph"/>
              <w:ind w:left="74" w:right="74"/>
              <w:jc w:val="both"/>
              <w:rPr>
                <w:szCs w:val="24"/>
              </w:rPr>
            </w:pPr>
          </w:p>
        </w:tc>
        <w:tc>
          <w:tcPr>
            <w:tcW w:w="1538" w:type="pct"/>
            <w:vAlign w:val="center"/>
          </w:tcPr>
          <w:p w14:paraId="0929647F" w14:textId="77777777" w:rsidR="003328F9" w:rsidRPr="00DD0D1F" w:rsidRDefault="003328F9" w:rsidP="003328F9">
            <w:pPr>
              <w:pStyle w:val="TableParagraph"/>
              <w:ind w:left="74" w:right="74"/>
              <w:jc w:val="center"/>
              <w:rPr>
                <w:szCs w:val="24"/>
              </w:rPr>
            </w:pPr>
            <w:r w:rsidRPr="00DD0D1F">
              <w:rPr>
                <w:szCs w:val="24"/>
              </w:rPr>
              <w:t>EN ISO 10304-1</w:t>
            </w:r>
          </w:p>
        </w:tc>
        <w:tc>
          <w:tcPr>
            <w:tcW w:w="896" w:type="pct"/>
            <w:vMerge/>
            <w:tcBorders>
              <w:top w:val="nil"/>
            </w:tcBorders>
            <w:vAlign w:val="center"/>
          </w:tcPr>
          <w:p w14:paraId="14011A1B"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953399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51F03943" w14:textId="77777777" w:rsidTr="003328F9">
        <w:trPr>
          <w:trHeight w:val="462"/>
        </w:trPr>
        <w:tc>
          <w:tcPr>
            <w:tcW w:w="1507" w:type="pct"/>
            <w:gridSpan w:val="2"/>
            <w:vAlign w:val="center"/>
          </w:tcPr>
          <w:p w14:paraId="16880E0F" w14:textId="77777777" w:rsidR="003328F9" w:rsidRPr="00DD0D1F" w:rsidRDefault="003328F9" w:rsidP="003328F9">
            <w:pPr>
              <w:pStyle w:val="TableParagraph"/>
              <w:ind w:left="74" w:right="74"/>
              <w:jc w:val="both"/>
              <w:rPr>
                <w:szCs w:val="24"/>
              </w:rPr>
            </w:pPr>
            <w:r w:rsidRPr="00DD0D1F">
              <w:rPr>
                <w:szCs w:val="24"/>
              </w:rPr>
              <w:t>Kolaylıkla açığa çıkabilen sülfür (S</w:t>
            </w:r>
            <w:r w:rsidRPr="00DD0D1F">
              <w:rPr>
                <w:szCs w:val="24"/>
                <w:vertAlign w:val="superscript"/>
              </w:rPr>
              <w:t>2-</w:t>
            </w:r>
            <w:r w:rsidRPr="00DD0D1F">
              <w:rPr>
                <w:szCs w:val="24"/>
              </w:rPr>
              <w:t>)</w:t>
            </w:r>
          </w:p>
        </w:tc>
        <w:tc>
          <w:tcPr>
            <w:tcW w:w="1538" w:type="pct"/>
            <w:vAlign w:val="center"/>
          </w:tcPr>
          <w:p w14:paraId="7C900088" w14:textId="77777777" w:rsidR="003328F9" w:rsidRPr="00DD0D1F" w:rsidRDefault="003328F9" w:rsidP="003328F9">
            <w:pPr>
              <w:pStyle w:val="TableParagraph"/>
              <w:ind w:left="74" w:right="74"/>
              <w:jc w:val="center"/>
              <w:rPr>
                <w:szCs w:val="24"/>
              </w:rPr>
            </w:pPr>
            <w:r w:rsidRPr="00DD0D1F">
              <w:rPr>
                <w:szCs w:val="24"/>
              </w:rPr>
              <w:t>EN standardı yok</w:t>
            </w:r>
          </w:p>
        </w:tc>
        <w:tc>
          <w:tcPr>
            <w:tcW w:w="896" w:type="pct"/>
            <w:vMerge/>
            <w:tcBorders>
              <w:top w:val="nil"/>
            </w:tcBorders>
            <w:vAlign w:val="center"/>
          </w:tcPr>
          <w:p w14:paraId="3B714C4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487345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44A44D00" w14:textId="77777777" w:rsidTr="003328F9">
        <w:trPr>
          <w:trHeight w:val="230"/>
        </w:trPr>
        <w:tc>
          <w:tcPr>
            <w:tcW w:w="1507" w:type="pct"/>
            <w:gridSpan w:val="2"/>
            <w:vAlign w:val="center"/>
          </w:tcPr>
          <w:p w14:paraId="07D18DA5" w14:textId="77777777" w:rsidR="003328F9" w:rsidRPr="00DD0D1F" w:rsidRDefault="003328F9" w:rsidP="003328F9">
            <w:pPr>
              <w:pStyle w:val="TableParagraph"/>
              <w:ind w:left="74" w:right="74"/>
              <w:jc w:val="both"/>
              <w:rPr>
                <w:szCs w:val="24"/>
              </w:rPr>
            </w:pPr>
            <w:r w:rsidRPr="00DD0D1F">
              <w:rPr>
                <w:szCs w:val="24"/>
              </w:rPr>
              <w:t>Sülfit (SO</w:t>
            </w:r>
            <w:r w:rsidRPr="00DD0D1F">
              <w:rPr>
                <w:szCs w:val="24"/>
                <w:vertAlign w:val="subscript"/>
              </w:rPr>
              <w:t>3</w:t>
            </w:r>
            <w:r w:rsidRPr="00DD0D1F">
              <w:rPr>
                <w:szCs w:val="24"/>
              </w:rPr>
              <w:t xml:space="preserve"> </w:t>
            </w:r>
            <w:r w:rsidRPr="00DD0D1F">
              <w:rPr>
                <w:szCs w:val="24"/>
                <w:vertAlign w:val="superscript"/>
              </w:rPr>
              <w:t>2-</w:t>
            </w:r>
            <w:r w:rsidRPr="00DD0D1F">
              <w:rPr>
                <w:szCs w:val="24"/>
              </w:rPr>
              <w:t>)</w:t>
            </w:r>
          </w:p>
          <w:p w14:paraId="0D339F4D" w14:textId="77777777" w:rsidR="003328F9" w:rsidRPr="00DD0D1F" w:rsidRDefault="003328F9" w:rsidP="003328F9">
            <w:pPr>
              <w:pStyle w:val="TableParagraph"/>
              <w:ind w:left="74" w:right="74"/>
              <w:jc w:val="both"/>
              <w:rPr>
                <w:szCs w:val="24"/>
              </w:rPr>
            </w:pPr>
          </w:p>
        </w:tc>
        <w:tc>
          <w:tcPr>
            <w:tcW w:w="1538" w:type="pct"/>
            <w:vAlign w:val="center"/>
          </w:tcPr>
          <w:p w14:paraId="107314D5" w14:textId="77777777" w:rsidR="003328F9" w:rsidRPr="00DD0D1F" w:rsidRDefault="003328F9" w:rsidP="003328F9">
            <w:pPr>
              <w:pStyle w:val="TableParagraph"/>
              <w:ind w:left="74" w:right="74"/>
              <w:jc w:val="center"/>
              <w:rPr>
                <w:szCs w:val="24"/>
              </w:rPr>
            </w:pPr>
            <w:r w:rsidRPr="00DD0D1F">
              <w:rPr>
                <w:szCs w:val="24"/>
              </w:rPr>
              <w:t>EN ISO 10304-3</w:t>
            </w:r>
          </w:p>
        </w:tc>
        <w:tc>
          <w:tcPr>
            <w:tcW w:w="896" w:type="pct"/>
            <w:vMerge/>
            <w:tcBorders>
              <w:top w:val="nil"/>
            </w:tcBorders>
            <w:vAlign w:val="center"/>
          </w:tcPr>
          <w:p w14:paraId="29F2EA46"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6712506D"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DE90075" w14:textId="77777777" w:rsidTr="003328F9">
        <w:trPr>
          <w:trHeight w:val="230"/>
        </w:trPr>
        <w:tc>
          <w:tcPr>
            <w:tcW w:w="1010" w:type="pct"/>
            <w:vMerge w:val="restart"/>
            <w:vAlign w:val="center"/>
          </w:tcPr>
          <w:p w14:paraId="6E2AC5F3" w14:textId="77777777" w:rsidR="003328F9" w:rsidRPr="00DD0D1F" w:rsidRDefault="003328F9" w:rsidP="003328F9">
            <w:pPr>
              <w:pStyle w:val="TableParagraph"/>
              <w:ind w:left="74" w:right="74"/>
              <w:jc w:val="both"/>
              <w:rPr>
                <w:szCs w:val="24"/>
              </w:rPr>
            </w:pPr>
            <w:r w:rsidRPr="00DD0D1F">
              <w:rPr>
                <w:szCs w:val="24"/>
              </w:rPr>
              <w:t>Metaller ve yarı metaller</w:t>
            </w:r>
          </w:p>
        </w:tc>
        <w:tc>
          <w:tcPr>
            <w:tcW w:w="497" w:type="pct"/>
            <w:vAlign w:val="center"/>
          </w:tcPr>
          <w:p w14:paraId="79F8EA05" w14:textId="77777777" w:rsidR="003328F9" w:rsidRPr="00DD0D1F" w:rsidRDefault="003328F9" w:rsidP="003328F9">
            <w:pPr>
              <w:pStyle w:val="TableParagraph"/>
              <w:ind w:left="74" w:right="74"/>
              <w:jc w:val="center"/>
              <w:rPr>
                <w:szCs w:val="24"/>
              </w:rPr>
            </w:pPr>
            <w:r w:rsidRPr="00DD0D1F">
              <w:rPr>
                <w:szCs w:val="24"/>
              </w:rPr>
              <w:t>As</w:t>
            </w:r>
          </w:p>
        </w:tc>
        <w:tc>
          <w:tcPr>
            <w:tcW w:w="1538" w:type="pct"/>
            <w:vMerge w:val="restart"/>
            <w:vAlign w:val="center"/>
          </w:tcPr>
          <w:p w14:paraId="5D36ADA3" w14:textId="77777777" w:rsidR="003328F9" w:rsidRPr="00DD0D1F" w:rsidRDefault="003328F9" w:rsidP="003328F9">
            <w:pPr>
              <w:pStyle w:val="TableParagraph"/>
              <w:ind w:left="74" w:right="74"/>
              <w:jc w:val="center"/>
              <w:rPr>
                <w:szCs w:val="24"/>
              </w:rPr>
            </w:pPr>
            <w:r w:rsidRPr="00DD0D1F">
              <w:rPr>
                <w:szCs w:val="24"/>
              </w:rPr>
              <w:t>Çeşitli EN standartları mevcuttur</w:t>
            </w:r>
          </w:p>
          <w:p w14:paraId="15B02EBE" w14:textId="77777777" w:rsidR="003328F9" w:rsidRPr="00DD0D1F" w:rsidRDefault="003328F9" w:rsidP="003328F9">
            <w:pPr>
              <w:pStyle w:val="TableParagraph"/>
              <w:ind w:left="74" w:right="74"/>
              <w:jc w:val="center"/>
              <w:rPr>
                <w:szCs w:val="24"/>
              </w:rPr>
            </w:pPr>
            <w:r w:rsidRPr="00DD0D1F">
              <w:rPr>
                <w:szCs w:val="24"/>
              </w:rPr>
              <w:t>(ör. EN ISO 11885 veya</w:t>
            </w:r>
          </w:p>
          <w:p w14:paraId="22FDF169" w14:textId="77777777" w:rsidR="003328F9" w:rsidRPr="00DD0D1F" w:rsidRDefault="003328F9" w:rsidP="003328F9">
            <w:pPr>
              <w:pStyle w:val="TableParagraph"/>
              <w:ind w:left="74" w:right="74"/>
              <w:jc w:val="center"/>
              <w:rPr>
                <w:szCs w:val="24"/>
              </w:rPr>
            </w:pPr>
            <w:r w:rsidRPr="00DD0D1F">
              <w:rPr>
                <w:szCs w:val="24"/>
              </w:rPr>
              <w:t>EN ISO 17294-2)</w:t>
            </w:r>
          </w:p>
        </w:tc>
        <w:tc>
          <w:tcPr>
            <w:tcW w:w="896" w:type="pct"/>
            <w:vMerge/>
            <w:tcBorders>
              <w:top w:val="nil"/>
            </w:tcBorders>
            <w:vAlign w:val="center"/>
          </w:tcPr>
          <w:p w14:paraId="0323207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75A0339D"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3ED965D2" w14:textId="77777777" w:rsidTr="003328F9">
        <w:trPr>
          <w:trHeight w:val="230"/>
        </w:trPr>
        <w:tc>
          <w:tcPr>
            <w:tcW w:w="1010" w:type="pct"/>
            <w:vMerge/>
            <w:tcBorders>
              <w:top w:val="nil"/>
            </w:tcBorders>
            <w:vAlign w:val="center"/>
          </w:tcPr>
          <w:p w14:paraId="0EC33AA2"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72AD202E" w14:textId="77777777" w:rsidR="003328F9" w:rsidRPr="00DD0D1F" w:rsidRDefault="003328F9" w:rsidP="003328F9">
            <w:pPr>
              <w:pStyle w:val="TableParagraph"/>
              <w:ind w:left="74" w:right="74"/>
              <w:jc w:val="center"/>
              <w:rPr>
                <w:szCs w:val="24"/>
              </w:rPr>
            </w:pPr>
            <w:r w:rsidRPr="00DD0D1F">
              <w:rPr>
                <w:szCs w:val="24"/>
              </w:rPr>
              <w:t>Cd</w:t>
            </w:r>
          </w:p>
        </w:tc>
        <w:tc>
          <w:tcPr>
            <w:tcW w:w="1538" w:type="pct"/>
            <w:vMerge/>
            <w:tcBorders>
              <w:top w:val="nil"/>
            </w:tcBorders>
            <w:vAlign w:val="center"/>
          </w:tcPr>
          <w:p w14:paraId="76B881EA"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1F5CDBEE"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486DFEE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7DC4CAA3" w14:textId="77777777" w:rsidTr="003328F9">
        <w:trPr>
          <w:trHeight w:val="230"/>
        </w:trPr>
        <w:tc>
          <w:tcPr>
            <w:tcW w:w="1010" w:type="pct"/>
            <w:vMerge/>
            <w:tcBorders>
              <w:top w:val="nil"/>
            </w:tcBorders>
            <w:vAlign w:val="center"/>
          </w:tcPr>
          <w:p w14:paraId="35240B12"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42C98CF4" w14:textId="77777777" w:rsidR="003328F9" w:rsidRPr="00DD0D1F" w:rsidRDefault="003328F9" w:rsidP="003328F9">
            <w:pPr>
              <w:pStyle w:val="TableParagraph"/>
              <w:ind w:left="74" w:right="74"/>
              <w:jc w:val="center"/>
              <w:rPr>
                <w:szCs w:val="24"/>
              </w:rPr>
            </w:pPr>
            <w:r w:rsidRPr="00DD0D1F">
              <w:rPr>
                <w:szCs w:val="24"/>
              </w:rPr>
              <w:t>Cr</w:t>
            </w:r>
          </w:p>
        </w:tc>
        <w:tc>
          <w:tcPr>
            <w:tcW w:w="1538" w:type="pct"/>
            <w:vMerge/>
            <w:tcBorders>
              <w:top w:val="nil"/>
            </w:tcBorders>
            <w:vAlign w:val="center"/>
          </w:tcPr>
          <w:p w14:paraId="49313732"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001F48BE"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4B3650C1"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BD1246E" w14:textId="77777777" w:rsidTr="003328F9">
        <w:trPr>
          <w:trHeight w:val="230"/>
        </w:trPr>
        <w:tc>
          <w:tcPr>
            <w:tcW w:w="1010" w:type="pct"/>
            <w:vMerge/>
            <w:tcBorders>
              <w:top w:val="nil"/>
            </w:tcBorders>
            <w:vAlign w:val="center"/>
          </w:tcPr>
          <w:p w14:paraId="019EC53B"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43011F35" w14:textId="77777777" w:rsidR="003328F9" w:rsidRPr="00DD0D1F" w:rsidRDefault="003328F9" w:rsidP="003328F9">
            <w:pPr>
              <w:pStyle w:val="TableParagraph"/>
              <w:ind w:left="74" w:right="74"/>
              <w:jc w:val="center"/>
              <w:rPr>
                <w:szCs w:val="24"/>
              </w:rPr>
            </w:pPr>
            <w:r w:rsidRPr="00DD0D1F">
              <w:rPr>
                <w:szCs w:val="24"/>
              </w:rPr>
              <w:t>Cu</w:t>
            </w:r>
          </w:p>
        </w:tc>
        <w:tc>
          <w:tcPr>
            <w:tcW w:w="1538" w:type="pct"/>
            <w:vMerge/>
            <w:tcBorders>
              <w:top w:val="nil"/>
            </w:tcBorders>
            <w:vAlign w:val="center"/>
          </w:tcPr>
          <w:p w14:paraId="1D1705A1"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173FBA79"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2E1644A"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4628D206" w14:textId="77777777" w:rsidTr="003328F9">
        <w:trPr>
          <w:trHeight w:val="230"/>
        </w:trPr>
        <w:tc>
          <w:tcPr>
            <w:tcW w:w="1010" w:type="pct"/>
            <w:vMerge/>
            <w:tcBorders>
              <w:top w:val="nil"/>
            </w:tcBorders>
            <w:vAlign w:val="center"/>
          </w:tcPr>
          <w:p w14:paraId="416F569F"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675AE741" w14:textId="77777777" w:rsidR="003328F9" w:rsidRPr="00DD0D1F" w:rsidRDefault="003328F9" w:rsidP="003328F9">
            <w:pPr>
              <w:pStyle w:val="TableParagraph"/>
              <w:ind w:left="74" w:right="74"/>
              <w:jc w:val="center"/>
              <w:rPr>
                <w:szCs w:val="24"/>
              </w:rPr>
            </w:pPr>
            <w:r w:rsidRPr="00DD0D1F">
              <w:rPr>
                <w:szCs w:val="24"/>
              </w:rPr>
              <w:t>Ni</w:t>
            </w:r>
          </w:p>
        </w:tc>
        <w:tc>
          <w:tcPr>
            <w:tcW w:w="1538" w:type="pct"/>
            <w:vMerge/>
            <w:tcBorders>
              <w:top w:val="nil"/>
            </w:tcBorders>
            <w:vAlign w:val="center"/>
          </w:tcPr>
          <w:p w14:paraId="25668C1F"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6A1A3D2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BA7F9DA"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265EF0A5" w14:textId="77777777" w:rsidTr="003328F9">
        <w:trPr>
          <w:trHeight w:val="230"/>
        </w:trPr>
        <w:tc>
          <w:tcPr>
            <w:tcW w:w="1010" w:type="pct"/>
            <w:vMerge/>
            <w:tcBorders>
              <w:top w:val="nil"/>
            </w:tcBorders>
            <w:vAlign w:val="center"/>
          </w:tcPr>
          <w:p w14:paraId="270E0201"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5F6FA153" w14:textId="77777777" w:rsidR="003328F9" w:rsidRPr="00DD0D1F" w:rsidRDefault="003328F9" w:rsidP="003328F9">
            <w:pPr>
              <w:pStyle w:val="TableParagraph"/>
              <w:ind w:left="74" w:right="74"/>
              <w:jc w:val="center"/>
              <w:rPr>
                <w:szCs w:val="24"/>
              </w:rPr>
            </w:pPr>
            <w:r w:rsidRPr="00DD0D1F">
              <w:rPr>
                <w:szCs w:val="24"/>
              </w:rPr>
              <w:t>Pb</w:t>
            </w:r>
          </w:p>
        </w:tc>
        <w:tc>
          <w:tcPr>
            <w:tcW w:w="1538" w:type="pct"/>
            <w:vMerge/>
            <w:tcBorders>
              <w:top w:val="nil"/>
            </w:tcBorders>
            <w:vAlign w:val="center"/>
          </w:tcPr>
          <w:p w14:paraId="588CD97F"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2E80D00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1EB87B4D"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737E981F" w14:textId="77777777" w:rsidTr="003328F9">
        <w:trPr>
          <w:trHeight w:val="230"/>
        </w:trPr>
        <w:tc>
          <w:tcPr>
            <w:tcW w:w="1010" w:type="pct"/>
            <w:vMerge/>
            <w:tcBorders>
              <w:top w:val="nil"/>
            </w:tcBorders>
            <w:vAlign w:val="center"/>
          </w:tcPr>
          <w:p w14:paraId="2342C236"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5321440B" w14:textId="77777777" w:rsidR="003328F9" w:rsidRPr="00DD0D1F" w:rsidRDefault="003328F9" w:rsidP="003328F9">
            <w:pPr>
              <w:pStyle w:val="TableParagraph"/>
              <w:ind w:left="74" w:right="74"/>
              <w:jc w:val="center"/>
              <w:rPr>
                <w:szCs w:val="24"/>
              </w:rPr>
            </w:pPr>
            <w:r w:rsidRPr="00DD0D1F">
              <w:rPr>
                <w:szCs w:val="24"/>
              </w:rPr>
              <w:t>Zn</w:t>
            </w:r>
          </w:p>
        </w:tc>
        <w:tc>
          <w:tcPr>
            <w:tcW w:w="1538" w:type="pct"/>
            <w:vMerge/>
            <w:tcBorders>
              <w:top w:val="nil"/>
            </w:tcBorders>
            <w:vAlign w:val="center"/>
          </w:tcPr>
          <w:p w14:paraId="3E3C3D34"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2804BA40"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5869F23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39429F7" w14:textId="77777777" w:rsidTr="003328F9">
        <w:trPr>
          <w:trHeight w:val="692"/>
        </w:trPr>
        <w:tc>
          <w:tcPr>
            <w:tcW w:w="1010" w:type="pct"/>
            <w:vMerge/>
            <w:tcBorders>
              <w:top w:val="nil"/>
            </w:tcBorders>
            <w:vAlign w:val="center"/>
          </w:tcPr>
          <w:p w14:paraId="5A9EE388"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1C8BC56E" w14:textId="77777777" w:rsidR="003328F9" w:rsidRPr="00DD0D1F" w:rsidRDefault="003328F9" w:rsidP="003328F9">
            <w:pPr>
              <w:pStyle w:val="TableParagraph"/>
              <w:ind w:left="74" w:right="74"/>
              <w:jc w:val="center"/>
              <w:rPr>
                <w:b/>
                <w:szCs w:val="24"/>
              </w:rPr>
            </w:pPr>
          </w:p>
          <w:p w14:paraId="3921CB74" w14:textId="77777777" w:rsidR="003328F9" w:rsidRPr="00DD0D1F" w:rsidRDefault="003328F9" w:rsidP="003328F9">
            <w:pPr>
              <w:pStyle w:val="TableParagraph"/>
              <w:ind w:left="74" w:right="74"/>
              <w:jc w:val="center"/>
              <w:rPr>
                <w:szCs w:val="24"/>
              </w:rPr>
            </w:pPr>
            <w:r w:rsidRPr="00DD0D1F">
              <w:rPr>
                <w:szCs w:val="24"/>
              </w:rPr>
              <w:t>Hg</w:t>
            </w:r>
          </w:p>
        </w:tc>
        <w:tc>
          <w:tcPr>
            <w:tcW w:w="1538" w:type="pct"/>
            <w:vAlign w:val="center"/>
          </w:tcPr>
          <w:p w14:paraId="6086E759" w14:textId="77777777" w:rsidR="003328F9" w:rsidRPr="00DD0D1F" w:rsidRDefault="003328F9" w:rsidP="003328F9">
            <w:pPr>
              <w:pStyle w:val="TableParagraph"/>
              <w:ind w:left="74" w:right="74"/>
              <w:jc w:val="center"/>
              <w:rPr>
                <w:szCs w:val="24"/>
              </w:rPr>
            </w:pPr>
            <w:r w:rsidRPr="00DD0D1F">
              <w:rPr>
                <w:szCs w:val="24"/>
              </w:rPr>
              <w:t>Çeşitli EN standartları mevcuttur</w:t>
            </w:r>
          </w:p>
          <w:p w14:paraId="326622BD" w14:textId="77777777" w:rsidR="003328F9" w:rsidRPr="00DD0D1F" w:rsidRDefault="003328F9" w:rsidP="003328F9">
            <w:pPr>
              <w:pStyle w:val="TableParagraph"/>
              <w:ind w:left="74" w:right="74"/>
              <w:jc w:val="center"/>
              <w:rPr>
                <w:szCs w:val="24"/>
              </w:rPr>
            </w:pPr>
            <w:r w:rsidRPr="00DD0D1F">
              <w:rPr>
                <w:szCs w:val="24"/>
              </w:rPr>
              <w:t>(ör. EN ISO 12846 veya</w:t>
            </w:r>
          </w:p>
          <w:p w14:paraId="134F8B99" w14:textId="77777777" w:rsidR="003328F9" w:rsidRPr="00DD0D1F" w:rsidRDefault="003328F9" w:rsidP="003328F9">
            <w:pPr>
              <w:pStyle w:val="TableParagraph"/>
              <w:ind w:left="74" w:right="74"/>
              <w:jc w:val="center"/>
              <w:rPr>
                <w:szCs w:val="24"/>
              </w:rPr>
            </w:pPr>
            <w:r w:rsidRPr="00DD0D1F">
              <w:rPr>
                <w:szCs w:val="24"/>
              </w:rPr>
              <w:t>EN ISO 17852)</w:t>
            </w:r>
          </w:p>
        </w:tc>
        <w:tc>
          <w:tcPr>
            <w:tcW w:w="896" w:type="pct"/>
            <w:vMerge/>
            <w:tcBorders>
              <w:top w:val="nil"/>
            </w:tcBorders>
            <w:vAlign w:val="center"/>
          </w:tcPr>
          <w:p w14:paraId="6DAB2560"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59C5C7F0"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55A046AD" w14:textId="77777777" w:rsidTr="003328F9">
        <w:trPr>
          <w:trHeight w:val="693"/>
        </w:trPr>
        <w:tc>
          <w:tcPr>
            <w:tcW w:w="1507" w:type="pct"/>
            <w:gridSpan w:val="2"/>
            <w:vAlign w:val="center"/>
          </w:tcPr>
          <w:p w14:paraId="361AB229" w14:textId="77777777" w:rsidR="003328F9" w:rsidRPr="00DD0D1F" w:rsidRDefault="003328F9" w:rsidP="003328F9">
            <w:pPr>
              <w:pStyle w:val="TableParagraph"/>
              <w:ind w:left="74" w:right="74"/>
              <w:jc w:val="both"/>
              <w:rPr>
                <w:szCs w:val="24"/>
              </w:rPr>
            </w:pPr>
            <w:r w:rsidRPr="00DD0D1F">
              <w:rPr>
                <w:szCs w:val="24"/>
              </w:rPr>
              <w:t>Klorür (Cl</w:t>
            </w:r>
            <w:r w:rsidRPr="00DD0D1F">
              <w:rPr>
                <w:szCs w:val="24"/>
                <w:vertAlign w:val="superscript"/>
              </w:rPr>
              <w:t>-</w:t>
            </w:r>
            <w:r w:rsidRPr="00DD0D1F">
              <w:rPr>
                <w:szCs w:val="24"/>
              </w:rPr>
              <w:t>)</w:t>
            </w:r>
          </w:p>
        </w:tc>
        <w:tc>
          <w:tcPr>
            <w:tcW w:w="1538" w:type="pct"/>
            <w:vAlign w:val="center"/>
          </w:tcPr>
          <w:p w14:paraId="3931A909" w14:textId="77777777" w:rsidR="003328F9" w:rsidRPr="00DD0D1F" w:rsidRDefault="003328F9" w:rsidP="003328F9">
            <w:pPr>
              <w:pStyle w:val="TableParagraph"/>
              <w:ind w:left="74" w:right="74"/>
              <w:jc w:val="center"/>
              <w:rPr>
                <w:szCs w:val="24"/>
              </w:rPr>
            </w:pPr>
            <w:r w:rsidRPr="00DD0D1F">
              <w:rPr>
                <w:szCs w:val="24"/>
              </w:rPr>
              <w:t>Çeşitli EN standartları mevcuttur</w:t>
            </w:r>
          </w:p>
          <w:p w14:paraId="412E8574" w14:textId="77777777" w:rsidR="003328F9" w:rsidRPr="00DD0D1F" w:rsidRDefault="003328F9" w:rsidP="003328F9">
            <w:pPr>
              <w:pStyle w:val="TableParagraph"/>
              <w:ind w:left="74" w:right="74"/>
              <w:jc w:val="center"/>
              <w:rPr>
                <w:szCs w:val="24"/>
              </w:rPr>
            </w:pPr>
            <w:r w:rsidRPr="00DD0D1F">
              <w:rPr>
                <w:szCs w:val="24"/>
              </w:rPr>
              <w:t>(ör. EN ISO 10304-1 veya</w:t>
            </w:r>
          </w:p>
          <w:p w14:paraId="30C27C0C" w14:textId="77777777" w:rsidR="003328F9" w:rsidRPr="00DD0D1F" w:rsidRDefault="003328F9" w:rsidP="003328F9">
            <w:pPr>
              <w:pStyle w:val="TableParagraph"/>
              <w:ind w:left="74" w:right="74"/>
              <w:jc w:val="center"/>
              <w:rPr>
                <w:szCs w:val="24"/>
              </w:rPr>
            </w:pPr>
            <w:r w:rsidRPr="00DD0D1F">
              <w:rPr>
                <w:szCs w:val="24"/>
              </w:rPr>
              <w:t>EN ISO 15682)</w:t>
            </w:r>
          </w:p>
        </w:tc>
        <w:tc>
          <w:tcPr>
            <w:tcW w:w="896" w:type="pct"/>
            <w:vMerge/>
            <w:tcBorders>
              <w:top w:val="nil"/>
            </w:tcBorders>
            <w:vAlign w:val="center"/>
          </w:tcPr>
          <w:p w14:paraId="301DA816" w14:textId="77777777" w:rsidR="003328F9" w:rsidRPr="00DD0D1F" w:rsidRDefault="003328F9" w:rsidP="003328F9">
            <w:pPr>
              <w:spacing w:line="240" w:lineRule="auto"/>
              <w:ind w:left="74" w:right="74"/>
              <w:jc w:val="center"/>
              <w:rPr>
                <w:rFonts w:cs="Times New Roman"/>
                <w:szCs w:val="24"/>
                <w:lang w:val="tr-TR"/>
              </w:rPr>
            </w:pPr>
          </w:p>
        </w:tc>
        <w:tc>
          <w:tcPr>
            <w:tcW w:w="1059" w:type="pct"/>
            <w:vAlign w:val="center"/>
          </w:tcPr>
          <w:p w14:paraId="7CC611A8" w14:textId="77777777" w:rsidR="003328F9" w:rsidRPr="00DD0D1F" w:rsidRDefault="003328F9" w:rsidP="003328F9">
            <w:pPr>
              <w:pStyle w:val="TableParagraph"/>
              <w:ind w:left="74" w:right="74"/>
              <w:jc w:val="center"/>
              <w:rPr>
                <w:szCs w:val="24"/>
              </w:rPr>
            </w:pPr>
            <w:r w:rsidRPr="00DD0D1F">
              <w:rPr>
                <w:w w:val="99"/>
                <w:szCs w:val="24"/>
              </w:rPr>
              <w:t>—</w:t>
            </w:r>
          </w:p>
        </w:tc>
      </w:tr>
      <w:tr w:rsidR="003328F9" w:rsidRPr="00DD0D1F" w14:paraId="349414E4" w14:textId="77777777" w:rsidTr="003328F9">
        <w:trPr>
          <w:trHeight w:val="227"/>
        </w:trPr>
        <w:tc>
          <w:tcPr>
            <w:tcW w:w="1507" w:type="pct"/>
            <w:gridSpan w:val="2"/>
            <w:vAlign w:val="center"/>
          </w:tcPr>
          <w:p w14:paraId="00C44360" w14:textId="77777777" w:rsidR="003328F9" w:rsidRPr="00DD0D1F" w:rsidRDefault="003328F9" w:rsidP="003328F9">
            <w:pPr>
              <w:pStyle w:val="TableParagraph"/>
              <w:ind w:left="74" w:right="74"/>
              <w:jc w:val="both"/>
              <w:rPr>
                <w:szCs w:val="24"/>
              </w:rPr>
            </w:pPr>
            <w:r w:rsidRPr="00DD0D1F">
              <w:rPr>
                <w:szCs w:val="24"/>
              </w:rPr>
              <w:t>Toplam azot</w:t>
            </w:r>
          </w:p>
        </w:tc>
        <w:tc>
          <w:tcPr>
            <w:tcW w:w="1538" w:type="pct"/>
            <w:vAlign w:val="center"/>
          </w:tcPr>
          <w:p w14:paraId="04597C44" w14:textId="77777777" w:rsidR="003328F9" w:rsidRPr="00DD0D1F" w:rsidRDefault="003328F9" w:rsidP="003328F9">
            <w:pPr>
              <w:pStyle w:val="TableParagraph"/>
              <w:ind w:left="74" w:right="74"/>
              <w:jc w:val="center"/>
              <w:rPr>
                <w:szCs w:val="24"/>
              </w:rPr>
            </w:pPr>
            <w:r w:rsidRPr="00DD0D1F">
              <w:rPr>
                <w:szCs w:val="24"/>
              </w:rPr>
              <w:t>EN 12260</w:t>
            </w:r>
          </w:p>
        </w:tc>
        <w:tc>
          <w:tcPr>
            <w:tcW w:w="896" w:type="pct"/>
            <w:vMerge/>
            <w:tcBorders>
              <w:top w:val="nil"/>
            </w:tcBorders>
            <w:vAlign w:val="center"/>
          </w:tcPr>
          <w:p w14:paraId="7800EDA1" w14:textId="77777777" w:rsidR="003328F9" w:rsidRPr="00DD0D1F" w:rsidRDefault="003328F9" w:rsidP="003328F9">
            <w:pPr>
              <w:spacing w:line="240" w:lineRule="auto"/>
              <w:ind w:left="74" w:right="74"/>
              <w:jc w:val="center"/>
              <w:rPr>
                <w:rFonts w:cs="Times New Roman"/>
                <w:szCs w:val="24"/>
                <w:lang w:val="tr-TR"/>
              </w:rPr>
            </w:pPr>
          </w:p>
        </w:tc>
        <w:tc>
          <w:tcPr>
            <w:tcW w:w="1059" w:type="pct"/>
            <w:vAlign w:val="center"/>
          </w:tcPr>
          <w:p w14:paraId="56A93647" w14:textId="77777777" w:rsidR="003328F9" w:rsidRPr="00DD0D1F" w:rsidRDefault="003328F9" w:rsidP="003328F9">
            <w:pPr>
              <w:pStyle w:val="TableParagraph"/>
              <w:ind w:left="74" w:right="74"/>
              <w:jc w:val="center"/>
              <w:rPr>
                <w:szCs w:val="24"/>
              </w:rPr>
            </w:pPr>
            <w:r w:rsidRPr="00DD0D1F">
              <w:rPr>
                <w:w w:val="99"/>
                <w:szCs w:val="24"/>
              </w:rPr>
              <w:t>—</w:t>
            </w:r>
          </w:p>
        </w:tc>
      </w:tr>
      <w:tr w:rsidR="003328F9" w:rsidRPr="00DD0D1F" w14:paraId="79A19EE8" w14:textId="77777777" w:rsidTr="003328F9">
        <w:trPr>
          <w:trHeight w:val="467"/>
        </w:trPr>
        <w:tc>
          <w:tcPr>
            <w:tcW w:w="5000" w:type="pct"/>
            <w:gridSpan w:val="5"/>
            <w:vAlign w:val="center"/>
          </w:tcPr>
          <w:p w14:paraId="2FF2332A" w14:textId="77777777" w:rsidR="003328F9" w:rsidRPr="00DD0D1F" w:rsidRDefault="003328F9" w:rsidP="003328F9">
            <w:pPr>
              <w:pStyle w:val="TableParagraph"/>
              <w:ind w:left="74" w:right="74"/>
              <w:jc w:val="both"/>
              <w:rPr>
                <w:szCs w:val="24"/>
              </w:rPr>
            </w:pPr>
            <w:r w:rsidRPr="00DD0D1F">
              <w:rPr>
                <w:szCs w:val="24"/>
              </w:rPr>
              <w:t>(1) TOC izleme ve COD izleme alternatiflerdir. TOC izleme, çok toksik bileşiklerin kullanımını gerektirmediği için tercih edilen seçenektir.</w:t>
            </w:r>
          </w:p>
        </w:tc>
      </w:tr>
    </w:tbl>
    <w:p w14:paraId="485A2384" w14:textId="77777777" w:rsidR="003328F9" w:rsidRPr="00DD0D1F" w:rsidRDefault="003328F9" w:rsidP="003328F9">
      <w:pPr>
        <w:pStyle w:val="Balk2"/>
        <w:numPr>
          <w:ilvl w:val="0"/>
          <w:numId w:val="0"/>
        </w:numPr>
        <w:ind w:left="450"/>
        <w:rPr>
          <w:rFonts w:cs="Times New Roman"/>
          <w:szCs w:val="24"/>
        </w:rPr>
      </w:pPr>
      <w:bookmarkStart w:id="21" w:name="_Toc137367288"/>
    </w:p>
    <w:p w14:paraId="451154E5" w14:textId="77777777" w:rsidR="003328F9" w:rsidRPr="00DD0D1F" w:rsidRDefault="003328F9" w:rsidP="00FF111D">
      <w:pPr>
        <w:pStyle w:val="Balk2"/>
        <w:numPr>
          <w:ilvl w:val="1"/>
          <w:numId w:val="73"/>
        </w:numPr>
        <w:rPr>
          <w:rFonts w:cs="Times New Roman"/>
          <w:szCs w:val="24"/>
        </w:rPr>
      </w:pPr>
      <w:r w:rsidRPr="00DD0D1F">
        <w:rPr>
          <w:rFonts w:cs="Times New Roman"/>
          <w:szCs w:val="24"/>
        </w:rPr>
        <w:t>Genel Çevresel ve Yanma Performansı</w:t>
      </w:r>
      <w:bookmarkEnd w:id="21"/>
      <w:r w:rsidRPr="00DD0D1F">
        <w:rPr>
          <w:rFonts w:cs="Times New Roman"/>
          <w:szCs w:val="24"/>
        </w:rPr>
        <w:t xml:space="preserve"> </w:t>
      </w:r>
    </w:p>
    <w:p w14:paraId="44F2BC25" w14:textId="1466961B" w:rsidR="003328F9" w:rsidRPr="00DD0D1F" w:rsidRDefault="003328F9" w:rsidP="003328F9">
      <w:pPr>
        <w:spacing w:before="240"/>
        <w:rPr>
          <w:rFonts w:cs="Times New Roman"/>
          <w:bCs/>
          <w:szCs w:val="24"/>
        </w:rPr>
      </w:pPr>
      <w:r w:rsidRPr="00DD0D1F">
        <w:rPr>
          <w:rFonts w:cs="Times New Roman"/>
          <w:b/>
          <w:bCs/>
          <w:szCs w:val="24"/>
        </w:rPr>
        <w:t xml:space="preserve">MET 6: </w:t>
      </w:r>
      <w:r w:rsidRPr="00DD0D1F">
        <w:rPr>
          <w:rFonts w:cs="Times New Roman"/>
          <w:bCs/>
          <w:szCs w:val="24"/>
        </w:rPr>
        <w:t>Yakma tesislerinin genel çevresel performansını iyileştirmek ve</w:t>
      </w:r>
      <w:r w:rsidR="00FA1A88" w:rsidRPr="00DD0D1F">
        <w:rPr>
          <w:rFonts w:cs="Times New Roman"/>
          <w:bCs/>
          <w:szCs w:val="24"/>
        </w:rPr>
        <w:t xml:space="preserve"> havaya CO ve yanmamış maddelerin </w:t>
      </w:r>
      <w:r w:rsidRPr="00DD0D1F">
        <w:rPr>
          <w:rFonts w:cs="Times New Roman"/>
          <w:bCs/>
          <w:szCs w:val="24"/>
        </w:rPr>
        <w:t>emisyonlarını azaltmak için,</w:t>
      </w:r>
      <w:bookmarkStart w:id="22" w:name="_Hlk137397628"/>
      <w:r w:rsidRPr="00DD0D1F">
        <w:rPr>
          <w:rFonts w:cs="Times New Roman"/>
          <w:bCs/>
          <w:szCs w:val="24"/>
        </w:rPr>
        <w:t xml:space="preserve"> optimize edilmiş yanma sağla</w:t>
      </w:r>
      <w:r w:rsidR="00BF56A0" w:rsidRPr="00DD0D1F">
        <w:rPr>
          <w:rFonts w:cs="Times New Roman"/>
          <w:bCs/>
          <w:szCs w:val="24"/>
        </w:rPr>
        <w:t>nır</w:t>
      </w:r>
      <w:bookmarkEnd w:id="22"/>
      <w:r w:rsidR="00BF56A0" w:rsidRPr="00DD0D1F">
        <w:rPr>
          <w:rFonts w:cs="Times New Roman"/>
          <w:bCs/>
          <w:szCs w:val="24"/>
        </w:rPr>
        <w:t xml:space="preserve"> </w:t>
      </w:r>
      <w:r w:rsidRPr="00DD0D1F">
        <w:rPr>
          <w:rFonts w:cs="Times New Roman"/>
          <w:bCs/>
          <w:szCs w:val="24"/>
        </w:rPr>
        <w:t xml:space="preserve">ve aşağıda verilen </w:t>
      </w:r>
      <w:r w:rsidR="00BF56A0" w:rsidRPr="00DD0D1F">
        <w:rPr>
          <w:rFonts w:cs="Times New Roman"/>
          <w:bCs/>
          <w:szCs w:val="24"/>
        </w:rPr>
        <w:t>tekniklerin uygun bir birleşimi</w:t>
      </w:r>
      <w:r w:rsidRPr="00DD0D1F">
        <w:rPr>
          <w:rFonts w:cs="Times New Roman"/>
          <w:bCs/>
          <w:szCs w:val="24"/>
        </w:rPr>
        <w:t xml:space="preserve"> kullan</w:t>
      </w:r>
      <w:r w:rsidR="00BF56A0" w:rsidRPr="00DD0D1F">
        <w:rPr>
          <w:rFonts w:cs="Times New Roman"/>
          <w:bCs/>
          <w:szCs w:val="24"/>
        </w:rPr>
        <w:t>ıl</w:t>
      </w:r>
      <w:r w:rsidRPr="00DD0D1F">
        <w:rPr>
          <w:rFonts w:cs="Times New Roman"/>
          <w:bCs/>
          <w:szCs w:val="24"/>
        </w:rPr>
        <w:t>ır.</w:t>
      </w:r>
    </w:p>
    <w:tbl>
      <w:tblPr>
        <w:tblStyle w:val="TableNormal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
        <w:gridCol w:w="2513"/>
        <w:gridCol w:w="3191"/>
        <w:gridCol w:w="3095"/>
      </w:tblGrid>
      <w:tr w:rsidR="003328F9" w:rsidRPr="00DD0D1F" w14:paraId="67E99C09" w14:textId="77777777" w:rsidTr="003328F9">
        <w:trPr>
          <w:trHeight w:val="230"/>
          <w:tblHeader/>
          <w:jc w:val="center"/>
        </w:trPr>
        <w:tc>
          <w:tcPr>
            <w:tcW w:w="153" w:type="pct"/>
            <w:tcBorders>
              <w:top w:val="single" w:sz="4" w:space="0" w:color="auto"/>
              <w:right w:val="single" w:sz="4" w:space="0" w:color="auto"/>
            </w:tcBorders>
          </w:tcPr>
          <w:p w14:paraId="2F28A0F3" w14:textId="77777777" w:rsidR="003328F9" w:rsidRPr="00DD0D1F" w:rsidRDefault="003328F9" w:rsidP="003328F9">
            <w:pPr>
              <w:pStyle w:val="TableParagraph"/>
              <w:ind w:right="74"/>
              <w:jc w:val="center"/>
              <w:rPr>
                <w:b/>
                <w:szCs w:val="24"/>
              </w:rPr>
            </w:pPr>
          </w:p>
        </w:tc>
        <w:tc>
          <w:tcPr>
            <w:tcW w:w="1384" w:type="pct"/>
            <w:tcBorders>
              <w:top w:val="single" w:sz="4" w:space="0" w:color="auto"/>
              <w:left w:val="single" w:sz="4" w:space="0" w:color="auto"/>
            </w:tcBorders>
          </w:tcPr>
          <w:p w14:paraId="44B34505" w14:textId="77777777" w:rsidR="003328F9" w:rsidRPr="00DD0D1F" w:rsidRDefault="003328F9" w:rsidP="003328F9">
            <w:pPr>
              <w:pStyle w:val="TableParagraph"/>
              <w:ind w:right="74"/>
              <w:jc w:val="center"/>
              <w:rPr>
                <w:b/>
                <w:szCs w:val="24"/>
              </w:rPr>
            </w:pPr>
            <w:r w:rsidRPr="00DD0D1F">
              <w:rPr>
                <w:b/>
                <w:szCs w:val="24"/>
              </w:rPr>
              <w:t>Teknik</w:t>
            </w:r>
          </w:p>
        </w:tc>
        <w:tc>
          <w:tcPr>
            <w:tcW w:w="1758" w:type="pct"/>
          </w:tcPr>
          <w:p w14:paraId="2C6BBA3E" w14:textId="77777777" w:rsidR="003328F9" w:rsidRPr="00DD0D1F" w:rsidRDefault="003328F9" w:rsidP="003328F9">
            <w:pPr>
              <w:pStyle w:val="TableParagraph"/>
              <w:ind w:left="74" w:right="74"/>
              <w:jc w:val="center"/>
              <w:rPr>
                <w:b/>
                <w:szCs w:val="24"/>
              </w:rPr>
            </w:pPr>
            <w:r w:rsidRPr="00DD0D1F">
              <w:rPr>
                <w:b/>
                <w:szCs w:val="24"/>
              </w:rPr>
              <w:t>Açıklama</w:t>
            </w:r>
          </w:p>
        </w:tc>
        <w:tc>
          <w:tcPr>
            <w:tcW w:w="1705" w:type="pct"/>
          </w:tcPr>
          <w:p w14:paraId="3BD4A5CE"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490B09EC" w14:textId="77777777" w:rsidTr="003328F9">
        <w:trPr>
          <w:trHeight w:val="1149"/>
          <w:jc w:val="center"/>
        </w:trPr>
        <w:tc>
          <w:tcPr>
            <w:tcW w:w="153" w:type="pct"/>
            <w:vAlign w:val="center"/>
          </w:tcPr>
          <w:p w14:paraId="0813FB0F" w14:textId="77777777" w:rsidR="003328F9" w:rsidRPr="00DD0D1F" w:rsidRDefault="003328F9" w:rsidP="003328F9">
            <w:pPr>
              <w:pStyle w:val="TableParagraph"/>
              <w:ind w:left="74" w:right="74"/>
              <w:jc w:val="both"/>
              <w:rPr>
                <w:szCs w:val="24"/>
              </w:rPr>
            </w:pPr>
            <w:r w:rsidRPr="00DD0D1F">
              <w:rPr>
                <w:w w:val="99"/>
                <w:szCs w:val="24"/>
              </w:rPr>
              <w:t>a</w:t>
            </w:r>
          </w:p>
        </w:tc>
        <w:tc>
          <w:tcPr>
            <w:tcW w:w="1384" w:type="pct"/>
            <w:vAlign w:val="center"/>
          </w:tcPr>
          <w:p w14:paraId="0193369C" w14:textId="77777777" w:rsidR="003328F9" w:rsidRPr="00DD0D1F" w:rsidRDefault="003328F9" w:rsidP="003328F9">
            <w:pPr>
              <w:pStyle w:val="TableParagraph"/>
              <w:ind w:left="74" w:right="74"/>
              <w:jc w:val="both"/>
              <w:rPr>
                <w:szCs w:val="24"/>
              </w:rPr>
            </w:pPr>
          </w:p>
          <w:p w14:paraId="07A2AF14" w14:textId="77777777" w:rsidR="003328F9" w:rsidRPr="00DD0D1F" w:rsidRDefault="003328F9" w:rsidP="003328F9">
            <w:pPr>
              <w:pStyle w:val="TableParagraph"/>
              <w:ind w:left="74" w:right="74"/>
              <w:jc w:val="both"/>
              <w:rPr>
                <w:szCs w:val="24"/>
              </w:rPr>
            </w:pPr>
            <w:r w:rsidRPr="00DD0D1F">
              <w:rPr>
                <w:szCs w:val="24"/>
              </w:rPr>
              <w:t>Yakıt harmanlama ve karıştırma</w:t>
            </w:r>
          </w:p>
        </w:tc>
        <w:tc>
          <w:tcPr>
            <w:tcW w:w="1758" w:type="pct"/>
            <w:vAlign w:val="center"/>
          </w:tcPr>
          <w:p w14:paraId="072352C9" w14:textId="77777777" w:rsidR="003328F9" w:rsidRPr="00DD0D1F" w:rsidRDefault="003328F9" w:rsidP="003328F9">
            <w:pPr>
              <w:pStyle w:val="TableParagraph"/>
              <w:ind w:left="74" w:right="74" w:firstLine="1"/>
              <w:jc w:val="both"/>
              <w:rPr>
                <w:szCs w:val="24"/>
              </w:rPr>
            </w:pPr>
            <w:r w:rsidRPr="00DD0D1F">
              <w:rPr>
                <w:szCs w:val="24"/>
              </w:rPr>
              <w:t>Aynı yakıt türünün farklı niteliklerini karıştırmak suretiyle istikrarlı yanma koşullarının sağlanması</w:t>
            </w:r>
          </w:p>
          <w:p w14:paraId="712B90B1" w14:textId="77777777" w:rsidR="003328F9" w:rsidRPr="00DD0D1F" w:rsidRDefault="003328F9" w:rsidP="003328F9">
            <w:pPr>
              <w:pStyle w:val="TableParagraph"/>
              <w:ind w:left="74" w:right="74"/>
              <w:jc w:val="both"/>
              <w:rPr>
                <w:szCs w:val="24"/>
              </w:rPr>
            </w:pPr>
            <w:r w:rsidRPr="00DD0D1F">
              <w:rPr>
                <w:szCs w:val="24"/>
              </w:rPr>
              <w:t>ve/veya kirletici emisyonunun azaltılması</w:t>
            </w:r>
          </w:p>
        </w:tc>
        <w:tc>
          <w:tcPr>
            <w:tcW w:w="1705" w:type="pct"/>
            <w:vMerge w:val="restart"/>
            <w:vAlign w:val="center"/>
          </w:tcPr>
          <w:p w14:paraId="2F5ACA2E" w14:textId="77777777" w:rsidR="003328F9" w:rsidRPr="00DD0D1F" w:rsidRDefault="003328F9" w:rsidP="003328F9">
            <w:pPr>
              <w:pStyle w:val="TableParagraph"/>
              <w:ind w:left="74" w:right="74"/>
              <w:jc w:val="both"/>
              <w:rPr>
                <w:szCs w:val="24"/>
              </w:rPr>
            </w:pPr>
            <w:r w:rsidRPr="00DD0D1F">
              <w:rPr>
                <w:szCs w:val="24"/>
              </w:rPr>
              <w:t>Genel olarak uygulanabilir</w:t>
            </w:r>
          </w:p>
        </w:tc>
      </w:tr>
      <w:tr w:rsidR="003328F9" w:rsidRPr="00DD0D1F" w14:paraId="2CC3B5CC" w14:textId="77777777" w:rsidTr="003328F9">
        <w:trPr>
          <w:trHeight w:val="690"/>
          <w:jc w:val="center"/>
        </w:trPr>
        <w:tc>
          <w:tcPr>
            <w:tcW w:w="153" w:type="pct"/>
            <w:vAlign w:val="center"/>
          </w:tcPr>
          <w:p w14:paraId="478879F3" w14:textId="77777777" w:rsidR="003328F9" w:rsidRPr="00DD0D1F" w:rsidRDefault="003328F9" w:rsidP="003328F9">
            <w:pPr>
              <w:pStyle w:val="TableParagraph"/>
              <w:ind w:left="74" w:right="74"/>
              <w:jc w:val="both"/>
              <w:rPr>
                <w:szCs w:val="24"/>
              </w:rPr>
            </w:pPr>
            <w:r w:rsidRPr="00DD0D1F">
              <w:rPr>
                <w:w w:val="99"/>
                <w:szCs w:val="24"/>
              </w:rPr>
              <w:t>b</w:t>
            </w:r>
          </w:p>
        </w:tc>
        <w:tc>
          <w:tcPr>
            <w:tcW w:w="1384" w:type="pct"/>
            <w:vAlign w:val="center"/>
          </w:tcPr>
          <w:p w14:paraId="59BB4999" w14:textId="77777777" w:rsidR="003328F9" w:rsidRPr="00DD0D1F" w:rsidRDefault="003328F9" w:rsidP="003328F9">
            <w:pPr>
              <w:pStyle w:val="TableParagraph"/>
              <w:ind w:left="74" w:right="74"/>
              <w:jc w:val="both"/>
              <w:rPr>
                <w:szCs w:val="24"/>
              </w:rPr>
            </w:pPr>
            <w:r w:rsidRPr="00DD0D1F">
              <w:rPr>
                <w:szCs w:val="24"/>
              </w:rPr>
              <w:t>Yakma sisteminin bakımı</w:t>
            </w:r>
          </w:p>
        </w:tc>
        <w:tc>
          <w:tcPr>
            <w:tcW w:w="1758" w:type="pct"/>
            <w:vAlign w:val="center"/>
          </w:tcPr>
          <w:p w14:paraId="0103691F" w14:textId="77777777" w:rsidR="003328F9" w:rsidRPr="00DD0D1F" w:rsidRDefault="003328F9" w:rsidP="003328F9">
            <w:pPr>
              <w:pStyle w:val="TableParagraph"/>
              <w:ind w:left="74" w:right="74"/>
              <w:jc w:val="both"/>
              <w:rPr>
                <w:szCs w:val="24"/>
              </w:rPr>
            </w:pPr>
            <w:r w:rsidRPr="00DD0D1F">
              <w:rPr>
                <w:szCs w:val="24"/>
              </w:rPr>
              <w:t>Tedarikçilerin tavsiyelerine göre düzenli planlı bakım</w:t>
            </w:r>
          </w:p>
        </w:tc>
        <w:tc>
          <w:tcPr>
            <w:tcW w:w="1705" w:type="pct"/>
            <w:vMerge/>
            <w:tcBorders>
              <w:top w:val="nil"/>
            </w:tcBorders>
            <w:vAlign w:val="center"/>
          </w:tcPr>
          <w:p w14:paraId="7AE48B5F" w14:textId="77777777" w:rsidR="003328F9" w:rsidRPr="00DD0D1F" w:rsidRDefault="003328F9" w:rsidP="003328F9">
            <w:pPr>
              <w:spacing w:line="240" w:lineRule="auto"/>
              <w:ind w:left="74" w:right="74"/>
              <w:rPr>
                <w:rFonts w:cs="Times New Roman"/>
                <w:szCs w:val="24"/>
                <w:lang w:val="tr-TR"/>
              </w:rPr>
            </w:pPr>
          </w:p>
        </w:tc>
      </w:tr>
      <w:tr w:rsidR="003328F9" w:rsidRPr="00DD0D1F" w14:paraId="7FA50081" w14:textId="77777777" w:rsidTr="003328F9">
        <w:trPr>
          <w:trHeight w:val="1149"/>
          <w:jc w:val="center"/>
        </w:trPr>
        <w:tc>
          <w:tcPr>
            <w:tcW w:w="153" w:type="pct"/>
            <w:vAlign w:val="center"/>
          </w:tcPr>
          <w:p w14:paraId="6B2222E8" w14:textId="77777777" w:rsidR="003328F9" w:rsidRPr="00DD0D1F" w:rsidRDefault="003328F9" w:rsidP="003328F9">
            <w:pPr>
              <w:pStyle w:val="TableParagraph"/>
              <w:ind w:left="74" w:right="74"/>
              <w:jc w:val="both"/>
              <w:rPr>
                <w:szCs w:val="24"/>
              </w:rPr>
            </w:pPr>
            <w:r w:rsidRPr="00DD0D1F">
              <w:rPr>
                <w:w w:val="99"/>
                <w:szCs w:val="24"/>
              </w:rPr>
              <w:t>c</w:t>
            </w:r>
          </w:p>
        </w:tc>
        <w:tc>
          <w:tcPr>
            <w:tcW w:w="1384" w:type="pct"/>
            <w:vAlign w:val="center"/>
          </w:tcPr>
          <w:p w14:paraId="17A20948" w14:textId="77777777" w:rsidR="003328F9" w:rsidRPr="00DD0D1F" w:rsidRDefault="003328F9" w:rsidP="003328F9">
            <w:pPr>
              <w:pStyle w:val="TableParagraph"/>
              <w:ind w:left="74" w:right="74"/>
              <w:jc w:val="both"/>
              <w:rPr>
                <w:szCs w:val="24"/>
              </w:rPr>
            </w:pPr>
            <w:r w:rsidRPr="00DD0D1F">
              <w:rPr>
                <w:szCs w:val="24"/>
              </w:rPr>
              <w:t>Gelişmiş kontrol sistemi</w:t>
            </w:r>
          </w:p>
        </w:tc>
        <w:tc>
          <w:tcPr>
            <w:tcW w:w="1758" w:type="pct"/>
            <w:vAlign w:val="center"/>
          </w:tcPr>
          <w:p w14:paraId="3E4AD152" w14:textId="77777777" w:rsidR="003328F9" w:rsidRPr="00DD0D1F" w:rsidRDefault="003328F9" w:rsidP="003328F9">
            <w:pPr>
              <w:pStyle w:val="TableParagraph"/>
              <w:ind w:left="74" w:right="74"/>
              <w:jc w:val="both"/>
              <w:rPr>
                <w:szCs w:val="24"/>
              </w:rPr>
            </w:pPr>
            <w:r w:rsidRPr="00DD0D1F">
              <w:rPr>
                <w:szCs w:val="24"/>
              </w:rPr>
              <w:t>Başlık  8.1'deki açıklamaya bakınız</w:t>
            </w:r>
          </w:p>
        </w:tc>
        <w:tc>
          <w:tcPr>
            <w:tcW w:w="1705" w:type="pct"/>
            <w:vAlign w:val="center"/>
          </w:tcPr>
          <w:p w14:paraId="574CF92D" w14:textId="77777777" w:rsidR="003328F9" w:rsidRPr="00DD0D1F" w:rsidRDefault="003328F9" w:rsidP="003328F9">
            <w:pPr>
              <w:pStyle w:val="TableParagraph"/>
              <w:ind w:left="74" w:right="74"/>
              <w:jc w:val="both"/>
              <w:rPr>
                <w:szCs w:val="24"/>
              </w:rPr>
            </w:pPr>
            <w:r w:rsidRPr="00DD0D1F">
              <w:rPr>
                <w:szCs w:val="24"/>
              </w:rPr>
              <w:t>Eski yakma tesislerine uygulanabilirliği, yakma sistemini ve/veya kontrol kumanda sistemini</w:t>
            </w:r>
          </w:p>
          <w:p w14:paraId="3F000AA4" w14:textId="77777777" w:rsidR="003328F9" w:rsidRPr="00DD0D1F" w:rsidRDefault="003328F9" w:rsidP="003328F9">
            <w:pPr>
              <w:pStyle w:val="TableParagraph"/>
              <w:ind w:left="74" w:right="74"/>
              <w:jc w:val="both"/>
              <w:rPr>
                <w:szCs w:val="24"/>
              </w:rPr>
            </w:pPr>
            <w:r w:rsidRPr="00DD0D1F">
              <w:rPr>
                <w:szCs w:val="24"/>
              </w:rPr>
              <w:t>yenileme ihtiyacı nedeniyle kısıtlanabilir.</w:t>
            </w:r>
          </w:p>
        </w:tc>
      </w:tr>
      <w:tr w:rsidR="003328F9" w:rsidRPr="00DD0D1F" w14:paraId="62E10245" w14:textId="77777777" w:rsidTr="003328F9">
        <w:trPr>
          <w:trHeight w:val="690"/>
          <w:jc w:val="center"/>
        </w:trPr>
        <w:tc>
          <w:tcPr>
            <w:tcW w:w="153" w:type="pct"/>
            <w:vAlign w:val="center"/>
          </w:tcPr>
          <w:p w14:paraId="78114747" w14:textId="77777777" w:rsidR="003328F9" w:rsidRPr="00DD0D1F" w:rsidRDefault="003328F9" w:rsidP="003328F9">
            <w:pPr>
              <w:pStyle w:val="TableParagraph"/>
              <w:ind w:left="74" w:right="74"/>
              <w:jc w:val="both"/>
              <w:rPr>
                <w:szCs w:val="24"/>
              </w:rPr>
            </w:pPr>
            <w:r w:rsidRPr="00DD0D1F">
              <w:rPr>
                <w:w w:val="99"/>
                <w:szCs w:val="24"/>
              </w:rPr>
              <w:t>d</w:t>
            </w:r>
          </w:p>
        </w:tc>
        <w:tc>
          <w:tcPr>
            <w:tcW w:w="1384" w:type="pct"/>
            <w:vAlign w:val="center"/>
          </w:tcPr>
          <w:p w14:paraId="49E856B8" w14:textId="77777777" w:rsidR="003328F9" w:rsidRPr="00DD0D1F" w:rsidRDefault="003328F9" w:rsidP="003328F9">
            <w:pPr>
              <w:pStyle w:val="TableParagraph"/>
              <w:ind w:left="74" w:right="74"/>
              <w:jc w:val="both"/>
              <w:rPr>
                <w:szCs w:val="24"/>
              </w:rPr>
            </w:pPr>
            <w:r w:rsidRPr="00DD0D1F">
              <w:rPr>
                <w:szCs w:val="24"/>
              </w:rPr>
              <w:t>Yakma ekipmanının iyi tasarımı</w:t>
            </w:r>
          </w:p>
        </w:tc>
        <w:tc>
          <w:tcPr>
            <w:tcW w:w="1758" w:type="pct"/>
            <w:vAlign w:val="center"/>
          </w:tcPr>
          <w:p w14:paraId="7153A848" w14:textId="77777777" w:rsidR="003328F9" w:rsidRPr="00DD0D1F" w:rsidRDefault="003328F9" w:rsidP="003328F9">
            <w:pPr>
              <w:pStyle w:val="TableParagraph"/>
              <w:ind w:left="74" w:right="74" w:firstLine="3"/>
              <w:jc w:val="both"/>
              <w:rPr>
                <w:szCs w:val="24"/>
              </w:rPr>
            </w:pPr>
            <w:r w:rsidRPr="00DD0D1F">
              <w:rPr>
                <w:szCs w:val="24"/>
              </w:rPr>
              <w:t>Fırının, yanma odalarının, brülörlerin ve</w:t>
            </w:r>
          </w:p>
          <w:p w14:paraId="316BD163" w14:textId="77777777" w:rsidR="003328F9" w:rsidRPr="00DD0D1F" w:rsidRDefault="003328F9" w:rsidP="003328F9">
            <w:pPr>
              <w:pStyle w:val="TableParagraph"/>
              <w:ind w:left="74" w:right="74"/>
              <w:jc w:val="both"/>
              <w:rPr>
                <w:szCs w:val="24"/>
              </w:rPr>
            </w:pPr>
            <w:r w:rsidRPr="00DD0D1F">
              <w:rPr>
                <w:szCs w:val="24"/>
              </w:rPr>
              <w:t>ilişkili cihazların iyi tasarlanması</w:t>
            </w:r>
          </w:p>
        </w:tc>
        <w:tc>
          <w:tcPr>
            <w:tcW w:w="1705" w:type="pct"/>
            <w:vAlign w:val="center"/>
          </w:tcPr>
          <w:p w14:paraId="104C86EE" w14:textId="77777777" w:rsidR="003328F9" w:rsidRPr="00DD0D1F" w:rsidRDefault="003328F9" w:rsidP="003328F9">
            <w:pPr>
              <w:pStyle w:val="TableParagraph"/>
              <w:ind w:left="74" w:right="74"/>
              <w:jc w:val="both"/>
              <w:rPr>
                <w:szCs w:val="24"/>
              </w:rPr>
            </w:pPr>
            <w:r w:rsidRPr="00DD0D1F">
              <w:rPr>
                <w:szCs w:val="24"/>
              </w:rPr>
              <w:t>Genel olarak yeni yakma tesislerine uygulanabilir</w:t>
            </w:r>
          </w:p>
        </w:tc>
      </w:tr>
      <w:tr w:rsidR="003328F9" w:rsidRPr="00DD0D1F" w14:paraId="1BBB75C1" w14:textId="77777777" w:rsidTr="003328F9">
        <w:trPr>
          <w:trHeight w:val="3220"/>
          <w:jc w:val="center"/>
        </w:trPr>
        <w:tc>
          <w:tcPr>
            <w:tcW w:w="153" w:type="pct"/>
            <w:vAlign w:val="center"/>
          </w:tcPr>
          <w:p w14:paraId="6D20F88A" w14:textId="77777777" w:rsidR="003328F9" w:rsidRPr="00DD0D1F" w:rsidRDefault="003328F9" w:rsidP="003328F9">
            <w:pPr>
              <w:pStyle w:val="TableParagraph"/>
              <w:ind w:left="74" w:right="74"/>
              <w:jc w:val="both"/>
              <w:rPr>
                <w:szCs w:val="24"/>
              </w:rPr>
            </w:pPr>
            <w:r w:rsidRPr="00DD0D1F">
              <w:rPr>
                <w:w w:val="99"/>
                <w:szCs w:val="24"/>
              </w:rPr>
              <w:t>e</w:t>
            </w:r>
          </w:p>
        </w:tc>
        <w:tc>
          <w:tcPr>
            <w:tcW w:w="1384" w:type="pct"/>
            <w:vAlign w:val="center"/>
          </w:tcPr>
          <w:p w14:paraId="24EBC06B" w14:textId="77777777" w:rsidR="003328F9" w:rsidRPr="00DD0D1F" w:rsidRDefault="003328F9" w:rsidP="003328F9">
            <w:pPr>
              <w:pStyle w:val="TableParagraph"/>
              <w:ind w:left="74" w:right="74"/>
              <w:jc w:val="both"/>
              <w:rPr>
                <w:szCs w:val="24"/>
              </w:rPr>
            </w:pPr>
            <w:r w:rsidRPr="00DD0D1F">
              <w:rPr>
                <w:szCs w:val="24"/>
              </w:rPr>
              <w:t>Yakıt seçimi</w:t>
            </w:r>
          </w:p>
        </w:tc>
        <w:tc>
          <w:tcPr>
            <w:tcW w:w="1758" w:type="pct"/>
            <w:vAlign w:val="center"/>
          </w:tcPr>
          <w:p w14:paraId="03418D23" w14:textId="77777777" w:rsidR="003328F9" w:rsidRPr="00DD0D1F" w:rsidRDefault="003328F9" w:rsidP="003328F9">
            <w:pPr>
              <w:pStyle w:val="TableParagraph"/>
              <w:ind w:left="74" w:right="74" w:hanging="8"/>
              <w:jc w:val="both"/>
              <w:rPr>
                <w:szCs w:val="24"/>
              </w:rPr>
            </w:pPr>
            <w:r w:rsidRPr="00DD0D1F">
              <w:rPr>
                <w:szCs w:val="24"/>
              </w:rPr>
              <w:t>Devreye alma durumları veya yedek yakıtların kullanıldığı durumlar da dahil olmak üzere, mevcut yakıtlar arasından daha iyi bir çevresel profile (ör. düşük kükürt ve/veya cıva içeriği) sahip başka bir yakıtın/yakıtların seçilmesi veya tamamen ya da kısmen bu yakıtlara geçilmesi</w:t>
            </w:r>
          </w:p>
        </w:tc>
        <w:tc>
          <w:tcPr>
            <w:tcW w:w="1705" w:type="pct"/>
            <w:vAlign w:val="center"/>
          </w:tcPr>
          <w:p w14:paraId="04D0170A" w14:textId="77777777" w:rsidR="003328F9" w:rsidRPr="00DD0D1F" w:rsidRDefault="003328F9" w:rsidP="003328F9">
            <w:pPr>
              <w:pStyle w:val="TableParagraph"/>
              <w:ind w:left="74" w:right="74" w:hanging="1"/>
              <w:jc w:val="both"/>
              <w:rPr>
                <w:szCs w:val="24"/>
              </w:rPr>
            </w:pPr>
            <w:r w:rsidRPr="00DD0D1F">
              <w:rPr>
                <w:szCs w:val="24"/>
              </w:rPr>
              <w:t xml:space="preserve">  Devletin enerji politikasından veya endüstriyel proses yakıtlarının yanması durumunda entegre tesisin yakıt dengesinden etkilenebilecek, bir bütün olarak daha iyi bir çevresel profile sahip uygun yakıt türlerinin mevcudiyeti ile ilgili kısıtlamalar dahilinde uygulanabilir.</w:t>
            </w:r>
          </w:p>
          <w:p w14:paraId="3E108B44" w14:textId="77777777" w:rsidR="003328F9" w:rsidRPr="00DD0D1F" w:rsidRDefault="003328F9" w:rsidP="003328F9">
            <w:pPr>
              <w:pStyle w:val="TableParagraph"/>
              <w:ind w:left="74" w:right="74" w:hanging="2"/>
              <w:jc w:val="both"/>
              <w:rPr>
                <w:szCs w:val="24"/>
              </w:rPr>
            </w:pPr>
            <w:r w:rsidRPr="00DD0D1F">
              <w:rPr>
                <w:szCs w:val="24"/>
              </w:rPr>
              <w:t>Mevcut yakma tesisleri için, seçilen yakıt türü, tesisin yapısı ve tasarımı ile sınırlandırılabilir.</w:t>
            </w:r>
          </w:p>
        </w:tc>
      </w:tr>
    </w:tbl>
    <w:p w14:paraId="01A1314D" w14:textId="77777777" w:rsidR="003328F9" w:rsidRPr="00DD0D1F" w:rsidRDefault="003328F9" w:rsidP="003328F9">
      <w:pPr>
        <w:spacing w:before="240"/>
        <w:rPr>
          <w:rFonts w:cs="Times New Roman"/>
          <w:b/>
          <w:bCs/>
          <w:szCs w:val="24"/>
          <w:lang w:val="tr-TR"/>
        </w:rPr>
      </w:pPr>
    </w:p>
    <w:p w14:paraId="1FED15B1" w14:textId="093C27EC" w:rsidR="003328F9" w:rsidRPr="00DD0D1F" w:rsidRDefault="003328F9" w:rsidP="003328F9">
      <w:pPr>
        <w:spacing w:before="240"/>
        <w:rPr>
          <w:rFonts w:cs="Times New Roman"/>
          <w:bCs/>
          <w:szCs w:val="24"/>
          <w:lang w:val="tr-TR"/>
        </w:rPr>
      </w:pPr>
      <w:r w:rsidRPr="00DD0D1F">
        <w:rPr>
          <w:rFonts w:cs="Times New Roman"/>
          <w:b/>
          <w:bCs/>
          <w:szCs w:val="24"/>
          <w:lang w:val="tr-TR"/>
        </w:rPr>
        <w:t xml:space="preserve">MET 7: </w:t>
      </w:r>
      <w:r w:rsidRPr="00DD0D1F">
        <w:rPr>
          <w:rFonts w:cs="Times New Roman"/>
          <w:bCs/>
          <w:szCs w:val="24"/>
          <w:lang w:val="tr-TR"/>
        </w:rPr>
        <w:t>NO</w:t>
      </w:r>
      <w:r w:rsidRPr="00DD0D1F">
        <w:rPr>
          <w:rFonts w:cs="Times New Roman"/>
          <w:bCs/>
          <w:szCs w:val="24"/>
          <w:vertAlign w:val="subscript"/>
          <w:lang w:val="tr-TR"/>
        </w:rPr>
        <w:t>X</w:t>
      </w:r>
      <w:r w:rsidRPr="00DD0D1F">
        <w:rPr>
          <w:rFonts w:cs="Times New Roman"/>
          <w:bCs/>
          <w:szCs w:val="24"/>
          <w:lang w:val="tr-TR"/>
        </w:rPr>
        <w:t xml:space="preserve"> emisyonlarının azaltılması için, seçici katalitik indirgeme (SCR) ve/veya seçici katalitik olmayan indirgeme (SNCR) kullanımından kaynaklanan havaya amonyak emisyonlarını azaltmak için, SCR ve/veya SNCR tasarımı </w:t>
      </w:r>
      <w:r w:rsidR="00BF56A0" w:rsidRPr="00DD0D1F">
        <w:rPr>
          <w:rFonts w:cs="Times New Roman"/>
          <w:bCs/>
          <w:szCs w:val="24"/>
          <w:lang w:val="tr-TR"/>
        </w:rPr>
        <w:t xml:space="preserve">ve/veya işletimini optimize edilir. </w:t>
      </w:r>
      <w:r w:rsidRPr="00DD0D1F">
        <w:rPr>
          <w:rFonts w:cs="Times New Roman"/>
          <w:bCs/>
          <w:szCs w:val="24"/>
          <w:lang w:val="tr-TR"/>
        </w:rPr>
        <w:t>(örneğin optimize edilmiş reaktif NO</w:t>
      </w:r>
      <w:r w:rsidRPr="00DD0D1F">
        <w:rPr>
          <w:rFonts w:cs="Times New Roman"/>
          <w:bCs/>
          <w:szCs w:val="24"/>
          <w:vertAlign w:val="subscript"/>
          <w:lang w:val="tr-TR"/>
        </w:rPr>
        <w:t>X</w:t>
      </w:r>
      <w:r w:rsidRPr="00DD0D1F">
        <w:rPr>
          <w:rFonts w:cs="Times New Roman"/>
          <w:bCs/>
          <w:szCs w:val="24"/>
          <w:lang w:val="tr-TR"/>
        </w:rPr>
        <w:t xml:space="preserve"> oranı, homojen reaktif dağılımı ve ideal reaktif damlası büyüklüğü).</w:t>
      </w:r>
    </w:p>
    <w:p w14:paraId="6565DC0D"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MET ile ilişkili emisyon seviyeleri</w:t>
      </w:r>
    </w:p>
    <w:p w14:paraId="0FB7BF45" w14:textId="0891A108" w:rsidR="003328F9" w:rsidRPr="00DD0D1F" w:rsidRDefault="003328F9" w:rsidP="003328F9">
      <w:pPr>
        <w:spacing w:before="240"/>
        <w:rPr>
          <w:rFonts w:cs="Times New Roman"/>
          <w:szCs w:val="24"/>
          <w:lang w:val="tr-TR"/>
        </w:rPr>
      </w:pPr>
      <w:r w:rsidRPr="00DD0D1F">
        <w:rPr>
          <w:rFonts w:cs="Times New Roman"/>
          <w:szCs w:val="24"/>
          <w:lang w:val="tr-TR"/>
        </w:rPr>
        <w:t>SCR ve/veya SNCR kullanımından kaynaklanan havaya NH</w:t>
      </w:r>
      <w:r w:rsidRPr="00DD0D1F">
        <w:rPr>
          <w:rFonts w:cs="Times New Roman"/>
          <w:szCs w:val="24"/>
          <w:vertAlign w:val="subscript"/>
          <w:lang w:val="tr-TR"/>
        </w:rPr>
        <w:t>3</w:t>
      </w:r>
      <w:r w:rsidRPr="00DD0D1F">
        <w:rPr>
          <w:rFonts w:cs="Times New Roman"/>
          <w:szCs w:val="24"/>
          <w:lang w:val="tr-TR"/>
        </w:rPr>
        <w:t xml:space="preserve"> emisyonlarına yönelik MET ile ilişkili emisyon seviyesi (MET-İES), yıllık ortalama veya numune alma dönemindeki ortalama olarak &lt; 3–10 mg/Nm</w:t>
      </w:r>
      <w:r w:rsidRPr="00DD0D1F">
        <w:rPr>
          <w:rFonts w:cs="Times New Roman"/>
          <w:szCs w:val="24"/>
          <w:vertAlign w:val="superscript"/>
          <w:lang w:val="tr-TR"/>
        </w:rPr>
        <w:t>3</w:t>
      </w:r>
      <w:r w:rsidRPr="00DD0D1F">
        <w:rPr>
          <w:rFonts w:cs="Times New Roman"/>
          <w:szCs w:val="24"/>
          <w:lang w:val="tr-TR"/>
        </w:rPr>
        <w:t xml:space="preserve">'tür. Aralığın alt </w:t>
      </w:r>
      <w:r w:rsidR="008214A3" w:rsidRPr="00DD0D1F">
        <w:rPr>
          <w:rFonts w:cs="Times New Roman"/>
          <w:szCs w:val="24"/>
          <w:lang w:val="tr-TR"/>
        </w:rPr>
        <w:t>sınırına</w:t>
      </w:r>
      <w:r w:rsidRPr="00DD0D1F">
        <w:rPr>
          <w:rFonts w:cs="Times New Roman"/>
          <w:szCs w:val="24"/>
          <w:lang w:val="tr-TR"/>
        </w:rPr>
        <w:t xml:space="preserve"> SCR kullanıldığında, üst </w:t>
      </w:r>
      <w:r w:rsidR="008214A3" w:rsidRPr="00DD0D1F">
        <w:rPr>
          <w:rFonts w:cs="Times New Roman"/>
          <w:szCs w:val="24"/>
          <w:lang w:val="tr-TR"/>
        </w:rPr>
        <w:t xml:space="preserve">sınırına </w:t>
      </w:r>
      <w:r w:rsidRPr="00DD0D1F">
        <w:rPr>
          <w:rFonts w:cs="Times New Roman"/>
          <w:szCs w:val="24"/>
          <w:lang w:val="tr-TR"/>
        </w:rPr>
        <w:t xml:space="preserve">ise SNCR kullanıldığında yaş azaltma teknikleri olmadan ulaşılabilir. Tesislerin biyokütle yaktığı ve değişken yüklerde çalıştığı durumlar ile motorların HFO ve/veya gaz yağı yaktığı durumlarda, MET-İES aralığının üst </w:t>
      </w:r>
      <w:r w:rsidR="008214A3" w:rsidRPr="00DD0D1F">
        <w:rPr>
          <w:rFonts w:cs="Times New Roman"/>
          <w:szCs w:val="24"/>
          <w:lang w:val="tr-TR"/>
        </w:rPr>
        <w:t>sınırı</w:t>
      </w:r>
      <w:r w:rsidRPr="00DD0D1F">
        <w:rPr>
          <w:rFonts w:cs="Times New Roman"/>
          <w:szCs w:val="24"/>
          <w:lang w:val="tr-TR"/>
        </w:rPr>
        <w:t xml:space="preserve"> 15 mg/Nm</w:t>
      </w:r>
      <w:r w:rsidRPr="00DD0D1F">
        <w:rPr>
          <w:rFonts w:cs="Times New Roman"/>
          <w:szCs w:val="24"/>
          <w:vertAlign w:val="superscript"/>
          <w:lang w:val="tr-TR"/>
        </w:rPr>
        <w:t>3</w:t>
      </w:r>
      <w:r w:rsidRPr="00DD0D1F">
        <w:rPr>
          <w:rFonts w:cs="Times New Roman"/>
          <w:szCs w:val="24"/>
          <w:lang w:val="tr-TR"/>
        </w:rPr>
        <w:t>'tür.</w:t>
      </w:r>
    </w:p>
    <w:p w14:paraId="6A2C186C" w14:textId="77777777" w:rsidR="00BF56A0" w:rsidRPr="00DD0D1F" w:rsidRDefault="00BF56A0" w:rsidP="003328F9">
      <w:pPr>
        <w:spacing w:before="240"/>
        <w:rPr>
          <w:rFonts w:cs="Times New Roman"/>
          <w:szCs w:val="24"/>
          <w:lang w:val="tr-TR"/>
        </w:rPr>
      </w:pPr>
    </w:p>
    <w:p w14:paraId="17318273" w14:textId="7D3C8BA2" w:rsidR="003328F9" w:rsidRPr="00DD0D1F" w:rsidRDefault="003328F9" w:rsidP="003328F9">
      <w:pPr>
        <w:spacing w:before="240"/>
        <w:rPr>
          <w:rFonts w:cs="Times New Roman"/>
          <w:bCs/>
          <w:szCs w:val="24"/>
          <w:lang w:val="tr-TR"/>
        </w:rPr>
      </w:pPr>
      <w:r w:rsidRPr="00DD0D1F">
        <w:rPr>
          <w:rFonts w:cs="Times New Roman"/>
          <w:b/>
          <w:bCs/>
          <w:szCs w:val="24"/>
          <w:lang w:val="tr-TR"/>
        </w:rPr>
        <w:t xml:space="preserve">MET 8: </w:t>
      </w:r>
      <w:r w:rsidRPr="00DD0D1F">
        <w:rPr>
          <w:rFonts w:cs="Times New Roman"/>
          <w:bCs/>
          <w:szCs w:val="24"/>
          <w:lang w:val="tr-TR"/>
        </w:rPr>
        <w:t>Normal çalışma koşullarında havaya emisyonları önlemek veya azaltmak için, doğru tasarım, işletme ve bakım yoluyla emisyon azaltma sistemlerinin optimum kapasitede ve uyg</w:t>
      </w:r>
      <w:r w:rsidR="00BF56A0" w:rsidRPr="00DD0D1F">
        <w:rPr>
          <w:rFonts w:cs="Times New Roman"/>
          <w:bCs/>
          <w:szCs w:val="24"/>
          <w:lang w:val="tr-TR"/>
        </w:rPr>
        <w:t>unlukta kullanılması sağlanır.</w:t>
      </w:r>
    </w:p>
    <w:p w14:paraId="61663B16" w14:textId="3D77C29C"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9: </w:t>
      </w:r>
      <w:r w:rsidRPr="00DD0D1F">
        <w:rPr>
          <w:rFonts w:cs="Times New Roman"/>
          <w:bCs/>
          <w:szCs w:val="24"/>
          <w:lang w:val="tr-TR"/>
        </w:rPr>
        <w:t>Yakma ve/veya gazlaştırma tesislerinin genel çevresel performansını iyileştirmek ve havaya emisyonları azaltmak için, çevre yönetim sisteminin (bk. MET 1) bir parçası olarak kullanılan tüm yakıtlar için kalite güvence/kalite kontrol programlarına aşağıdaki unsurlar</w:t>
      </w:r>
      <w:r w:rsidR="009E7089" w:rsidRPr="00DD0D1F">
        <w:rPr>
          <w:rFonts w:cs="Times New Roman"/>
          <w:bCs/>
          <w:szCs w:val="24"/>
          <w:lang w:val="tr-TR"/>
        </w:rPr>
        <w:t xml:space="preserve"> dahil edilir:</w:t>
      </w:r>
    </w:p>
    <w:p w14:paraId="29F59582" w14:textId="77777777" w:rsidR="003328F9" w:rsidRPr="00DD0D1F" w:rsidRDefault="003328F9" w:rsidP="00FF111D">
      <w:pPr>
        <w:pStyle w:val="ListeParagraf"/>
        <w:numPr>
          <w:ilvl w:val="0"/>
          <w:numId w:val="50"/>
        </w:numPr>
        <w:spacing w:before="240"/>
        <w:rPr>
          <w:rFonts w:cs="Times New Roman"/>
          <w:szCs w:val="24"/>
          <w:lang w:val="tr-TR"/>
        </w:rPr>
      </w:pPr>
      <w:r w:rsidRPr="00DD0D1F">
        <w:rPr>
          <w:rFonts w:cs="Times New Roman"/>
          <w:szCs w:val="24"/>
          <w:lang w:val="tr-TR"/>
        </w:rPr>
        <w:t>En azından aşağıda listelenen parametreleri içeren ve EN standartlarına uygun olarak kullanılan yakıtın tam başlangıç karakterizasyonu. Eşdeğer bilimsel kalitede verilerin sağlanması şartıyla ISO, ulusal veya diğer uluslararası standartlar kullanılabilir.</w:t>
      </w:r>
    </w:p>
    <w:p w14:paraId="4D755FE3" w14:textId="7745189E" w:rsidR="003328F9" w:rsidRPr="00DD0D1F" w:rsidRDefault="003328F9" w:rsidP="00FF111D">
      <w:pPr>
        <w:pStyle w:val="ListeParagraf"/>
        <w:numPr>
          <w:ilvl w:val="0"/>
          <w:numId w:val="50"/>
        </w:numPr>
        <w:spacing w:before="240"/>
        <w:rPr>
          <w:rFonts w:cs="Times New Roman"/>
          <w:szCs w:val="24"/>
          <w:lang w:val="tr-TR"/>
        </w:rPr>
      </w:pPr>
      <w:r w:rsidRPr="00DD0D1F">
        <w:rPr>
          <w:rFonts w:cs="Times New Roman"/>
          <w:szCs w:val="24"/>
          <w:lang w:val="tr-TR"/>
        </w:rPr>
        <w:t>Yakıtın başlangıçtaki karakterizasyonu ve tesis tasarım özelliklerine uygunluğunun kontrol edilmesi amacıyla yakıt kalitesinin düzenli olarak test edilmesi. Test sıklığı ve aşağıdaki tablodan seçilen parametreler, yakıtın değişkenliğine ve kirletici salınımlarının öneminin değerlendirilmesine dayanmaktadır (örneğin, yakıttaki konsantrasyon, kullanılan baca gazı arıtımı);</w:t>
      </w:r>
    </w:p>
    <w:p w14:paraId="2AEC6221" w14:textId="77777777" w:rsidR="003328F9" w:rsidRPr="00DD0D1F" w:rsidRDefault="003328F9" w:rsidP="00FF111D">
      <w:pPr>
        <w:pStyle w:val="ListeParagraf"/>
        <w:numPr>
          <w:ilvl w:val="0"/>
          <w:numId w:val="50"/>
        </w:numPr>
        <w:spacing w:before="240"/>
        <w:rPr>
          <w:rFonts w:cs="Times New Roman"/>
          <w:szCs w:val="24"/>
          <w:lang w:val="tr-TR"/>
        </w:rPr>
      </w:pPr>
      <w:r w:rsidRPr="00DD0D1F">
        <w:rPr>
          <w:rFonts w:cs="Times New Roman"/>
          <w:szCs w:val="24"/>
          <w:lang w:val="tr-TR"/>
        </w:rPr>
        <w:t>Gerektiğinde ve mümkün olduğunda tesis ayarlarının sonradan ayarlanması (ör. Gelişmiş kontrol sisteminde yakıt karakterizasyonu ve kontrolünün entegrasyonu (Başlık  8.1'deki açıklamaya bakınız)).</w:t>
      </w:r>
    </w:p>
    <w:p w14:paraId="497D5D96"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Açıklama</w:t>
      </w:r>
    </w:p>
    <w:p w14:paraId="697C15E9" w14:textId="77777777" w:rsidR="003328F9" w:rsidRPr="00DD0D1F" w:rsidRDefault="003328F9" w:rsidP="003328F9">
      <w:pPr>
        <w:spacing w:before="240"/>
        <w:rPr>
          <w:rFonts w:cs="Times New Roman"/>
          <w:szCs w:val="24"/>
          <w:lang w:val="tr-TR"/>
        </w:rPr>
      </w:pPr>
      <w:r w:rsidRPr="00DD0D1F">
        <w:rPr>
          <w:rFonts w:cs="Times New Roman"/>
          <w:szCs w:val="24"/>
          <w:lang w:val="tr-TR"/>
        </w:rPr>
        <w:t>Yakıtın başlangıç karakterizasyonu ve düzenli testi operatör ve/veya yakıt tedarikçisi tarafından yapılabilir. Tedarikçi tarafından gerçekleştirilirse, tam sonuçlar operatöre bir ürün (yakıt) tedarikçisi şartnamesi ve/veya garantisi şeklinde sağlanır.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8"/>
        <w:gridCol w:w="7189"/>
      </w:tblGrid>
      <w:tr w:rsidR="003328F9" w:rsidRPr="00DD0D1F" w14:paraId="3F103230" w14:textId="77777777" w:rsidTr="003328F9">
        <w:trPr>
          <w:trHeight w:val="544"/>
          <w:tblHeader/>
        </w:trPr>
        <w:tc>
          <w:tcPr>
            <w:tcW w:w="1040" w:type="pct"/>
            <w:vAlign w:val="center"/>
          </w:tcPr>
          <w:p w14:paraId="5861845A" w14:textId="77777777" w:rsidR="003328F9" w:rsidRPr="00DD0D1F" w:rsidRDefault="003328F9" w:rsidP="003328F9">
            <w:pPr>
              <w:pStyle w:val="TableParagraph"/>
              <w:ind w:left="74" w:right="74" w:hanging="258"/>
              <w:jc w:val="center"/>
              <w:rPr>
                <w:b/>
                <w:szCs w:val="24"/>
              </w:rPr>
            </w:pPr>
            <w:r w:rsidRPr="00DD0D1F">
              <w:rPr>
                <w:b/>
                <w:szCs w:val="24"/>
              </w:rPr>
              <w:t>Yakıt(lar)</w:t>
            </w:r>
          </w:p>
        </w:tc>
        <w:tc>
          <w:tcPr>
            <w:tcW w:w="3960" w:type="pct"/>
            <w:vAlign w:val="center"/>
          </w:tcPr>
          <w:p w14:paraId="301F6270" w14:textId="77777777" w:rsidR="003328F9" w:rsidRPr="00DD0D1F" w:rsidRDefault="003328F9" w:rsidP="003328F9">
            <w:pPr>
              <w:pStyle w:val="TableParagraph"/>
              <w:ind w:left="74" w:right="74"/>
              <w:jc w:val="center"/>
              <w:rPr>
                <w:b/>
                <w:szCs w:val="24"/>
              </w:rPr>
            </w:pPr>
            <w:r w:rsidRPr="00DD0D1F">
              <w:rPr>
                <w:b/>
                <w:szCs w:val="24"/>
              </w:rPr>
              <w:t>Karakterizasyona tabi maddeler/Parametreler</w:t>
            </w:r>
          </w:p>
        </w:tc>
      </w:tr>
      <w:tr w:rsidR="003328F9" w:rsidRPr="00DD0D1F" w14:paraId="0E9ED0DE" w14:textId="77777777" w:rsidTr="003328F9">
        <w:trPr>
          <w:trHeight w:val="566"/>
        </w:trPr>
        <w:tc>
          <w:tcPr>
            <w:tcW w:w="1040" w:type="pct"/>
            <w:vMerge w:val="restart"/>
            <w:vAlign w:val="center"/>
          </w:tcPr>
          <w:p w14:paraId="6B622A8F" w14:textId="77777777" w:rsidR="003328F9" w:rsidRPr="00DD0D1F" w:rsidRDefault="003328F9" w:rsidP="003328F9">
            <w:pPr>
              <w:pStyle w:val="TableParagraph"/>
              <w:ind w:left="74" w:right="74"/>
              <w:jc w:val="both"/>
              <w:rPr>
                <w:szCs w:val="24"/>
              </w:rPr>
            </w:pPr>
            <w:r w:rsidRPr="00DD0D1F">
              <w:rPr>
                <w:szCs w:val="24"/>
              </w:rPr>
              <w:t>Biyokütle/turba</w:t>
            </w:r>
          </w:p>
        </w:tc>
        <w:tc>
          <w:tcPr>
            <w:tcW w:w="3960" w:type="pct"/>
            <w:vAlign w:val="center"/>
          </w:tcPr>
          <w:p w14:paraId="3007A8F6" w14:textId="636E991F" w:rsidR="003328F9" w:rsidRPr="00DD0D1F" w:rsidRDefault="00F4444D" w:rsidP="00FF111D">
            <w:pPr>
              <w:pStyle w:val="TableParagraph"/>
              <w:numPr>
                <w:ilvl w:val="0"/>
                <w:numId w:val="61"/>
              </w:numPr>
              <w:tabs>
                <w:tab w:val="left" w:pos="567"/>
              </w:tabs>
              <w:ind w:left="357" w:right="74" w:hanging="283"/>
              <w:jc w:val="both"/>
              <w:rPr>
                <w:szCs w:val="24"/>
              </w:rPr>
            </w:pPr>
            <w:r w:rsidRPr="00DD0D1F">
              <w:rPr>
                <w:szCs w:val="24"/>
              </w:rPr>
              <w:t>Alt Isıl Değer</w:t>
            </w:r>
          </w:p>
          <w:p w14:paraId="30E9A655" w14:textId="77777777" w:rsidR="003328F9" w:rsidRPr="00DD0D1F" w:rsidRDefault="003328F9" w:rsidP="00FF111D">
            <w:pPr>
              <w:pStyle w:val="TableParagraph"/>
              <w:numPr>
                <w:ilvl w:val="0"/>
                <w:numId w:val="61"/>
              </w:numPr>
              <w:tabs>
                <w:tab w:val="left" w:pos="567"/>
              </w:tabs>
              <w:ind w:left="357" w:right="74" w:hanging="283"/>
              <w:jc w:val="both"/>
              <w:rPr>
                <w:szCs w:val="24"/>
              </w:rPr>
            </w:pPr>
            <w:r w:rsidRPr="00DD0D1F">
              <w:rPr>
                <w:szCs w:val="24"/>
              </w:rPr>
              <w:t>Nem</w:t>
            </w:r>
          </w:p>
        </w:tc>
      </w:tr>
      <w:tr w:rsidR="003328F9" w:rsidRPr="00DD0D1F" w14:paraId="51A1914A" w14:textId="77777777" w:rsidTr="003328F9">
        <w:trPr>
          <w:trHeight w:val="733"/>
        </w:trPr>
        <w:tc>
          <w:tcPr>
            <w:tcW w:w="1040" w:type="pct"/>
            <w:vMerge/>
            <w:tcBorders>
              <w:top w:val="nil"/>
            </w:tcBorders>
            <w:vAlign w:val="center"/>
          </w:tcPr>
          <w:p w14:paraId="7DBF7AC9" w14:textId="77777777" w:rsidR="003328F9" w:rsidRPr="00DD0D1F" w:rsidRDefault="003328F9" w:rsidP="003328F9">
            <w:pPr>
              <w:spacing w:line="240" w:lineRule="auto"/>
              <w:ind w:left="74" w:right="74"/>
              <w:rPr>
                <w:rFonts w:cs="Times New Roman"/>
                <w:szCs w:val="24"/>
                <w:lang w:val="tr-TR"/>
              </w:rPr>
            </w:pPr>
          </w:p>
        </w:tc>
        <w:tc>
          <w:tcPr>
            <w:tcW w:w="3960" w:type="pct"/>
            <w:vAlign w:val="center"/>
          </w:tcPr>
          <w:p w14:paraId="35D65C51" w14:textId="77777777" w:rsidR="003328F9" w:rsidRPr="00DD0D1F" w:rsidRDefault="003328F9" w:rsidP="00FF111D">
            <w:pPr>
              <w:pStyle w:val="TableParagraph"/>
              <w:numPr>
                <w:ilvl w:val="0"/>
                <w:numId w:val="60"/>
              </w:numPr>
              <w:tabs>
                <w:tab w:val="left" w:pos="567"/>
              </w:tabs>
              <w:ind w:left="357" w:right="74" w:hanging="283"/>
              <w:jc w:val="both"/>
              <w:rPr>
                <w:szCs w:val="24"/>
              </w:rPr>
            </w:pPr>
            <w:r w:rsidRPr="00DD0D1F">
              <w:rPr>
                <w:szCs w:val="24"/>
              </w:rPr>
              <w:t>Kül</w:t>
            </w:r>
          </w:p>
          <w:p w14:paraId="7BA06D75" w14:textId="77777777" w:rsidR="003328F9" w:rsidRPr="00DD0D1F" w:rsidRDefault="003328F9" w:rsidP="00FF111D">
            <w:pPr>
              <w:pStyle w:val="TableParagraph"/>
              <w:numPr>
                <w:ilvl w:val="0"/>
                <w:numId w:val="60"/>
              </w:numPr>
              <w:tabs>
                <w:tab w:val="left" w:pos="567"/>
              </w:tabs>
              <w:ind w:left="357" w:right="74" w:hanging="283"/>
              <w:jc w:val="both"/>
              <w:rPr>
                <w:szCs w:val="24"/>
              </w:rPr>
            </w:pPr>
            <w:r w:rsidRPr="00DD0D1F">
              <w:rPr>
                <w:szCs w:val="24"/>
              </w:rPr>
              <w:t>C, Cl, F, N, S, K, Na</w:t>
            </w:r>
          </w:p>
          <w:p w14:paraId="54942022" w14:textId="77777777" w:rsidR="003328F9" w:rsidRPr="00DD0D1F" w:rsidRDefault="003328F9" w:rsidP="00FF111D">
            <w:pPr>
              <w:pStyle w:val="TableParagraph"/>
              <w:numPr>
                <w:ilvl w:val="0"/>
                <w:numId w:val="60"/>
              </w:numPr>
              <w:tabs>
                <w:tab w:val="left" w:pos="567"/>
              </w:tabs>
              <w:ind w:left="357" w:right="74" w:hanging="283"/>
              <w:jc w:val="both"/>
              <w:rPr>
                <w:szCs w:val="24"/>
              </w:rPr>
            </w:pPr>
            <w:r w:rsidRPr="00DD0D1F">
              <w:rPr>
                <w:szCs w:val="24"/>
              </w:rPr>
              <w:t>Metaller ve yarı metaller (As, Cd, Cr, Cu, Hg, Pb, Zn)</w:t>
            </w:r>
          </w:p>
        </w:tc>
      </w:tr>
      <w:tr w:rsidR="003328F9" w:rsidRPr="00DD0D1F" w14:paraId="00CF257F" w14:textId="77777777" w:rsidTr="003328F9">
        <w:trPr>
          <w:trHeight w:val="732"/>
        </w:trPr>
        <w:tc>
          <w:tcPr>
            <w:tcW w:w="1040" w:type="pct"/>
            <w:vMerge w:val="restart"/>
            <w:vAlign w:val="center"/>
          </w:tcPr>
          <w:p w14:paraId="3E4FB506" w14:textId="77777777" w:rsidR="003328F9" w:rsidRPr="00DD0D1F" w:rsidRDefault="003328F9" w:rsidP="003328F9">
            <w:pPr>
              <w:pStyle w:val="TableParagraph"/>
              <w:ind w:left="74" w:right="74"/>
              <w:jc w:val="both"/>
              <w:rPr>
                <w:szCs w:val="24"/>
              </w:rPr>
            </w:pPr>
            <w:r w:rsidRPr="00DD0D1F">
              <w:rPr>
                <w:szCs w:val="24"/>
              </w:rPr>
              <w:t>Kömür/linyit</w:t>
            </w:r>
          </w:p>
        </w:tc>
        <w:tc>
          <w:tcPr>
            <w:tcW w:w="3960" w:type="pct"/>
            <w:vAlign w:val="center"/>
          </w:tcPr>
          <w:p w14:paraId="6A4A4D05" w14:textId="77777777" w:rsidR="00F4444D" w:rsidRPr="00DD0D1F" w:rsidRDefault="00F4444D" w:rsidP="00F4444D">
            <w:pPr>
              <w:pStyle w:val="TableParagraph"/>
              <w:numPr>
                <w:ilvl w:val="0"/>
                <w:numId w:val="59"/>
              </w:numPr>
              <w:tabs>
                <w:tab w:val="left" w:pos="567"/>
              </w:tabs>
              <w:ind w:right="74"/>
              <w:jc w:val="both"/>
              <w:rPr>
                <w:szCs w:val="24"/>
              </w:rPr>
            </w:pPr>
            <w:r w:rsidRPr="00DD0D1F">
              <w:rPr>
                <w:szCs w:val="24"/>
              </w:rPr>
              <w:t>Alt Isıl Değer</w:t>
            </w:r>
          </w:p>
          <w:p w14:paraId="4B5A9C20" w14:textId="77777777" w:rsidR="003328F9" w:rsidRPr="00DD0D1F" w:rsidRDefault="003328F9" w:rsidP="00F4444D">
            <w:pPr>
              <w:pStyle w:val="TableParagraph"/>
              <w:numPr>
                <w:ilvl w:val="0"/>
                <w:numId w:val="59"/>
              </w:numPr>
              <w:tabs>
                <w:tab w:val="left" w:pos="567"/>
              </w:tabs>
              <w:ind w:right="74"/>
              <w:jc w:val="both"/>
              <w:rPr>
                <w:szCs w:val="24"/>
              </w:rPr>
            </w:pPr>
            <w:r w:rsidRPr="00DD0D1F">
              <w:rPr>
                <w:szCs w:val="24"/>
              </w:rPr>
              <w:t>Nem</w:t>
            </w:r>
          </w:p>
          <w:p w14:paraId="6E244745" w14:textId="77777777" w:rsidR="003328F9" w:rsidRPr="00DD0D1F" w:rsidRDefault="003328F9" w:rsidP="00F4444D">
            <w:pPr>
              <w:pStyle w:val="TableParagraph"/>
              <w:numPr>
                <w:ilvl w:val="0"/>
                <w:numId w:val="59"/>
              </w:numPr>
              <w:tabs>
                <w:tab w:val="left" w:pos="567"/>
              </w:tabs>
              <w:ind w:right="74"/>
              <w:jc w:val="both"/>
              <w:rPr>
                <w:szCs w:val="24"/>
              </w:rPr>
            </w:pPr>
            <w:r w:rsidRPr="00DD0D1F">
              <w:rPr>
                <w:szCs w:val="24"/>
              </w:rPr>
              <w:t>Uçucular, kül, sabit karbon, C, H, N, O, S</w:t>
            </w:r>
          </w:p>
        </w:tc>
      </w:tr>
      <w:tr w:rsidR="003328F9" w:rsidRPr="00DD0D1F" w14:paraId="123C26F4" w14:textId="77777777" w:rsidTr="003328F9">
        <w:trPr>
          <w:trHeight w:val="397"/>
        </w:trPr>
        <w:tc>
          <w:tcPr>
            <w:tcW w:w="1040" w:type="pct"/>
            <w:vMerge/>
            <w:tcBorders>
              <w:top w:val="nil"/>
            </w:tcBorders>
            <w:vAlign w:val="center"/>
          </w:tcPr>
          <w:p w14:paraId="25DE1D54" w14:textId="77777777" w:rsidR="003328F9" w:rsidRPr="00DD0D1F" w:rsidRDefault="003328F9" w:rsidP="003328F9">
            <w:pPr>
              <w:spacing w:line="240" w:lineRule="auto"/>
              <w:ind w:left="74" w:right="74"/>
              <w:rPr>
                <w:rFonts w:cs="Times New Roman"/>
                <w:szCs w:val="24"/>
                <w:lang w:val="tr-TR"/>
              </w:rPr>
            </w:pPr>
          </w:p>
        </w:tc>
        <w:tc>
          <w:tcPr>
            <w:tcW w:w="3960" w:type="pct"/>
            <w:vAlign w:val="center"/>
          </w:tcPr>
          <w:p w14:paraId="5517EF17" w14:textId="77777777" w:rsidR="003328F9" w:rsidRPr="00DD0D1F" w:rsidRDefault="003328F9" w:rsidP="00FF111D">
            <w:pPr>
              <w:pStyle w:val="TableParagraph"/>
              <w:numPr>
                <w:ilvl w:val="0"/>
                <w:numId w:val="58"/>
              </w:numPr>
              <w:tabs>
                <w:tab w:val="left" w:pos="567"/>
              </w:tabs>
              <w:ind w:left="357" w:right="74" w:hanging="283"/>
              <w:jc w:val="both"/>
              <w:rPr>
                <w:szCs w:val="24"/>
              </w:rPr>
            </w:pPr>
            <w:r w:rsidRPr="00DD0D1F">
              <w:rPr>
                <w:szCs w:val="24"/>
              </w:rPr>
              <w:t>Br, Cl, F</w:t>
            </w:r>
          </w:p>
        </w:tc>
      </w:tr>
      <w:tr w:rsidR="003328F9" w:rsidRPr="00DD0D1F" w14:paraId="046C8983" w14:textId="77777777" w:rsidTr="003328F9">
        <w:trPr>
          <w:trHeight w:val="417"/>
        </w:trPr>
        <w:tc>
          <w:tcPr>
            <w:tcW w:w="1040" w:type="pct"/>
            <w:vMerge/>
            <w:tcBorders>
              <w:top w:val="nil"/>
            </w:tcBorders>
            <w:vAlign w:val="center"/>
          </w:tcPr>
          <w:p w14:paraId="28AF157D" w14:textId="77777777" w:rsidR="003328F9" w:rsidRPr="00DD0D1F" w:rsidRDefault="003328F9" w:rsidP="003328F9">
            <w:pPr>
              <w:spacing w:line="240" w:lineRule="auto"/>
              <w:ind w:left="74" w:right="74"/>
              <w:rPr>
                <w:rFonts w:cs="Times New Roman"/>
                <w:szCs w:val="24"/>
                <w:lang w:val="tr-TR"/>
              </w:rPr>
            </w:pPr>
          </w:p>
        </w:tc>
        <w:tc>
          <w:tcPr>
            <w:tcW w:w="3960" w:type="pct"/>
            <w:vAlign w:val="center"/>
          </w:tcPr>
          <w:p w14:paraId="5FD834C0" w14:textId="77777777" w:rsidR="003328F9" w:rsidRPr="00DD0D1F" w:rsidRDefault="003328F9" w:rsidP="00FF111D">
            <w:pPr>
              <w:pStyle w:val="TableParagraph"/>
              <w:numPr>
                <w:ilvl w:val="0"/>
                <w:numId w:val="57"/>
              </w:numPr>
              <w:tabs>
                <w:tab w:val="left" w:pos="567"/>
              </w:tabs>
              <w:ind w:left="357" w:right="74" w:hanging="283"/>
              <w:jc w:val="both"/>
              <w:rPr>
                <w:szCs w:val="24"/>
              </w:rPr>
            </w:pPr>
            <w:r w:rsidRPr="00DD0D1F">
              <w:rPr>
                <w:szCs w:val="24"/>
              </w:rPr>
              <w:t>Metaller ve yarı metaller(As, Cd, Co, Cr, Cu, Hg, Mn, Ni, Pb, Sb, Tl, V, Zn)</w:t>
            </w:r>
          </w:p>
        </w:tc>
      </w:tr>
      <w:tr w:rsidR="003328F9" w:rsidRPr="00DD0D1F" w14:paraId="57DFF420" w14:textId="77777777" w:rsidTr="003328F9">
        <w:trPr>
          <w:trHeight w:val="566"/>
        </w:trPr>
        <w:tc>
          <w:tcPr>
            <w:tcW w:w="1040" w:type="pct"/>
            <w:vAlign w:val="center"/>
          </w:tcPr>
          <w:p w14:paraId="52E41F4F" w14:textId="77777777" w:rsidR="003328F9" w:rsidRPr="00DD0D1F" w:rsidRDefault="003328F9" w:rsidP="003328F9">
            <w:pPr>
              <w:pStyle w:val="TableParagraph"/>
              <w:ind w:left="74" w:right="74"/>
              <w:jc w:val="both"/>
              <w:rPr>
                <w:szCs w:val="24"/>
              </w:rPr>
            </w:pPr>
            <w:r w:rsidRPr="00DD0D1F">
              <w:rPr>
                <w:szCs w:val="24"/>
              </w:rPr>
              <w:t>HFO</w:t>
            </w:r>
          </w:p>
        </w:tc>
        <w:tc>
          <w:tcPr>
            <w:tcW w:w="3960" w:type="pct"/>
            <w:vAlign w:val="center"/>
          </w:tcPr>
          <w:p w14:paraId="149206CC" w14:textId="77777777" w:rsidR="003328F9" w:rsidRPr="00DD0D1F" w:rsidRDefault="003328F9" w:rsidP="00FF111D">
            <w:pPr>
              <w:pStyle w:val="TableParagraph"/>
              <w:numPr>
                <w:ilvl w:val="0"/>
                <w:numId w:val="56"/>
              </w:numPr>
              <w:tabs>
                <w:tab w:val="left" w:pos="567"/>
              </w:tabs>
              <w:ind w:left="357" w:right="74" w:hanging="283"/>
              <w:jc w:val="both"/>
              <w:rPr>
                <w:szCs w:val="24"/>
              </w:rPr>
            </w:pPr>
            <w:r w:rsidRPr="00DD0D1F">
              <w:rPr>
                <w:szCs w:val="24"/>
              </w:rPr>
              <w:t>Kül</w:t>
            </w:r>
          </w:p>
          <w:p w14:paraId="411B8591" w14:textId="77777777" w:rsidR="003328F9" w:rsidRPr="00DD0D1F" w:rsidRDefault="003328F9" w:rsidP="00FF111D">
            <w:pPr>
              <w:pStyle w:val="TableParagraph"/>
              <w:numPr>
                <w:ilvl w:val="0"/>
                <w:numId w:val="56"/>
              </w:numPr>
              <w:tabs>
                <w:tab w:val="left" w:pos="567"/>
              </w:tabs>
              <w:ind w:left="357" w:right="74" w:hanging="283"/>
              <w:jc w:val="both"/>
              <w:rPr>
                <w:szCs w:val="24"/>
              </w:rPr>
            </w:pPr>
            <w:r w:rsidRPr="00DD0D1F">
              <w:rPr>
                <w:szCs w:val="24"/>
              </w:rPr>
              <w:t>C, S, N, Ni, V</w:t>
            </w:r>
          </w:p>
        </w:tc>
      </w:tr>
      <w:tr w:rsidR="003328F9" w:rsidRPr="00DD0D1F" w14:paraId="527AD87E" w14:textId="77777777" w:rsidTr="003328F9">
        <w:trPr>
          <w:trHeight w:val="568"/>
        </w:trPr>
        <w:tc>
          <w:tcPr>
            <w:tcW w:w="1040" w:type="pct"/>
            <w:vAlign w:val="center"/>
          </w:tcPr>
          <w:p w14:paraId="45A55168" w14:textId="77777777" w:rsidR="003328F9" w:rsidRPr="00DD0D1F" w:rsidRDefault="003328F9" w:rsidP="003328F9">
            <w:pPr>
              <w:pStyle w:val="TableParagraph"/>
              <w:ind w:left="74" w:right="74"/>
              <w:jc w:val="both"/>
              <w:rPr>
                <w:szCs w:val="24"/>
              </w:rPr>
            </w:pPr>
            <w:r w:rsidRPr="00DD0D1F">
              <w:rPr>
                <w:szCs w:val="24"/>
              </w:rPr>
              <w:t>Gaz yağı</w:t>
            </w:r>
          </w:p>
        </w:tc>
        <w:tc>
          <w:tcPr>
            <w:tcW w:w="3960" w:type="pct"/>
            <w:vAlign w:val="center"/>
          </w:tcPr>
          <w:p w14:paraId="7230DE31" w14:textId="77777777" w:rsidR="003328F9" w:rsidRPr="00DD0D1F" w:rsidRDefault="003328F9" w:rsidP="00FF111D">
            <w:pPr>
              <w:pStyle w:val="TableParagraph"/>
              <w:numPr>
                <w:ilvl w:val="0"/>
                <w:numId w:val="55"/>
              </w:numPr>
              <w:tabs>
                <w:tab w:val="left" w:pos="567"/>
              </w:tabs>
              <w:ind w:left="357" w:right="74" w:hanging="283"/>
              <w:jc w:val="both"/>
              <w:rPr>
                <w:szCs w:val="24"/>
              </w:rPr>
            </w:pPr>
            <w:r w:rsidRPr="00DD0D1F">
              <w:rPr>
                <w:szCs w:val="24"/>
              </w:rPr>
              <w:t>Kül</w:t>
            </w:r>
          </w:p>
          <w:p w14:paraId="57C8EEB7" w14:textId="77777777" w:rsidR="003328F9" w:rsidRPr="00DD0D1F" w:rsidRDefault="003328F9" w:rsidP="00FF111D">
            <w:pPr>
              <w:pStyle w:val="TableParagraph"/>
              <w:numPr>
                <w:ilvl w:val="0"/>
                <w:numId w:val="55"/>
              </w:numPr>
              <w:tabs>
                <w:tab w:val="left" w:pos="567"/>
              </w:tabs>
              <w:ind w:left="357" w:right="74" w:hanging="283"/>
              <w:jc w:val="both"/>
              <w:rPr>
                <w:szCs w:val="24"/>
              </w:rPr>
            </w:pPr>
            <w:r w:rsidRPr="00DD0D1F">
              <w:rPr>
                <w:szCs w:val="24"/>
              </w:rPr>
              <w:t>N, C, S</w:t>
            </w:r>
          </w:p>
        </w:tc>
      </w:tr>
      <w:tr w:rsidR="003328F9" w:rsidRPr="00DD0D1F" w14:paraId="77C95E62" w14:textId="77777777" w:rsidTr="003328F9">
        <w:trPr>
          <w:trHeight w:val="565"/>
        </w:trPr>
        <w:tc>
          <w:tcPr>
            <w:tcW w:w="1040" w:type="pct"/>
            <w:vAlign w:val="center"/>
          </w:tcPr>
          <w:p w14:paraId="4DD036D5" w14:textId="77777777" w:rsidR="003328F9" w:rsidRPr="00DD0D1F" w:rsidRDefault="003328F9" w:rsidP="003328F9">
            <w:pPr>
              <w:pStyle w:val="TableParagraph"/>
              <w:ind w:left="74" w:right="74"/>
              <w:jc w:val="both"/>
              <w:rPr>
                <w:szCs w:val="24"/>
              </w:rPr>
            </w:pPr>
            <w:r w:rsidRPr="00DD0D1F">
              <w:rPr>
                <w:szCs w:val="24"/>
              </w:rPr>
              <w:t>Doğal gaz</w:t>
            </w:r>
          </w:p>
        </w:tc>
        <w:tc>
          <w:tcPr>
            <w:tcW w:w="3960" w:type="pct"/>
            <w:vAlign w:val="center"/>
          </w:tcPr>
          <w:p w14:paraId="020A8B65" w14:textId="77777777" w:rsidR="00F4444D" w:rsidRPr="00DD0D1F" w:rsidRDefault="00F4444D" w:rsidP="00F4444D">
            <w:pPr>
              <w:pStyle w:val="TableParagraph"/>
              <w:numPr>
                <w:ilvl w:val="0"/>
                <w:numId w:val="54"/>
              </w:numPr>
              <w:tabs>
                <w:tab w:val="left" w:pos="567"/>
              </w:tabs>
              <w:ind w:right="74"/>
              <w:jc w:val="both"/>
              <w:rPr>
                <w:szCs w:val="24"/>
              </w:rPr>
            </w:pPr>
            <w:r w:rsidRPr="00DD0D1F">
              <w:rPr>
                <w:szCs w:val="24"/>
              </w:rPr>
              <w:t>Alt Isıl Değer</w:t>
            </w:r>
          </w:p>
          <w:p w14:paraId="3D5EC571" w14:textId="77777777" w:rsidR="003328F9" w:rsidRPr="00DD0D1F" w:rsidRDefault="003328F9" w:rsidP="00F4444D">
            <w:pPr>
              <w:pStyle w:val="TableParagraph"/>
              <w:numPr>
                <w:ilvl w:val="0"/>
                <w:numId w:val="54"/>
              </w:numPr>
              <w:tabs>
                <w:tab w:val="left" w:pos="567"/>
              </w:tabs>
              <w:ind w:right="74"/>
              <w:jc w:val="both"/>
              <w:rPr>
                <w:szCs w:val="24"/>
              </w:rPr>
            </w:pPr>
            <w:r w:rsidRPr="00DD0D1F">
              <w:rPr>
                <w:szCs w:val="24"/>
              </w:rPr>
              <w:t>CH</w:t>
            </w:r>
            <w:r w:rsidRPr="00DD0D1F">
              <w:rPr>
                <w:szCs w:val="24"/>
                <w:vertAlign w:val="subscript"/>
              </w:rPr>
              <w:t>4</w:t>
            </w:r>
            <w:r w:rsidRPr="00DD0D1F">
              <w:rPr>
                <w:szCs w:val="24"/>
              </w:rPr>
              <w:t>, C</w:t>
            </w:r>
            <w:r w:rsidRPr="00DD0D1F">
              <w:rPr>
                <w:szCs w:val="24"/>
                <w:vertAlign w:val="subscript"/>
              </w:rPr>
              <w:t>2</w:t>
            </w:r>
            <w:r w:rsidRPr="00DD0D1F">
              <w:rPr>
                <w:szCs w:val="24"/>
              </w:rPr>
              <w:t>H</w:t>
            </w:r>
            <w:r w:rsidRPr="00DD0D1F">
              <w:rPr>
                <w:szCs w:val="24"/>
                <w:vertAlign w:val="subscript"/>
              </w:rPr>
              <w:t>6</w:t>
            </w:r>
            <w:r w:rsidRPr="00DD0D1F">
              <w:rPr>
                <w:szCs w:val="24"/>
              </w:rPr>
              <w:t>, C</w:t>
            </w:r>
            <w:r w:rsidRPr="00DD0D1F">
              <w:rPr>
                <w:szCs w:val="24"/>
                <w:vertAlign w:val="subscript"/>
              </w:rPr>
              <w:t>3</w:t>
            </w:r>
            <w:r w:rsidRPr="00DD0D1F">
              <w:rPr>
                <w:szCs w:val="24"/>
              </w:rPr>
              <w:t>, C</w:t>
            </w:r>
            <w:r w:rsidRPr="00DD0D1F">
              <w:rPr>
                <w:szCs w:val="24"/>
                <w:vertAlign w:val="subscript"/>
              </w:rPr>
              <w:t>4</w:t>
            </w:r>
            <w:r w:rsidRPr="00DD0D1F">
              <w:rPr>
                <w:szCs w:val="24"/>
              </w:rPr>
              <w:t>+, CO</w:t>
            </w:r>
            <w:r w:rsidRPr="00DD0D1F">
              <w:rPr>
                <w:szCs w:val="24"/>
                <w:vertAlign w:val="subscript"/>
              </w:rPr>
              <w:t>2</w:t>
            </w:r>
            <w:r w:rsidRPr="00DD0D1F">
              <w:rPr>
                <w:szCs w:val="24"/>
              </w:rPr>
              <w:t>, N</w:t>
            </w:r>
            <w:r w:rsidRPr="00DD0D1F">
              <w:rPr>
                <w:szCs w:val="24"/>
                <w:vertAlign w:val="subscript"/>
              </w:rPr>
              <w:t>2</w:t>
            </w:r>
            <w:r w:rsidRPr="00DD0D1F">
              <w:rPr>
                <w:szCs w:val="24"/>
              </w:rPr>
              <w:t>, Wobbe endeksi</w:t>
            </w:r>
          </w:p>
        </w:tc>
      </w:tr>
      <w:tr w:rsidR="003328F9" w:rsidRPr="00DD0D1F" w14:paraId="1FC2642D" w14:textId="77777777" w:rsidTr="003328F9">
        <w:trPr>
          <w:trHeight w:val="691"/>
        </w:trPr>
        <w:tc>
          <w:tcPr>
            <w:tcW w:w="1040" w:type="pct"/>
            <w:vAlign w:val="center"/>
          </w:tcPr>
          <w:p w14:paraId="0336C9BF" w14:textId="77777777" w:rsidR="003328F9" w:rsidRPr="00DD0D1F" w:rsidRDefault="003328F9" w:rsidP="003328F9">
            <w:pPr>
              <w:pStyle w:val="TableParagraph"/>
              <w:ind w:left="74" w:right="74"/>
              <w:jc w:val="both"/>
              <w:rPr>
                <w:szCs w:val="24"/>
              </w:rPr>
            </w:pPr>
            <w:r w:rsidRPr="00DD0D1F">
              <w:rPr>
                <w:szCs w:val="24"/>
              </w:rPr>
              <w:t>Kimya endüstrisinden kaynaklanan</w:t>
            </w:r>
          </w:p>
          <w:p w14:paraId="67E6467A" w14:textId="77777777" w:rsidR="003328F9" w:rsidRPr="00DD0D1F" w:rsidRDefault="003328F9" w:rsidP="003328F9">
            <w:pPr>
              <w:pStyle w:val="TableParagraph"/>
              <w:ind w:left="74" w:right="74"/>
              <w:jc w:val="both"/>
              <w:rPr>
                <w:szCs w:val="24"/>
              </w:rPr>
            </w:pPr>
            <w:r w:rsidRPr="00DD0D1F">
              <w:rPr>
                <w:szCs w:val="24"/>
              </w:rPr>
              <w:t>proses yakıtları (</w:t>
            </w:r>
            <w:r w:rsidRPr="00DD0D1F">
              <w:rPr>
                <w:szCs w:val="24"/>
                <w:vertAlign w:val="superscript"/>
              </w:rPr>
              <w:t>1</w:t>
            </w:r>
            <w:r w:rsidRPr="00DD0D1F">
              <w:rPr>
                <w:szCs w:val="24"/>
              </w:rPr>
              <w:t>)</w:t>
            </w:r>
          </w:p>
        </w:tc>
        <w:tc>
          <w:tcPr>
            <w:tcW w:w="3960" w:type="pct"/>
            <w:vAlign w:val="center"/>
          </w:tcPr>
          <w:p w14:paraId="082AA8F7" w14:textId="77777777" w:rsidR="003328F9" w:rsidRPr="00DD0D1F" w:rsidRDefault="003328F9" w:rsidP="00FF111D">
            <w:pPr>
              <w:pStyle w:val="TableParagraph"/>
              <w:numPr>
                <w:ilvl w:val="0"/>
                <w:numId w:val="53"/>
              </w:numPr>
              <w:tabs>
                <w:tab w:val="left" w:pos="567"/>
              </w:tabs>
              <w:ind w:left="357" w:right="74" w:hanging="283"/>
              <w:jc w:val="both"/>
              <w:rPr>
                <w:szCs w:val="24"/>
              </w:rPr>
            </w:pPr>
            <w:r w:rsidRPr="00DD0D1F">
              <w:rPr>
                <w:szCs w:val="24"/>
              </w:rPr>
              <w:t>Br, C, Cl, F, H, N, O, S</w:t>
            </w:r>
          </w:p>
          <w:p w14:paraId="67A0D2C3" w14:textId="77777777" w:rsidR="003328F9" w:rsidRPr="00DD0D1F" w:rsidRDefault="003328F9" w:rsidP="00FF111D">
            <w:pPr>
              <w:pStyle w:val="TableParagraph"/>
              <w:numPr>
                <w:ilvl w:val="0"/>
                <w:numId w:val="53"/>
              </w:numPr>
              <w:tabs>
                <w:tab w:val="left" w:pos="567"/>
              </w:tabs>
              <w:ind w:left="357" w:right="74" w:hanging="283"/>
              <w:jc w:val="both"/>
              <w:rPr>
                <w:szCs w:val="24"/>
              </w:rPr>
            </w:pPr>
            <w:r w:rsidRPr="00DD0D1F">
              <w:rPr>
                <w:szCs w:val="24"/>
              </w:rPr>
              <w:t>Metaller ve yarı metaller(As, Cd, Co, Cr, Cu, Hg, Mn, Ni, Pb, Sb, Tl, V, Zn)</w:t>
            </w:r>
          </w:p>
        </w:tc>
      </w:tr>
      <w:tr w:rsidR="003328F9" w:rsidRPr="00DD0D1F" w14:paraId="14E2FB87" w14:textId="77777777" w:rsidTr="003328F9">
        <w:trPr>
          <w:trHeight w:val="712"/>
        </w:trPr>
        <w:tc>
          <w:tcPr>
            <w:tcW w:w="1040" w:type="pct"/>
            <w:vAlign w:val="center"/>
          </w:tcPr>
          <w:p w14:paraId="7F89C3F2" w14:textId="77777777" w:rsidR="003328F9" w:rsidRPr="00DD0D1F" w:rsidRDefault="003328F9" w:rsidP="003328F9">
            <w:pPr>
              <w:pStyle w:val="TableParagraph"/>
              <w:ind w:left="74" w:right="74"/>
              <w:jc w:val="both"/>
              <w:rPr>
                <w:szCs w:val="24"/>
              </w:rPr>
            </w:pPr>
            <w:r w:rsidRPr="00DD0D1F">
              <w:rPr>
                <w:szCs w:val="24"/>
              </w:rPr>
              <w:t>Demir ve çelik</w:t>
            </w:r>
          </w:p>
          <w:p w14:paraId="632F248E" w14:textId="77777777" w:rsidR="003328F9" w:rsidRPr="00DD0D1F" w:rsidRDefault="003328F9" w:rsidP="003328F9">
            <w:pPr>
              <w:pStyle w:val="TableParagraph"/>
              <w:ind w:left="74" w:right="74"/>
              <w:jc w:val="both"/>
              <w:rPr>
                <w:szCs w:val="24"/>
              </w:rPr>
            </w:pPr>
            <w:r w:rsidRPr="00DD0D1F">
              <w:rPr>
                <w:szCs w:val="24"/>
              </w:rPr>
              <w:t>proses gazları</w:t>
            </w:r>
          </w:p>
        </w:tc>
        <w:tc>
          <w:tcPr>
            <w:tcW w:w="3960" w:type="pct"/>
            <w:vAlign w:val="center"/>
          </w:tcPr>
          <w:p w14:paraId="229A4F5A" w14:textId="212B4735" w:rsidR="003328F9" w:rsidRPr="00DD0D1F" w:rsidRDefault="00F4444D" w:rsidP="00FF111D">
            <w:pPr>
              <w:pStyle w:val="TableParagraph"/>
              <w:numPr>
                <w:ilvl w:val="0"/>
                <w:numId w:val="62"/>
              </w:numPr>
              <w:ind w:left="358" w:right="74" w:hanging="284"/>
              <w:jc w:val="both"/>
              <w:rPr>
                <w:szCs w:val="24"/>
              </w:rPr>
            </w:pPr>
            <w:r w:rsidRPr="00DD0D1F">
              <w:rPr>
                <w:szCs w:val="24"/>
              </w:rPr>
              <w:t>Alt Isıl Değer</w:t>
            </w:r>
            <w:r w:rsidR="003328F9" w:rsidRPr="00DD0D1F">
              <w:rPr>
                <w:szCs w:val="24"/>
              </w:rPr>
              <w:t>, CH4 (COG için), C</w:t>
            </w:r>
            <w:r w:rsidR="003328F9" w:rsidRPr="00DD0D1F">
              <w:rPr>
                <w:szCs w:val="24"/>
                <w:vertAlign w:val="subscript"/>
              </w:rPr>
              <w:t>X</w:t>
            </w:r>
            <w:r w:rsidR="003328F9" w:rsidRPr="00DD0D1F">
              <w:rPr>
                <w:szCs w:val="24"/>
              </w:rPr>
              <w:t>H</w:t>
            </w:r>
            <w:r w:rsidR="003328F9" w:rsidRPr="00DD0D1F">
              <w:rPr>
                <w:szCs w:val="24"/>
                <w:vertAlign w:val="subscript"/>
              </w:rPr>
              <w:t>Y</w:t>
            </w:r>
            <w:r w:rsidR="003328F9" w:rsidRPr="00DD0D1F">
              <w:rPr>
                <w:szCs w:val="24"/>
              </w:rPr>
              <w:t xml:space="preserve"> (COG için), CO</w:t>
            </w:r>
            <w:r w:rsidR="003328F9" w:rsidRPr="00DD0D1F">
              <w:rPr>
                <w:szCs w:val="24"/>
                <w:vertAlign w:val="subscript"/>
              </w:rPr>
              <w:t>2</w:t>
            </w:r>
            <w:r w:rsidR="003328F9" w:rsidRPr="00DD0D1F">
              <w:rPr>
                <w:szCs w:val="24"/>
              </w:rPr>
              <w:t>, H</w:t>
            </w:r>
            <w:r w:rsidR="003328F9" w:rsidRPr="00DD0D1F">
              <w:rPr>
                <w:szCs w:val="24"/>
                <w:vertAlign w:val="subscript"/>
              </w:rPr>
              <w:t>2</w:t>
            </w:r>
            <w:r w:rsidR="003328F9" w:rsidRPr="00DD0D1F">
              <w:rPr>
                <w:szCs w:val="24"/>
              </w:rPr>
              <w:t>, N</w:t>
            </w:r>
            <w:r w:rsidR="003328F9" w:rsidRPr="00DD0D1F">
              <w:rPr>
                <w:szCs w:val="24"/>
                <w:vertAlign w:val="subscript"/>
              </w:rPr>
              <w:t>2</w:t>
            </w:r>
            <w:r w:rsidR="003328F9" w:rsidRPr="00DD0D1F">
              <w:rPr>
                <w:szCs w:val="24"/>
              </w:rPr>
              <w:t>, toplam kükürt, toz, Wobbe endeksi</w:t>
            </w:r>
          </w:p>
        </w:tc>
      </w:tr>
      <w:tr w:rsidR="003328F9" w:rsidRPr="00DD0D1F" w14:paraId="65C2E9D0" w14:textId="77777777" w:rsidTr="003328F9">
        <w:trPr>
          <w:trHeight w:val="978"/>
        </w:trPr>
        <w:tc>
          <w:tcPr>
            <w:tcW w:w="1040" w:type="pct"/>
            <w:vAlign w:val="center"/>
          </w:tcPr>
          <w:p w14:paraId="62D816A0" w14:textId="77777777" w:rsidR="003328F9" w:rsidRPr="00DD0D1F" w:rsidRDefault="003328F9" w:rsidP="003328F9">
            <w:pPr>
              <w:pStyle w:val="TableParagraph"/>
              <w:ind w:left="74" w:right="74"/>
              <w:jc w:val="both"/>
              <w:rPr>
                <w:szCs w:val="24"/>
              </w:rPr>
            </w:pPr>
            <w:r w:rsidRPr="00DD0D1F">
              <w:rPr>
                <w:szCs w:val="24"/>
              </w:rPr>
              <w:t>Atık (</w:t>
            </w:r>
            <w:r w:rsidRPr="00DD0D1F">
              <w:rPr>
                <w:szCs w:val="24"/>
                <w:vertAlign w:val="superscript"/>
              </w:rPr>
              <w:t>2</w:t>
            </w:r>
            <w:r w:rsidRPr="00DD0D1F">
              <w:rPr>
                <w:szCs w:val="24"/>
              </w:rPr>
              <w:t>)</w:t>
            </w:r>
          </w:p>
        </w:tc>
        <w:tc>
          <w:tcPr>
            <w:tcW w:w="3960" w:type="pct"/>
            <w:vAlign w:val="center"/>
          </w:tcPr>
          <w:p w14:paraId="16E8D4E4" w14:textId="745154A8" w:rsidR="003328F9" w:rsidRPr="00DD0D1F" w:rsidRDefault="00F4444D" w:rsidP="00FF111D">
            <w:pPr>
              <w:pStyle w:val="TableParagraph"/>
              <w:numPr>
                <w:ilvl w:val="0"/>
                <w:numId w:val="52"/>
              </w:numPr>
              <w:tabs>
                <w:tab w:val="left" w:pos="567"/>
              </w:tabs>
              <w:ind w:left="357" w:right="74" w:hanging="283"/>
              <w:jc w:val="both"/>
              <w:rPr>
                <w:szCs w:val="24"/>
              </w:rPr>
            </w:pPr>
            <w:r w:rsidRPr="00DD0D1F">
              <w:rPr>
                <w:szCs w:val="24"/>
              </w:rPr>
              <w:t>Alt Isıl Değer</w:t>
            </w:r>
          </w:p>
          <w:p w14:paraId="7D3BDD5B" w14:textId="77777777" w:rsidR="003328F9" w:rsidRPr="00DD0D1F" w:rsidRDefault="003328F9" w:rsidP="00FF111D">
            <w:pPr>
              <w:pStyle w:val="TableParagraph"/>
              <w:numPr>
                <w:ilvl w:val="0"/>
                <w:numId w:val="52"/>
              </w:numPr>
              <w:tabs>
                <w:tab w:val="left" w:pos="567"/>
              </w:tabs>
              <w:ind w:left="357" w:right="74" w:hanging="283"/>
              <w:jc w:val="both"/>
              <w:rPr>
                <w:szCs w:val="24"/>
              </w:rPr>
            </w:pPr>
            <w:r w:rsidRPr="00DD0D1F">
              <w:rPr>
                <w:szCs w:val="24"/>
              </w:rPr>
              <w:t>Nem</w:t>
            </w:r>
          </w:p>
          <w:p w14:paraId="7CA7E48A" w14:textId="77777777" w:rsidR="003328F9" w:rsidRPr="00DD0D1F" w:rsidRDefault="003328F9" w:rsidP="00FF111D">
            <w:pPr>
              <w:pStyle w:val="TableParagraph"/>
              <w:numPr>
                <w:ilvl w:val="0"/>
                <w:numId w:val="52"/>
              </w:numPr>
              <w:tabs>
                <w:tab w:val="left" w:pos="567"/>
              </w:tabs>
              <w:ind w:left="357" w:right="74" w:hanging="283"/>
              <w:jc w:val="both"/>
              <w:rPr>
                <w:szCs w:val="24"/>
              </w:rPr>
            </w:pPr>
            <w:r w:rsidRPr="00DD0D1F">
              <w:rPr>
                <w:szCs w:val="24"/>
              </w:rPr>
              <w:t>Uçucular, kül, Br, C, Cl, F, H, N, O, S</w:t>
            </w:r>
          </w:p>
          <w:p w14:paraId="4FF78555" w14:textId="77777777" w:rsidR="003328F9" w:rsidRPr="00DD0D1F" w:rsidRDefault="003328F9" w:rsidP="00FF111D">
            <w:pPr>
              <w:pStyle w:val="TableParagraph"/>
              <w:numPr>
                <w:ilvl w:val="0"/>
                <w:numId w:val="52"/>
              </w:numPr>
              <w:tabs>
                <w:tab w:val="left" w:pos="567"/>
              </w:tabs>
              <w:ind w:left="357" w:right="74" w:hanging="283"/>
              <w:jc w:val="both"/>
              <w:rPr>
                <w:szCs w:val="24"/>
              </w:rPr>
            </w:pPr>
            <w:r w:rsidRPr="00DD0D1F">
              <w:rPr>
                <w:szCs w:val="24"/>
              </w:rPr>
              <w:t>Metaller ve yarı metaller(As, Cd, Co, Cr, Cu, Hg, Mn, Ni, Pb, Sb, Tl, V, Zn)</w:t>
            </w:r>
          </w:p>
        </w:tc>
      </w:tr>
      <w:tr w:rsidR="003328F9" w:rsidRPr="00DD0D1F" w14:paraId="110447E0" w14:textId="77777777" w:rsidTr="003328F9">
        <w:trPr>
          <w:trHeight w:val="1033"/>
        </w:trPr>
        <w:tc>
          <w:tcPr>
            <w:tcW w:w="5000" w:type="pct"/>
            <w:gridSpan w:val="2"/>
            <w:vAlign w:val="center"/>
          </w:tcPr>
          <w:p w14:paraId="0190CBE6" w14:textId="77777777" w:rsidR="003328F9" w:rsidRPr="00DD0D1F" w:rsidRDefault="003328F9" w:rsidP="00FF111D">
            <w:pPr>
              <w:pStyle w:val="TableParagraph"/>
              <w:numPr>
                <w:ilvl w:val="0"/>
                <w:numId w:val="51"/>
              </w:numPr>
              <w:tabs>
                <w:tab w:val="left" w:pos="337"/>
              </w:tabs>
              <w:ind w:left="302" w:right="74"/>
              <w:jc w:val="both"/>
              <w:rPr>
                <w:szCs w:val="24"/>
              </w:rPr>
            </w:pPr>
            <w:r w:rsidRPr="00DD0D1F">
              <w:rPr>
                <w:szCs w:val="24"/>
              </w:rPr>
              <w:t>Karakterize edilen maddeler/parametrelerin listesi sadece hammaddeler ile üretim proseslerine ilişkin bilgiye göre yakıt/yakıtlarda mevcut olması beklenebilecek olanlara indirgenebilir.</w:t>
            </w:r>
          </w:p>
          <w:p w14:paraId="2AEAE948" w14:textId="6FFD072E" w:rsidR="003328F9" w:rsidRPr="00DD0D1F" w:rsidRDefault="003328F9" w:rsidP="006B2679">
            <w:pPr>
              <w:pStyle w:val="TableParagraph"/>
              <w:numPr>
                <w:ilvl w:val="0"/>
                <w:numId w:val="51"/>
              </w:numPr>
              <w:tabs>
                <w:tab w:val="left" w:pos="351"/>
              </w:tabs>
              <w:ind w:left="316" w:right="74" w:hanging="242"/>
              <w:jc w:val="both"/>
              <w:rPr>
                <w:szCs w:val="24"/>
              </w:rPr>
            </w:pPr>
            <w:r w:rsidRPr="00DD0D1F">
              <w:rPr>
                <w:szCs w:val="24"/>
              </w:rPr>
              <w:t>Bu karakterizasyon, burada listelenenlerin yanı sıra diğer maddelerin/parametrelerin karakterizasyonuna ve/veya kontrolüne yol açabilecek olan MET 60(a)'da belirlenen atık ön kabul ve kabul prosedür</w:t>
            </w:r>
            <w:r w:rsidR="009E7089" w:rsidRPr="00DD0D1F">
              <w:rPr>
                <w:szCs w:val="24"/>
              </w:rPr>
              <w:t>ünün uygulanmasın</w:t>
            </w:r>
            <w:r w:rsidR="00B70856" w:rsidRPr="00DD0D1F">
              <w:rPr>
                <w:szCs w:val="24"/>
              </w:rPr>
              <w:t xml:space="preserve">ı zarara uğratmaksızın </w:t>
            </w:r>
            <w:r w:rsidRPr="00DD0D1F">
              <w:rPr>
                <w:szCs w:val="24"/>
              </w:rPr>
              <w:t>gerçekleştirilir.</w:t>
            </w:r>
          </w:p>
        </w:tc>
      </w:tr>
    </w:tbl>
    <w:p w14:paraId="6C461DBF" w14:textId="2D5E2393"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10: </w:t>
      </w:r>
      <w:r w:rsidRPr="00DD0D1F">
        <w:rPr>
          <w:rFonts w:cs="Times New Roman"/>
          <w:bCs/>
          <w:szCs w:val="24"/>
          <w:lang w:val="tr-TR"/>
        </w:rPr>
        <w:t>Normal çalışma koşulları dışındaki (NÇKD) hava ve/veya su emisyonlarını azaltmak için, çevre yönetim sisteminin bir parçası olarak aşağıdakilerin hepsini içeren, olası kirletici sızıntısının önemine uygun bir yönetim p</w:t>
      </w:r>
      <w:r w:rsidR="007B11FD" w:rsidRPr="00DD0D1F">
        <w:rPr>
          <w:rFonts w:cs="Times New Roman"/>
          <w:bCs/>
          <w:szCs w:val="24"/>
          <w:lang w:val="tr-TR"/>
        </w:rPr>
        <w:t>lanı oluşturulur ve uygulanır.</w:t>
      </w:r>
    </w:p>
    <w:p w14:paraId="58F027E0"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Hava, su ve/veya toprak emisyonları üzerinde etkisi olabilecek NÇKD koşullarının oluşmasında ilgili olduğu düşünülen sistemlerin doğru şekilde tasarlanması (ör. Gaz türbinlerinde istikrarlı üretim için minimum devreye alma ve devre dışı bırakma yüklerini azaltmak üzere düşük yüklü tasarım konseptleri);</w:t>
      </w:r>
    </w:p>
    <w:p w14:paraId="1036ABCC"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Bu ilgili sistemler için özel bir önleyici bakım planının oluşturulması ve uygulanması;</w:t>
      </w:r>
    </w:p>
    <w:p w14:paraId="1C69686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NÇKD koşulların neden olduğu emisyonların ve ilgili koşulların gözden geçirilmesi ve kaydedilmesi ve gerekirse düzeltici faaliyetlerin uygulanması;</w:t>
      </w:r>
    </w:p>
    <w:p w14:paraId="12D73992"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NÇKD koşulları sırasında genel emisyonların periyodik olarak değerlendirilmesi (ör. Vakaların sıklığı, süresi, emisyonların miktarını belirleme/tahmin etme) ve gerekirse düzeltici eylemlerin uygulanması.</w:t>
      </w:r>
    </w:p>
    <w:p w14:paraId="65C85D12" w14:textId="32B0E197"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11: </w:t>
      </w:r>
      <w:r w:rsidRPr="00DD0D1F">
        <w:rPr>
          <w:rFonts w:cs="Times New Roman"/>
          <w:bCs/>
          <w:szCs w:val="24"/>
          <w:lang w:val="tr-TR"/>
        </w:rPr>
        <w:t>NÇKD koşulları sırasında havaya ve/veya suya emisyonları uygun şekilde izle</w:t>
      </w:r>
      <w:r w:rsidR="009E7089" w:rsidRPr="00DD0D1F">
        <w:rPr>
          <w:rFonts w:cs="Times New Roman"/>
          <w:bCs/>
          <w:szCs w:val="24"/>
          <w:lang w:val="tr-TR"/>
        </w:rPr>
        <w:t>nir.</w:t>
      </w:r>
    </w:p>
    <w:p w14:paraId="52A75CDF"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Açıklama</w:t>
      </w:r>
    </w:p>
    <w:p w14:paraId="79A2AEF9" w14:textId="22A7A2D2" w:rsidR="003328F9" w:rsidRPr="00DD0D1F" w:rsidRDefault="003328F9" w:rsidP="003328F9">
      <w:pPr>
        <w:spacing w:before="240"/>
        <w:rPr>
          <w:rFonts w:cs="Times New Roman"/>
          <w:szCs w:val="24"/>
          <w:lang w:val="tr-TR"/>
        </w:rPr>
      </w:pPr>
      <w:r w:rsidRPr="00DD0D1F">
        <w:rPr>
          <w:rFonts w:cs="Times New Roman"/>
          <w:szCs w:val="24"/>
          <w:lang w:val="tr-TR"/>
        </w:rPr>
        <w:t xml:space="preserve">İzleme, doğrudan emisyon ölçümü ile ya da eşit veya daha üstün bilimsel kalitede olduğunun kanıtlanması halinde, doğrudan emisyon ölçümü yerine ikame parametrelerin izlenmesi yoluyla gerçekleştirilebilir. Devreye alma ve devre dışı bırakma sırasındaki emisyonlar, tipik bir </w:t>
      </w:r>
      <w:r w:rsidR="00851D66" w:rsidRPr="00DD0D1F">
        <w:rPr>
          <w:rFonts w:cs="Times New Roman"/>
          <w:szCs w:val="24"/>
          <w:lang w:val="tr-TR"/>
        </w:rPr>
        <w:t xml:space="preserve">devreye alma ve devre dışı bırakma </w:t>
      </w:r>
      <w:r w:rsidRPr="00DD0D1F">
        <w:rPr>
          <w:rFonts w:cs="Times New Roman"/>
          <w:szCs w:val="24"/>
          <w:lang w:val="tr-TR"/>
        </w:rPr>
        <w:t xml:space="preserve">prosedürü ile en az yılda bir kez yapılan ayrıntılı bir emisyon ölçümüne dayanarak değerlendirilebilir. Bu ölçüm sonuçları, yıl boyunca her </w:t>
      </w:r>
      <w:r w:rsidR="00851D66" w:rsidRPr="00DD0D1F">
        <w:rPr>
          <w:rFonts w:cs="Times New Roman"/>
          <w:szCs w:val="24"/>
          <w:lang w:val="tr-TR"/>
        </w:rPr>
        <w:t xml:space="preserve">devreye alma ve devre dışı bırakma </w:t>
      </w:r>
      <w:r w:rsidRPr="00DD0D1F">
        <w:rPr>
          <w:rFonts w:cs="Times New Roman"/>
          <w:szCs w:val="24"/>
          <w:lang w:val="tr-TR"/>
        </w:rPr>
        <w:t>sürecinde oluşan emisyonları hesaplamak için kullanır.</w:t>
      </w:r>
    </w:p>
    <w:p w14:paraId="711F9019" w14:textId="77777777" w:rsidR="003328F9" w:rsidRPr="00DD0D1F" w:rsidRDefault="003328F9" w:rsidP="00FF111D">
      <w:pPr>
        <w:pStyle w:val="Balk2"/>
        <w:numPr>
          <w:ilvl w:val="1"/>
          <w:numId w:val="73"/>
        </w:numPr>
        <w:rPr>
          <w:rFonts w:cs="Times New Roman"/>
          <w:szCs w:val="24"/>
        </w:rPr>
      </w:pPr>
      <w:bookmarkStart w:id="23" w:name="_Toc137367289"/>
      <w:r w:rsidRPr="00DD0D1F">
        <w:rPr>
          <w:rFonts w:cs="Times New Roman"/>
          <w:szCs w:val="24"/>
        </w:rPr>
        <w:t>Enerji Verimliliği</w:t>
      </w:r>
      <w:bookmarkEnd w:id="23"/>
    </w:p>
    <w:p w14:paraId="62E802D8" w14:textId="0E2AFEC5" w:rsidR="003328F9" w:rsidRPr="00DD0D1F" w:rsidRDefault="003328F9" w:rsidP="003328F9">
      <w:pPr>
        <w:spacing w:before="240"/>
        <w:rPr>
          <w:rFonts w:cs="Times New Roman"/>
          <w:b/>
          <w:bCs/>
          <w:szCs w:val="24"/>
        </w:rPr>
      </w:pPr>
      <w:r w:rsidRPr="00DD0D1F">
        <w:rPr>
          <w:rFonts w:cs="Times New Roman"/>
          <w:b/>
          <w:bCs/>
          <w:szCs w:val="24"/>
        </w:rPr>
        <w:t>MET 12</w:t>
      </w:r>
      <w:r w:rsidRPr="00DD0D1F">
        <w:rPr>
          <w:rFonts w:cs="Times New Roman"/>
          <w:bCs/>
          <w:szCs w:val="24"/>
        </w:rPr>
        <w:t>: ≥1500 saat/yıl çalıştırılan yakma, gazlaştırma ve/veya IGCC ünitelerinin enerji</w:t>
      </w:r>
      <w:r w:rsidR="004648FA" w:rsidRPr="00DD0D1F">
        <w:rPr>
          <w:rFonts w:cs="Times New Roman"/>
          <w:bCs/>
          <w:szCs w:val="24"/>
        </w:rPr>
        <w:t xml:space="preserve"> verimliliğini yükseltmek için, </w:t>
      </w:r>
      <w:r w:rsidRPr="00DD0D1F">
        <w:rPr>
          <w:rFonts w:cs="Times New Roman"/>
          <w:bCs/>
          <w:szCs w:val="24"/>
        </w:rPr>
        <w:t>aşağıda verilen t</w:t>
      </w:r>
      <w:r w:rsidR="004648FA" w:rsidRPr="00DD0D1F">
        <w:rPr>
          <w:rFonts w:cs="Times New Roman"/>
          <w:bCs/>
          <w:szCs w:val="24"/>
        </w:rPr>
        <w:t>ekniklerin uygun bir birleşimi</w:t>
      </w:r>
      <w:r w:rsidRPr="00DD0D1F">
        <w:rPr>
          <w:rFonts w:cs="Times New Roman"/>
          <w:bCs/>
          <w:szCs w:val="24"/>
        </w:rPr>
        <w:t xml:space="preserve"> kullan</w:t>
      </w:r>
      <w:r w:rsidR="004648FA"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415"/>
        <w:gridCol w:w="1901"/>
        <w:gridCol w:w="4212"/>
        <w:gridCol w:w="2549"/>
      </w:tblGrid>
      <w:tr w:rsidR="003328F9" w:rsidRPr="00DD0D1F" w14:paraId="5A5B2C7C" w14:textId="77777777" w:rsidTr="003328F9">
        <w:trPr>
          <w:trHeight w:val="48"/>
          <w:tblHeader/>
        </w:trPr>
        <w:tc>
          <w:tcPr>
            <w:tcW w:w="229" w:type="pct"/>
            <w:tcBorders>
              <w:top w:val="single" w:sz="4" w:space="0" w:color="auto"/>
              <w:left w:val="single" w:sz="4" w:space="0" w:color="auto"/>
              <w:bottom w:val="single" w:sz="6" w:space="0" w:color="auto"/>
              <w:right w:val="single" w:sz="4" w:space="0" w:color="auto"/>
            </w:tcBorders>
            <w:vAlign w:val="center"/>
          </w:tcPr>
          <w:p w14:paraId="79C20ABB" w14:textId="77777777" w:rsidR="003328F9" w:rsidRPr="00DD0D1F" w:rsidRDefault="003328F9" w:rsidP="003328F9">
            <w:pPr>
              <w:adjustRightInd w:val="0"/>
              <w:spacing w:line="240" w:lineRule="auto"/>
              <w:ind w:right="74"/>
              <w:jc w:val="center"/>
              <w:rPr>
                <w:rFonts w:cs="Times New Roman"/>
                <w:b/>
                <w:szCs w:val="24"/>
                <w:lang w:val="tr-TR"/>
              </w:rPr>
            </w:pPr>
          </w:p>
        </w:tc>
        <w:tc>
          <w:tcPr>
            <w:tcW w:w="1047" w:type="pct"/>
            <w:tcBorders>
              <w:top w:val="single" w:sz="4" w:space="0" w:color="auto"/>
              <w:left w:val="single" w:sz="4" w:space="0" w:color="auto"/>
              <w:bottom w:val="single" w:sz="6" w:space="0" w:color="auto"/>
              <w:right w:val="single" w:sz="6" w:space="0" w:color="auto"/>
            </w:tcBorders>
            <w:vAlign w:val="center"/>
          </w:tcPr>
          <w:p w14:paraId="2422A83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320" w:type="pct"/>
            <w:tcBorders>
              <w:top w:val="single" w:sz="4" w:space="0" w:color="auto"/>
              <w:left w:val="single" w:sz="6" w:space="0" w:color="auto"/>
              <w:bottom w:val="single" w:sz="6" w:space="0" w:color="auto"/>
              <w:right w:val="single" w:sz="6" w:space="0" w:color="auto"/>
            </w:tcBorders>
            <w:vAlign w:val="center"/>
          </w:tcPr>
          <w:p w14:paraId="609BF84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405" w:type="pct"/>
            <w:tcBorders>
              <w:top w:val="single" w:sz="4" w:space="0" w:color="auto"/>
              <w:left w:val="single" w:sz="6" w:space="0" w:color="auto"/>
              <w:bottom w:val="single" w:sz="6" w:space="0" w:color="auto"/>
              <w:right w:val="single" w:sz="4" w:space="0" w:color="auto"/>
            </w:tcBorders>
            <w:vAlign w:val="center"/>
          </w:tcPr>
          <w:p w14:paraId="5A8FD13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67FD117F" w14:textId="77777777" w:rsidTr="003328F9">
        <w:trPr>
          <w:trHeight w:val="551"/>
        </w:trPr>
        <w:tc>
          <w:tcPr>
            <w:tcW w:w="229" w:type="pct"/>
            <w:tcBorders>
              <w:top w:val="single" w:sz="6" w:space="0" w:color="auto"/>
              <w:left w:val="single" w:sz="4" w:space="0" w:color="auto"/>
              <w:bottom w:val="single" w:sz="6" w:space="0" w:color="auto"/>
              <w:right w:val="single" w:sz="4" w:space="0" w:color="auto"/>
            </w:tcBorders>
            <w:vAlign w:val="center"/>
          </w:tcPr>
          <w:p w14:paraId="76C67F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047" w:type="pct"/>
            <w:tcBorders>
              <w:top w:val="single" w:sz="6" w:space="0" w:color="auto"/>
              <w:left w:val="single" w:sz="4" w:space="0" w:color="auto"/>
              <w:bottom w:val="single" w:sz="6" w:space="0" w:color="auto"/>
              <w:right w:val="single" w:sz="6" w:space="0" w:color="auto"/>
            </w:tcBorders>
            <w:vAlign w:val="center"/>
          </w:tcPr>
          <w:p w14:paraId="381B94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2320" w:type="pct"/>
            <w:tcBorders>
              <w:top w:val="single" w:sz="6" w:space="0" w:color="auto"/>
              <w:left w:val="single" w:sz="6" w:space="0" w:color="auto"/>
              <w:bottom w:val="single" w:sz="6" w:space="0" w:color="auto"/>
              <w:right w:val="single" w:sz="6" w:space="0" w:color="auto"/>
            </w:tcBorders>
            <w:vAlign w:val="center"/>
          </w:tcPr>
          <w:p w14:paraId="1515A3E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7A3D5211" w14:textId="66CD911E"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Yanmanın optimize edilmesi, baca gazlarındaki ve katı yanma artıklarındaki yanmamış maddelerin içeriğini en aza indirir.</w:t>
            </w:r>
          </w:p>
        </w:tc>
        <w:tc>
          <w:tcPr>
            <w:tcW w:w="1405" w:type="pct"/>
            <w:vMerge w:val="restart"/>
            <w:tcBorders>
              <w:top w:val="single" w:sz="6" w:space="0" w:color="auto"/>
              <w:left w:val="single" w:sz="6" w:space="0" w:color="auto"/>
              <w:right w:val="single" w:sz="4" w:space="0" w:color="auto"/>
            </w:tcBorders>
            <w:vAlign w:val="center"/>
          </w:tcPr>
          <w:p w14:paraId="1D825A2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2CC85285" w14:textId="77777777" w:rsidR="003328F9" w:rsidRPr="00DD0D1F" w:rsidRDefault="003328F9" w:rsidP="003328F9">
            <w:pPr>
              <w:adjustRightInd w:val="0"/>
              <w:spacing w:line="240" w:lineRule="auto"/>
              <w:ind w:left="74" w:right="74"/>
              <w:rPr>
                <w:rFonts w:cs="Times New Roman"/>
                <w:szCs w:val="24"/>
                <w:lang w:val="tr-TR"/>
              </w:rPr>
            </w:pPr>
          </w:p>
          <w:p w14:paraId="1C128A71" w14:textId="77777777" w:rsidR="003328F9" w:rsidRPr="00DD0D1F" w:rsidRDefault="003328F9" w:rsidP="003328F9">
            <w:pPr>
              <w:adjustRightInd w:val="0"/>
              <w:spacing w:line="240" w:lineRule="auto"/>
              <w:ind w:left="74" w:right="74"/>
              <w:rPr>
                <w:rFonts w:cs="Times New Roman"/>
                <w:szCs w:val="24"/>
                <w:lang w:val="tr-TR"/>
              </w:rPr>
            </w:pPr>
          </w:p>
          <w:p w14:paraId="0E55C787" w14:textId="77777777" w:rsidR="003328F9" w:rsidRPr="00DD0D1F" w:rsidRDefault="003328F9" w:rsidP="003328F9">
            <w:pPr>
              <w:adjustRightInd w:val="0"/>
              <w:spacing w:line="240" w:lineRule="auto"/>
              <w:ind w:left="74" w:right="74"/>
              <w:rPr>
                <w:rFonts w:cs="Times New Roman"/>
                <w:szCs w:val="24"/>
                <w:lang w:val="tr-TR"/>
              </w:rPr>
            </w:pPr>
          </w:p>
          <w:p w14:paraId="0BD43B8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D8C7D71" w14:textId="77777777" w:rsidTr="003328F9">
        <w:trPr>
          <w:trHeight w:val="323"/>
        </w:trPr>
        <w:tc>
          <w:tcPr>
            <w:tcW w:w="229" w:type="pct"/>
            <w:tcBorders>
              <w:top w:val="single" w:sz="6" w:space="0" w:color="auto"/>
              <w:left w:val="single" w:sz="4" w:space="0" w:color="auto"/>
              <w:bottom w:val="single" w:sz="6" w:space="0" w:color="auto"/>
              <w:right w:val="single" w:sz="6" w:space="0" w:color="auto"/>
            </w:tcBorders>
            <w:vAlign w:val="center"/>
          </w:tcPr>
          <w:p w14:paraId="7295125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47" w:type="pct"/>
            <w:tcBorders>
              <w:top w:val="single" w:sz="6" w:space="0" w:color="auto"/>
              <w:left w:val="single" w:sz="6" w:space="0" w:color="auto"/>
              <w:bottom w:val="single" w:sz="6" w:space="0" w:color="auto"/>
              <w:right w:val="single" w:sz="6" w:space="0" w:color="auto"/>
            </w:tcBorders>
            <w:vAlign w:val="center"/>
          </w:tcPr>
          <w:p w14:paraId="5BEDB8AC" w14:textId="77777777" w:rsidR="003328F9" w:rsidRPr="00DD0D1F" w:rsidRDefault="003328F9" w:rsidP="003328F9">
            <w:pPr>
              <w:adjustRightInd w:val="0"/>
              <w:spacing w:line="240" w:lineRule="auto"/>
              <w:ind w:left="74" w:right="74"/>
              <w:rPr>
                <w:rFonts w:cs="Times New Roman"/>
                <w:szCs w:val="24"/>
                <w:lang w:val="tr-TR"/>
              </w:rPr>
            </w:pPr>
          </w:p>
          <w:p w14:paraId="49D27E5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Çalışma ortamı koşullarının optimizasyonu</w:t>
            </w:r>
          </w:p>
        </w:tc>
        <w:tc>
          <w:tcPr>
            <w:tcW w:w="2320" w:type="pct"/>
            <w:tcBorders>
              <w:top w:val="single" w:sz="6" w:space="0" w:color="auto"/>
              <w:left w:val="single" w:sz="6" w:space="0" w:color="auto"/>
              <w:bottom w:val="single" w:sz="6" w:space="0" w:color="auto"/>
              <w:right w:val="single" w:sz="6" w:space="0" w:color="auto"/>
            </w:tcBorders>
            <w:vAlign w:val="center"/>
          </w:tcPr>
          <w:p w14:paraId="2B44CF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Çalışma ortamındaki gaz ya da buharın, örneğin NOx emisyonu kontrolü veya ihtiyaç duyulan enerji özellikleri ile ilişkili kısıtlamalar dahilinde, mümkün olan en yüksek basınç ve sıcaklıkta olacak şekilde tesisin çalıştırılması</w:t>
            </w:r>
          </w:p>
        </w:tc>
        <w:tc>
          <w:tcPr>
            <w:tcW w:w="1405" w:type="pct"/>
            <w:vMerge/>
            <w:tcBorders>
              <w:left w:val="single" w:sz="6" w:space="0" w:color="auto"/>
              <w:right w:val="single" w:sz="4" w:space="0" w:color="auto"/>
            </w:tcBorders>
            <w:vAlign w:val="center"/>
          </w:tcPr>
          <w:p w14:paraId="09D8644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AD54EB3" w14:textId="77777777" w:rsidTr="003328F9">
        <w:trPr>
          <w:trHeight w:val="1099"/>
        </w:trPr>
        <w:tc>
          <w:tcPr>
            <w:tcW w:w="229" w:type="pct"/>
            <w:tcBorders>
              <w:top w:val="single" w:sz="6" w:space="0" w:color="auto"/>
              <w:left w:val="single" w:sz="4" w:space="0" w:color="auto"/>
              <w:bottom w:val="single" w:sz="6" w:space="0" w:color="auto"/>
              <w:right w:val="single" w:sz="6" w:space="0" w:color="auto"/>
            </w:tcBorders>
            <w:vAlign w:val="center"/>
          </w:tcPr>
          <w:p w14:paraId="21B53C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047" w:type="pct"/>
            <w:tcBorders>
              <w:top w:val="single" w:sz="6" w:space="0" w:color="auto"/>
              <w:left w:val="single" w:sz="6" w:space="0" w:color="auto"/>
              <w:bottom w:val="single" w:sz="6" w:space="0" w:color="auto"/>
              <w:right w:val="single" w:sz="6" w:space="0" w:color="auto"/>
            </w:tcBorders>
            <w:vAlign w:val="center"/>
          </w:tcPr>
          <w:p w14:paraId="40F1365C" w14:textId="77777777" w:rsidR="003328F9" w:rsidRPr="00DD0D1F" w:rsidRDefault="003328F9" w:rsidP="003328F9">
            <w:pPr>
              <w:adjustRightInd w:val="0"/>
              <w:spacing w:line="240" w:lineRule="auto"/>
              <w:ind w:left="74" w:right="74"/>
              <w:rPr>
                <w:rFonts w:cs="Times New Roman"/>
                <w:szCs w:val="24"/>
                <w:lang w:val="tr-TR"/>
              </w:rPr>
            </w:pPr>
          </w:p>
          <w:p w14:paraId="00BF44B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çevriminin optimizasyonu</w:t>
            </w:r>
          </w:p>
        </w:tc>
        <w:tc>
          <w:tcPr>
            <w:tcW w:w="2320" w:type="pct"/>
            <w:tcBorders>
              <w:top w:val="single" w:sz="6" w:space="0" w:color="auto"/>
              <w:left w:val="single" w:sz="6" w:space="0" w:color="auto"/>
              <w:bottom w:val="single" w:sz="6" w:space="0" w:color="auto"/>
              <w:right w:val="single" w:sz="6" w:space="0" w:color="auto"/>
            </w:tcBorders>
            <w:vAlign w:val="center"/>
          </w:tcPr>
          <w:p w14:paraId="44BBB31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Kondansatör soğutma suyu, tasarım koşulları içinde, mümkün olan en düşük sıcaklıkta kullanılarak, düşük türbin egzoz basıncında tesisin çalıştırılması</w:t>
            </w:r>
          </w:p>
        </w:tc>
        <w:tc>
          <w:tcPr>
            <w:tcW w:w="1405" w:type="pct"/>
            <w:vMerge/>
            <w:tcBorders>
              <w:left w:val="single" w:sz="6" w:space="0" w:color="auto"/>
              <w:right w:val="single" w:sz="4" w:space="0" w:color="auto"/>
            </w:tcBorders>
            <w:vAlign w:val="center"/>
          </w:tcPr>
          <w:p w14:paraId="6FD14873"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BAB4A40" w14:textId="77777777" w:rsidTr="003328F9">
        <w:trPr>
          <w:trHeight w:val="65"/>
        </w:trPr>
        <w:tc>
          <w:tcPr>
            <w:tcW w:w="229" w:type="pct"/>
            <w:tcBorders>
              <w:top w:val="single" w:sz="6" w:space="0" w:color="auto"/>
              <w:left w:val="single" w:sz="4" w:space="0" w:color="auto"/>
              <w:bottom w:val="single" w:sz="6" w:space="0" w:color="auto"/>
              <w:right w:val="single" w:sz="6" w:space="0" w:color="auto"/>
            </w:tcBorders>
            <w:vAlign w:val="center"/>
          </w:tcPr>
          <w:p w14:paraId="74390A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047" w:type="pct"/>
            <w:tcBorders>
              <w:top w:val="single" w:sz="6" w:space="0" w:color="auto"/>
              <w:left w:val="single" w:sz="6" w:space="0" w:color="auto"/>
              <w:bottom w:val="single" w:sz="6" w:space="0" w:color="auto"/>
              <w:right w:val="single" w:sz="6" w:space="0" w:color="auto"/>
            </w:tcBorders>
            <w:vAlign w:val="center"/>
          </w:tcPr>
          <w:p w14:paraId="4B5AC2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Enerji tüketiminin en aza indirilmesi</w:t>
            </w:r>
          </w:p>
        </w:tc>
        <w:tc>
          <w:tcPr>
            <w:tcW w:w="2320" w:type="pct"/>
            <w:tcBorders>
              <w:top w:val="single" w:sz="6" w:space="0" w:color="auto"/>
              <w:left w:val="single" w:sz="6" w:space="0" w:color="auto"/>
              <w:bottom w:val="single" w:sz="6" w:space="0" w:color="auto"/>
              <w:right w:val="single" w:sz="6" w:space="0" w:color="auto"/>
            </w:tcBorders>
            <w:vAlign w:val="center"/>
          </w:tcPr>
          <w:p w14:paraId="73F2B7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İç enerji tüketiminin minimuma indirilmesi (örneğin daha yüksek besleme suyu pompası verimliliği)</w:t>
            </w:r>
          </w:p>
        </w:tc>
        <w:tc>
          <w:tcPr>
            <w:tcW w:w="1405" w:type="pct"/>
            <w:vMerge/>
            <w:tcBorders>
              <w:left w:val="single" w:sz="6" w:space="0" w:color="auto"/>
              <w:bottom w:val="single" w:sz="6" w:space="0" w:color="auto"/>
              <w:right w:val="single" w:sz="4" w:space="0" w:color="auto"/>
            </w:tcBorders>
            <w:vAlign w:val="center"/>
          </w:tcPr>
          <w:p w14:paraId="41880EC4"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3E97C2D" w14:textId="77777777" w:rsidTr="003328F9">
        <w:trPr>
          <w:trHeight w:val="784"/>
        </w:trPr>
        <w:tc>
          <w:tcPr>
            <w:tcW w:w="229" w:type="pct"/>
            <w:tcBorders>
              <w:top w:val="single" w:sz="6" w:space="0" w:color="auto"/>
              <w:left w:val="single" w:sz="4" w:space="0" w:color="auto"/>
              <w:bottom w:val="single" w:sz="6" w:space="0" w:color="auto"/>
              <w:right w:val="single" w:sz="6" w:space="0" w:color="auto"/>
            </w:tcBorders>
            <w:vAlign w:val="center"/>
          </w:tcPr>
          <w:p w14:paraId="154C32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047" w:type="pct"/>
            <w:tcBorders>
              <w:top w:val="single" w:sz="6" w:space="0" w:color="auto"/>
              <w:left w:val="single" w:sz="6" w:space="0" w:color="auto"/>
              <w:bottom w:val="single" w:sz="6" w:space="0" w:color="auto"/>
              <w:right w:val="single" w:sz="6" w:space="0" w:color="auto"/>
            </w:tcBorders>
            <w:vAlign w:val="center"/>
          </w:tcPr>
          <w:p w14:paraId="274B428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havasının ön ısıtılması</w:t>
            </w:r>
          </w:p>
        </w:tc>
        <w:tc>
          <w:tcPr>
            <w:tcW w:w="2320" w:type="pct"/>
            <w:tcBorders>
              <w:top w:val="single" w:sz="6" w:space="0" w:color="auto"/>
              <w:left w:val="single" w:sz="6" w:space="0" w:color="auto"/>
              <w:bottom w:val="single" w:sz="6" w:space="0" w:color="auto"/>
              <w:right w:val="single" w:sz="6" w:space="0" w:color="auto"/>
            </w:tcBorders>
            <w:vAlign w:val="center"/>
          </w:tcPr>
          <w:p w14:paraId="0D4351D7" w14:textId="64CF210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Yanmada kullanılan havayı önceden ısıtmak için, baca gazından geri kazanılan ısının bir kısmının yeniden kullanılması</w:t>
            </w:r>
          </w:p>
        </w:tc>
        <w:tc>
          <w:tcPr>
            <w:tcW w:w="1405" w:type="pct"/>
            <w:tcBorders>
              <w:top w:val="single" w:sz="6" w:space="0" w:color="auto"/>
              <w:left w:val="single" w:sz="6" w:space="0" w:color="auto"/>
              <w:bottom w:val="single" w:sz="6" w:space="0" w:color="auto"/>
              <w:right w:val="single" w:sz="4" w:space="0" w:color="auto"/>
            </w:tcBorders>
            <w:vAlign w:val="center"/>
          </w:tcPr>
          <w:p w14:paraId="6AA76C0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NO</w:t>
            </w:r>
            <w:r w:rsidRPr="00DD0D1F">
              <w:rPr>
                <w:rFonts w:cs="Times New Roman"/>
                <w:szCs w:val="24"/>
                <w:vertAlign w:val="subscript"/>
                <w:lang w:val="tr-TR"/>
              </w:rPr>
              <w:t>X</w:t>
            </w:r>
            <w:r w:rsidRPr="00DD0D1F">
              <w:rPr>
                <w:rFonts w:cs="Times New Roman"/>
                <w:szCs w:val="24"/>
                <w:lang w:val="tr-TR"/>
              </w:rPr>
              <w:t xml:space="preserve"> emisyonu kontrolü ihtiyacına ilişkin kısıtlamalar dahilinde uygulanabilir</w:t>
            </w:r>
          </w:p>
        </w:tc>
      </w:tr>
      <w:tr w:rsidR="003328F9" w:rsidRPr="00DD0D1F" w14:paraId="509FF275" w14:textId="77777777" w:rsidTr="003328F9">
        <w:trPr>
          <w:trHeight w:val="169"/>
        </w:trPr>
        <w:tc>
          <w:tcPr>
            <w:tcW w:w="229" w:type="pct"/>
            <w:tcBorders>
              <w:top w:val="single" w:sz="6" w:space="0" w:color="auto"/>
              <w:left w:val="single" w:sz="4" w:space="0" w:color="auto"/>
              <w:bottom w:val="single" w:sz="6" w:space="0" w:color="auto"/>
              <w:right w:val="single" w:sz="6" w:space="0" w:color="auto"/>
            </w:tcBorders>
            <w:vAlign w:val="center"/>
          </w:tcPr>
          <w:p w14:paraId="1F4DA6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047" w:type="pct"/>
            <w:tcBorders>
              <w:top w:val="single" w:sz="6" w:space="0" w:color="auto"/>
              <w:left w:val="single" w:sz="6" w:space="0" w:color="auto"/>
              <w:bottom w:val="single" w:sz="6" w:space="0" w:color="auto"/>
              <w:right w:val="single" w:sz="6" w:space="0" w:color="auto"/>
            </w:tcBorders>
            <w:vAlign w:val="center"/>
          </w:tcPr>
          <w:p w14:paraId="00F6D3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Yakıtın ön ısıtılması</w:t>
            </w:r>
          </w:p>
        </w:tc>
        <w:tc>
          <w:tcPr>
            <w:tcW w:w="2320" w:type="pct"/>
            <w:tcBorders>
              <w:top w:val="single" w:sz="6" w:space="0" w:color="auto"/>
              <w:left w:val="single" w:sz="6" w:space="0" w:color="auto"/>
              <w:bottom w:val="single" w:sz="6" w:space="0" w:color="auto"/>
              <w:right w:val="single" w:sz="6" w:space="0" w:color="auto"/>
            </w:tcBorders>
            <w:vAlign w:val="center"/>
          </w:tcPr>
          <w:p w14:paraId="18124F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Geri kazanılan ısıyı kullanarak yakıtın önceden ısıtılması</w:t>
            </w:r>
          </w:p>
        </w:tc>
        <w:tc>
          <w:tcPr>
            <w:tcW w:w="1405" w:type="pct"/>
            <w:tcBorders>
              <w:top w:val="single" w:sz="6" w:space="0" w:color="auto"/>
              <w:left w:val="single" w:sz="6" w:space="0" w:color="auto"/>
              <w:bottom w:val="single" w:sz="6" w:space="0" w:color="auto"/>
              <w:right w:val="single" w:sz="4" w:space="0" w:color="auto"/>
            </w:tcBorders>
            <w:vAlign w:val="center"/>
          </w:tcPr>
          <w:p w14:paraId="117856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kazan tasarımı ve NO</w:t>
            </w:r>
            <w:r w:rsidRPr="00DD0D1F">
              <w:rPr>
                <w:rFonts w:cs="Times New Roman"/>
                <w:szCs w:val="24"/>
                <w:vertAlign w:val="subscript"/>
                <w:lang w:val="tr-TR"/>
              </w:rPr>
              <w:t>X</w:t>
            </w:r>
            <w:r w:rsidRPr="00DD0D1F">
              <w:rPr>
                <w:rFonts w:cs="Times New Roman"/>
                <w:szCs w:val="24"/>
                <w:lang w:val="tr-TR"/>
              </w:rPr>
              <w:t xml:space="preserve"> emisyonu kontrolü ihtiyacına ilişkin kısıtlamalar dahilinde uygulanabilir.</w:t>
            </w:r>
          </w:p>
        </w:tc>
      </w:tr>
      <w:tr w:rsidR="003328F9" w:rsidRPr="00DD0D1F" w14:paraId="147A6CBC" w14:textId="77777777" w:rsidTr="003328F9">
        <w:trPr>
          <w:trHeight w:val="77"/>
        </w:trPr>
        <w:tc>
          <w:tcPr>
            <w:tcW w:w="229" w:type="pct"/>
            <w:tcBorders>
              <w:top w:val="single" w:sz="6" w:space="0" w:color="auto"/>
              <w:left w:val="single" w:sz="4" w:space="0" w:color="auto"/>
              <w:bottom w:val="single" w:sz="6" w:space="0" w:color="auto"/>
              <w:right w:val="single" w:sz="6" w:space="0" w:color="auto"/>
            </w:tcBorders>
            <w:vAlign w:val="center"/>
          </w:tcPr>
          <w:p w14:paraId="232548C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047" w:type="pct"/>
            <w:tcBorders>
              <w:top w:val="single" w:sz="6" w:space="0" w:color="auto"/>
              <w:left w:val="single" w:sz="6" w:space="0" w:color="auto"/>
              <w:bottom w:val="single" w:sz="6" w:space="0" w:color="auto"/>
              <w:right w:val="single" w:sz="6" w:space="0" w:color="auto"/>
            </w:tcBorders>
            <w:vAlign w:val="center"/>
          </w:tcPr>
          <w:p w14:paraId="686613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2320" w:type="pct"/>
            <w:tcBorders>
              <w:top w:val="single" w:sz="6" w:space="0" w:color="auto"/>
              <w:left w:val="single" w:sz="6" w:space="0" w:color="auto"/>
              <w:bottom w:val="single" w:sz="6" w:space="0" w:color="auto"/>
              <w:right w:val="single" w:sz="6" w:space="0" w:color="auto"/>
            </w:tcBorders>
            <w:vAlign w:val="center"/>
          </w:tcPr>
          <w:p w14:paraId="2F1060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224862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Temel yanma parametrelerinin bilgisayarlı kontrolü, yanma verimliliğinin iyileştirilmesini sağlar</w:t>
            </w:r>
          </w:p>
        </w:tc>
        <w:tc>
          <w:tcPr>
            <w:tcW w:w="1405" w:type="pct"/>
            <w:tcBorders>
              <w:top w:val="single" w:sz="6" w:space="0" w:color="auto"/>
              <w:left w:val="single" w:sz="6" w:space="0" w:color="auto"/>
              <w:bottom w:val="single" w:sz="6" w:space="0" w:color="auto"/>
              <w:right w:val="single" w:sz="4" w:space="0" w:color="auto"/>
            </w:tcBorders>
            <w:vAlign w:val="center"/>
          </w:tcPr>
          <w:p w14:paraId="4E00EC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ünitelere uygulanabilir. Eski yakma tesislerine uygulanabilirliği, yakma sistemini ve/veya kontrol kumanda sistemini yenileme ihtiyacı nedeniyle kısıtlanabilir.</w:t>
            </w:r>
          </w:p>
        </w:tc>
      </w:tr>
      <w:tr w:rsidR="003328F9" w:rsidRPr="00DD0D1F" w14:paraId="1A3DC100" w14:textId="77777777" w:rsidTr="003328F9">
        <w:trPr>
          <w:trHeight w:val="1549"/>
        </w:trPr>
        <w:tc>
          <w:tcPr>
            <w:tcW w:w="229" w:type="pct"/>
            <w:tcBorders>
              <w:top w:val="single" w:sz="6" w:space="0" w:color="auto"/>
              <w:left w:val="single" w:sz="4" w:space="0" w:color="auto"/>
              <w:bottom w:val="single" w:sz="6" w:space="0" w:color="auto"/>
              <w:right w:val="single" w:sz="6" w:space="0" w:color="auto"/>
            </w:tcBorders>
            <w:vAlign w:val="center"/>
          </w:tcPr>
          <w:p w14:paraId="37AA34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047" w:type="pct"/>
            <w:tcBorders>
              <w:top w:val="single" w:sz="6" w:space="0" w:color="auto"/>
              <w:left w:val="single" w:sz="6" w:space="0" w:color="auto"/>
              <w:bottom w:val="single" w:sz="6" w:space="0" w:color="auto"/>
              <w:right w:val="single" w:sz="6" w:space="0" w:color="auto"/>
            </w:tcBorders>
            <w:vAlign w:val="center"/>
          </w:tcPr>
          <w:p w14:paraId="179BA2B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Geri kazanılan ısıyı kullanarak besleme suyunun ön ısıtılması</w:t>
            </w:r>
          </w:p>
        </w:tc>
        <w:tc>
          <w:tcPr>
            <w:tcW w:w="2320" w:type="pct"/>
            <w:tcBorders>
              <w:top w:val="single" w:sz="6" w:space="0" w:color="auto"/>
              <w:left w:val="single" w:sz="6" w:space="0" w:color="auto"/>
              <w:bottom w:val="single" w:sz="6" w:space="0" w:color="auto"/>
              <w:right w:val="single" w:sz="6" w:space="0" w:color="auto"/>
            </w:tcBorders>
            <w:vAlign w:val="center"/>
          </w:tcPr>
          <w:p w14:paraId="48BD8D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Kazanda yeniden kullanmadan önce buhar kondansatöründen gelen suyun, geri kazanılan ısı ile önceden ısıtılması</w:t>
            </w:r>
          </w:p>
        </w:tc>
        <w:tc>
          <w:tcPr>
            <w:tcW w:w="1405" w:type="pct"/>
            <w:tcBorders>
              <w:top w:val="single" w:sz="6" w:space="0" w:color="auto"/>
              <w:left w:val="single" w:sz="6" w:space="0" w:color="auto"/>
              <w:bottom w:val="single" w:sz="6" w:space="0" w:color="auto"/>
              <w:right w:val="single" w:sz="4" w:space="0" w:color="auto"/>
            </w:tcBorders>
            <w:vAlign w:val="center"/>
          </w:tcPr>
          <w:p w14:paraId="2AF9F8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Yalnızca buhar devrelerinde uygulanabilir; sıcak kazanlarda uygulanamaz.</w:t>
            </w:r>
          </w:p>
          <w:p w14:paraId="52B238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Tesis yapısı ve geri kazanılabilir ısı miktarı ile ilişkili kısıtlamalar nedeniyle mevcut ünitelere uygulanabilirliği sınırlı olabilir.</w:t>
            </w:r>
          </w:p>
        </w:tc>
      </w:tr>
      <w:tr w:rsidR="003328F9" w:rsidRPr="00DD0D1F" w14:paraId="45ED681F" w14:textId="77777777" w:rsidTr="003328F9">
        <w:trPr>
          <w:trHeight w:val="2095"/>
        </w:trPr>
        <w:tc>
          <w:tcPr>
            <w:tcW w:w="229" w:type="pct"/>
            <w:tcBorders>
              <w:top w:val="single" w:sz="6" w:space="0" w:color="auto"/>
              <w:left w:val="single" w:sz="4" w:space="0" w:color="auto"/>
              <w:bottom w:val="single" w:sz="6" w:space="0" w:color="auto"/>
              <w:right w:val="single" w:sz="6" w:space="0" w:color="auto"/>
            </w:tcBorders>
            <w:vAlign w:val="center"/>
          </w:tcPr>
          <w:p w14:paraId="4E21D0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047" w:type="pct"/>
            <w:tcBorders>
              <w:top w:val="single" w:sz="6" w:space="0" w:color="auto"/>
              <w:left w:val="single" w:sz="6" w:space="0" w:color="auto"/>
              <w:bottom w:val="single" w:sz="6" w:space="0" w:color="auto"/>
              <w:right w:val="single" w:sz="6" w:space="0" w:color="auto"/>
            </w:tcBorders>
            <w:vAlign w:val="center"/>
          </w:tcPr>
          <w:p w14:paraId="024D69B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Kojenerasyon ile ısı geri kazanımı (CHP)</w:t>
            </w:r>
          </w:p>
        </w:tc>
        <w:tc>
          <w:tcPr>
            <w:tcW w:w="2320" w:type="pct"/>
            <w:tcBorders>
              <w:top w:val="single" w:sz="6" w:space="0" w:color="auto"/>
              <w:left w:val="single" w:sz="6" w:space="0" w:color="auto"/>
              <w:bottom w:val="single" w:sz="6" w:space="0" w:color="auto"/>
              <w:right w:val="single" w:sz="6" w:space="0" w:color="auto"/>
            </w:tcBorders>
            <w:vAlign w:val="center"/>
          </w:tcPr>
          <w:p w14:paraId="6EDE227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Endüstriyel proseslerde/faaliyetlerde veya bölgesel merkezi ısıtma ağında kullanılacak olan sıcak su/buhar üretimi için ısının geri kazanılması (ağırlıklı olarak buhar sisteminden) İlave ısı geri kazanımı,</w:t>
            </w:r>
          </w:p>
          <w:p w14:paraId="5ADC3E64" w14:textId="4115613C" w:rsidR="003328F9" w:rsidRPr="00DD0D1F" w:rsidRDefault="00E00B0A" w:rsidP="00FF111D">
            <w:pPr>
              <w:pStyle w:val="ListeParagraf"/>
              <w:widowControl w:val="0"/>
              <w:numPr>
                <w:ilvl w:val="1"/>
                <w:numId w:val="64"/>
              </w:numPr>
              <w:autoSpaceDE w:val="0"/>
              <w:autoSpaceDN w:val="0"/>
              <w:adjustRightInd w:val="0"/>
              <w:spacing w:line="240" w:lineRule="auto"/>
              <w:ind w:left="431" w:right="74" w:hanging="357"/>
              <w:contextualSpacing w:val="0"/>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w:t>
            </w:r>
          </w:p>
          <w:p w14:paraId="4E525E1D" w14:textId="77777777" w:rsidR="003328F9" w:rsidRPr="00DD0D1F" w:rsidRDefault="003328F9" w:rsidP="00FF111D">
            <w:pPr>
              <w:pStyle w:val="ListeParagraf"/>
              <w:widowControl w:val="0"/>
              <w:numPr>
                <w:ilvl w:val="1"/>
                <w:numId w:val="64"/>
              </w:numPr>
              <w:autoSpaceDE w:val="0"/>
              <w:autoSpaceDN w:val="0"/>
              <w:adjustRightInd w:val="0"/>
              <w:spacing w:line="240" w:lineRule="auto"/>
              <w:ind w:left="431" w:right="74" w:hanging="357"/>
              <w:contextualSpacing w:val="0"/>
              <w:rPr>
                <w:rFonts w:cs="Times New Roman"/>
                <w:szCs w:val="24"/>
                <w:lang w:val="tr-TR"/>
              </w:rPr>
            </w:pPr>
            <w:r w:rsidRPr="00DD0D1F">
              <w:rPr>
                <w:rFonts w:cs="Times New Roman"/>
                <w:szCs w:val="24"/>
                <w:lang w:val="tr-TR"/>
              </w:rPr>
              <w:t>ızgaralı soğutma ve</w:t>
            </w:r>
          </w:p>
          <w:p w14:paraId="48F16BEE" w14:textId="77777777" w:rsidR="003328F9" w:rsidRPr="00DD0D1F" w:rsidRDefault="003328F9" w:rsidP="00FF111D">
            <w:pPr>
              <w:pStyle w:val="ListeParagraf"/>
              <w:widowControl w:val="0"/>
              <w:numPr>
                <w:ilvl w:val="1"/>
                <w:numId w:val="64"/>
              </w:numPr>
              <w:autoSpaceDE w:val="0"/>
              <w:autoSpaceDN w:val="0"/>
              <w:adjustRightInd w:val="0"/>
              <w:spacing w:line="240" w:lineRule="auto"/>
              <w:ind w:left="431" w:right="74" w:hanging="357"/>
              <w:contextualSpacing w:val="0"/>
              <w:rPr>
                <w:rFonts w:cs="Times New Roman"/>
                <w:szCs w:val="24"/>
                <w:lang w:val="tr-TR"/>
              </w:rPr>
            </w:pPr>
            <w:r w:rsidRPr="00DD0D1F">
              <w:rPr>
                <w:rFonts w:cs="Times New Roman"/>
                <w:szCs w:val="24"/>
                <w:lang w:val="tr-TR"/>
              </w:rPr>
              <w:t>dolaşımlı akışkan yatak sistemlerden sağlanabilir.</w:t>
            </w:r>
          </w:p>
        </w:tc>
        <w:tc>
          <w:tcPr>
            <w:tcW w:w="1405" w:type="pct"/>
            <w:tcBorders>
              <w:top w:val="single" w:sz="6" w:space="0" w:color="auto"/>
              <w:left w:val="single" w:sz="6" w:space="0" w:color="auto"/>
              <w:bottom w:val="single" w:sz="6" w:space="0" w:color="auto"/>
              <w:right w:val="single" w:sz="4" w:space="0" w:color="auto"/>
            </w:tcBorders>
            <w:vAlign w:val="center"/>
          </w:tcPr>
          <w:p w14:paraId="70C66ACA" w14:textId="77777777" w:rsidR="003328F9" w:rsidRPr="00DD0D1F" w:rsidRDefault="003328F9" w:rsidP="003328F9">
            <w:pPr>
              <w:adjustRightInd w:val="0"/>
              <w:spacing w:line="240" w:lineRule="auto"/>
              <w:ind w:left="74" w:right="74"/>
              <w:rPr>
                <w:rFonts w:cs="Times New Roman"/>
                <w:szCs w:val="24"/>
                <w:lang w:val="tr-TR"/>
              </w:rPr>
            </w:pPr>
          </w:p>
          <w:p w14:paraId="06FBC5B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Bölgesel ısı ve güç ihtiyacı ile ilgili kısıtlamalar dahilinde uygulanabilir.</w:t>
            </w:r>
          </w:p>
          <w:p w14:paraId="03DCBA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Öngörülemeyen operasyonel ısı profillinden dolayı gaz kompresörlerinde uygulanabilirliği sınırlı olabilir.</w:t>
            </w:r>
          </w:p>
        </w:tc>
      </w:tr>
      <w:tr w:rsidR="003328F9" w:rsidRPr="00DD0D1F" w14:paraId="11D07418" w14:textId="77777777" w:rsidTr="003328F9">
        <w:trPr>
          <w:trHeight w:val="412"/>
        </w:trPr>
        <w:tc>
          <w:tcPr>
            <w:tcW w:w="229" w:type="pct"/>
            <w:tcBorders>
              <w:top w:val="single" w:sz="6" w:space="0" w:color="auto"/>
              <w:left w:val="single" w:sz="4" w:space="0" w:color="auto"/>
              <w:bottom w:val="single" w:sz="6" w:space="0" w:color="auto"/>
              <w:right w:val="single" w:sz="6" w:space="0" w:color="auto"/>
            </w:tcBorders>
            <w:vAlign w:val="center"/>
          </w:tcPr>
          <w:p w14:paraId="3FC0503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j</w:t>
            </w:r>
          </w:p>
        </w:tc>
        <w:tc>
          <w:tcPr>
            <w:tcW w:w="1047" w:type="pct"/>
            <w:tcBorders>
              <w:top w:val="single" w:sz="6" w:space="0" w:color="auto"/>
              <w:left w:val="single" w:sz="6" w:space="0" w:color="auto"/>
              <w:bottom w:val="single" w:sz="6" w:space="0" w:color="auto"/>
              <w:right w:val="single" w:sz="6" w:space="0" w:color="auto"/>
            </w:tcBorders>
            <w:vAlign w:val="center"/>
          </w:tcPr>
          <w:p w14:paraId="4FD332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hazırlığı</w:t>
            </w:r>
          </w:p>
        </w:tc>
        <w:tc>
          <w:tcPr>
            <w:tcW w:w="2320" w:type="pct"/>
            <w:tcBorders>
              <w:top w:val="single" w:sz="6" w:space="0" w:color="auto"/>
              <w:left w:val="single" w:sz="6" w:space="0" w:color="auto"/>
              <w:bottom w:val="single" w:sz="6" w:space="0" w:color="auto"/>
              <w:right w:val="single" w:sz="6" w:space="0" w:color="auto"/>
            </w:tcBorders>
            <w:vAlign w:val="center"/>
          </w:tcPr>
          <w:p w14:paraId="743F08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405" w:type="pct"/>
            <w:tcBorders>
              <w:top w:val="single" w:sz="6" w:space="0" w:color="auto"/>
              <w:left w:val="single" w:sz="6" w:space="0" w:color="auto"/>
              <w:bottom w:val="single" w:sz="6" w:space="0" w:color="auto"/>
              <w:right w:val="single" w:sz="4" w:space="0" w:color="auto"/>
            </w:tcBorders>
            <w:vAlign w:val="center"/>
          </w:tcPr>
          <w:p w14:paraId="314727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Ünitenin bulunduğu bölgede, ısının gelecekte kullanımı için gerçekçi bir potansiyel olması halinde, sadece yeni ünitelere uygulanabilir.</w:t>
            </w:r>
          </w:p>
        </w:tc>
      </w:tr>
      <w:tr w:rsidR="003328F9" w:rsidRPr="00DD0D1F" w14:paraId="4C627442" w14:textId="77777777" w:rsidTr="003328F9">
        <w:trPr>
          <w:trHeight w:val="980"/>
        </w:trPr>
        <w:tc>
          <w:tcPr>
            <w:tcW w:w="229" w:type="pct"/>
            <w:tcBorders>
              <w:top w:val="single" w:sz="6" w:space="0" w:color="auto"/>
              <w:left w:val="single" w:sz="4" w:space="0" w:color="auto"/>
              <w:bottom w:val="single" w:sz="6" w:space="0" w:color="auto"/>
              <w:right w:val="single" w:sz="6" w:space="0" w:color="auto"/>
            </w:tcBorders>
            <w:vAlign w:val="center"/>
          </w:tcPr>
          <w:p w14:paraId="050282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w:t>
            </w:r>
          </w:p>
        </w:tc>
        <w:tc>
          <w:tcPr>
            <w:tcW w:w="1047" w:type="pct"/>
            <w:tcBorders>
              <w:top w:val="single" w:sz="6" w:space="0" w:color="auto"/>
              <w:left w:val="single" w:sz="6" w:space="0" w:color="auto"/>
              <w:bottom w:val="single" w:sz="6" w:space="0" w:color="auto"/>
              <w:right w:val="single" w:sz="6" w:space="0" w:color="auto"/>
            </w:tcBorders>
            <w:vAlign w:val="center"/>
          </w:tcPr>
          <w:p w14:paraId="4C518069" w14:textId="7030F0B9"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2320" w:type="pct"/>
            <w:tcBorders>
              <w:top w:val="single" w:sz="6" w:space="0" w:color="auto"/>
              <w:left w:val="single" w:sz="6" w:space="0" w:color="auto"/>
              <w:bottom w:val="single" w:sz="6" w:space="0" w:color="auto"/>
              <w:right w:val="single" w:sz="6" w:space="0" w:color="auto"/>
            </w:tcBorders>
            <w:vAlign w:val="center"/>
          </w:tcPr>
          <w:p w14:paraId="6DB811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10.8.2.’deki açıklamaya bakınız.</w:t>
            </w:r>
          </w:p>
        </w:tc>
        <w:tc>
          <w:tcPr>
            <w:tcW w:w="1405" w:type="pct"/>
            <w:tcBorders>
              <w:top w:val="single" w:sz="6" w:space="0" w:color="auto"/>
              <w:left w:val="single" w:sz="6" w:space="0" w:color="auto"/>
              <w:bottom w:val="single" w:sz="6" w:space="0" w:color="auto"/>
              <w:right w:val="single" w:sz="4" w:space="0" w:color="auto"/>
            </w:tcBorders>
            <w:vAlign w:val="center"/>
          </w:tcPr>
          <w:p w14:paraId="49869D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sıcaklıklı ısı için yeterli talep olması halinde genel olarak CHP ünitelerinde uygulanabilir.</w:t>
            </w:r>
          </w:p>
        </w:tc>
      </w:tr>
      <w:tr w:rsidR="003328F9" w:rsidRPr="00DD0D1F" w14:paraId="4AF15232" w14:textId="77777777" w:rsidTr="003328F9">
        <w:tblPrEx>
          <w:jc w:val="right"/>
        </w:tblPrEx>
        <w:trPr>
          <w:trHeight w:val="185"/>
          <w:jc w:val="right"/>
        </w:trPr>
        <w:tc>
          <w:tcPr>
            <w:tcW w:w="229" w:type="pct"/>
            <w:tcBorders>
              <w:top w:val="single" w:sz="6" w:space="0" w:color="auto"/>
              <w:left w:val="single" w:sz="4" w:space="0" w:color="auto"/>
              <w:bottom w:val="single" w:sz="6" w:space="0" w:color="auto"/>
              <w:right w:val="single" w:sz="6" w:space="0" w:color="auto"/>
            </w:tcBorders>
            <w:vAlign w:val="center"/>
          </w:tcPr>
          <w:p w14:paraId="7812ED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w:t>
            </w:r>
          </w:p>
        </w:tc>
        <w:tc>
          <w:tcPr>
            <w:tcW w:w="1047" w:type="pct"/>
            <w:tcBorders>
              <w:top w:val="single" w:sz="6" w:space="0" w:color="auto"/>
              <w:left w:val="single" w:sz="6" w:space="0" w:color="auto"/>
              <w:bottom w:val="single" w:sz="6" w:space="0" w:color="auto"/>
              <w:right w:val="single" w:sz="6" w:space="0" w:color="auto"/>
            </w:tcBorders>
            <w:vAlign w:val="center"/>
          </w:tcPr>
          <w:p w14:paraId="092B6C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Isı depolama</w:t>
            </w:r>
          </w:p>
        </w:tc>
        <w:tc>
          <w:tcPr>
            <w:tcW w:w="2320" w:type="pct"/>
            <w:tcBorders>
              <w:top w:val="single" w:sz="6" w:space="0" w:color="auto"/>
              <w:left w:val="single" w:sz="6" w:space="0" w:color="auto"/>
              <w:bottom w:val="single" w:sz="6" w:space="0" w:color="auto"/>
              <w:right w:val="single" w:sz="6" w:space="0" w:color="auto"/>
            </w:tcBorders>
            <w:vAlign w:val="center"/>
          </w:tcPr>
          <w:p w14:paraId="61F044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modunda ısı birikimi deposu</w:t>
            </w:r>
          </w:p>
        </w:tc>
        <w:tc>
          <w:tcPr>
            <w:tcW w:w="1405" w:type="pct"/>
            <w:tcBorders>
              <w:top w:val="single" w:sz="6" w:space="0" w:color="auto"/>
              <w:left w:val="single" w:sz="6" w:space="0" w:color="auto"/>
              <w:bottom w:val="single" w:sz="6" w:space="0" w:color="auto"/>
              <w:right w:val="single" w:sz="4" w:space="0" w:color="auto"/>
            </w:tcBorders>
            <w:vAlign w:val="center"/>
          </w:tcPr>
          <w:p w14:paraId="59715B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CHP tesislerine uygulanabilir.</w:t>
            </w:r>
          </w:p>
          <w:p w14:paraId="6CE291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ısı yükü talebi olması halinde uygulanabilirliği sınırlı olabilir.</w:t>
            </w:r>
          </w:p>
        </w:tc>
      </w:tr>
      <w:tr w:rsidR="003328F9" w:rsidRPr="00DD0D1F" w14:paraId="6588C50C" w14:textId="77777777" w:rsidTr="003328F9">
        <w:tblPrEx>
          <w:jc w:val="right"/>
        </w:tblPrEx>
        <w:trPr>
          <w:trHeight w:val="281"/>
          <w:jc w:val="right"/>
        </w:trPr>
        <w:tc>
          <w:tcPr>
            <w:tcW w:w="229" w:type="pct"/>
            <w:tcBorders>
              <w:top w:val="single" w:sz="6" w:space="0" w:color="auto"/>
              <w:left w:val="single" w:sz="4" w:space="0" w:color="auto"/>
              <w:bottom w:val="single" w:sz="6" w:space="0" w:color="auto"/>
              <w:right w:val="single" w:sz="6" w:space="0" w:color="auto"/>
            </w:tcBorders>
            <w:vAlign w:val="center"/>
          </w:tcPr>
          <w:p w14:paraId="26EB151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w:t>
            </w:r>
          </w:p>
        </w:tc>
        <w:tc>
          <w:tcPr>
            <w:tcW w:w="1047" w:type="pct"/>
            <w:tcBorders>
              <w:top w:val="single" w:sz="6" w:space="0" w:color="auto"/>
              <w:left w:val="single" w:sz="6" w:space="0" w:color="auto"/>
              <w:bottom w:val="single" w:sz="6" w:space="0" w:color="auto"/>
              <w:right w:val="single" w:sz="6" w:space="0" w:color="auto"/>
            </w:tcBorders>
            <w:vAlign w:val="center"/>
          </w:tcPr>
          <w:p w14:paraId="2395E848" w14:textId="2BBBEEF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baca</w:t>
            </w:r>
          </w:p>
        </w:tc>
        <w:tc>
          <w:tcPr>
            <w:tcW w:w="2320" w:type="pct"/>
            <w:tcBorders>
              <w:top w:val="single" w:sz="6" w:space="0" w:color="auto"/>
              <w:left w:val="single" w:sz="6" w:space="0" w:color="auto"/>
              <w:bottom w:val="single" w:sz="6" w:space="0" w:color="auto"/>
              <w:right w:val="single" w:sz="6" w:space="0" w:color="auto"/>
            </w:tcBorders>
            <w:vAlign w:val="center"/>
          </w:tcPr>
          <w:p w14:paraId="48FCD7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405" w:type="pct"/>
            <w:tcBorders>
              <w:top w:val="single" w:sz="6" w:space="0" w:color="auto"/>
              <w:left w:val="single" w:sz="6" w:space="0" w:color="auto"/>
              <w:bottom w:val="single" w:sz="6" w:space="0" w:color="auto"/>
              <w:right w:val="single" w:sz="4" w:space="0" w:color="auto"/>
            </w:tcBorders>
            <w:vAlign w:val="center"/>
          </w:tcPr>
          <w:p w14:paraId="26E2CA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yaş FGD ile donatılmış yeni ve mevcut tesislere uygulanabilir.</w:t>
            </w:r>
          </w:p>
        </w:tc>
      </w:tr>
      <w:tr w:rsidR="003328F9" w:rsidRPr="00DD0D1F" w14:paraId="633C2564" w14:textId="77777777" w:rsidTr="003328F9">
        <w:tblPrEx>
          <w:jc w:val="right"/>
        </w:tblPrEx>
        <w:trPr>
          <w:trHeight w:val="757"/>
          <w:jc w:val="right"/>
        </w:trPr>
        <w:tc>
          <w:tcPr>
            <w:tcW w:w="229" w:type="pct"/>
            <w:tcBorders>
              <w:top w:val="single" w:sz="6" w:space="0" w:color="auto"/>
              <w:left w:val="single" w:sz="4" w:space="0" w:color="auto"/>
              <w:bottom w:val="single" w:sz="6" w:space="0" w:color="auto"/>
              <w:right w:val="single" w:sz="6" w:space="0" w:color="auto"/>
            </w:tcBorders>
            <w:vAlign w:val="center"/>
          </w:tcPr>
          <w:p w14:paraId="4AFC38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w:t>
            </w:r>
          </w:p>
        </w:tc>
        <w:tc>
          <w:tcPr>
            <w:tcW w:w="1047" w:type="pct"/>
            <w:tcBorders>
              <w:top w:val="single" w:sz="6" w:space="0" w:color="auto"/>
              <w:left w:val="single" w:sz="6" w:space="0" w:color="auto"/>
              <w:bottom w:val="single" w:sz="6" w:space="0" w:color="auto"/>
              <w:right w:val="single" w:sz="6" w:space="0" w:color="auto"/>
            </w:tcBorders>
            <w:vAlign w:val="center"/>
          </w:tcPr>
          <w:p w14:paraId="48FE0FC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Soğutma kulesi deşarjı</w:t>
            </w:r>
          </w:p>
        </w:tc>
        <w:tc>
          <w:tcPr>
            <w:tcW w:w="2320" w:type="pct"/>
            <w:tcBorders>
              <w:top w:val="single" w:sz="6" w:space="0" w:color="auto"/>
              <w:left w:val="single" w:sz="6" w:space="0" w:color="auto"/>
              <w:bottom w:val="single" w:sz="6" w:space="0" w:color="auto"/>
              <w:right w:val="single" w:sz="6" w:space="0" w:color="auto"/>
            </w:tcBorders>
            <w:vAlign w:val="center"/>
          </w:tcPr>
          <w:p w14:paraId="55B017B7" w14:textId="49035508"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Emisyonların havaya özel bir </w:t>
            </w:r>
            <w:r w:rsidR="00E00B0A" w:rsidRPr="00DD0D1F">
              <w:rPr>
                <w:rFonts w:cs="Times New Roman"/>
                <w:szCs w:val="24"/>
                <w:lang w:val="tr-TR"/>
              </w:rPr>
              <w:t>baca</w:t>
            </w:r>
            <w:r w:rsidRPr="00DD0D1F">
              <w:rPr>
                <w:rFonts w:cs="Times New Roman"/>
                <w:szCs w:val="24"/>
                <w:lang w:val="tr-TR"/>
              </w:rPr>
              <w:t>dan değil bir soğutma kulesinden verilmesi</w:t>
            </w:r>
          </w:p>
        </w:tc>
        <w:tc>
          <w:tcPr>
            <w:tcW w:w="1405" w:type="pct"/>
            <w:tcBorders>
              <w:top w:val="single" w:sz="6" w:space="0" w:color="auto"/>
              <w:left w:val="single" w:sz="6" w:space="0" w:color="auto"/>
              <w:bottom w:val="single" w:sz="6" w:space="0" w:color="auto"/>
              <w:right w:val="single" w:sz="4" w:space="0" w:color="auto"/>
            </w:tcBorders>
            <w:vAlign w:val="center"/>
          </w:tcPr>
          <w:p w14:paraId="5F8A99D3" w14:textId="6B098203"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Salım öncesi baca gazının yeniden ısıtılması gerektiğinde ve ünitenin soğutma sisteminin soğutma kulesi olduğu durumlarda, sadece yaş FGD ile donatılmış ünitelere uygulanabilir.</w:t>
            </w:r>
          </w:p>
        </w:tc>
      </w:tr>
      <w:tr w:rsidR="003328F9" w:rsidRPr="00DD0D1F" w14:paraId="7B8FA535" w14:textId="77777777" w:rsidTr="003328F9">
        <w:tblPrEx>
          <w:jc w:val="right"/>
        </w:tblPrEx>
        <w:trPr>
          <w:trHeight w:val="1690"/>
          <w:jc w:val="right"/>
        </w:trPr>
        <w:tc>
          <w:tcPr>
            <w:tcW w:w="229" w:type="pct"/>
            <w:tcBorders>
              <w:top w:val="single" w:sz="6" w:space="0" w:color="auto"/>
              <w:left w:val="single" w:sz="4" w:space="0" w:color="auto"/>
              <w:bottom w:val="single" w:sz="6" w:space="0" w:color="auto"/>
              <w:right w:val="single" w:sz="6" w:space="0" w:color="auto"/>
            </w:tcBorders>
            <w:vAlign w:val="center"/>
          </w:tcPr>
          <w:p w14:paraId="157363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w:t>
            </w:r>
          </w:p>
        </w:tc>
        <w:tc>
          <w:tcPr>
            <w:tcW w:w="1047" w:type="pct"/>
            <w:tcBorders>
              <w:top w:val="single" w:sz="6" w:space="0" w:color="auto"/>
              <w:left w:val="single" w:sz="6" w:space="0" w:color="auto"/>
              <w:bottom w:val="single" w:sz="6" w:space="0" w:color="auto"/>
              <w:right w:val="single" w:sz="6" w:space="0" w:color="auto"/>
            </w:tcBorders>
            <w:vAlign w:val="center"/>
          </w:tcPr>
          <w:p w14:paraId="06B11DE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ön kurutma</w:t>
            </w:r>
          </w:p>
        </w:tc>
        <w:tc>
          <w:tcPr>
            <w:tcW w:w="2320" w:type="pct"/>
            <w:tcBorders>
              <w:top w:val="single" w:sz="6" w:space="0" w:color="auto"/>
              <w:left w:val="single" w:sz="6" w:space="0" w:color="auto"/>
              <w:bottom w:val="single" w:sz="6" w:space="0" w:color="auto"/>
              <w:right w:val="single" w:sz="6" w:space="0" w:color="auto"/>
            </w:tcBorders>
            <w:vAlign w:val="center"/>
          </w:tcPr>
          <w:p w14:paraId="53D5DF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koşullarını iyileştirmek için yakma öncesinde yakıt nem içeriğinin düşürülmesi</w:t>
            </w:r>
          </w:p>
          <w:p w14:paraId="4EF56346" w14:textId="77777777" w:rsidR="003328F9" w:rsidRPr="00DD0D1F" w:rsidRDefault="003328F9" w:rsidP="003328F9">
            <w:pPr>
              <w:adjustRightInd w:val="0"/>
              <w:spacing w:line="240" w:lineRule="auto"/>
              <w:ind w:left="74" w:right="74"/>
              <w:rPr>
                <w:rFonts w:cs="Times New Roman"/>
                <w:szCs w:val="24"/>
                <w:lang w:val="tr-TR"/>
              </w:rPr>
            </w:pPr>
          </w:p>
        </w:tc>
        <w:tc>
          <w:tcPr>
            <w:tcW w:w="1405" w:type="pct"/>
            <w:tcBorders>
              <w:top w:val="single" w:sz="6" w:space="0" w:color="auto"/>
              <w:left w:val="single" w:sz="6" w:space="0" w:color="auto"/>
              <w:bottom w:val="single" w:sz="6" w:space="0" w:color="auto"/>
              <w:right w:val="single" w:sz="4" w:space="0" w:color="auto"/>
            </w:tcBorders>
            <w:vAlign w:val="center"/>
          </w:tcPr>
          <w:p w14:paraId="36EE59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Kendiliğinden yanma risklerinden dolayı biyokütle ve/veya turbanın yakılmasında uygulanabilirliği kısıtlıdır (örneğin turba nem içeriği teslimat zinciri boyunca %40'ın üzerinde tutulur).</w:t>
            </w:r>
          </w:p>
          <w:p w14:paraId="70F82AD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Kurutma işleminden elde edilebilecek ekstra kalorifik değerin miktarı ve bazı kazan tasarımları veya tesis yapısından dolayı yenileme olanakları kısıtlı olacağından mevcut tesislerin iyileştirilmesinde uygulanabilirliği kısıtlıdır.</w:t>
            </w:r>
          </w:p>
        </w:tc>
      </w:tr>
      <w:tr w:rsidR="003328F9" w:rsidRPr="00DD0D1F" w14:paraId="467F11DF" w14:textId="77777777" w:rsidTr="003328F9">
        <w:tblPrEx>
          <w:jc w:val="right"/>
        </w:tblPrEx>
        <w:trPr>
          <w:trHeight w:val="65"/>
          <w:jc w:val="right"/>
        </w:trPr>
        <w:tc>
          <w:tcPr>
            <w:tcW w:w="229" w:type="pct"/>
            <w:tcBorders>
              <w:top w:val="single" w:sz="6" w:space="0" w:color="auto"/>
              <w:left w:val="single" w:sz="4" w:space="0" w:color="auto"/>
              <w:bottom w:val="single" w:sz="6" w:space="0" w:color="auto"/>
              <w:right w:val="single" w:sz="6" w:space="0" w:color="auto"/>
            </w:tcBorders>
            <w:vAlign w:val="center"/>
          </w:tcPr>
          <w:p w14:paraId="50C1EA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w:t>
            </w:r>
          </w:p>
        </w:tc>
        <w:tc>
          <w:tcPr>
            <w:tcW w:w="1047" w:type="pct"/>
            <w:tcBorders>
              <w:top w:val="single" w:sz="6" w:space="0" w:color="auto"/>
              <w:left w:val="single" w:sz="6" w:space="0" w:color="auto"/>
              <w:bottom w:val="single" w:sz="6" w:space="0" w:color="auto"/>
              <w:right w:val="single" w:sz="6" w:space="0" w:color="auto"/>
            </w:tcBorders>
            <w:vAlign w:val="center"/>
          </w:tcPr>
          <w:p w14:paraId="3A4466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Isı kayıplarının en aza indirilmesi</w:t>
            </w:r>
          </w:p>
        </w:tc>
        <w:tc>
          <w:tcPr>
            <w:tcW w:w="2320" w:type="pct"/>
            <w:tcBorders>
              <w:top w:val="single" w:sz="6" w:space="0" w:color="auto"/>
              <w:left w:val="single" w:sz="6" w:space="0" w:color="auto"/>
              <w:bottom w:val="single" w:sz="6" w:space="0" w:color="auto"/>
              <w:right w:val="single" w:sz="6" w:space="0" w:color="auto"/>
            </w:tcBorders>
            <w:vAlign w:val="center"/>
          </w:tcPr>
          <w:p w14:paraId="6D28A0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Artık ısı kayıplarının asgariye indirilmesi; örneğin, cürufla oluşanlar veya yayıcı kaynakları yalıtarak azaltılabilecek olanlar</w:t>
            </w:r>
          </w:p>
        </w:tc>
        <w:tc>
          <w:tcPr>
            <w:tcW w:w="1405" w:type="pct"/>
            <w:tcBorders>
              <w:top w:val="single" w:sz="6" w:space="0" w:color="auto"/>
              <w:left w:val="single" w:sz="6" w:space="0" w:color="auto"/>
              <w:bottom w:val="single" w:sz="6" w:space="0" w:color="auto"/>
              <w:right w:val="single" w:sz="4" w:space="0" w:color="auto"/>
            </w:tcBorders>
            <w:vAlign w:val="center"/>
          </w:tcPr>
          <w:p w14:paraId="4A980E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katı madde-yakıt ile çalışan yakma üniteleri ile gazlaştırma/IGCC ünitelerine uygulanabilir.</w:t>
            </w:r>
          </w:p>
        </w:tc>
      </w:tr>
      <w:tr w:rsidR="003328F9" w:rsidRPr="00DD0D1F" w14:paraId="4D1499F4" w14:textId="77777777" w:rsidTr="003328F9">
        <w:tblPrEx>
          <w:jc w:val="right"/>
        </w:tblPrEx>
        <w:trPr>
          <w:trHeight w:val="685"/>
          <w:jc w:val="right"/>
        </w:trPr>
        <w:tc>
          <w:tcPr>
            <w:tcW w:w="229" w:type="pct"/>
            <w:tcBorders>
              <w:top w:val="single" w:sz="6" w:space="0" w:color="auto"/>
              <w:left w:val="single" w:sz="4" w:space="0" w:color="auto"/>
              <w:bottom w:val="single" w:sz="6" w:space="0" w:color="auto"/>
              <w:right w:val="single" w:sz="6" w:space="0" w:color="auto"/>
            </w:tcBorders>
            <w:vAlign w:val="center"/>
          </w:tcPr>
          <w:p w14:paraId="13DD6C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q</w:t>
            </w:r>
          </w:p>
        </w:tc>
        <w:tc>
          <w:tcPr>
            <w:tcW w:w="1047" w:type="pct"/>
            <w:tcBorders>
              <w:top w:val="single" w:sz="6" w:space="0" w:color="auto"/>
              <w:left w:val="single" w:sz="6" w:space="0" w:color="auto"/>
              <w:bottom w:val="single" w:sz="6" w:space="0" w:color="auto"/>
              <w:right w:val="single" w:sz="6" w:space="0" w:color="auto"/>
            </w:tcBorders>
            <w:vAlign w:val="center"/>
          </w:tcPr>
          <w:p w14:paraId="30A4F2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malzemeler</w:t>
            </w:r>
          </w:p>
        </w:tc>
        <w:tc>
          <w:tcPr>
            <w:tcW w:w="2320" w:type="pct"/>
            <w:tcBorders>
              <w:top w:val="single" w:sz="6" w:space="0" w:color="auto"/>
              <w:left w:val="single" w:sz="6" w:space="0" w:color="auto"/>
              <w:bottom w:val="single" w:sz="6" w:space="0" w:color="auto"/>
              <w:right w:val="single" w:sz="6" w:space="0" w:color="auto"/>
            </w:tcBorders>
            <w:vAlign w:val="center"/>
          </w:tcPr>
          <w:p w14:paraId="42F92C5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işletme sıcaklıkları ve basınçlarına dayanabildiği, dolayısıyla yüksek buhar/yanma prosesi verimliliklerine ulaşabildiği kanıtlanmış gelişmiş malzemelerin kullanımı</w:t>
            </w:r>
          </w:p>
        </w:tc>
        <w:tc>
          <w:tcPr>
            <w:tcW w:w="1405" w:type="pct"/>
            <w:tcBorders>
              <w:top w:val="single" w:sz="6" w:space="0" w:color="auto"/>
              <w:left w:val="single" w:sz="6" w:space="0" w:color="auto"/>
              <w:bottom w:val="single" w:sz="6" w:space="0" w:color="auto"/>
              <w:right w:val="single" w:sz="4" w:space="0" w:color="auto"/>
            </w:tcBorders>
            <w:vAlign w:val="center"/>
          </w:tcPr>
          <w:p w14:paraId="6C27C7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tesislere uygulanabilir</w:t>
            </w:r>
          </w:p>
        </w:tc>
      </w:tr>
      <w:tr w:rsidR="003328F9" w:rsidRPr="00DD0D1F" w14:paraId="4C2FD845" w14:textId="77777777" w:rsidTr="003328F9">
        <w:tblPrEx>
          <w:jc w:val="right"/>
        </w:tblPrEx>
        <w:trPr>
          <w:trHeight w:val="639"/>
          <w:jc w:val="right"/>
        </w:trPr>
        <w:tc>
          <w:tcPr>
            <w:tcW w:w="229" w:type="pct"/>
            <w:tcBorders>
              <w:top w:val="single" w:sz="6" w:space="0" w:color="auto"/>
              <w:left w:val="single" w:sz="4" w:space="0" w:color="auto"/>
              <w:bottom w:val="single" w:sz="6" w:space="0" w:color="auto"/>
              <w:right w:val="single" w:sz="6" w:space="0" w:color="auto"/>
            </w:tcBorders>
            <w:vAlign w:val="center"/>
          </w:tcPr>
          <w:p w14:paraId="2A62F11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r</w:t>
            </w:r>
          </w:p>
        </w:tc>
        <w:tc>
          <w:tcPr>
            <w:tcW w:w="1047" w:type="pct"/>
            <w:tcBorders>
              <w:top w:val="single" w:sz="6" w:space="0" w:color="auto"/>
              <w:left w:val="single" w:sz="6" w:space="0" w:color="auto"/>
              <w:bottom w:val="single" w:sz="6" w:space="0" w:color="auto"/>
              <w:right w:val="single" w:sz="6" w:space="0" w:color="auto"/>
            </w:tcBorders>
            <w:vAlign w:val="center"/>
          </w:tcPr>
          <w:p w14:paraId="30C7FC3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türbini iyileştirmeleri</w:t>
            </w:r>
          </w:p>
        </w:tc>
        <w:tc>
          <w:tcPr>
            <w:tcW w:w="2320" w:type="pct"/>
            <w:tcBorders>
              <w:top w:val="single" w:sz="6" w:space="0" w:color="auto"/>
              <w:left w:val="single" w:sz="6" w:space="0" w:color="auto"/>
              <w:bottom w:val="single" w:sz="6" w:space="0" w:color="auto"/>
              <w:right w:val="single" w:sz="6" w:space="0" w:color="auto"/>
            </w:tcBorders>
            <w:vAlign w:val="center"/>
          </w:tcPr>
          <w:p w14:paraId="0322887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Orta basınçlı buharın sıcaklık ve basıncının yükseltilmesi, düşük basınçlı bir türbinin eklenmesi ve türbin rotor bıçaklarının geometrisinde yapılan değişiklikler gibi teknikler</w:t>
            </w:r>
          </w:p>
        </w:tc>
        <w:tc>
          <w:tcPr>
            <w:tcW w:w="1405" w:type="pct"/>
            <w:tcBorders>
              <w:top w:val="single" w:sz="6" w:space="0" w:color="auto"/>
              <w:left w:val="single" w:sz="6" w:space="0" w:color="auto"/>
              <w:bottom w:val="single" w:sz="6" w:space="0" w:color="auto"/>
              <w:right w:val="single" w:sz="4" w:space="0" w:color="auto"/>
            </w:tcBorders>
            <w:vAlign w:val="center"/>
          </w:tcPr>
          <w:p w14:paraId="5ED92A1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Uygulanabilirliği, talep, buhar koşulları ve/veya sınırlı tesis ömrü ile kısıtlıdır.</w:t>
            </w:r>
          </w:p>
        </w:tc>
      </w:tr>
      <w:tr w:rsidR="003328F9" w:rsidRPr="00DD0D1F" w14:paraId="38A7B4BA" w14:textId="77777777" w:rsidTr="003328F9">
        <w:tblPrEx>
          <w:jc w:val="right"/>
        </w:tblPrEx>
        <w:trPr>
          <w:trHeight w:val="1694"/>
          <w:jc w:val="right"/>
        </w:trPr>
        <w:tc>
          <w:tcPr>
            <w:tcW w:w="229" w:type="pct"/>
            <w:tcBorders>
              <w:top w:val="single" w:sz="6" w:space="0" w:color="auto"/>
              <w:left w:val="single" w:sz="4" w:space="0" w:color="auto"/>
              <w:bottom w:val="single" w:sz="4" w:space="0" w:color="auto"/>
              <w:right w:val="single" w:sz="6" w:space="0" w:color="auto"/>
            </w:tcBorders>
            <w:vAlign w:val="center"/>
          </w:tcPr>
          <w:p w14:paraId="6288B6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w:t>
            </w:r>
          </w:p>
        </w:tc>
        <w:tc>
          <w:tcPr>
            <w:tcW w:w="1047" w:type="pct"/>
            <w:tcBorders>
              <w:top w:val="single" w:sz="6" w:space="0" w:color="auto"/>
              <w:left w:val="single" w:sz="6" w:space="0" w:color="auto"/>
              <w:bottom w:val="single" w:sz="4" w:space="0" w:color="auto"/>
              <w:right w:val="single" w:sz="6" w:space="0" w:color="auto"/>
            </w:tcBorders>
            <w:vAlign w:val="center"/>
          </w:tcPr>
          <w:p w14:paraId="31DB45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Süperkritik ve ultra-süperkritik buhar koşulları</w:t>
            </w:r>
          </w:p>
        </w:tc>
        <w:tc>
          <w:tcPr>
            <w:tcW w:w="2320" w:type="pct"/>
            <w:tcBorders>
              <w:top w:val="single" w:sz="6" w:space="0" w:color="auto"/>
              <w:left w:val="single" w:sz="6" w:space="0" w:color="auto"/>
              <w:bottom w:val="single" w:sz="4" w:space="0" w:color="auto"/>
              <w:right w:val="single" w:sz="6" w:space="0" w:color="auto"/>
            </w:tcBorders>
            <w:vAlign w:val="center"/>
          </w:tcPr>
          <w:p w14:paraId="441562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Süperkritik koşullarda 220,6 bar ve 374 °C sıcaklığın üzerinde buhar oluşturan ve ultra-süperkritik koşullarda 250 - 300 bar ve 580 - 600 °C sıcaklığın üzerinde buhar oluşturan buhar ön ısıtma sistemi dahil buhar devresi kullanımı</w:t>
            </w:r>
          </w:p>
          <w:p w14:paraId="03780DDA" w14:textId="77777777" w:rsidR="003328F9" w:rsidRPr="00DD0D1F" w:rsidRDefault="003328F9" w:rsidP="003328F9">
            <w:pPr>
              <w:adjustRightInd w:val="0"/>
              <w:spacing w:line="240" w:lineRule="auto"/>
              <w:ind w:left="74" w:right="74"/>
              <w:rPr>
                <w:rFonts w:cs="Times New Roman"/>
                <w:szCs w:val="24"/>
                <w:lang w:val="tr-TR"/>
              </w:rPr>
            </w:pPr>
          </w:p>
        </w:tc>
        <w:tc>
          <w:tcPr>
            <w:tcW w:w="1405" w:type="pct"/>
            <w:tcBorders>
              <w:top w:val="single" w:sz="6" w:space="0" w:color="auto"/>
              <w:left w:val="single" w:sz="6" w:space="0" w:color="auto"/>
              <w:bottom w:val="single" w:sz="4" w:space="0" w:color="auto"/>
              <w:right w:val="single" w:sz="4" w:space="0" w:color="auto"/>
            </w:tcBorders>
            <w:vAlign w:val="center"/>
          </w:tcPr>
          <w:p w14:paraId="2FB806B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≥600 MW</w:t>
            </w:r>
            <w:r w:rsidRPr="00DD0D1F">
              <w:rPr>
                <w:rFonts w:cs="Times New Roman"/>
                <w:szCs w:val="24"/>
                <w:vertAlign w:val="subscript"/>
                <w:lang w:val="tr-TR"/>
              </w:rPr>
              <w:t>th</w:t>
            </w:r>
            <w:r w:rsidRPr="00DD0D1F">
              <w:rPr>
                <w:rFonts w:cs="Times New Roman"/>
                <w:szCs w:val="24"/>
                <w:lang w:val="tr-TR"/>
              </w:rPr>
              <w:t xml:space="preserve"> olan ve &gt;4000 saat/yıl çalıştırılan yeni ünitelere uygulanabilir.</w:t>
            </w:r>
          </w:p>
          <w:p w14:paraId="41E7506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Endüstriyel prosesler için düşük sıcaklık ve/veya basınçta buhar üretmenin amaçlandığı ünitelerde uygulanmaz.</w:t>
            </w:r>
          </w:p>
          <w:p w14:paraId="6203A3A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modunda buhar üreten gaz türbinleri ve motorlarına uygulanmaz.</w:t>
            </w:r>
          </w:p>
          <w:p w14:paraId="40A944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Bazı biyokütlelerin yüksek sıcaklıkta oluşturduğu korozif etkiden dolayı biyokütle yakan ünitelerde uygulanabilirliği kısıtlıdır.</w:t>
            </w:r>
          </w:p>
        </w:tc>
      </w:tr>
    </w:tbl>
    <w:p w14:paraId="14CD1E63" w14:textId="77777777" w:rsidR="003328F9" w:rsidRPr="00DD0D1F" w:rsidRDefault="003328F9" w:rsidP="003328F9">
      <w:pPr>
        <w:pStyle w:val="Balk2"/>
        <w:numPr>
          <w:ilvl w:val="0"/>
          <w:numId w:val="0"/>
        </w:numPr>
        <w:ind w:left="666" w:hanging="576"/>
        <w:rPr>
          <w:rFonts w:cs="Times New Roman"/>
          <w:szCs w:val="24"/>
          <w:lang w:val="fi-FI"/>
        </w:rPr>
      </w:pPr>
      <w:bookmarkStart w:id="24" w:name="_Toc137367290"/>
    </w:p>
    <w:p w14:paraId="1C137523" w14:textId="77777777" w:rsidR="003328F9" w:rsidRPr="00DD0D1F" w:rsidRDefault="003328F9" w:rsidP="00FF111D">
      <w:pPr>
        <w:pStyle w:val="Balk2"/>
        <w:numPr>
          <w:ilvl w:val="1"/>
          <w:numId w:val="73"/>
        </w:numPr>
        <w:rPr>
          <w:rFonts w:cs="Times New Roman"/>
          <w:szCs w:val="24"/>
          <w:lang w:val="fi-FI"/>
        </w:rPr>
      </w:pPr>
      <w:r w:rsidRPr="00DD0D1F">
        <w:rPr>
          <w:rFonts w:cs="Times New Roman"/>
          <w:szCs w:val="24"/>
          <w:lang w:val="tr-TR"/>
        </w:rPr>
        <w:t xml:space="preserve"> </w:t>
      </w:r>
      <w:r w:rsidRPr="00DD0D1F">
        <w:rPr>
          <w:rFonts w:cs="Times New Roman"/>
          <w:szCs w:val="24"/>
          <w:lang w:val="fi-FI"/>
        </w:rPr>
        <w:t>Su Kullanımı ve Suya Emisyonlar</w:t>
      </w:r>
      <w:bookmarkEnd w:id="24"/>
    </w:p>
    <w:p w14:paraId="318189E5" w14:textId="59BA20E7" w:rsidR="003328F9" w:rsidRPr="00DD0D1F" w:rsidRDefault="003328F9" w:rsidP="003328F9">
      <w:pPr>
        <w:spacing w:before="240"/>
        <w:rPr>
          <w:rFonts w:cs="Times New Roman"/>
          <w:b/>
          <w:bCs/>
          <w:szCs w:val="24"/>
          <w:lang w:val="fi-FI"/>
        </w:rPr>
      </w:pPr>
      <w:r w:rsidRPr="00DD0D1F">
        <w:rPr>
          <w:rFonts w:cs="Times New Roman"/>
          <w:b/>
          <w:bCs/>
          <w:szCs w:val="24"/>
          <w:lang w:val="fi-FI"/>
        </w:rPr>
        <w:t xml:space="preserve">MET 13: </w:t>
      </w:r>
      <w:r w:rsidRPr="00DD0D1F">
        <w:rPr>
          <w:rFonts w:cs="Times New Roman"/>
          <w:bCs/>
          <w:szCs w:val="24"/>
          <w:lang w:val="fi-FI"/>
        </w:rPr>
        <w:t>Su kullanımını ve deşarj edilen kirli atık su hacmini azaltmak için, aşa</w:t>
      </w:r>
      <w:r w:rsidR="004648FA" w:rsidRPr="00DD0D1F">
        <w:rPr>
          <w:rFonts w:cs="Times New Roman"/>
          <w:bCs/>
          <w:szCs w:val="24"/>
          <w:lang w:val="fi-FI"/>
        </w:rPr>
        <w:t xml:space="preserve">ğıda verilen tekniklerden biri veya her ikisi </w:t>
      </w:r>
      <w:r w:rsidRPr="00DD0D1F">
        <w:rPr>
          <w:rFonts w:cs="Times New Roman"/>
          <w:bCs/>
          <w:szCs w:val="24"/>
          <w:lang w:val="fi-FI"/>
        </w:rPr>
        <w:t>kullan</w:t>
      </w:r>
      <w:r w:rsidR="004648FA" w:rsidRPr="00DD0D1F">
        <w:rPr>
          <w:rFonts w:cs="Times New Roman"/>
          <w:bCs/>
          <w:szCs w:val="24"/>
          <w:lang w:val="fi-FI"/>
        </w:rPr>
        <w:t>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
        <w:gridCol w:w="1952"/>
        <w:gridCol w:w="3821"/>
        <w:gridCol w:w="3024"/>
      </w:tblGrid>
      <w:tr w:rsidR="003328F9" w:rsidRPr="00DD0D1F" w14:paraId="3022C605" w14:textId="77777777" w:rsidTr="003328F9">
        <w:trPr>
          <w:trHeight w:val="229"/>
          <w:tblHeader/>
        </w:trPr>
        <w:tc>
          <w:tcPr>
            <w:tcW w:w="154" w:type="pct"/>
            <w:tcBorders>
              <w:right w:val="single" w:sz="4" w:space="0" w:color="auto"/>
            </w:tcBorders>
          </w:tcPr>
          <w:p w14:paraId="5193E949" w14:textId="77777777" w:rsidR="003328F9" w:rsidRPr="00DD0D1F" w:rsidRDefault="003328F9" w:rsidP="003328F9">
            <w:pPr>
              <w:pStyle w:val="TableParagraph"/>
              <w:ind w:right="74"/>
              <w:jc w:val="center"/>
              <w:rPr>
                <w:b/>
                <w:szCs w:val="24"/>
              </w:rPr>
            </w:pPr>
          </w:p>
        </w:tc>
        <w:tc>
          <w:tcPr>
            <w:tcW w:w="1075" w:type="pct"/>
            <w:tcBorders>
              <w:left w:val="single" w:sz="4" w:space="0" w:color="auto"/>
            </w:tcBorders>
          </w:tcPr>
          <w:p w14:paraId="32698038" w14:textId="77777777" w:rsidR="003328F9" w:rsidRPr="00DD0D1F" w:rsidRDefault="003328F9" w:rsidP="003328F9">
            <w:pPr>
              <w:pStyle w:val="TableParagraph"/>
              <w:ind w:left="74" w:right="74"/>
              <w:jc w:val="center"/>
              <w:rPr>
                <w:b/>
                <w:szCs w:val="24"/>
              </w:rPr>
            </w:pPr>
            <w:r w:rsidRPr="00DD0D1F">
              <w:rPr>
                <w:b/>
                <w:szCs w:val="24"/>
              </w:rPr>
              <w:t>Teknik</w:t>
            </w:r>
          </w:p>
        </w:tc>
        <w:tc>
          <w:tcPr>
            <w:tcW w:w="2105" w:type="pct"/>
          </w:tcPr>
          <w:p w14:paraId="1468B100" w14:textId="77777777" w:rsidR="003328F9" w:rsidRPr="00DD0D1F" w:rsidRDefault="003328F9" w:rsidP="003328F9">
            <w:pPr>
              <w:pStyle w:val="TableParagraph"/>
              <w:ind w:left="74" w:right="74"/>
              <w:jc w:val="center"/>
              <w:rPr>
                <w:b/>
                <w:szCs w:val="24"/>
              </w:rPr>
            </w:pPr>
            <w:r w:rsidRPr="00DD0D1F">
              <w:rPr>
                <w:b/>
                <w:szCs w:val="24"/>
              </w:rPr>
              <w:t>Açıklama</w:t>
            </w:r>
          </w:p>
        </w:tc>
        <w:tc>
          <w:tcPr>
            <w:tcW w:w="1666" w:type="pct"/>
          </w:tcPr>
          <w:p w14:paraId="0F5AF983"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5CF165CB" w14:textId="77777777" w:rsidTr="003328F9">
        <w:trPr>
          <w:trHeight w:val="1379"/>
          <w:tblHeader/>
        </w:trPr>
        <w:tc>
          <w:tcPr>
            <w:tcW w:w="154" w:type="pct"/>
            <w:tcBorders>
              <w:right w:val="single" w:sz="4" w:space="0" w:color="auto"/>
            </w:tcBorders>
            <w:vAlign w:val="center"/>
          </w:tcPr>
          <w:p w14:paraId="411386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075" w:type="pct"/>
            <w:tcBorders>
              <w:left w:val="single" w:sz="4" w:space="0" w:color="auto"/>
            </w:tcBorders>
            <w:vAlign w:val="center"/>
          </w:tcPr>
          <w:p w14:paraId="25286B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geri dönüşümü</w:t>
            </w:r>
          </w:p>
        </w:tc>
        <w:tc>
          <w:tcPr>
            <w:tcW w:w="2105" w:type="pct"/>
            <w:vAlign w:val="center"/>
          </w:tcPr>
          <w:p w14:paraId="1AA28A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Tesisten kaynaklanan akış suyu dahil olmak üzere artık su akıntıları başka amaçlarla yeniden kullanılır. Geri dönüşüm derecesi, alıcı su akışı kalite gereklilikleri ve tesisin su dengesi ile sınırlıdır.</w:t>
            </w:r>
          </w:p>
        </w:tc>
        <w:tc>
          <w:tcPr>
            <w:tcW w:w="1666" w:type="pct"/>
            <w:vAlign w:val="center"/>
          </w:tcPr>
          <w:p w14:paraId="68BAAFA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arıtma kimyasalları ve/veya deniz suyundan kaynaklanan yüksek tuz konsantrasyonları olduğunda soğutma sistemlerinden gelen atık suya uygulanamaz.</w:t>
            </w:r>
          </w:p>
        </w:tc>
      </w:tr>
      <w:tr w:rsidR="003328F9" w:rsidRPr="00DD0D1F" w14:paraId="7A3BFD90" w14:textId="77777777" w:rsidTr="003328F9">
        <w:trPr>
          <w:trHeight w:val="1150"/>
          <w:tblHeader/>
        </w:trPr>
        <w:tc>
          <w:tcPr>
            <w:tcW w:w="154" w:type="pct"/>
            <w:vAlign w:val="center"/>
          </w:tcPr>
          <w:p w14:paraId="33DB0B9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75" w:type="pct"/>
            <w:vAlign w:val="center"/>
          </w:tcPr>
          <w:p w14:paraId="755785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taban külü taşıma</w:t>
            </w:r>
          </w:p>
        </w:tc>
        <w:tc>
          <w:tcPr>
            <w:tcW w:w="2105" w:type="pct"/>
            <w:vAlign w:val="center"/>
          </w:tcPr>
          <w:p w14:paraId="39BAB8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sıcak taban külü, fırından mekanik bir konveyör sisteme düşer ve ortam havası ile soğur. Proseste su kullanılmaz.</w:t>
            </w:r>
          </w:p>
        </w:tc>
        <w:tc>
          <w:tcPr>
            <w:tcW w:w="1666" w:type="pct"/>
            <w:vAlign w:val="center"/>
          </w:tcPr>
          <w:p w14:paraId="4B32F5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katı yakıt ile çalışan tesisler için uygulanabilir.</w:t>
            </w:r>
          </w:p>
          <w:p w14:paraId="7CFC685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iyileştirilmesine engel olan teknik kısıtlamalar olabilir.</w:t>
            </w:r>
          </w:p>
        </w:tc>
      </w:tr>
    </w:tbl>
    <w:p w14:paraId="6A7B786B" w14:textId="2ACF44C2" w:rsidR="003328F9" w:rsidRPr="00DD0D1F" w:rsidRDefault="003328F9" w:rsidP="003328F9">
      <w:pPr>
        <w:spacing w:before="240"/>
        <w:rPr>
          <w:rFonts w:cs="Times New Roman"/>
          <w:bCs/>
          <w:szCs w:val="24"/>
          <w:lang w:val="fi-FI"/>
        </w:rPr>
      </w:pPr>
      <w:r w:rsidRPr="00DD0D1F">
        <w:rPr>
          <w:rFonts w:cs="Times New Roman"/>
          <w:b/>
          <w:bCs/>
          <w:szCs w:val="24"/>
          <w:lang w:val="fi-FI"/>
        </w:rPr>
        <w:t xml:space="preserve">MET 14: </w:t>
      </w:r>
      <w:r w:rsidRPr="00DD0D1F">
        <w:rPr>
          <w:rFonts w:cs="Times New Roman"/>
          <w:bCs/>
          <w:szCs w:val="24"/>
          <w:lang w:val="fi-FI"/>
        </w:rPr>
        <w:t>Atık suyun daha fazla kirlenmesini önlemek ve suya emisyonları azaltm</w:t>
      </w:r>
      <w:r w:rsidR="004648FA" w:rsidRPr="00DD0D1F">
        <w:rPr>
          <w:rFonts w:cs="Times New Roman"/>
          <w:bCs/>
          <w:szCs w:val="24"/>
          <w:lang w:val="fi-FI"/>
        </w:rPr>
        <w:t>ak için, atık su akışları ayrılır</w:t>
      </w:r>
      <w:r w:rsidRPr="00DD0D1F">
        <w:rPr>
          <w:rFonts w:cs="Times New Roman"/>
          <w:bCs/>
          <w:szCs w:val="24"/>
          <w:lang w:val="fi-FI"/>
        </w:rPr>
        <w:t xml:space="preserve"> ve kirletici içeriğine göre ayrı ayrı arıt</w:t>
      </w:r>
      <w:r w:rsidR="004648FA" w:rsidRPr="00DD0D1F">
        <w:rPr>
          <w:rFonts w:cs="Times New Roman"/>
          <w:bCs/>
          <w:szCs w:val="24"/>
          <w:lang w:val="fi-FI"/>
        </w:rPr>
        <w:t>ılır.</w:t>
      </w:r>
    </w:p>
    <w:p w14:paraId="1DC78B7F" w14:textId="77777777" w:rsidR="003328F9" w:rsidRPr="00DD0D1F" w:rsidRDefault="003328F9" w:rsidP="003328F9">
      <w:pPr>
        <w:spacing w:before="240"/>
        <w:rPr>
          <w:rFonts w:cs="Times New Roman"/>
          <w:b/>
          <w:bCs/>
          <w:szCs w:val="24"/>
          <w:lang w:val="fi-FI"/>
        </w:rPr>
      </w:pPr>
      <w:r w:rsidRPr="00DD0D1F">
        <w:rPr>
          <w:rFonts w:cs="Times New Roman"/>
          <w:b/>
          <w:bCs/>
          <w:szCs w:val="24"/>
          <w:lang w:val="fi-FI"/>
        </w:rPr>
        <w:t>Açıklama</w:t>
      </w:r>
    </w:p>
    <w:p w14:paraId="0B3F4CD3" w14:textId="5857649E" w:rsidR="003328F9" w:rsidRPr="00DD0D1F" w:rsidRDefault="003328F9" w:rsidP="003328F9">
      <w:pPr>
        <w:spacing w:before="240"/>
        <w:rPr>
          <w:rFonts w:cs="Times New Roman"/>
          <w:szCs w:val="24"/>
          <w:lang w:val="fi-FI"/>
        </w:rPr>
      </w:pPr>
      <w:r w:rsidRPr="00DD0D1F">
        <w:rPr>
          <w:rFonts w:cs="Times New Roman"/>
          <w:szCs w:val="24"/>
          <w:lang w:val="fi-FI"/>
        </w:rPr>
        <w:t>Tipik olarak ayrıştırılan ve arıtılan atık su akışları arasında yüzey akış suyu, soğutma suyu ve baca gazı arıtımından kaynaklanan atık su bulunur.</w:t>
      </w:r>
    </w:p>
    <w:p w14:paraId="1672EB49" w14:textId="440A34CA" w:rsidR="003328F9" w:rsidRPr="00DD0D1F" w:rsidRDefault="003328F9" w:rsidP="003328F9">
      <w:pPr>
        <w:spacing w:before="240"/>
        <w:rPr>
          <w:rFonts w:cs="Times New Roman"/>
          <w:b/>
          <w:bCs/>
          <w:szCs w:val="24"/>
          <w:lang w:val="fi-FI"/>
        </w:rPr>
      </w:pPr>
      <w:r w:rsidRPr="00DD0D1F">
        <w:rPr>
          <w:rFonts w:cs="Times New Roman"/>
          <w:b/>
          <w:bCs/>
          <w:szCs w:val="24"/>
          <w:lang w:val="fi-FI"/>
        </w:rPr>
        <w:t xml:space="preserve">MET 15: </w:t>
      </w:r>
      <w:r w:rsidR="00E00B0A" w:rsidRPr="00DD0D1F">
        <w:rPr>
          <w:rFonts w:cs="Times New Roman"/>
          <w:bCs/>
          <w:szCs w:val="24"/>
          <w:lang w:val="fi-FI"/>
        </w:rPr>
        <w:t>Baca</w:t>
      </w:r>
      <w:r w:rsidRPr="00DD0D1F">
        <w:rPr>
          <w:rFonts w:cs="Times New Roman"/>
          <w:bCs/>
          <w:szCs w:val="24"/>
          <w:lang w:val="fi-FI"/>
        </w:rPr>
        <w:t xml:space="preserve"> gazı arıtmasından kaynaklanan suya emisyonları azaltmak için, aşağıda verilen tekniklerin uygun bir birleşimini kullanmak ve seyrelmeyi önlemek için mümkün olduğunca </w:t>
      </w:r>
      <w:r w:rsidR="004648FA" w:rsidRPr="00DD0D1F">
        <w:rPr>
          <w:rFonts w:cs="Times New Roman"/>
          <w:bCs/>
          <w:szCs w:val="24"/>
          <w:lang w:val="fi-FI"/>
        </w:rPr>
        <w:t>kaynağa yakın ikincil teknikler</w:t>
      </w:r>
      <w:r w:rsidRPr="00DD0D1F">
        <w:rPr>
          <w:rFonts w:cs="Times New Roman"/>
          <w:bCs/>
          <w:szCs w:val="24"/>
          <w:lang w:val="fi-FI"/>
        </w:rPr>
        <w:t xml:space="preserve"> kullan</w:t>
      </w:r>
      <w:r w:rsidR="004648FA" w:rsidRPr="00DD0D1F">
        <w:rPr>
          <w:rFonts w:cs="Times New Roman"/>
          <w:bCs/>
          <w:szCs w:val="24"/>
          <w:lang w:val="fi-FI"/>
        </w:rPr>
        <w:t>ılır</w:t>
      </w:r>
      <w:r w:rsidRPr="00DD0D1F">
        <w:rPr>
          <w:rFonts w:cs="Times New Roman"/>
          <w:bCs/>
          <w:szCs w:val="24"/>
          <w:lang w:val="fi-F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84"/>
        <w:gridCol w:w="11"/>
        <w:gridCol w:w="2623"/>
        <w:gridCol w:w="2837"/>
        <w:gridCol w:w="3122"/>
      </w:tblGrid>
      <w:tr w:rsidR="003328F9" w:rsidRPr="00DD0D1F" w14:paraId="08E2B71D" w14:textId="77777777" w:rsidTr="003328F9">
        <w:trPr>
          <w:trHeight w:val="72"/>
        </w:trPr>
        <w:tc>
          <w:tcPr>
            <w:tcW w:w="266" w:type="pct"/>
            <w:vAlign w:val="center"/>
          </w:tcPr>
          <w:p w14:paraId="51B8FE93" w14:textId="77777777" w:rsidR="003328F9" w:rsidRPr="00DD0D1F" w:rsidRDefault="003328F9" w:rsidP="003328F9">
            <w:pPr>
              <w:adjustRightInd w:val="0"/>
              <w:spacing w:line="240" w:lineRule="auto"/>
              <w:ind w:left="74" w:right="74"/>
              <w:jc w:val="center"/>
              <w:rPr>
                <w:rFonts w:cs="Times New Roman"/>
                <w:szCs w:val="24"/>
                <w:lang w:val="tr-TR"/>
              </w:rPr>
            </w:pPr>
          </w:p>
        </w:tc>
        <w:tc>
          <w:tcPr>
            <w:tcW w:w="1451" w:type="pct"/>
            <w:gridSpan w:val="2"/>
            <w:vAlign w:val="center"/>
          </w:tcPr>
          <w:p w14:paraId="410B29F0"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Teknik</w:t>
            </w:r>
          </w:p>
        </w:tc>
        <w:tc>
          <w:tcPr>
            <w:tcW w:w="1563" w:type="pct"/>
            <w:vAlign w:val="center"/>
          </w:tcPr>
          <w:p w14:paraId="6454C28A"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Önlenen/azaltılan tipik kirleticiler</w:t>
            </w:r>
          </w:p>
        </w:tc>
        <w:tc>
          <w:tcPr>
            <w:tcW w:w="1720" w:type="pct"/>
            <w:vAlign w:val="center"/>
          </w:tcPr>
          <w:p w14:paraId="22B8069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Uygulanabilirlik</w:t>
            </w:r>
          </w:p>
        </w:tc>
      </w:tr>
      <w:tr w:rsidR="003328F9" w:rsidRPr="00DD0D1F" w14:paraId="5E063A09" w14:textId="77777777" w:rsidTr="003328F9">
        <w:trPr>
          <w:trHeight w:val="72"/>
        </w:trPr>
        <w:tc>
          <w:tcPr>
            <w:tcW w:w="5000" w:type="pct"/>
            <w:gridSpan w:val="5"/>
            <w:vAlign w:val="center"/>
          </w:tcPr>
          <w:p w14:paraId="7C979398"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Birincil teknikler</w:t>
            </w:r>
          </w:p>
        </w:tc>
      </w:tr>
      <w:tr w:rsidR="003328F9" w:rsidRPr="00DD0D1F" w14:paraId="4FC0703A" w14:textId="77777777" w:rsidTr="003328F9">
        <w:trPr>
          <w:trHeight w:val="72"/>
        </w:trPr>
        <w:tc>
          <w:tcPr>
            <w:tcW w:w="266" w:type="pct"/>
            <w:vAlign w:val="center"/>
          </w:tcPr>
          <w:p w14:paraId="2FED43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451" w:type="pct"/>
            <w:gridSpan w:val="2"/>
            <w:vAlign w:val="center"/>
          </w:tcPr>
          <w:p w14:paraId="3C309877" w14:textId="18FDB6B8"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Optimize edilmiş yakma (bk. MET 6) ve baca gazı arıtma sistemleri (örneğin SCR/SNCR, bk. MET 7)</w:t>
            </w:r>
          </w:p>
        </w:tc>
        <w:tc>
          <w:tcPr>
            <w:tcW w:w="1563" w:type="pct"/>
            <w:vAlign w:val="center"/>
          </w:tcPr>
          <w:p w14:paraId="2F55E6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Organik bileşikler, amonyak (NH</w:t>
            </w:r>
            <w:r w:rsidRPr="00DD0D1F">
              <w:rPr>
                <w:rFonts w:cs="Times New Roman"/>
                <w:szCs w:val="24"/>
                <w:vertAlign w:val="subscript"/>
                <w:lang w:val="tr-TR"/>
              </w:rPr>
              <w:t>3</w:t>
            </w:r>
            <w:r w:rsidRPr="00DD0D1F">
              <w:rPr>
                <w:rFonts w:cs="Times New Roman"/>
                <w:szCs w:val="24"/>
                <w:lang w:val="tr-TR"/>
              </w:rPr>
              <w:t>)</w:t>
            </w:r>
          </w:p>
        </w:tc>
        <w:tc>
          <w:tcPr>
            <w:tcW w:w="1720" w:type="pct"/>
            <w:vAlign w:val="center"/>
          </w:tcPr>
          <w:p w14:paraId="0D88AF7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636C83A7" w14:textId="77777777" w:rsidTr="003328F9">
        <w:trPr>
          <w:trHeight w:val="72"/>
        </w:trPr>
        <w:tc>
          <w:tcPr>
            <w:tcW w:w="5000" w:type="pct"/>
            <w:gridSpan w:val="5"/>
            <w:vAlign w:val="center"/>
          </w:tcPr>
          <w:p w14:paraId="249E2E8C"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İkincil teknikler *</w:t>
            </w:r>
          </w:p>
        </w:tc>
      </w:tr>
      <w:tr w:rsidR="003328F9" w:rsidRPr="00DD0D1F" w14:paraId="137E7536" w14:textId="77777777" w:rsidTr="003328F9">
        <w:trPr>
          <w:trHeight w:val="72"/>
        </w:trPr>
        <w:tc>
          <w:tcPr>
            <w:tcW w:w="266" w:type="pct"/>
            <w:vAlign w:val="center"/>
          </w:tcPr>
          <w:p w14:paraId="550392D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51" w:type="pct"/>
            <w:gridSpan w:val="2"/>
            <w:vAlign w:val="center"/>
          </w:tcPr>
          <w:p w14:paraId="0525B8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Aktif karbonun adsorbsiyonu</w:t>
            </w:r>
          </w:p>
        </w:tc>
        <w:tc>
          <w:tcPr>
            <w:tcW w:w="1563" w:type="pct"/>
            <w:vAlign w:val="center"/>
          </w:tcPr>
          <w:p w14:paraId="132B56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Organik bileşikler, cıva</w:t>
            </w:r>
          </w:p>
          <w:p w14:paraId="00907B2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(Hg)</w:t>
            </w:r>
          </w:p>
        </w:tc>
        <w:tc>
          <w:tcPr>
            <w:tcW w:w="1720" w:type="pct"/>
            <w:vAlign w:val="center"/>
          </w:tcPr>
          <w:p w14:paraId="41D13F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A040DA1" w14:textId="77777777" w:rsidTr="003328F9">
        <w:trPr>
          <w:trHeight w:val="850"/>
        </w:trPr>
        <w:tc>
          <w:tcPr>
            <w:tcW w:w="266" w:type="pct"/>
            <w:vAlign w:val="center"/>
          </w:tcPr>
          <w:p w14:paraId="756357C7" w14:textId="77777777" w:rsidR="003328F9" w:rsidRPr="00DD0D1F" w:rsidRDefault="003328F9" w:rsidP="003328F9">
            <w:pPr>
              <w:adjustRightInd w:val="0"/>
              <w:spacing w:line="240" w:lineRule="auto"/>
              <w:ind w:left="74" w:right="74"/>
              <w:rPr>
                <w:rFonts w:cs="Times New Roman"/>
                <w:szCs w:val="24"/>
                <w:lang w:val="tr-TR"/>
              </w:rPr>
            </w:pPr>
          </w:p>
          <w:p w14:paraId="7F2B7236" w14:textId="77777777" w:rsidR="003328F9" w:rsidRPr="00DD0D1F" w:rsidRDefault="003328F9" w:rsidP="003328F9">
            <w:pPr>
              <w:adjustRightInd w:val="0"/>
              <w:spacing w:line="240" w:lineRule="auto"/>
              <w:ind w:left="74" w:right="74"/>
              <w:rPr>
                <w:rFonts w:cs="Times New Roman"/>
                <w:szCs w:val="24"/>
                <w:lang w:val="tr-TR"/>
              </w:rPr>
            </w:pPr>
          </w:p>
          <w:p w14:paraId="40C98AD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51" w:type="pct"/>
            <w:gridSpan w:val="2"/>
            <w:vAlign w:val="center"/>
          </w:tcPr>
          <w:p w14:paraId="0EDF178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Aerobik biyolojik arıtma</w:t>
            </w:r>
          </w:p>
        </w:tc>
        <w:tc>
          <w:tcPr>
            <w:tcW w:w="1563" w:type="pct"/>
            <w:vAlign w:val="center"/>
          </w:tcPr>
          <w:p w14:paraId="1F96078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Biyobozunur organik bileşenler, amonyum (NH</w:t>
            </w:r>
            <w:r w:rsidRPr="00DD0D1F">
              <w:rPr>
                <w:rFonts w:cs="Times New Roman"/>
                <w:szCs w:val="24"/>
                <w:vertAlign w:val="subscript"/>
                <w:lang w:val="tr-TR"/>
              </w:rPr>
              <w:t>4</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59AAD6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organik bileşiklerin arıtılmasında uygulanabilir. Yüksek klorür konsantrasyonları (örneğin, 10 g/l civarı) söz konusu olduğunda, amonyum (NH</w:t>
            </w:r>
            <w:r w:rsidRPr="00DD0D1F">
              <w:rPr>
                <w:rFonts w:cs="Times New Roman"/>
                <w:szCs w:val="24"/>
                <w:vertAlign w:val="subscript"/>
                <w:lang w:val="tr-TR"/>
              </w:rPr>
              <w:t>4</w:t>
            </w:r>
            <w:r w:rsidRPr="00DD0D1F">
              <w:rPr>
                <w:rFonts w:cs="Times New Roman"/>
                <w:szCs w:val="24"/>
                <w:vertAlign w:val="superscript"/>
                <w:lang w:val="tr-TR"/>
              </w:rPr>
              <w:t>+</w:t>
            </w:r>
            <w:r w:rsidRPr="00DD0D1F">
              <w:rPr>
                <w:rFonts w:cs="Times New Roman"/>
                <w:szCs w:val="24"/>
                <w:lang w:val="tr-TR"/>
              </w:rPr>
              <w:t>)’un aerobik biyolojik arıtılması uygulanabilir olmayabilir.</w:t>
            </w:r>
          </w:p>
        </w:tc>
      </w:tr>
      <w:tr w:rsidR="003328F9" w:rsidRPr="00DD0D1F" w14:paraId="108506F0" w14:textId="77777777" w:rsidTr="003328F9">
        <w:trPr>
          <w:trHeight w:val="350"/>
        </w:trPr>
        <w:tc>
          <w:tcPr>
            <w:tcW w:w="272" w:type="pct"/>
            <w:gridSpan w:val="2"/>
            <w:vAlign w:val="center"/>
          </w:tcPr>
          <w:p w14:paraId="588B90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45" w:type="pct"/>
            <w:vAlign w:val="center"/>
          </w:tcPr>
          <w:p w14:paraId="7D35AB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Anoksik/anaerobik biyolojik arıtma</w:t>
            </w:r>
          </w:p>
        </w:tc>
        <w:tc>
          <w:tcPr>
            <w:tcW w:w="1563" w:type="pct"/>
            <w:vAlign w:val="center"/>
          </w:tcPr>
          <w:p w14:paraId="0EF57090" w14:textId="77777777" w:rsidR="003328F9" w:rsidRPr="00DD0D1F" w:rsidRDefault="003328F9" w:rsidP="003328F9">
            <w:pPr>
              <w:adjustRightInd w:val="0"/>
              <w:spacing w:line="240" w:lineRule="auto"/>
              <w:ind w:left="74" w:right="74"/>
              <w:rPr>
                <w:rFonts w:cs="Times New Roman"/>
                <w:b/>
                <w:bCs/>
                <w:szCs w:val="24"/>
                <w:lang w:val="tr-TR"/>
              </w:rPr>
            </w:pPr>
            <w:r w:rsidRPr="00DD0D1F">
              <w:rPr>
                <w:rFonts w:cs="Times New Roman"/>
                <w:szCs w:val="24"/>
                <w:lang w:val="tr-TR"/>
              </w:rPr>
              <w:t>Cıva (Hg), nitrat (NO</w:t>
            </w:r>
            <w:r w:rsidRPr="00DD0D1F">
              <w:rPr>
                <w:rFonts w:cs="Times New Roman"/>
                <w:szCs w:val="24"/>
                <w:vertAlign w:val="subscript"/>
                <w:lang w:val="tr-TR"/>
              </w:rPr>
              <w:t>3</w:t>
            </w:r>
            <w:r w:rsidRPr="00DD0D1F">
              <w:rPr>
                <w:rFonts w:cs="Times New Roman"/>
                <w:szCs w:val="24"/>
                <w:vertAlign w:val="superscript"/>
                <w:lang w:val="tr-TR"/>
              </w:rPr>
              <w:t>-</w:t>
            </w:r>
            <w:r w:rsidRPr="00DD0D1F">
              <w:rPr>
                <w:rFonts w:cs="Times New Roman"/>
                <w:szCs w:val="24"/>
                <w:lang w:val="tr-TR"/>
              </w:rPr>
              <w:t>), nitrit (NO</w:t>
            </w:r>
            <w:r w:rsidRPr="00DD0D1F">
              <w:rPr>
                <w:rFonts w:cs="Times New Roman"/>
                <w:szCs w:val="24"/>
                <w:vertAlign w:val="subscript"/>
                <w:lang w:val="tr-TR"/>
              </w:rPr>
              <w:t>2</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78EBFE3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11CE841" w14:textId="77777777" w:rsidTr="003328F9">
        <w:trPr>
          <w:trHeight w:val="270"/>
        </w:trPr>
        <w:tc>
          <w:tcPr>
            <w:tcW w:w="272" w:type="pct"/>
            <w:gridSpan w:val="2"/>
            <w:vAlign w:val="center"/>
          </w:tcPr>
          <w:p w14:paraId="5A67CF1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45" w:type="pct"/>
            <w:vAlign w:val="center"/>
          </w:tcPr>
          <w:p w14:paraId="5B7FD3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Koagülasyon ve flokülasyon</w:t>
            </w:r>
          </w:p>
        </w:tc>
        <w:tc>
          <w:tcPr>
            <w:tcW w:w="1563" w:type="pct"/>
            <w:vAlign w:val="center"/>
          </w:tcPr>
          <w:p w14:paraId="51F43A5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w:t>
            </w:r>
          </w:p>
        </w:tc>
        <w:tc>
          <w:tcPr>
            <w:tcW w:w="1720" w:type="pct"/>
            <w:vAlign w:val="center"/>
          </w:tcPr>
          <w:p w14:paraId="216F2CF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65FD2D5" w14:textId="77777777" w:rsidTr="003328F9">
        <w:trPr>
          <w:trHeight w:val="386"/>
        </w:trPr>
        <w:tc>
          <w:tcPr>
            <w:tcW w:w="272" w:type="pct"/>
            <w:gridSpan w:val="2"/>
            <w:vAlign w:val="center"/>
          </w:tcPr>
          <w:p w14:paraId="0D06EE5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45" w:type="pct"/>
            <w:vAlign w:val="center"/>
          </w:tcPr>
          <w:p w14:paraId="5DF33D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Kristalizasyon</w:t>
            </w:r>
          </w:p>
        </w:tc>
        <w:tc>
          <w:tcPr>
            <w:tcW w:w="1563" w:type="pct"/>
            <w:vAlign w:val="center"/>
          </w:tcPr>
          <w:p w14:paraId="577AF331" w14:textId="008D2DD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Metaller ve yarı metaller, sülfat (SO</w:t>
            </w:r>
            <w:r w:rsidRPr="00DD0D1F">
              <w:rPr>
                <w:rFonts w:cs="Times New Roman"/>
                <w:szCs w:val="24"/>
                <w:vertAlign w:val="subscript"/>
                <w:lang w:val="tr-TR"/>
              </w:rPr>
              <w:t>4</w:t>
            </w:r>
            <w:r w:rsidRPr="00DD0D1F">
              <w:rPr>
                <w:rFonts w:cs="Times New Roman"/>
                <w:szCs w:val="24"/>
                <w:vertAlign w:val="superscript"/>
                <w:lang w:val="tr-TR"/>
              </w:rPr>
              <w:t>2</w:t>
            </w:r>
            <w:r w:rsidR="004648FA" w:rsidRPr="00DD0D1F">
              <w:rPr>
                <w:rFonts w:cs="Times New Roman"/>
                <w:szCs w:val="24"/>
                <w:vertAlign w:val="superscript"/>
                <w:lang w:val="tr-TR"/>
              </w:rPr>
              <w:t>-</w:t>
            </w:r>
            <w:r w:rsidRPr="00DD0D1F">
              <w:rPr>
                <w:rFonts w:cs="Times New Roman"/>
                <w:szCs w:val="24"/>
                <w:lang w:val="tr-TR"/>
              </w:rPr>
              <w:t>), florür (F</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22D091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3FE42ED" w14:textId="77777777" w:rsidTr="003328F9">
        <w:trPr>
          <w:trHeight w:val="407"/>
        </w:trPr>
        <w:tc>
          <w:tcPr>
            <w:tcW w:w="272" w:type="pct"/>
            <w:gridSpan w:val="2"/>
            <w:vAlign w:val="center"/>
          </w:tcPr>
          <w:p w14:paraId="152805C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45" w:type="pct"/>
            <w:vAlign w:val="center"/>
          </w:tcPr>
          <w:p w14:paraId="3B7279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Filtrasyon (örneğin, kum filtrasyonu, mikrofiltrasyon, ultrafiltrasyon)</w:t>
            </w:r>
          </w:p>
        </w:tc>
        <w:tc>
          <w:tcPr>
            <w:tcW w:w="1563" w:type="pct"/>
            <w:vAlign w:val="center"/>
          </w:tcPr>
          <w:p w14:paraId="31A4B9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 metaller</w:t>
            </w:r>
          </w:p>
        </w:tc>
        <w:tc>
          <w:tcPr>
            <w:tcW w:w="1720" w:type="pct"/>
            <w:vAlign w:val="center"/>
          </w:tcPr>
          <w:p w14:paraId="1771CE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EF05F1F" w14:textId="77777777" w:rsidTr="003328F9">
        <w:trPr>
          <w:trHeight w:val="120"/>
        </w:trPr>
        <w:tc>
          <w:tcPr>
            <w:tcW w:w="272" w:type="pct"/>
            <w:gridSpan w:val="2"/>
            <w:vAlign w:val="center"/>
          </w:tcPr>
          <w:p w14:paraId="4C5A3D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445" w:type="pct"/>
            <w:vAlign w:val="center"/>
          </w:tcPr>
          <w:p w14:paraId="3CFB714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Flotasyon</w:t>
            </w:r>
          </w:p>
        </w:tc>
        <w:tc>
          <w:tcPr>
            <w:tcW w:w="1563" w:type="pct"/>
            <w:vAlign w:val="center"/>
          </w:tcPr>
          <w:p w14:paraId="153498B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 serbest yağ</w:t>
            </w:r>
          </w:p>
        </w:tc>
        <w:tc>
          <w:tcPr>
            <w:tcW w:w="1720" w:type="pct"/>
            <w:vAlign w:val="center"/>
          </w:tcPr>
          <w:p w14:paraId="1DD27C1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1B6469FF" w14:textId="77777777" w:rsidTr="003328F9">
        <w:trPr>
          <w:trHeight w:val="206"/>
        </w:trPr>
        <w:tc>
          <w:tcPr>
            <w:tcW w:w="272" w:type="pct"/>
            <w:gridSpan w:val="2"/>
            <w:vAlign w:val="center"/>
          </w:tcPr>
          <w:p w14:paraId="567DE2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445" w:type="pct"/>
            <w:vAlign w:val="center"/>
          </w:tcPr>
          <w:p w14:paraId="3655287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İyon değişimi</w:t>
            </w:r>
          </w:p>
        </w:tc>
        <w:tc>
          <w:tcPr>
            <w:tcW w:w="1563" w:type="pct"/>
            <w:vAlign w:val="center"/>
          </w:tcPr>
          <w:p w14:paraId="7BFE5C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Metaller</w:t>
            </w:r>
          </w:p>
        </w:tc>
        <w:tc>
          <w:tcPr>
            <w:tcW w:w="1720" w:type="pct"/>
            <w:vAlign w:val="center"/>
          </w:tcPr>
          <w:p w14:paraId="681F7F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A4F59CA" w14:textId="77777777" w:rsidTr="003328F9">
        <w:trPr>
          <w:trHeight w:val="50"/>
        </w:trPr>
        <w:tc>
          <w:tcPr>
            <w:tcW w:w="272" w:type="pct"/>
            <w:gridSpan w:val="2"/>
            <w:vAlign w:val="center"/>
          </w:tcPr>
          <w:p w14:paraId="7643231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j</w:t>
            </w:r>
          </w:p>
        </w:tc>
        <w:tc>
          <w:tcPr>
            <w:tcW w:w="1445" w:type="pct"/>
            <w:vAlign w:val="center"/>
          </w:tcPr>
          <w:p w14:paraId="08A71A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Nötralizasyon</w:t>
            </w:r>
          </w:p>
        </w:tc>
        <w:tc>
          <w:tcPr>
            <w:tcW w:w="1563" w:type="pct"/>
            <w:vAlign w:val="center"/>
          </w:tcPr>
          <w:p w14:paraId="0DB7448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Asitler, alkaliler</w:t>
            </w:r>
          </w:p>
        </w:tc>
        <w:tc>
          <w:tcPr>
            <w:tcW w:w="1720" w:type="pct"/>
            <w:vAlign w:val="center"/>
          </w:tcPr>
          <w:p w14:paraId="4ACCB52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6022DDB1" w14:textId="77777777" w:rsidTr="003328F9">
        <w:trPr>
          <w:trHeight w:val="73"/>
        </w:trPr>
        <w:tc>
          <w:tcPr>
            <w:tcW w:w="272" w:type="pct"/>
            <w:gridSpan w:val="2"/>
            <w:vAlign w:val="center"/>
          </w:tcPr>
          <w:p w14:paraId="413457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w:t>
            </w:r>
          </w:p>
        </w:tc>
        <w:tc>
          <w:tcPr>
            <w:tcW w:w="1445" w:type="pct"/>
            <w:vAlign w:val="center"/>
          </w:tcPr>
          <w:p w14:paraId="0FFD52B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Oksidasyon</w:t>
            </w:r>
          </w:p>
        </w:tc>
        <w:tc>
          <w:tcPr>
            <w:tcW w:w="1563" w:type="pct"/>
            <w:vAlign w:val="center"/>
          </w:tcPr>
          <w:p w14:paraId="0459FB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Sülfür (S</w:t>
            </w:r>
            <w:r w:rsidRPr="00DD0D1F">
              <w:rPr>
                <w:rFonts w:cs="Times New Roman"/>
                <w:szCs w:val="24"/>
                <w:vertAlign w:val="superscript"/>
                <w:lang w:val="tr-TR"/>
              </w:rPr>
              <w:t>2-</w:t>
            </w:r>
            <w:r w:rsidRPr="00DD0D1F">
              <w:rPr>
                <w:rFonts w:cs="Times New Roman"/>
                <w:szCs w:val="24"/>
                <w:lang w:val="tr-TR"/>
              </w:rPr>
              <w:t>), sülfit (SO</w:t>
            </w:r>
            <w:r w:rsidRPr="00DD0D1F">
              <w:rPr>
                <w:rFonts w:cs="Times New Roman"/>
                <w:szCs w:val="24"/>
                <w:vertAlign w:val="subscript"/>
                <w:lang w:val="tr-TR"/>
              </w:rPr>
              <w:t>3</w:t>
            </w:r>
            <w:r w:rsidRPr="00DD0D1F">
              <w:rPr>
                <w:rFonts w:cs="Times New Roman"/>
                <w:szCs w:val="24"/>
                <w:vertAlign w:val="superscript"/>
                <w:lang w:val="tr-TR"/>
              </w:rPr>
              <w:t>2-</w:t>
            </w:r>
            <w:r w:rsidRPr="00DD0D1F">
              <w:rPr>
                <w:rFonts w:cs="Times New Roman"/>
                <w:szCs w:val="24"/>
                <w:lang w:val="tr-TR"/>
              </w:rPr>
              <w:t>)</w:t>
            </w:r>
          </w:p>
        </w:tc>
        <w:tc>
          <w:tcPr>
            <w:tcW w:w="1720" w:type="pct"/>
            <w:vAlign w:val="center"/>
          </w:tcPr>
          <w:p w14:paraId="0B0529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6F51773" w14:textId="77777777" w:rsidTr="003328F9">
        <w:trPr>
          <w:trHeight w:val="298"/>
        </w:trPr>
        <w:tc>
          <w:tcPr>
            <w:tcW w:w="272" w:type="pct"/>
            <w:gridSpan w:val="2"/>
            <w:vAlign w:val="center"/>
          </w:tcPr>
          <w:p w14:paraId="349FBF2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w:t>
            </w:r>
          </w:p>
        </w:tc>
        <w:tc>
          <w:tcPr>
            <w:tcW w:w="1445" w:type="pct"/>
            <w:vAlign w:val="center"/>
          </w:tcPr>
          <w:p w14:paraId="6F75B5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Çökelme</w:t>
            </w:r>
          </w:p>
        </w:tc>
        <w:tc>
          <w:tcPr>
            <w:tcW w:w="1563" w:type="pct"/>
            <w:vAlign w:val="center"/>
          </w:tcPr>
          <w:p w14:paraId="11C989F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Metaller ve yarı metaller, sülfat (SO</w:t>
            </w:r>
            <w:r w:rsidRPr="00DD0D1F">
              <w:rPr>
                <w:rFonts w:cs="Times New Roman"/>
                <w:szCs w:val="24"/>
                <w:vertAlign w:val="subscript"/>
                <w:lang w:val="tr-TR"/>
              </w:rPr>
              <w:t>4</w:t>
            </w:r>
            <w:r w:rsidRPr="00DD0D1F">
              <w:rPr>
                <w:rFonts w:cs="Times New Roman"/>
                <w:szCs w:val="24"/>
                <w:vertAlign w:val="superscript"/>
                <w:lang w:val="tr-TR"/>
              </w:rPr>
              <w:t>2-</w:t>
            </w:r>
            <w:r w:rsidRPr="00DD0D1F">
              <w:rPr>
                <w:rFonts w:cs="Times New Roman"/>
                <w:szCs w:val="24"/>
                <w:lang w:val="tr-TR"/>
              </w:rPr>
              <w:t>), florür (F</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7BBFC4F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6D36DCB" w14:textId="77777777" w:rsidTr="003328F9">
        <w:trPr>
          <w:trHeight w:val="53"/>
        </w:trPr>
        <w:tc>
          <w:tcPr>
            <w:tcW w:w="272" w:type="pct"/>
            <w:gridSpan w:val="2"/>
            <w:vAlign w:val="center"/>
          </w:tcPr>
          <w:p w14:paraId="03913B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w:t>
            </w:r>
          </w:p>
        </w:tc>
        <w:tc>
          <w:tcPr>
            <w:tcW w:w="1445" w:type="pct"/>
            <w:vAlign w:val="center"/>
          </w:tcPr>
          <w:p w14:paraId="75B28A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Çökeltme</w:t>
            </w:r>
          </w:p>
        </w:tc>
        <w:tc>
          <w:tcPr>
            <w:tcW w:w="1563" w:type="pct"/>
            <w:vAlign w:val="center"/>
          </w:tcPr>
          <w:p w14:paraId="5D696B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w:t>
            </w:r>
          </w:p>
        </w:tc>
        <w:tc>
          <w:tcPr>
            <w:tcW w:w="1720" w:type="pct"/>
            <w:vAlign w:val="center"/>
          </w:tcPr>
          <w:p w14:paraId="305D500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7D796711" w14:textId="77777777" w:rsidTr="003328F9">
        <w:trPr>
          <w:trHeight w:val="265"/>
        </w:trPr>
        <w:tc>
          <w:tcPr>
            <w:tcW w:w="272" w:type="pct"/>
            <w:gridSpan w:val="2"/>
            <w:vAlign w:val="center"/>
          </w:tcPr>
          <w:p w14:paraId="7827AB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w:t>
            </w:r>
          </w:p>
        </w:tc>
        <w:tc>
          <w:tcPr>
            <w:tcW w:w="1445" w:type="pct"/>
            <w:vAlign w:val="center"/>
          </w:tcPr>
          <w:p w14:paraId="24D94B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Sıyırma</w:t>
            </w:r>
          </w:p>
        </w:tc>
        <w:tc>
          <w:tcPr>
            <w:tcW w:w="1563" w:type="pct"/>
            <w:vAlign w:val="center"/>
          </w:tcPr>
          <w:p w14:paraId="3F247A0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Amonyak (NH</w:t>
            </w:r>
            <w:r w:rsidRPr="00DD0D1F">
              <w:rPr>
                <w:rFonts w:cs="Times New Roman"/>
                <w:szCs w:val="24"/>
                <w:vertAlign w:val="subscript"/>
                <w:lang w:val="tr-TR"/>
              </w:rPr>
              <w:t>3</w:t>
            </w:r>
            <w:r w:rsidRPr="00DD0D1F">
              <w:rPr>
                <w:rFonts w:cs="Times New Roman"/>
                <w:szCs w:val="24"/>
                <w:lang w:val="tr-TR"/>
              </w:rPr>
              <w:t>)</w:t>
            </w:r>
          </w:p>
        </w:tc>
        <w:tc>
          <w:tcPr>
            <w:tcW w:w="1720" w:type="pct"/>
            <w:vAlign w:val="center"/>
          </w:tcPr>
          <w:p w14:paraId="7569F8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DFFC950" w14:textId="77777777" w:rsidTr="003328F9">
        <w:trPr>
          <w:trHeight w:val="265"/>
        </w:trPr>
        <w:tc>
          <w:tcPr>
            <w:tcW w:w="5000" w:type="pct"/>
            <w:gridSpan w:val="5"/>
            <w:vAlign w:val="center"/>
          </w:tcPr>
          <w:p w14:paraId="3573FEB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Tekniklerin açıklamaları Madde 8.6'da verilmiştir.</w:t>
            </w:r>
          </w:p>
        </w:tc>
      </w:tr>
    </w:tbl>
    <w:p w14:paraId="18DACE31" w14:textId="77777777" w:rsidR="003328F9" w:rsidRPr="00DD0D1F" w:rsidRDefault="003328F9" w:rsidP="003328F9">
      <w:pPr>
        <w:spacing w:before="240"/>
        <w:rPr>
          <w:rFonts w:cs="Times New Roman"/>
          <w:szCs w:val="24"/>
          <w:lang w:val="fi-FI"/>
        </w:rPr>
      </w:pPr>
      <w:r w:rsidRPr="00DD0D1F">
        <w:rPr>
          <w:rFonts w:cs="Times New Roman"/>
          <w:szCs w:val="24"/>
          <w:lang w:val="fi-FI"/>
        </w:rPr>
        <w:t>MET-İES’ler, emisyonun tesisten çıktığı noktada alıcı su ortamına doğrudan yapılan deşarjları ifade eder.</w:t>
      </w:r>
    </w:p>
    <w:p w14:paraId="1D24F642" w14:textId="77777777" w:rsidR="003328F9" w:rsidRPr="00DD0D1F" w:rsidRDefault="003328F9" w:rsidP="003328F9">
      <w:pPr>
        <w:pStyle w:val="Sideheading"/>
        <w:spacing w:before="240"/>
        <w:rPr>
          <w:rFonts w:cs="Times New Roman"/>
          <w:szCs w:val="24"/>
          <w:lang w:val="fi-FI"/>
        </w:rPr>
      </w:pPr>
      <w:r w:rsidRPr="00DD0D1F">
        <w:rPr>
          <w:rFonts w:cs="Times New Roman"/>
          <w:szCs w:val="24"/>
          <w:lang w:val="fi-FI"/>
        </w:rPr>
        <w:t xml:space="preserve">MET ile ilişkili deşarj seviyeleri </w:t>
      </w:r>
    </w:p>
    <w:p w14:paraId="2E080E41" w14:textId="0D23F381" w:rsidR="003328F9" w:rsidRPr="00DD0D1F" w:rsidRDefault="003328F9" w:rsidP="003328F9">
      <w:pPr>
        <w:pStyle w:val="ResimYazs"/>
        <w:rPr>
          <w:rFonts w:cs="Times New Roman"/>
          <w:color w:val="auto"/>
          <w:szCs w:val="24"/>
        </w:rPr>
      </w:pPr>
      <w:r w:rsidRPr="00DD0D1F">
        <w:rPr>
          <w:rFonts w:cs="Times New Roman"/>
          <w:color w:val="auto"/>
          <w:szCs w:val="24"/>
        </w:rPr>
        <w:t>Tablo</w:t>
      </w:r>
      <w:r w:rsidR="003262EB" w:rsidRPr="00DD0D1F">
        <w:rPr>
          <w:rFonts w:cs="Times New Roman"/>
          <w:color w:val="auto"/>
          <w:szCs w:val="24"/>
        </w:rPr>
        <w:t xml:space="preserve"> 2</w:t>
      </w:r>
      <w:r w:rsidRPr="00DD0D1F">
        <w:rPr>
          <w:rFonts w:cs="Times New Roman"/>
          <w:color w:val="auto"/>
          <w:szCs w:val="24"/>
        </w:rPr>
        <w:t>. Baca gazı arıtmasından alıcı su ortamına doğrudan deşarjlara yönelik MET-İES’ler</w:t>
      </w:r>
    </w:p>
    <w:tbl>
      <w:tblPr>
        <w:tblW w:w="5000" w:type="pct"/>
        <w:tblCellMar>
          <w:left w:w="40" w:type="dxa"/>
          <w:right w:w="40" w:type="dxa"/>
        </w:tblCellMar>
        <w:tblLook w:val="0000" w:firstRow="0" w:lastRow="0" w:firstColumn="0" w:lastColumn="0" w:noHBand="0" w:noVBand="0"/>
      </w:tblPr>
      <w:tblGrid>
        <w:gridCol w:w="2827"/>
        <w:gridCol w:w="1470"/>
        <w:gridCol w:w="4780"/>
      </w:tblGrid>
      <w:tr w:rsidR="003328F9" w:rsidRPr="00DD0D1F" w14:paraId="765F59FA" w14:textId="77777777" w:rsidTr="003328F9">
        <w:trPr>
          <w:trHeight w:val="112"/>
        </w:trPr>
        <w:tc>
          <w:tcPr>
            <w:tcW w:w="2367" w:type="pct"/>
            <w:gridSpan w:val="2"/>
            <w:vMerge w:val="restart"/>
            <w:tcBorders>
              <w:top w:val="single" w:sz="4" w:space="0" w:color="auto"/>
              <w:left w:val="single" w:sz="4" w:space="0" w:color="auto"/>
              <w:right w:val="single" w:sz="6" w:space="0" w:color="auto"/>
            </w:tcBorders>
            <w:vAlign w:val="center"/>
          </w:tcPr>
          <w:p w14:paraId="0617AA0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Madde/parametre</w:t>
            </w:r>
          </w:p>
        </w:tc>
        <w:tc>
          <w:tcPr>
            <w:tcW w:w="2633" w:type="pct"/>
            <w:tcBorders>
              <w:top w:val="single" w:sz="4" w:space="0" w:color="auto"/>
              <w:left w:val="single" w:sz="6" w:space="0" w:color="auto"/>
              <w:bottom w:val="single" w:sz="6" w:space="0" w:color="auto"/>
              <w:right w:val="single" w:sz="4" w:space="0" w:color="auto"/>
            </w:tcBorders>
            <w:vAlign w:val="center"/>
          </w:tcPr>
          <w:p w14:paraId="54E1D2C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r>
      <w:tr w:rsidR="003328F9" w:rsidRPr="00DD0D1F" w14:paraId="3B267371" w14:textId="77777777" w:rsidTr="003328F9">
        <w:trPr>
          <w:trHeight w:val="46"/>
        </w:trPr>
        <w:tc>
          <w:tcPr>
            <w:tcW w:w="2367" w:type="pct"/>
            <w:gridSpan w:val="2"/>
            <w:vMerge/>
            <w:tcBorders>
              <w:left w:val="single" w:sz="4" w:space="0" w:color="auto"/>
              <w:bottom w:val="single" w:sz="6" w:space="0" w:color="auto"/>
              <w:right w:val="single" w:sz="6" w:space="0" w:color="auto"/>
            </w:tcBorders>
            <w:vAlign w:val="center"/>
          </w:tcPr>
          <w:p w14:paraId="430BD58A"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633" w:type="pct"/>
            <w:tcBorders>
              <w:top w:val="single" w:sz="6" w:space="0" w:color="auto"/>
              <w:left w:val="single" w:sz="6" w:space="0" w:color="auto"/>
              <w:bottom w:val="single" w:sz="6" w:space="0" w:color="auto"/>
              <w:right w:val="single" w:sz="4" w:space="0" w:color="auto"/>
            </w:tcBorders>
            <w:vAlign w:val="center"/>
          </w:tcPr>
          <w:p w14:paraId="380BE39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w:t>
            </w:r>
          </w:p>
        </w:tc>
      </w:tr>
      <w:tr w:rsidR="003328F9" w:rsidRPr="00DD0D1F" w14:paraId="432D1E6A" w14:textId="77777777" w:rsidTr="003328F9">
        <w:trPr>
          <w:trHeight w:val="93"/>
        </w:trPr>
        <w:tc>
          <w:tcPr>
            <w:tcW w:w="2367" w:type="pct"/>
            <w:gridSpan w:val="2"/>
            <w:tcBorders>
              <w:top w:val="single" w:sz="6" w:space="0" w:color="auto"/>
              <w:left w:val="single" w:sz="4" w:space="0" w:color="auto"/>
              <w:bottom w:val="single" w:sz="6" w:space="0" w:color="auto"/>
              <w:right w:val="single" w:sz="6" w:space="0" w:color="auto"/>
            </w:tcBorders>
          </w:tcPr>
          <w:p w14:paraId="4D2785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Toplam organik karbon (TOC)</w:t>
            </w:r>
          </w:p>
        </w:tc>
        <w:tc>
          <w:tcPr>
            <w:tcW w:w="2633" w:type="pct"/>
            <w:tcBorders>
              <w:top w:val="single" w:sz="6" w:space="0" w:color="auto"/>
              <w:left w:val="single" w:sz="6" w:space="0" w:color="auto"/>
              <w:bottom w:val="single" w:sz="6" w:space="0" w:color="auto"/>
              <w:right w:val="single" w:sz="4" w:space="0" w:color="auto"/>
            </w:tcBorders>
          </w:tcPr>
          <w:p w14:paraId="002FC1D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20-50 mg/l (</w:t>
            </w:r>
            <w:r w:rsidRPr="00DD0D1F">
              <w:rPr>
                <w:rFonts w:cs="Times New Roman"/>
                <w:bCs/>
                <w:szCs w:val="24"/>
                <w:vertAlign w:val="superscript"/>
                <w:lang w:val="tr-TR"/>
              </w:rPr>
              <w:t>1</w:t>
            </w:r>
            <w:r w:rsidRPr="00DD0D1F">
              <w:rPr>
                <w:rFonts w:cs="Times New Roman"/>
                <w:szCs w:val="24"/>
                <w:lang w:val="tr-TR"/>
              </w:rPr>
              <w:t>) (</w:t>
            </w:r>
            <w:r w:rsidRPr="00DD0D1F">
              <w:rPr>
                <w:rFonts w:cs="Times New Roman"/>
                <w:bCs/>
                <w:szCs w:val="24"/>
                <w:vertAlign w:val="superscript"/>
                <w:lang w:val="tr-TR"/>
              </w:rPr>
              <w:t>2</w:t>
            </w:r>
            <w:r w:rsidRPr="00DD0D1F">
              <w:rPr>
                <w:rFonts w:cs="Times New Roman"/>
                <w:szCs w:val="24"/>
                <w:lang w:val="tr-TR"/>
              </w:rPr>
              <w:t>) (</w:t>
            </w:r>
            <w:r w:rsidRPr="00DD0D1F">
              <w:rPr>
                <w:rFonts w:cs="Times New Roman"/>
                <w:bCs/>
                <w:szCs w:val="24"/>
                <w:vertAlign w:val="superscript"/>
                <w:lang w:val="tr-TR"/>
              </w:rPr>
              <w:t>3</w:t>
            </w:r>
            <w:r w:rsidRPr="00DD0D1F">
              <w:rPr>
                <w:rFonts w:cs="Times New Roman"/>
                <w:szCs w:val="24"/>
                <w:lang w:val="tr-TR"/>
              </w:rPr>
              <w:t>)</w:t>
            </w:r>
          </w:p>
        </w:tc>
      </w:tr>
      <w:tr w:rsidR="003328F9" w:rsidRPr="00DD0D1F" w14:paraId="630E6589"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34F4AE4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oksijen ihtiyacı (COD)</w:t>
            </w:r>
          </w:p>
        </w:tc>
        <w:tc>
          <w:tcPr>
            <w:tcW w:w="2633" w:type="pct"/>
            <w:tcBorders>
              <w:top w:val="single" w:sz="6" w:space="0" w:color="auto"/>
              <w:left w:val="single" w:sz="6" w:space="0" w:color="auto"/>
              <w:bottom w:val="single" w:sz="6" w:space="0" w:color="auto"/>
              <w:right w:val="single" w:sz="4" w:space="0" w:color="auto"/>
            </w:tcBorders>
          </w:tcPr>
          <w:p w14:paraId="29CE1BD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60-150 mg/l (</w:t>
            </w:r>
            <w:r w:rsidRPr="00DD0D1F">
              <w:rPr>
                <w:rFonts w:cs="Times New Roman"/>
                <w:bCs/>
                <w:szCs w:val="24"/>
                <w:vertAlign w:val="superscript"/>
                <w:lang w:val="tr-TR"/>
              </w:rPr>
              <w:t>1</w:t>
            </w:r>
            <w:r w:rsidRPr="00DD0D1F">
              <w:rPr>
                <w:rFonts w:cs="Times New Roman"/>
                <w:szCs w:val="24"/>
                <w:lang w:val="tr-TR"/>
              </w:rPr>
              <w:t>) (</w:t>
            </w:r>
            <w:r w:rsidRPr="00DD0D1F">
              <w:rPr>
                <w:rFonts w:cs="Times New Roman"/>
                <w:bCs/>
                <w:szCs w:val="24"/>
                <w:vertAlign w:val="superscript"/>
                <w:lang w:val="tr-TR"/>
              </w:rPr>
              <w:t>2</w:t>
            </w:r>
            <w:r w:rsidRPr="00DD0D1F">
              <w:rPr>
                <w:rFonts w:cs="Times New Roman"/>
                <w:szCs w:val="24"/>
                <w:lang w:val="tr-TR"/>
              </w:rPr>
              <w:t>) (</w:t>
            </w:r>
            <w:r w:rsidRPr="00DD0D1F">
              <w:rPr>
                <w:rFonts w:cs="Times New Roman"/>
                <w:bCs/>
                <w:szCs w:val="24"/>
                <w:vertAlign w:val="superscript"/>
                <w:lang w:val="tr-TR"/>
              </w:rPr>
              <w:t>3</w:t>
            </w:r>
            <w:r w:rsidRPr="00DD0D1F">
              <w:rPr>
                <w:rFonts w:cs="Times New Roman"/>
                <w:szCs w:val="24"/>
                <w:lang w:val="tr-TR"/>
              </w:rPr>
              <w:t>)</w:t>
            </w:r>
          </w:p>
        </w:tc>
      </w:tr>
      <w:tr w:rsidR="003328F9" w:rsidRPr="00DD0D1F" w14:paraId="6CB2B25E"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3A5A2A9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Toplam askıdaki katı maddeler (TSS)</w:t>
            </w:r>
          </w:p>
        </w:tc>
        <w:tc>
          <w:tcPr>
            <w:tcW w:w="2633" w:type="pct"/>
            <w:tcBorders>
              <w:top w:val="single" w:sz="6" w:space="0" w:color="auto"/>
              <w:left w:val="single" w:sz="6" w:space="0" w:color="auto"/>
              <w:bottom w:val="single" w:sz="6" w:space="0" w:color="auto"/>
              <w:right w:val="single" w:sz="4" w:space="0" w:color="auto"/>
            </w:tcBorders>
          </w:tcPr>
          <w:p w14:paraId="302092F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10-30 mg/l</w:t>
            </w:r>
          </w:p>
        </w:tc>
      </w:tr>
      <w:tr w:rsidR="003328F9" w:rsidRPr="00DD0D1F" w14:paraId="4A45617D"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1E71B9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Florür (F</w:t>
            </w:r>
            <w:r w:rsidRPr="00DD0D1F">
              <w:rPr>
                <w:rFonts w:cs="Times New Roman"/>
                <w:szCs w:val="24"/>
                <w:vertAlign w:val="superscript"/>
                <w:lang w:val="tr-TR"/>
              </w:rPr>
              <w:t>-</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0BE77A2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10-25 mg/l (</w:t>
            </w:r>
            <w:r w:rsidRPr="00DD0D1F">
              <w:rPr>
                <w:rFonts w:cs="Times New Roman"/>
                <w:szCs w:val="24"/>
                <w:vertAlign w:val="superscript"/>
                <w:lang w:val="tr-TR"/>
              </w:rPr>
              <w:t>3</w:t>
            </w:r>
            <w:r w:rsidRPr="00DD0D1F">
              <w:rPr>
                <w:rFonts w:cs="Times New Roman"/>
                <w:szCs w:val="24"/>
                <w:lang w:val="tr-TR"/>
              </w:rPr>
              <w:t>)</w:t>
            </w:r>
          </w:p>
        </w:tc>
      </w:tr>
      <w:tr w:rsidR="003328F9" w:rsidRPr="00DD0D1F" w14:paraId="70BF57D6"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62B9CA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Sülfat (SO</w:t>
            </w:r>
            <w:r w:rsidRPr="00DD0D1F">
              <w:rPr>
                <w:rFonts w:cs="Times New Roman"/>
                <w:szCs w:val="24"/>
                <w:vertAlign w:val="subscript"/>
                <w:lang w:val="tr-TR"/>
              </w:rPr>
              <w:t>4</w:t>
            </w:r>
            <w:r w:rsidRPr="00DD0D1F">
              <w:rPr>
                <w:rFonts w:cs="Times New Roman"/>
                <w:szCs w:val="24"/>
                <w:vertAlign w:val="superscript"/>
                <w:lang w:val="tr-TR"/>
              </w:rPr>
              <w:t>2-</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0CA9FF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1,3-2,0 g/l (</w:t>
            </w:r>
            <w:r w:rsidRPr="00DD0D1F">
              <w:rPr>
                <w:rFonts w:cs="Times New Roman"/>
                <w:bCs/>
                <w:szCs w:val="24"/>
                <w:vertAlign w:val="superscript"/>
                <w:lang w:val="tr-TR"/>
              </w:rPr>
              <w:t>3</w:t>
            </w:r>
            <w:r w:rsidRPr="00DD0D1F">
              <w:rPr>
                <w:rFonts w:cs="Times New Roman"/>
                <w:szCs w:val="24"/>
                <w:lang w:val="tr-TR"/>
              </w:rPr>
              <w:t>) (</w:t>
            </w:r>
            <w:r w:rsidRPr="00DD0D1F">
              <w:rPr>
                <w:rFonts w:cs="Times New Roman"/>
                <w:bCs/>
                <w:szCs w:val="24"/>
                <w:vertAlign w:val="superscript"/>
                <w:lang w:val="tr-TR"/>
              </w:rPr>
              <w:t>4</w:t>
            </w:r>
            <w:r w:rsidRPr="00DD0D1F">
              <w:rPr>
                <w:rFonts w:cs="Times New Roman"/>
                <w:szCs w:val="24"/>
                <w:lang w:val="tr-TR"/>
              </w:rPr>
              <w:t>) (</w:t>
            </w:r>
            <w:r w:rsidRPr="00DD0D1F">
              <w:rPr>
                <w:rFonts w:cs="Times New Roman"/>
                <w:bCs/>
                <w:szCs w:val="24"/>
                <w:vertAlign w:val="superscript"/>
                <w:lang w:val="tr-TR"/>
              </w:rPr>
              <w:t>5</w:t>
            </w:r>
            <w:r w:rsidRPr="00DD0D1F">
              <w:rPr>
                <w:rFonts w:cs="Times New Roman"/>
                <w:szCs w:val="24"/>
                <w:lang w:val="tr-TR"/>
              </w:rPr>
              <w:t>) (</w:t>
            </w:r>
            <w:r w:rsidRPr="00DD0D1F">
              <w:rPr>
                <w:rFonts w:cs="Times New Roman"/>
                <w:bCs/>
                <w:szCs w:val="24"/>
                <w:vertAlign w:val="superscript"/>
                <w:lang w:val="tr-TR"/>
              </w:rPr>
              <w:t>6</w:t>
            </w:r>
            <w:r w:rsidRPr="00DD0D1F">
              <w:rPr>
                <w:rFonts w:cs="Times New Roman"/>
                <w:szCs w:val="24"/>
                <w:lang w:val="tr-TR"/>
              </w:rPr>
              <w:t>)</w:t>
            </w:r>
          </w:p>
        </w:tc>
      </w:tr>
      <w:tr w:rsidR="003328F9" w:rsidRPr="00DD0D1F" w14:paraId="2A2ABD3E"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7799A2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Kolaylıkla açığa çıkabilen sülfür (S</w:t>
            </w:r>
            <w:r w:rsidRPr="00DD0D1F">
              <w:rPr>
                <w:rFonts w:cs="Times New Roman"/>
                <w:szCs w:val="24"/>
                <w:vertAlign w:val="superscript"/>
                <w:lang w:val="tr-TR"/>
              </w:rPr>
              <w:t>2-</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5C0E42E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0,1-0,2 mg/l (</w:t>
            </w:r>
            <w:r w:rsidRPr="00DD0D1F">
              <w:rPr>
                <w:rFonts w:cs="Times New Roman"/>
                <w:bCs/>
                <w:szCs w:val="24"/>
                <w:vertAlign w:val="superscript"/>
                <w:lang w:val="tr-TR"/>
              </w:rPr>
              <w:t>3</w:t>
            </w:r>
            <w:r w:rsidRPr="00DD0D1F">
              <w:rPr>
                <w:rFonts w:cs="Times New Roman"/>
                <w:szCs w:val="24"/>
                <w:lang w:val="tr-TR"/>
              </w:rPr>
              <w:t>)</w:t>
            </w:r>
          </w:p>
        </w:tc>
      </w:tr>
      <w:tr w:rsidR="003328F9" w:rsidRPr="00DD0D1F" w14:paraId="638C056D"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44AAB5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Sülfit (SO</w:t>
            </w:r>
            <w:r w:rsidRPr="00DD0D1F">
              <w:rPr>
                <w:rFonts w:cs="Times New Roman"/>
                <w:szCs w:val="24"/>
                <w:vertAlign w:val="subscript"/>
                <w:lang w:val="tr-TR"/>
              </w:rPr>
              <w:t>3</w:t>
            </w:r>
            <w:r w:rsidRPr="00DD0D1F">
              <w:rPr>
                <w:rFonts w:cs="Times New Roman"/>
                <w:szCs w:val="24"/>
                <w:vertAlign w:val="superscript"/>
                <w:lang w:val="tr-TR"/>
              </w:rPr>
              <w:t>2-</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63EF047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1-20 mg/l (</w:t>
            </w:r>
            <w:r w:rsidRPr="00DD0D1F">
              <w:rPr>
                <w:rFonts w:cs="Times New Roman"/>
                <w:szCs w:val="24"/>
                <w:vertAlign w:val="superscript"/>
                <w:lang w:val="tr-TR"/>
              </w:rPr>
              <w:t>3</w:t>
            </w:r>
            <w:r w:rsidRPr="00DD0D1F">
              <w:rPr>
                <w:rFonts w:cs="Times New Roman"/>
                <w:szCs w:val="24"/>
                <w:lang w:val="tr-TR"/>
              </w:rPr>
              <w:t>)</w:t>
            </w:r>
          </w:p>
        </w:tc>
      </w:tr>
      <w:tr w:rsidR="003328F9" w:rsidRPr="00DD0D1F" w14:paraId="3355B421" w14:textId="77777777" w:rsidTr="003328F9">
        <w:trPr>
          <w:trHeight w:val="46"/>
        </w:trPr>
        <w:tc>
          <w:tcPr>
            <w:tcW w:w="1557" w:type="pct"/>
            <w:vMerge w:val="restart"/>
            <w:tcBorders>
              <w:top w:val="nil"/>
              <w:left w:val="single" w:sz="4" w:space="0" w:color="auto"/>
              <w:right w:val="single" w:sz="6" w:space="0" w:color="auto"/>
            </w:tcBorders>
            <w:vAlign w:val="center"/>
          </w:tcPr>
          <w:p w14:paraId="0DB9148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Metaller ve yarımetaller</w:t>
            </w:r>
          </w:p>
        </w:tc>
        <w:tc>
          <w:tcPr>
            <w:tcW w:w="810" w:type="pct"/>
            <w:tcBorders>
              <w:top w:val="single" w:sz="6" w:space="0" w:color="auto"/>
              <w:left w:val="single" w:sz="6" w:space="0" w:color="auto"/>
              <w:bottom w:val="single" w:sz="6" w:space="0" w:color="auto"/>
              <w:right w:val="single" w:sz="6" w:space="0" w:color="auto"/>
            </w:tcBorders>
          </w:tcPr>
          <w:p w14:paraId="1054F7B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As</w:t>
            </w:r>
          </w:p>
        </w:tc>
        <w:tc>
          <w:tcPr>
            <w:tcW w:w="2633" w:type="pct"/>
            <w:tcBorders>
              <w:top w:val="single" w:sz="6" w:space="0" w:color="auto"/>
              <w:left w:val="single" w:sz="6" w:space="0" w:color="auto"/>
              <w:bottom w:val="single" w:sz="6" w:space="0" w:color="auto"/>
              <w:right w:val="single" w:sz="4" w:space="0" w:color="auto"/>
            </w:tcBorders>
          </w:tcPr>
          <w:p w14:paraId="26AF6F8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4DAE8DCD" w14:textId="77777777" w:rsidTr="003328F9">
        <w:trPr>
          <w:trHeight w:val="49"/>
        </w:trPr>
        <w:tc>
          <w:tcPr>
            <w:tcW w:w="1557" w:type="pct"/>
            <w:vMerge/>
            <w:tcBorders>
              <w:left w:val="single" w:sz="4" w:space="0" w:color="auto"/>
              <w:right w:val="single" w:sz="6" w:space="0" w:color="auto"/>
            </w:tcBorders>
          </w:tcPr>
          <w:p w14:paraId="79EC3106"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7521A79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Cd</w:t>
            </w:r>
          </w:p>
        </w:tc>
        <w:tc>
          <w:tcPr>
            <w:tcW w:w="2633" w:type="pct"/>
            <w:tcBorders>
              <w:top w:val="single" w:sz="6" w:space="0" w:color="auto"/>
              <w:left w:val="single" w:sz="6" w:space="0" w:color="auto"/>
              <w:bottom w:val="single" w:sz="6" w:space="0" w:color="auto"/>
              <w:right w:val="single" w:sz="4" w:space="0" w:color="auto"/>
            </w:tcBorders>
          </w:tcPr>
          <w:p w14:paraId="27283CB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 µg/l</w:t>
            </w:r>
          </w:p>
        </w:tc>
      </w:tr>
      <w:tr w:rsidR="003328F9" w:rsidRPr="00DD0D1F" w14:paraId="637AB1BF" w14:textId="77777777" w:rsidTr="003328F9">
        <w:trPr>
          <w:trHeight w:val="195"/>
        </w:trPr>
        <w:tc>
          <w:tcPr>
            <w:tcW w:w="1557" w:type="pct"/>
            <w:vMerge/>
            <w:tcBorders>
              <w:left w:val="single" w:sz="4" w:space="0" w:color="auto"/>
              <w:right w:val="single" w:sz="6" w:space="0" w:color="auto"/>
            </w:tcBorders>
          </w:tcPr>
          <w:p w14:paraId="3C82D055"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017F251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Cr</w:t>
            </w:r>
          </w:p>
        </w:tc>
        <w:tc>
          <w:tcPr>
            <w:tcW w:w="2633" w:type="pct"/>
            <w:tcBorders>
              <w:top w:val="single" w:sz="6" w:space="0" w:color="auto"/>
              <w:left w:val="single" w:sz="6" w:space="0" w:color="auto"/>
              <w:bottom w:val="single" w:sz="6" w:space="0" w:color="auto"/>
              <w:right w:val="single" w:sz="4" w:space="0" w:color="auto"/>
            </w:tcBorders>
          </w:tcPr>
          <w:p w14:paraId="05BDF55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3F08FFE4" w14:textId="77777777" w:rsidTr="003328F9">
        <w:trPr>
          <w:trHeight w:val="46"/>
        </w:trPr>
        <w:tc>
          <w:tcPr>
            <w:tcW w:w="1557" w:type="pct"/>
            <w:vMerge/>
            <w:tcBorders>
              <w:left w:val="single" w:sz="4" w:space="0" w:color="auto"/>
              <w:right w:val="single" w:sz="6" w:space="0" w:color="auto"/>
            </w:tcBorders>
          </w:tcPr>
          <w:p w14:paraId="7501E43A"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649D7EF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Cu</w:t>
            </w:r>
          </w:p>
        </w:tc>
        <w:tc>
          <w:tcPr>
            <w:tcW w:w="2633" w:type="pct"/>
            <w:tcBorders>
              <w:top w:val="single" w:sz="6" w:space="0" w:color="auto"/>
              <w:left w:val="single" w:sz="6" w:space="0" w:color="auto"/>
              <w:bottom w:val="single" w:sz="6" w:space="0" w:color="auto"/>
              <w:right w:val="single" w:sz="4" w:space="0" w:color="auto"/>
            </w:tcBorders>
          </w:tcPr>
          <w:p w14:paraId="091D2B0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66732203" w14:textId="77777777" w:rsidTr="003328F9">
        <w:trPr>
          <w:trHeight w:val="46"/>
        </w:trPr>
        <w:tc>
          <w:tcPr>
            <w:tcW w:w="1557" w:type="pct"/>
            <w:vMerge/>
            <w:tcBorders>
              <w:left w:val="single" w:sz="4" w:space="0" w:color="auto"/>
              <w:right w:val="single" w:sz="6" w:space="0" w:color="auto"/>
            </w:tcBorders>
          </w:tcPr>
          <w:p w14:paraId="574D9ED3"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57D2EC0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Hg</w:t>
            </w:r>
          </w:p>
        </w:tc>
        <w:tc>
          <w:tcPr>
            <w:tcW w:w="2633" w:type="pct"/>
            <w:tcBorders>
              <w:top w:val="single" w:sz="6" w:space="0" w:color="auto"/>
              <w:left w:val="single" w:sz="6" w:space="0" w:color="auto"/>
              <w:bottom w:val="single" w:sz="6" w:space="0" w:color="auto"/>
              <w:right w:val="single" w:sz="4" w:space="0" w:color="auto"/>
            </w:tcBorders>
          </w:tcPr>
          <w:p w14:paraId="51B6A20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0,2-3 µg/l</w:t>
            </w:r>
          </w:p>
        </w:tc>
      </w:tr>
      <w:tr w:rsidR="003328F9" w:rsidRPr="00DD0D1F" w14:paraId="1952FE82" w14:textId="77777777" w:rsidTr="003328F9">
        <w:trPr>
          <w:trHeight w:val="46"/>
        </w:trPr>
        <w:tc>
          <w:tcPr>
            <w:tcW w:w="1557" w:type="pct"/>
            <w:vMerge/>
            <w:tcBorders>
              <w:left w:val="single" w:sz="4" w:space="0" w:color="auto"/>
              <w:right w:val="single" w:sz="6" w:space="0" w:color="auto"/>
            </w:tcBorders>
          </w:tcPr>
          <w:p w14:paraId="69ECB8C2"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3978EB5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Ni</w:t>
            </w:r>
          </w:p>
        </w:tc>
        <w:tc>
          <w:tcPr>
            <w:tcW w:w="2633" w:type="pct"/>
            <w:tcBorders>
              <w:top w:val="single" w:sz="6" w:space="0" w:color="auto"/>
              <w:left w:val="single" w:sz="6" w:space="0" w:color="auto"/>
              <w:bottom w:val="single" w:sz="6" w:space="0" w:color="auto"/>
              <w:right w:val="single" w:sz="4" w:space="0" w:color="auto"/>
            </w:tcBorders>
          </w:tcPr>
          <w:p w14:paraId="6EE9C5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7608B51B" w14:textId="77777777" w:rsidTr="003328F9">
        <w:trPr>
          <w:trHeight w:val="135"/>
        </w:trPr>
        <w:tc>
          <w:tcPr>
            <w:tcW w:w="1557" w:type="pct"/>
            <w:vMerge/>
            <w:tcBorders>
              <w:left w:val="single" w:sz="4" w:space="0" w:color="auto"/>
              <w:right w:val="single" w:sz="6" w:space="0" w:color="auto"/>
            </w:tcBorders>
          </w:tcPr>
          <w:p w14:paraId="1FFA92FA"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6AE53AD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Pb</w:t>
            </w:r>
          </w:p>
        </w:tc>
        <w:tc>
          <w:tcPr>
            <w:tcW w:w="2633" w:type="pct"/>
            <w:tcBorders>
              <w:top w:val="single" w:sz="6" w:space="0" w:color="auto"/>
              <w:left w:val="single" w:sz="6" w:space="0" w:color="auto"/>
              <w:bottom w:val="single" w:sz="6" w:space="0" w:color="auto"/>
              <w:right w:val="single" w:sz="4" w:space="0" w:color="auto"/>
            </w:tcBorders>
          </w:tcPr>
          <w:p w14:paraId="770E2E0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10-20 µg/l</w:t>
            </w:r>
          </w:p>
        </w:tc>
      </w:tr>
      <w:tr w:rsidR="003328F9" w:rsidRPr="00DD0D1F" w14:paraId="5E6FC291" w14:textId="77777777" w:rsidTr="003328F9">
        <w:trPr>
          <w:trHeight w:val="221"/>
        </w:trPr>
        <w:tc>
          <w:tcPr>
            <w:tcW w:w="1557" w:type="pct"/>
            <w:vMerge/>
            <w:tcBorders>
              <w:left w:val="single" w:sz="4" w:space="0" w:color="auto"/>
              <w:bottom w:val="single" w:sz="4" w:space="0" w:color="auto"/>
              <w:right w:val="single" w:sz="6" w:space="0" w:color="auto"/>
            </w:tcBorders>
          </w:tcPr>
          <w:p w14:paraId="4718C2AC"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4" w:space="0" w:color="auto"/>
              <w:right w:val="single" w:sz="6" w:space="0" w:color="auto"/>
            </w:tcBorders>
          </w:tcPr>
          <w:p w14:paraId="1BF10FB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Zn</w:t>
            </w:r>
          </w:p>
        </w:tc>
        <w:tc>
          <w:tcPr>
            <w:tcW w:w="2633" w:type="pct"/>
            <w:tcBorders>
              <w:top w:val="single" w:sz="6" w:space="0" w:color="auto"/>
              <w:left w:val="single" w:sz="6" w:space="0" w:color="auto"/>
              <w:bottom w:val="single" w:sz="4" w:space="0" w:color="auto"/>
              <w:right w:val="single" w:sz="4" w:space="0" w:color="auto"/>
            </w:tcBorders>
          </w:tcPr>
          <w:p w14:paraId="09F3863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50-200 µg/l</w:t>
            </w:r>
          </w:p>
        </w:tc>
      </w:tr>
      <w:tr w:rsidR="003328F9" w:rsidRPr="00DD0D1F" w14:paraId="6D319652" w14:textId="77777777" w:rsidTr="003328F9">
        <w:trPr>
          <w:trHeight w:val="1141"/>
        </w:trPr>
        <w:tc>
          <w:tcPr>
            <w:tcW w:w="5000" w:type="pct"/>
            <w:gridSpan w:val="3"/>
            <w:tcBorders>
              <w:top w:val="single" w:sz="4" w:space="0" w:color="auto"/>
              <w:left w:val="single" w:sz="4" w:space="0" w:color="auto"/>
              <w:bottom w:val="single" w:sz="4" w:space="0" w:color="auto"/>
              <w:right w:val="single" w:sz="4" w:space="0" w:color="auto"/>
            </w:tcBorders>
          </w:tcPr>
          <w:p w14:paraId="00881A6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TOC'ye yönelik MET-İES veya COD’ye yönelik MET-İES’den biri uygulanır. İzlenmesi çok zehirli bileşiklerin kullanılmasına dayanmadığından, TOC tercih edilir.</w:t>
            </w:r>
          </w:p>
          <w:p w14:paraId="006ABB11"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Bu MET-İES giriş yükünün çıkarılmasından sonra uygulanır.</w:t>
            </w:r>
          </w:p>
          <w:p w14:paraId="19972B2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MET-İES sadece yaş FGD’den kaynaklanan atık suya uygulanır.</w:t>
            </w:r>
          </w:p>
          <w:p w14:paraId="575E7FEB" w14:textId="20F4310E"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Bu MET-İES sadece </w:t>
            </w:r>
            <w:r w:rsidR="00E00B0A" w:rsidRPr="00DD0D1F">
              <w:rPr>
                <w:rFonts w:cs="Times New Roman"/>
                <w:szCs w:val="24"/>
                <w:lang w:val="tr-TR"/>
              </w:rPr>
              <w:t>baca</w:t>
            </w:r>
            <w:r w:rsidRPr="00DD0D1F">
              <w:rPr>
                <w:rFonts w:cs="Times New Roman"/>
                <w:szCs w:val="24"/>
                <w:lang w:val="tr-TR"/>
              </w:rPr>
              <w:t xml:space="preserve"> gazı arıtmasında kalsiyum bileşikleri kullanan yakma tesisleri için uygulanır.</w:t>
            </w:r>
          </w:p>
          <w:p w14:paraId="5F5E2D4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MET-İES aralığının yüksek olanı, kalsiyum sülfatın yüksek çözünürlüğü nedeniyle yüksek oranda tuzlu atık su (örneğin klorür konsantrasyonları ≥5 g/l) söz konusu olduğunda uygulanmayabilir. </w:t>
            </w:r>
          </w:p>
          <w:p w14:paraId="3AFBE94A"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Bu MET-İES deniz veya tuzlusu içeren su ortamına yapılan deşarjlara uygulanmaz.</w:t>
            </w:r>
          </w:p>
        </w:tc>
      </w:tr>
    </w:tbl>
    <w:p w14:paraId="2260AAD9" w14:textId="77777777" w:rsidR="003328F9" w:rsidRPr="00DD0D1F" w:rsidRDefault="003328F9" w:rsidP="00FF111D">
      <w:pPr>
        <w:pStyle w:val="Balk2"/>
        <w:numPr>
          <w:ilvl w:val="1"/>
          <w:numId w:val="73"/>
        </w:numPr>
        <w:rPr>
          <w:rFonts w:cs="Times New Roman"/>
          <w:szCs w:val="24"/>
        </w:rPr>
      </w:pPr>
      <w:bookmarkStart w:id="25" w:name="_Toc137367291"/>
      <w:r w:rsidRPr="00DD0D1F">
        <w:rPr>
          <w:rFonts w:cs="Times New Roman"/>
          <w:szCs w:val="24"/>
        </w:rPr>
        <w:t>Atık Yönetimi</w:t>
      </w:r>
      <w:bookmarkEnd w:id="25"/>
    </w:p>
    <w:p w14:paraId="7186FF66" w14:textId="3BCB87AE" w:rsidR="003328F9" w:rsidRPr="00DD0D1F" w:rsidRDefault="003328F9" w:rsidP="003328F9">
      <w:pPr>
        <w:spacing w:before="240"/>
        <w:rPr>
          <w:rFonts w:cs="Times New Roman"/>
          <w:bCs/>
          <w:szCs w:val="24"/>
        </w:rPr>
      </w:pPr>
      <w:r w:rsidRPr="00DD0D1F">
        <w:rPr>
          <w:rFonts w:cs="Times New Roman"/>
          <w:b/>
          <w:bCs/>
          <w:szCs w:val="24"/>
        </w:rPr>
        <w:t xml:space="preserve">MET 16: </w:t>
      </w:r>
      <w:r w:rsidRPr="00DD0D1F">
        <w:rPr>
          <w:rFonts w:cs="Times New Roman"/>
          <w:bCs/>
          <w:szCs w:val="24"/>
        </w:rPr>
        <w:t>Yakma ve/veya gazlaştırma prosesinden ve azaltma tekniklerinden bertaraf edilmek üzere gönderilen atık miktarını azaltmak için, öncelik sırasına göre ve yaşam döngüsü anlayışını dikkate alarak operasyonlar en üst düzeye çıkar</w:t>
      </w:r>
      <w:r w:rsidR="001D5C3D" w:rsidRPr="00DD0D1F">
        <w:rPr>
          <w:rFonts w:cs="Times New Roman"/>
          <w:bCs/>
          <w:szCs w:val="24"/>
        </w:rPr>
        <w:t>ılacak şekilde organize edilir</w:t>
      </w:r>
      <w:r w:rsidRPr="00DD0D1F">
        <w:rPr>
          <w:rFonts w:cs="Times New Roman"/>
          <w:bCs/>
          <w:szCs w:val="24"/>
        </w:rPr>
        <w:t>:</w:t>
      </w:r>
    </w:p>
    <w:p w14:paraId="6300F193"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Atık oluşumunun önlenmesi; örneğin yan ürün olarak ortaya çıkan artıkların oranını en üst seviyeye çıkararak,</w:t>
      </w:r>
    </w:p>
    <w:p w14:paraId="3640889E"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Atığın yeniden kullanıma hazırlanması; örneğin spesifik olarak talep edilen kalite kriterlerine göre,</w:t>
      </w:r>
    </w:p>
    <w:p w14:paraId="64C5E4AC"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Atık geri dönüşümü,</w:t>
      </w:r>
    </w:p>
    <w:p w14:paraId="16E27B12"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Diğer atıkların geri kazanımı (örneğin enerji geri kazanımı).</w:t>
      </w:r>
    </w:p>
    <w:p w14:paraId="09981A30" w14:textId="77777777" w:rsidR="003328F9" w:rsidRPr="00DD0D1F" w:rsidRDefault="003328F9" w:rsidP="003328F9">
      <w:pPr>
        <w:rPr>
          <w:rFonts w:cs="Times New Roman"/>
          <w:szCs w:val="24"/>
        </w:rPr>
      </w:pPr>
      <w:r w:rsidRPr="00DD0D1F">
        <w:rPr>
          <w:rFonts w:cs="Times New Roman"/>
          <w:szCs w:val="24"/>
        </w:rPr>
        <w:t>Bu MET kapsamında aşağıdakiler gibi tekniklerin uygun bir birleşimi uygulanır: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1460"/>
        <w:gridCol w:w="4070"/>
        <w:gridCol w:w="3197"/>
      </w:tblGrid>
      <w:tr w:rsidR="003328F9" w:rsidRPr="00DD0D1F" w14:paraId="3EDE6241" w14:textId="77777777" w:rsidTr="003328F9">
        <w:trPr>
          <w:trHeight w:val="359"/>
        </w:trPr>
        <w:tc>
          <w:tcPr>
            <w:tcW w:w="193" w:type="pct"/>
            <w:tcBorders>
              <w:right w:val="single" w:sz="4" w:space="0" w:color="auto"/>
            </w:tcBorders>
            <w:vAlign w:val="center"/>
          </w:tcPr>
          <w:p w14:paraId="2B31633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04" w:type="pct"/>
            <w:tcBorders>
              <w:left w:val="single" w:sz="4" w:space="0" w:color="auto"/>
            </w:tcBorders>
            <w:vAlign w:val="center"/>
          </w:tcPr>
          <w:p w14:paraId="20B78B7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242" w:type="pct"/>
            <w:vAlign w:val="center"/>
          </w:tcPr>
          <w:p w14:paraId="3C6E62A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61" w:type="pct"/>
            <w:vAlign w:val="center"/>
          </w:tcPr>
          <w:p w14:paraId="71CC1F6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25E3DEB" w14:textId="77777777" w:rsidTr="003328F9">
        <w:trPr>
          <w:trHeight w:val="1008"/>
        </w:trPr>
        <w:tc>
          <w:tcPr>
            <w:tcW w:w="193" w:type="pct"/>
            <w:tcBorders>
              <w:right w:val="single" w:sz="4" w:space="0" w:color="auto"/>
            </w:tcBorders>
            <w:vAlign w:val="center"/>
          </w:tcPr>
          <w:p w14:paraId="746C205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804" w:type="pct"/>
            <w:tcBorders>
              <w:left w:val="single" w:sz="4" w:space="0" w:color="auto"/>
            </w:tcBorders>
            <w:vAlign w:val="center"/>
          </w:tcPr>
          <w:p w14:paraId="73229E4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 ürün olarak alçıtaşı üretimi</w:t>
            </w:r>
          </w:p>
        </w:tc>
        <w:tc>
          <w:tcPr>
            <w:tcW w:w="2242" w:type="pct"/>
            <w:vAlign w:val="center"/>
          </w:tcPr>
          <w:p w14:paraId="121FB6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tarafından üretilen kalsiyum bazlı tepkime artıklarının, çıkarılan alçı taşının yerine kullanılabilmesi için kalitesinin optimize edilmesi (örneğin, alçı panel endüstrisinde hammadde olarak). Yaş FGD'de kullanılan kireç taşı kalitesi üretilen alçıtaşının saflığını etkiler.</w:t>
            </w:r>
          </w:p>
        </w:tc>
        <w:tc>
          <w:tcPr>
            <w:tcW w:w="1761" w:type="pct"/>
            <w:vAlign w:val="center"/>
          </w:tcPr>
          <w:p w14:paraId="659724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Gerekli alçıtaşı kalitesi, her spesifik kullanıma yönelik sağlık gereklilikleriyle ilişkili kısıtlamalar dahilinde ve piyasa koşullarına göre genel olarak uygulanabilir.</w:t>
            </w:r>
          </w:p>
        </w:tc>
      </w:tr>
      <w:tr w:rsidR="003328F9" w:rsidRPr="00DD0D1F" w14:paraId="7409A820" w14:textId="77777777" w:rsidTr="003328F9">
        <w:trPr>
          <w:trHeight w:val="529"/>
        </w:trPr>
        <w:tc>
          <w:tcPr>
            <w:tcW w:w="193" w:type="pct"/>
            <w:vAlign w:val="center"/>
          </w:tcPr>
          <w:p w14:paraId="247A61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804" w:type="pct"/>
            <w:vAlign w:val="center"/>
          </w:tcPr>
          <w:p w14:paraId="05E8F8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İnşaat sektörü artıklarının geri dönüşümü veya geri kazanımı</w:t>
            </w:r>
          </w:p>
        </w:tc>
        <w:tc>
          <w:tcPr>
            <w:tcW w:w="2242" w:type="pct"/>
            <w:vAlign w:val="center"/>
          </w:tcPr>
          <w:p w14:paraId="558D428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İnşaat malzemesi olarak (örneğin yol inşaatında, beton üretiminde veya çimento endüstrisinde kumun yerine) artıkların (örneğin yarı kuru kükürt giderme prosesleri, uçucu kül, taban külünden) geri dönüşümü veya geri kazanılması.</w:t>
            </w:r>
          </w:p>
        </w:tc>
        <w:tc>
          <w:tcPr>
            <w:tcW w:w="1761" w:type="pct"/>
            <w:vAlign w:val="center"/>
          </w:tcPr>
          <w:p w14:paraId="273D41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her spesifik kullanıma yönelik gerekli malzeme kalitesiyle ilişkili kısıtlamalar (örneğin fiziki özellikler, zararlı maddelerin içeriği) dahilinde ve piyasa koşullarına göre uygulanabilir.</w:t>
            </w:r>
          </w:p>
        </w:tc>
      </w:tr>
      <w:tr w:rsidR="003328F9" w:rsidRPr="00DD0D1F" w14:paraId="6997C54E" w14:textId="77777777" w:rsidTr="003328F9">
        <w:trPr>
          <w:trHeight w:val="1095"/>
        </w:trPr>
        <w:tc>
          <w:tcPr>
            <w:tcW w:w="193" w:type="pct"/>
            <w:vAlign w:val="center"/>
          </w:tcPr>
          <w:p w14:paraId="3183B9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804" w:type="pct"/>
            <w:vAlign w:val="center"/>
          </w:tcPr>
          <w:p w14:paraId="257FAA8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karışımında atık kullanarak enerji geri kazanımı</w:t>
            </w:r>
          </w:p>
        </w:tc>
        <w:tc>
          <w:tcPr>
            <w:tcW w:w="2242" w:type="pct"/>
            <w:vAlign w:val="center"/>
          </w:tcPr>
          <w:p w14:paraId="2DBD24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Kömür, linyit, ağır fuel oil, turba veya biyokütle yakılması ile oluşan karbon içeriği zengin külün ve çamurun artık enerji içeriği, yakıt ile karıştırılarak geri kazanılabilir.</w:t>
            </w:r>
          </w:p>
        </w:tc>
        <w:tc>
          <w:tcPr>
            <w:tcW w:w="1761" w:type="pct"/>
            <w:vAlign w:val="center"/>
          </w:tcPr>
          <w:p w14:paraId="4C1C0279" w14:textId="77777777" w:rsidR="003328F9" w:rsidRPr="00DD0D1F" w:rsidRDefault="003328F9" w:rsidP="003328F9">
            <w:pPr>
              <w:adjustRightInd w:val="0"/>
              <w:spacing w:line="240" w:lineRule="auto"/>
              <w:ind w:left="74" w:right="74"/>
              <w:rPr>
                <w:rFonts w:cs="Times New Roman"/>
                <w:strike/>
                <w:szCs w:val="24"/>
                <w:lang w:val="tr-TR"/>
              </w:rPr>
            </w:pPr>
            <w:r w:rsidRPr="00DD0D1F">
              <w:rPr>
                <w:rFonts w:cs="Times New Roman"/>
                <w:szCs w:val="24"/>
                <w:lang w:val="tr-TR"/>
              </w:rPr>
              <w:t>Atıkları yakıt karışımı içinde kabul edebilen ve yakıtları teknik açıdan yanma odasına besleme amaçlı yönlendirebilen tesisler için  genel olarak uygulanabilir.</w:t>
            </w:r>
          </w:p>
        </w:tc>
      </w:tr>
      <w:tr w:rsidR="003328F9" w:rsidRPr="00DD0D1F" w14:paraId="6FA92CA5" w14:textId="77777777" w:rsidTr="003328F9">
        <w:trPr>
          <w:trHeight w:val="396"/>
        </w:trPr>
        <w:tc>
          <w:tcPr>
            <w:tcW w:w="193" w:type="pct"/>
            <w:vAlign w:val="center"/>
          </w:tcPr>
          <w:p w14:paraId="7E792A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804" w:type="pct"/>
            <w:vAlign w:val="center"/>
          </w:tcPr>
          <w:p w14:paraId="094D856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Kullanılmış katalizörün yeniden kullanıma hazırlanması</w:t>
            </w:r>
          </w:p>
        </w:tc>
        <w:tc>
          <w:tcPr>
            <w:tcW w:w="2242" w:type="pct"/>
            <w:vAlign w:val="center"/>
          </w:tcPr>
          <w:p w14:paraId="7E0402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Katalizörün yeniden kullanıma hazırlanması (örneğin SCR katalizörleri için dört defaya kadar) ilk performansın tümünü veya bir kısmını eski haline getirir ve katalizörün ömrünü 10-20 yıl uzatır. Kullanılan katalizörün yeniden kullanıma hazırlanması, bir katalizör yönetim planı kapsamındadır.</w:t>
            </w:r>
          </w:p>
        </w:tc>
        <w:tc>
          <w:tcPr>
            <w:tcW w:w="1761" w:type="pct"/>
            <w:vAlign w:val="center"/>
          </w:tcPr>
          <w:p w14:paraId="7AE2F3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Katalizörün mekanik durumu ve NO</w:t>
            </w:r>
            <w:r w:rsidRPr="00DD0D1F">
              <w:rPr>
                <w:rFonts w:cs="Times New Roman"/>
                <w:szCs w:val="24"/>
                <w:vertAlign w:val="subscript"/>
                <w:lang w:val="tr-TR"/>
              </w:rPr>
              <w:t>X</w:t>
            </w:r>
            <w:r w:rsidRPr="00DD0D1F">
              <w:rPr>
                <w:rFonts w:cs="Times New Roman"/>
                <w:szCs w:val="24"/>
                <w:lang w:val="tr-TR"/>
              </w:rPr>
              <w:t xml:space="preserve"> ve NH</w:t>
            </w:r>
            <w:r w:rsidRPr="00DD0D1F">
              <w:rPr>
                <w:rFonts w:cs="Times New Roman"/>
                <w:szCs w:val="24"/>
                <w:vertAlign w:val="subscript"/>
                <w:lang w:val="tr-TR"/>
              </w:rPr>
              <w:t>3</w:t>
            </w:r>
            <w:r w:rsidRPr="00DD0D1F">
              <w:rPr>
                <w:rFonts w:cs="Times New Roman"/>
                <w:szCs w:val="24"/>
                <w:lang w:val="tr-TR"/>
              </w:rPr>
              <w:t xml:space="preserve"> emisyonlarının kontrolü ile gerekli performanstan ötürü uygulanabilirlik sınırlıdır.</w:t>
            </w:r>
          </w:p>
        </w:tc>
      </w:tr>
    </w:tbl>
    <w:p w14:paraId="4822A8F5" w14:textId="77777777" w:rsidR="003328F9" w:rsidRPr="00DD0D1F" w:rsidRDefault="003328F9" w:rsidP="00FF111D">
      <w:pPr>
        <w:pStyle w:val="Balk2"/>
        <w:numPr>
          <w:ilvl w:val="1"/>
          <w:numId w:val="73"/>
        </w:numPr>
        <w:rPr>
          <w:rFonts w:cs="Times New Roman"/>
          <w:szCs w:val="24"/>
        </w:rPr>
      </w:pPr>
      <w:bookmarkStart w:id="26" w:name="_Toc137367292"/>
      <w:r w:rsidRPr="00DD0D1F">
        <w:rPr>
          <w:rFonts w:cs="Times New Roman"/>
          <w:szCs w:val="24"/>
        </w:rPr>
        <w:t>Gürültü Emisyonları</w:t>
      </w:r>
      <w:bookmarkEnd w:id="26"/>
    </w:p>
    <w:p w14:paraId="74B891F2" w14:textId="019A57AE" w:rsidR="003328F9" w:rsidRPr="00DD0D1F" w:rsidRDefault="003328F9" w:rsidP="003328F9">
      <w:pPr>
        <w:spacing w:before="240"/>
        <w:rPr>
          <w:rFonts w:cs="Times New Roman"/>
          <w:bCs/>
          <w:szCs w:val="24"/>
        </w:rPr>
      </w:pPr>
      <w:r w:rsidRPr="00DD0D1F">
        <w:rPr>
          <w:rFonts w:cs="Times New Roman"/>
          <w:b/>
          <w:bCs/>
          <w:szCs w:val="24"/>
        </w:rPr>
        <w:t xml:space="preserve">MET 17: </w:t>
      </w:r>
      <w:r w:rsidRPr="00DD0D1F">
        <w:rPr>
          <w:rFonts w:cs="Times New Roman"/>
          <w:bCs/>
          <w:szCs w:val="24"/>
        </w:rPr>
        <w:t>Gürültü emisyonlarını azaltmak için, aşa</w:t>
      </w:r>
      <w:r w:rsidR="001D5C3D" w:rsidRPr="00DD0D1F">
        <w:rPr>
          <w:rFonts w:cs="Times New Roman"/>
          <w:bCs/>
          <w:szCs w:val="24"/>
        </w:rPr>
        <w:t xml:space="preserve">ğıda verilen tekniklerin biri veya bunların bir birleşimi </w:t>
      </w:r>
      <w:r w:rsidRPr="00DD0D1F">
        <w:rPr>
          <w:rFonts w:cs="Times New Roman"/>
          <w:bCs/>
          <w:szCs w:val="24"/>
        </w:rPr>
        <w:t>kullan</w:t>
      </w:r>
      <w:r w:rsidR="001D5C3D" w:rsidRPr="00DD0D1F">
        <w:rPr>
          <w:rFonts w:cs="Times New Roman"/>
          <w:bCs/>
          <w:szCs w:val="24"/>
        </w:rPr>
        <w:t>ılır.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32"/>
        <w:gridCol w:w="1966"/>
        <w:gridCol w:w="3872"/>
        <w:gridCol w:w="2807"/>
      </w:tblGrid>
      <w:tr w:rsidR="003328F9" w:rsidRPr="00DD0D1F" w14:paraId="72476CDF" w14:textId="77777777" w:rsidTr="003328F9">
        <w:trPr>
          <w:trHeight w:val="361"/>
          <w:tblHeader/>
        </w:trPr>
        <w:tc>
          <w:tcPr>
            <w:tcW w:w="1321" w:type="pct"/>
            <w:gridSpan w:val="2"/>
            <w:vAlign w:val="center"/>
          </w:tcPr>
          <w:p w14:paraId="67C3F4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133" w:type="pct"/>
            <w:vAlign w:val="center"/>
          </w:tcPr>
          <w:p w14:paraId="6375F8A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46" w:type="pct"/>
            <w:vAlign w:val="center"/>
          </w:tcPr>
          <w:p w14:paraId="3FD1E4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9087308" w14:textId="77777777" w:rsidTr="003328F9">
        <w:trPr>
          <w:trHeight w:val="326"/>
        </w:trPr>
        <w:tc>
          <w:tcPr>
            <w:tcW w:w="238" w:type="pct"/>
            <w:vAlign w:val="center"/>
          </w:tcPr>
          <w:p w14:paraId="3928A9F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083" w:type="pct"/>
            <w:vAlign w:val="center"/>
          </w:tcPr>
          <w:p w14:paraId="680E15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Operasyonel önlemler</w:t>
            </w:r>
          </w:p>
        </w:tc>
        <w:tc>
          <w:tcPr>
            <w:tcW w:w="2133" w:type="pct"/>
            <w:vAlign w:val="center"/>
          </w:tcPr>
          <w:p w14:paraId="7F69C0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Buna şunlar dahildir:</w:t>
            </w:r>
          </w:p>
          <w:p w14:paraId="16F80F2E"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Ekipmana yönelik iyileştirilmiş muayene ve bakım</w:t>
            </w:r>
          </w:p>
          <w:p w14:paraId="456B1454"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Mümkünse kapalı alanların kapı ve pencerelerinin kapatılması</w:t>
            </w:r>
          </w:p>
          <w:p w14:paraId="37F7B255"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Ekipmanın deneyimli personel tarafından kullanılması</w:t>
            </w:r>
          </w:p>
          <w:p w14:paraId="34813C39"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Mümkünse geceleri gürültülü faaliyetlerden kaçınılması</w:t>
            </w:r>
          </w:p>
          <w:p w14:paraId="5CF02C46"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Bakım faaliyetleri sırasında gürültü kontrolü için önlemler alınması</w:t>
            </w:r>
          </w:p>
        </w:tc>
        <w:tc>
          <w:tcPr>
            <w:tcW w:w="1546" w:type="pct"/>
            <w:vAlign w:val="center"/>
          </w:tcPr>
          <w:p w14:paraId="04DF63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1421DC47" w14:textId="77777777" w:rsidTr="003328F9">
        <w:trPr>
          <w:trHeight w:val="46"/>
        </w:trPr>
        <w:tc>
          <w:tcPr>
            <w:tcW w:w="238" w:type="pct"/>
            <w:vAlign w:val="center"/>
          </w:tcPr>
          <w:p w14:paraId="2431B2C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83" w:type="pct"/>
            <w:vAlign w:val="center"/>
          </w:tcPr>
          <w:p w14:paraId="21A450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gürültülü ekipman</w:t>
            </w:r>
          </w:p>
        </w:tc>
        <w:tc>
          <w:tcPr>
            <w:tcW w:w="2133" w:type="pct"/>
            <w:vAlign w:val="center"/>
          </w:tcPr>
          <w:p w14:paraId="37C2D0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Buna kompresörler, pompalar ve diskler dahil olabilir.</w:t>
            </w:r>
          </w:p>
        </w:tc>
        <w:tc>
          <w:tcPr>
            <w:tcW w:w="1546" w:type="pct"/>
            <w:vAlign w:val="center"/>
          </w:tcPr>
          <w:p w14:paraId="47D6BD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ekipman yeni olduğunda veya değiştirildiğinde uygulanabilir</w:t>
            </w:r>
          </w:p>
        </w:tc>
      </w:tr>
      <w:tr w:rsidR="003328F9" w:rsidRPr="00DD0D1F" w14:paraId="2C2019A6" w14:textId="77777777" w:rsidTr="003328F9">
        <w:trPr>
          <w:trHeight w:val="305"/>
        </w:trPr>
        <w:tc>
          <w:tcPr>
            <w:tcW w:w="238" w:type="pct"/>
            <w:vAlign w:val="center"/>
          </w:tcPr>
          <w:p w14:paraId="720C41F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083" w:type="pct"/>
            <w:vAlign w:val="center"/>
          </w:tcPr>
          <w:p w14:paraId="5B4CA1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Gürültünün azaltılması</w:t>
            </w:r>
          </w:p>
        </w:tc>
        <w:tc>
          <w:tcPr>
            <w:tcW w:w="2133" w:type="pct"/>
            <w:vAlign w:val="center"/>
          </w:tcPr>
          <w:p w14:paraId="25ED46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Gürültünün yayılması, gürültü kaynağı ile alıcı arasına engeller konulmasıyla azaltılabilir. Uygun engeller arasında koruma duvarları, bentler ve binalar bulunur.</w:t>
            </w:r>
          </w:p>
        </w:tc>
        <w:tc>
          <w:tcPr>
            <w:tcW w:w="1546" w:type="pct"/>
            <w:vAlign w:val="center"/>
          </w:tcPr>
          <w:p w14:paraId="1AC900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tesislere uygulanabilir. Mevcut tesislerde, engellerin yerleştirilmesi alan darlığı nedeniyle kısıtlı olabilir.</w:t>
            </w:r>
          </w:p>
        </w:tc>
      </w:tr>
      <w:tr w:rsidR="003328F9" w:rsidRPr="00DD0D1F" w14:paraId="3AD4AAE9" w14:textId="77777777" w:rsidTr="003328F9">
        <w:trPr>
          <w:trHeight w:val="814"/>
        </w:trPr>
        <w:tc>
          <w:tcPr>
            <w:tcW w:w="238" w:type="pct"/>
            <w:vAlign w:val="center"/>
          </w:tcPr>
          <w:p w14:paraId="6684C6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083" w:type="pct"/>
            <w:vAlign w:val="center"/>
          </w:tcPr>
          <w:p w14:paraId="0EC6BEB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 kontrol ekipmanı</w:t>
            </w:r>
          </w:p>
        </w:tc>
        <w:tc>
          <w:tcPr>
            <w:tcW w:w="2133" w:type="pct"/>
            <w:vAlign w:val="center"/>
          </w:tcPr>
          <w:p w14:paraId="798FC44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Buna şunlar dahildir:</w:t>
            </w:r>
          </w:p>
          <w:p w14:paraId="1B69C86A"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Gürültü azaltıcılar</w:t>
            </w:r>
          </w:p>
          <w:p w14:paraId="443A3E49"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Ekipman yalıtımı</w:t>
            </w:r>
          </w:p>
          <w:p w14:paraId="09743DB4"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Gürültülü cihazların etrafının çevrilmesi</w:t>
            </w:r>
          </w:p>
          <w:p w14:paraId="4B6FEB4C"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Binalara ses yalıtımı yapılması</w:t>
            </w:r>
          </w:p>
        </w:tc>
        <w:tc>
          <w:tcPr>
            <w:tcW w:w="1546" w:type="pct"/>
            <w:vAlign w:val="center"/>
          </w:tcPr>
          <w:p w14:paraId="1FA2925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Alan eksikliği nedeniyle uygulanabilirliği kısıtlıdır.</w:t>
            </w:r>
          </w:p>
        </w:tc>
      </w:tr>
      <w:tr w:rsidR="003328F9" w:rsidRPr="00DD0D1F" w14:paraId="659F6AB3" w14:textId="77777777" w:rsidTr="003328F9">
        <w:trPr>
          <w:trHeight w:val="552"/>
        </w:trPr>
        <w:tc>
          <w:tcPr>
            <w:tcW w:w="238" w:type="pct"/>
            <w:vAlign w:val="center"/>
          </w:tcPr>
          <w:p w14:paraId="0BAD72E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083" w:type="pct"/>
            <w:vAlign w:val="center"/>
          </w:tcPr>
          <w:p w14:paraId="181ED6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Ekipman ve binaların uygun yerde bulunması</w:t>
            </w:r>
          </w:p>
        </w:tc>
        <w:tc>
          <w:tcPr>
            <w:tcW w:w="2133" w:type="pct"/>
            <w:vAlign w:val="center"/>
          </w:tcPr>
          <w:p w14:paraId="7216BA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 seviyeleri, gürültü kaynağı ve alıcı arasındaki mesafenin arttırılması ve binaların gürültü perdesi olarak kullanılması yoluyla azaltılabilir.</w:t>
            </w:r>
          </w:p>
        </w:tc>
        <w:tc>
          <w:tcPr>
            <w:tcW w:w="1546" w:type="pct"/>
            <w:vAlign w:val="center"/>
          </w:tcPr>
          <w:p w14:paraId="6D07F7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tesislere uygulanabilir. Mevcut tesisler söz konusu olduğunda, ekipman ve üretim ünitelerinin taşınması, alan darlığı nedeniyle veya aşırı maliyetlerden dolayı kısıtlı olabilir.</w:t>
            </w:r>
          </w:p>
        </w:tc>
      </w:tr>
    </w:tbl>
    <w:p w14:paraId="2FCD2F2B" w14:textId="3A90B4CC" w:rsidR="003328F9" w:rsidRPr="00DD0D1F" w:rsidRDefault="003328F9" w:rsidP="00FF111D">
      <w:pPr>
        <w:pStyle w:val="Balk1"/>
        <w:numPr>
          <w:ilvl w:val="0"/>
          <w:numId w:val="73"/>
        </w:numPr>
        <w:spacing w:before="240"/>
        <w:rPr>
          <w:rFonts w:cs="Times New Roman"/>
          <w:szCs w:val="24"/>
          <w:lang w:val="tr-TR"/>
        </w:rPr>
      </w:pPr>
      <w:bookmarkStart w:id="27" w:name="_Toc137367293"/>
      <w:r w:rsidRPr="00DD0D1F">
        <w:rPr>
          <w:rFonts w:cs="Times New Roman"/>
          <w:szCs w:val="24"/>
          <w:lang w:val="tr-TR"/>
        </w:rPr>
        <w:t>KATI YAKITLARIN YAKILMASINA İLİŞKİN MET</w:t>
      </w:r>
      <w:bookmarkEnd w:id="27"/>
      <w:r w:rsidRPr="00DD0D1F">
        <w:rPr>
          <w:rFonts w:cs="Times New Roman"/>
          <w:szCs w:val="24"/>
          <w:lang w:val="tr-TR"/>
        </w:rPr>
        <w:t xml:space="preserve"> </w:t>
      </w:r>
    </w:p>
    <w:p w14:paraId="6D974BCD" w14:textId="4573848E" w:rsidR="003328F9" w:rsidRPr="00DD0D1F" w:rsidRDefault="003328F9" w:rsidP="00FF111D">
      <w:pPr>
        <w:pStyle w:val="Balk2"/>
        <w:numPr>
          <w:ilvl w:val="1"/>
          <w:numId w:val="73"/>
        </w:numPr>
        <w:spacing w:after="0"/>
        <w:rPr>
          <w:rFonts w:cs="Times New Roman"/>
          <w:szCs w:val="24"/>
          <w:lang w:val="tr-TR"/>
        </w:rPr>
      </w:pPr>
      <w:bookmarkStart w:id="28" w:name="_Toc137367294"/>
      <w:r w:rsidRPr="00DD0D1F">
        <w:rPr>
          <w:rFonts w:cs="Times New Roman"/>
          <w:szCs w:val="24"/>
          <w:lang w:val="tr-TR"/>
        </w:rPr>
        <w:t>Kömür ve/veya Linyitin Yakılmasına İlişkin MET</w:t>
      </w:r>
      <w:bookmarkEnd w:id="28"/>
    </w:p>
    <w:p w14:paraId="6043E6BD" w14:textId="58AB0683" w:rsidR="003328F9" w:rsidRPr="00DD0D1F" w:rsidRDefault="003262EB" w:rsidP="003328F9">
      <w:pPr>
        <w:spacing w:before="240"/>
        <w:rPr>
          <w:rFonts w:cs="Times New Roman"/>
          <w:szCs w:val="24"/>
          <w:lang w:val="nl-NL"/>
        </w:rPr>
      </w:pPr>
      <w:r w:rsidRPr="00DD0D1F">
        <w:rPr>
          <w:rFonts w:cs="Times New Roman"/>
          <w:szCs w:val="24"/>
          <w:lang w:val="tr-TR"/>
        </w:rPr>
        <w:t>B</w:t>
      </w:r>
      <w:r w:rsidR="003328F9" w:rsidRPr="00DD0D1F">
        <w:rPr>
          <w:rFonts w:cs="Times New Roman"/>
          <w:szCs w:val="24"/>
          <w:lang w:val="tr-TR"/>
        </w:rPr>
        <w:t xml:space="preserve">u bölümde yer alan MET sonuçları genel olarak kömür ve/veya linyitin yakılması ile ilgilidir. </w:t>
      </w:r>
      <w:r w:rsidR="003328F9" w:rsidRPr="00DD0D1F">
        <w:rPr>
          <w:rFonts w:cs="Times New Roman"/>
          <w:szCs w:val="24"/>
          <w:lang w:val="nl-NL"/>
        </w:rPr>
        <w:t xml:space="preserve">Bu MET sonuçları, genel MET sonuçlarına </w:t>
      </w:r>
      <w:r w:rsidRPr="00DD0D1F">
        <w:rPr>
          <w:rFonts w:cs="Times New Roman"/>
          <w:szCs w:val="24"/>
          <w:lang w:val="nl-NL"/>
        </w:rPr>
        <w:t>ilave</w:t>
      </w:r>
      <w:r w:rsidR="003328F9" w:rsidRPr="00DD0D1F">
        <w:rPr>
          <w:rFonts w:cs="Times New Roman"/>
          <w:szCs w:val="24"/>
          <w:lang w:val="nl-NL"/>
        </w:rPr>
        <w:t xml:space="preserve"> olarak geçerlidir.</w:t>
      </w:r>
    </w:p>
    <w:p w14:paraId="27F7D6D3" w14:textId="77777777" w:rsidR="003328F9" w:rsidRPr="00DD0D1F" w:rsidRDefault="003328F9" w:rsidP="00FF111D">
      <w:pPr>
        <w:pStyle w:val="Balk3"/>
        <w:numPr>
          <w:ilvl w:val="2"/>
          <w:numId w:val="73"/>
        </w:numPr>
        <w:rPr>
          <w:rFonts w:cs="Times New Roman"/>
        </w:rPr>
      </w:pPr>
      <w:bookmarkStart w:id="29" w:name="_Toc137367295"/>
      <w:r w:rsidRPr="00DD0D1F">
        <w:rPr>
          <w:rFonts w:cs="Times New Roman"/>
        </w:rPr>
        <w:t>Genel Çevre Performansı</w:t>
      </w:r>
      <w:bookmarkEnd w:id="29"/>
    </w:p>
    <w:p w14:paraId="69F92149" w14:textId="33F29D78" w:rsidR="003328F9" w:rsidRPr="00DD0D1F" w:rsidRDefault="003328F9" w:rsidP="003328F9">
      <w:pPr>
        <w:spacing w:before="240"/>
        <w:rPr>
          <w:rFonts w:cs="Times New Roman"/>
          <w:bCs/>
          <w:szCs w:val="24"/>
        </w:rPr>
      </w:pPr>
      <w:r w:rsidRPr="00DD0D1F">
        <w:rPr>
          <w:rFonts w:cs="Times New Roman"/>
          <w:b/>
          <w:bCs/>
          <w:szCs w:val="24"/>
        </w:rPr>
        <w:t xml:space="preserve">MET 18: </w:t>
      </w:r>
      <w:r w:rsidRPr="00DD0D1F">
        <w:rPr>
          <w:rFonts w:cs="Times New Roman"/>
          <w:bCs/>
          <w:szCs w:val="24"/>
        </w:rPr>
        <w:t>Kömür ve/veya linyit yanmasının genel çevre performansını iyileştirmek için, MET 6'ya ek olarak, aşağıda verilen tekni</w:t>
      </w:r>
      <w:r w:rsidR="001D5C3D" w:rsidRPr="00DD0D1F">
        <w:rPr>
          <w:rFonts w:cs="Times New Roman"/>
          <w:bCs/>
          <w:szCs w:val="24"/>
        </w:rPr>
        <w:t>k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
        <w:gridCol w:w="2886"/>
        <w:gridCol w:w="3260"/>
        <w:gridCol w:w="2665"/>
      </w:tblGrid>
      <w:tr w:rsidR="003328F9" w:rsidRPr="00DD0D1F" w14:paraId="7BAFF921" w14:textId="77777777" w:rsidTr="003328F9">
        <w:trPr>
          <w:trHeight w:val="230"/>
          <w:tblHeader/>
        </w:trPr>
        <w:tc>
          <w:tcPr>
            <w:tcW w:w="146" w:type="pct"/>
            <w:tcBorders>
              <w:top w:val="single" w:sz="4" w:space="0" w:color="auto"/>
              <w:right w:val="single" w:sz="4" w:space="0" w:color="auto"/>
            </w:tcBorders>
            <w:vAlign w:val="center"/>
          </w:tcPr>
          <w:p w14:paraId="157ED60C" w14:textId="77777777" w:rsidR="003328F9" w:rsidRPr="00DD0D1F" w:rsidRDefault="003328F9" w:rsidP="003328F9">
            <w:pPr>
              <w:pStyle w:val="TableParagraph"/>
              <w:ind w:right="74"/>
              <w:jc w:val="center"/>
              <w:rPr>
                <w:b/>
                <w:szCs w:val="24"/>
              </w:rPr>
            </w:pPr>
          </w:p>
        </w:tc>
        <w:tc>
          <w:tcPr>
            <w:tcW w:w="1590" w:type="pct"/>
            <w:tcBorders>
              <w:top w:val="single" w:sz="4" w:space="0" w:color="auto"/>
              <w:left w:val="single" w:sz="4" w:space="0" w:color="auto"/>
            </w:tcBorders>
            <w:vAlign w:val="center"/>
          </w:tcPr>
          <w:p w14:paraId="3DE64CBF" w14:textId="77777777" w:rsidR="003328F9" w:rsidRPr="00DD0D1F" w:rsidRDefault="003328F9" w:rsidP="003328F9">
            <w:pPr>
              <w:pStyle w:val="TableParagraph"/>
              <w:ind w:left="74" w:right="74"/>
              <w:jc w:val="center"/>
              <w:rPr>
                <w:b/>
                <w:szCs w:val="24"/>
              </w:rPr>
            </w:pPr>
            <w:r w:rsidRPr="00DD0D1F">
              <w:rPr>
                <w:b/>
                <w:szCs w:val="24"/>
              </w:rPr>
              <w:t>Teknik</w:t>
            </w:r>
          </w:p>
        </w:tc>
        <w:tc>
          <w:tcPr>
            <w:tcW w:w="1796" w:type="pct"/>
            <w:vAlign w:val="center"/>
          </w:tcPr>
          <w:p w14:paraId="471B12AE" w14:textId="77777777" w:rsidR="003328F9" w:rsidRPr="00DD0D1F" w:rsidRDefault="003328F9" w:rsidP="003328F9">
            <w:pPr>
              <w:pStyle w:val="TableParagraph"/>
              <w:ind w:left="74" w:right="74"/>
              <w:jc w:val="center"/>
              <w:rPr>
                <w:b/>
                <w:szCs w:val="24"/>
              </w:rPr>
            </w:pPr>
            <w:r w:rsidRPr="00DD0D1F">
              <w:rPr>
                <w:b/>
                <w:szCs w:val="24"/>
              </w:rPr>
              <w:t>Açıklama</w:t>
            </w:r>
          </w:p>
        </w:tc>
        <w:tc>
          <w:tcPr>
            <w:tcW w:w="1468" w:type="pct"/>
            <w:vAlign w:val="center"/>
          </w:tcPr>
          <w:p w14:paraId="74A86823"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038E015B" w14:textId="77777777" w:rsidTr="003328F9">
        <w:trPr>
          <w:trHeight w:val="1610"/>
        </w:trPr>
        <w:tc>
          <w:tcPr>
            <w:tcW w:w="146" w:type="pct"/>
            <w:tcBorders>
              <w:right w:val="single" w:sz="4" w:space="0" w:color="auto"/>
            </w:tcBorders>
            <w:vAlign w:val="center"/>
          </w:tcPr>
          <w:p w14:paraId="28F54EE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590" w:type="pct"/>
            <w:tcBorders>
              <w:left w:val="single" w:sz="4" w:space="0" w:color="auto"/>
            </w:tcBorders>
            <w:vAlign w:val="center"/>
          </w:tcPr>
          <w:p w14:paraId="65E13E72" w14:textId="5902775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NOx azaltımı için birincil teknikler dahil olmak üzere, yüksek kazan verimliliği sağlayan entegre yakma prosesi (örneğin, kademeli hava ve yakıt besleme, düşük NO</w:t>
            </w:r>
            <w:r w:rsidRPr="00DD0D1F">
              <w:rPr>
                <w:rFonts w:cs="Times New Roman"/>
                <w:szCs w:val="24"/>
                <w:vertAlign w:val="subscript"/>
                <w:lang w:val="tr-TR"/>
              </w:rPr>
              <w:t xml:space="preserve">X </w:t>
            </w:r>
            <w:r w:rsidRPr="00DD0D1F">
              <w:rPr>
                <w:rFonts w:cs="Times New Roman"/>
                <w:szCs w:val="24"/>
                <w:lang w:val="tr-TR"/>
              </w:rPr>
              <w:t xml:space="preserve">brülörleri (LNB) ve/veya </w:t>
            </w:r>
            <w:r w:rsidR="00E00B0A" w:rsidRPr="00DD0D1F">
              <w:rPr>
                <w:rFonts w:cs="Times New Roman"/>
                <w:szCs w:val="24"/>
                <w:lang w:val="tr-TR"/>
              </w:rPr>
              <w:t>baca</w:t>
            </w:r>
            <w:r w:rsidRPr="00DD0D1F">
              <w:rPr>
                <w:rFonts w:cs="Times New Roman"/>
                <w:szCs w:val="24"/>
                <w:lang w:val="tr-TR"/>
              </w:rPr>
              <w:t xml:space="preserve"> gazı geri besleme)</w:t>
            </w:r>
          </w:p>
        </w:tc>
        <w:tc>
          <w:tcPr>
            <w:tcW w:w="1796" w:type="pct"/>
            <w:vAlign w:val="center"/>
          </w:tcPr>
          <w:p w14:paraId="0D259AA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Pulverize yakma, akışkan yataklı yakma veya hareketli ızgaralı yakma gibi yakma prosesleri bu entegreasyonu sağlar.</w:t>
            </w:r>
          </w:p>
        </w:tc>
        <w:tc>
          <w:tcPr>
            <w:tcW w:w="1468" w:type="pct"/>
            <w:vAlign w:val="center"/>
          </w:tcPr>
          <w:p w14:paraId="76AA6F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bl>
    <w:p w14:paraId="79D6A30C" w14:textId="77777777" w:rsidR="003328F9" w:rsidRPr="00DD0D1F" w:rsidRDefault="003328F9" w:rsidP="00FF111D">
      <w:pPr>
        <w:pStyle w:val="Balk3"/>
        <w:numPr>
          <w:ilvl w:val="2"/>
          <w:numId w:val="73"/>
        </w:numPr>
        <w:rPr>
          <w:rFonts w:cs="Times New Roman"/>
        </w:rPr>
      </w:pPr>
      <w:bookmarkStart w:id="30" w:name="_Toc137367296"/>
      <w:r w:rsidRPr="00DD0D1F">
        <w:rPr>
          <w:rFonts w:cs="Times New Roman"/>
        </w:rPr>
        <w:t>Enerji Verimliliği</w:t>
      </w:r>
      <w:bookmarkEnd w:id="30"/>
    </w:p>
    <w:p w14:paraId="3A39FCE5" w14:textId="68A6CC3A" w:rsidR="003328F9" w:rsidRPr="00DD0D1F" w:rsidRDefault="003328F9" w:rsidP="003328F9">
      <w:pPr>
        <w:spacing w:before="240"/>
        <w:rPr>
          <w:rFonts w:cs="Times New Roman"/>
          <w:b/>
          <w:bCs/>
          <w:szCs w:val="24"/>
        </w:rPr>
      </w:pPr>
      <w:r w:rsidRPr="00DD0D1F">
        <w:rPr>
          <w:rFonts w:cs="Times New Roman"/>
          <w:b/>
          <w:bCs/>
          <w:szCs w:val="24"/>
        </w:rPr>
        <w:t xml:space="preserve">MET 19: </w:t>
      </w:r>
      <w:r w:rsidRPr="00DD0D1F">
        <w:rPr>
          <w:rFonts w:cs="Times New Roman"/>
          <w:bCs/>
          <w:szCs w:val="24"/>
        </w:rPr>
        <w:t>Kömür ve/veya linyit yanmasının enerji verimliliğini arttırmak için, MET 12’de yer alan tekniklerin ve aşağıda verilen t</w:t>
      </w:r>
      <w:r w:rsidR="001A5353" w:rsidRPr="00DD0D1F">
        <w:rPr>
          <w:rFonts w:cs="Times New Roman"/>
          <w:bCs/>
          <w:szCs w:val="24"/>
        </w:rPr>
        <w:t>ekniklerin uygun bir birleşimi kullanılır.</w:t>
      </w:r>
    </w:p>
    <w:p w14:paraId="5DA7A8A5" w14:textId="77777777" w:rsidR="003328F9" w:rsidRPr="00DD0D1F" w:rsidRDefault="003328F9" w:rsidP="003328F9">
      <w:pPr>
        <w:spacing w:before="240"/>
        <w:rPr>
          <w:rFonts w:cs="Times New Roman"/>
          <w:b/>
          <w:bCs/>
          <w:szCs w:val="24"/>
        </w:rPr>
      </w:pP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
        <w:gridCol w:w="2825"/>
        <w:gridCol w:w="2879"/>
        <w:gridCol w:w="3063"/>
      </w:tblGrid>
      <w:tr w:rsidR="003328F9" w:rsidRPr="00DD0D1F" w14:paraId="5EC81973" w14:textId="77777777" w:rsidTr="003328F9">
        <w:trPr>
          <w:trHeight w:val="230"/>
        </w:trPr>
        <w:tc>
          <w:tcPr>
            <w:tcW w:w="171" w:type="pct"/>
            <w:tcBorders>
              <w:right w:val="single" w:sz="4" w:space="0" w:color="auto"/>
            </w:tcBorders>
            <w:vAlign w:val="center"/>
          </w:tcPr>
          <w:p w14:paraId="03FD986A" w14:textId="77777777" w:rsidR="003328F9" w:rsidRPr="00DD0D1F" w:rsidRDefault="003328F9" w:rsidP="003328F9">
            <w:pPr>
              <w:pStyle w:val="TableParagraph"/>
              <w:ind w:right="74"/>
              <w:rPr>
                <w:b/>
                <w:szCs w:val="24"/>
              </w:rPr>
            </w:pPr>
          </w:p>
        </w:tc>
        <w:tc>
          <w:tcPr>
            <w:tcW w:w="1556" w:type="pct"/>
            <w:tcBorders>
              <w:left w:val="single" w:sz="4" w:space="0" w:color="auto"/>
            </w:tcBorders>
            <w:vAlign w:val="center"/>
          </w:tcPr>
          <w:p w14:paraId="32CCBF26" w14:textId="77777777" w:rsidR="003328F9" w:rsidRPr="00DD0D1F" w:rsidRDefault="003328F9" w:rsidP="003328F9">
            <w:pPr>
              <w:pStyle w:val="TableParagraph"/>
              <w:ind w:left="74" w:right="74"/>
              <w:jc w:val="center"/>
              <w:rPr>
                <w:b/>
                <w:szCs w:val="24"/>
              </w:rPr>
            </w:pPr>
            <w:r w:rsidRPr="00DD0D1F">
              <w:rPr>
                <w:b/>
                <w:szCs w:val="24"/>
              </w:rPr>
              <w:t>Teknik</w:t>
            </w:r>
          </w:p>
        </w:tc>
        <w:tc>
          <w:tcPr>
            <w:tcW w:w="1586" w:type="pct"/>
            <w:vAlign w:val="center"/>
          </w:tcPr>
          <w:p w14:paraId="73CDE7D3" w14:textId="77777777" w:rsidR="003328F9" w:rsidRPr="00DD0D1F" w:rsidRDefault="003328F9" w:rsidP="003328F9">
            <w:pPr>
              <w:pStyle w:val="TableParagraph"/>
              <w:ind w:left="74" w:right="74"/>
              <w:jc w:val="center"/>
              <w:rPr>
                <w:b/>
                <w:szCs w:val="24"/>
              </w:rPr>
            </w:pPr>
            <w:r w:rsidRPr="00DD0D1F">
              <w:rPr>
                <w:b/>
                <w:szCs w:val="24"/>
              </w:rPr>
              <w:t>Açıklama</w:t>
            </w:r>
          </w:p>
        </w:tc>
        <w:tc>
          <w:tcPr>
            <w:tcW w:w="1687" w:type="pct"/>
            <w:vAlign w:val="center"/>
          </w:tcPr>
          <w:p w14:paraId="3D436D62"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3FCD76D8" w14:textId="77777777" w:rsidTr="003328F9">
        <w:trPr>
          <w:trHeight w:val="1840"/>
        </w:trPr>
        <w:tc>
          <w:tcPr>
            <w:tcW w:w="171" w:type="pct"/>
            <w:tcBorders>
              <w:right w:val="single" w:sz="4" w:space="0" w:color="auto"/>
            </w:tcBorders>
            <w:vAlign w:val="center"/>
          </w:tcPr>
          <w:p w14:paraId="3D852A3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556" w:type="pct"/>
            <w:tcBorders>
              <w:left w:val="single" w:sz="4" w:space="0" w:color="auto"/>
            </w:tcBorders>
            <w:vAlign w:val="center"/>
          </w:tcPr>
          <w:p w14:paraId="38B261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taban külü taşıma</w:t>
            </w:r>
          </w:p>
        </w:tc>
        <w:tc>
          <w:tcPr>
            <w:tcW w:w="1586" w:type="pct"/>
            <w:vAlign w:val="center"/>
          </w:tcPr>
          <w:p w14:paraId="2E5B97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sıcak taban külü fırından mekanik bir konveyör sisteme düşer ve yeniden yanma için fırına yeniden yönlendirildikten sonra ortam havası ile soğur. Faydalı enerji hem külün yeniden yanmasından hem de külün soğumasından geri kazanılır.</w:t>
            </w:r>
          </w:p>
        </w:tc>
        <w:tc>
          <w:tcPr>
            <w:tcW w:w="1687" w:type="pct"/>
            <w:vAlign w:val="center"/>
          </w:tcPr>
          <w:p w14:paraId="0ACEEF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ünitelerinde iyileştirmeyi engelleyen teknik kısıtlamalar olabilir.</w:t>
            </w:r>
          </w:p>
        </w:tc>
      </w:tr>
    </w:tbl>
    <w:p w14:paraId="485522BF" w14:textId="77777777" w:rsidR="003328F9" w:rsidRPr="00DD0D1F" w:rsidRDefault="003328F9" w:rsidP="003328F9">
      <w:pPr>
        <w:pStyle w:val="ResimYazs"/>
        <w:spacing w:before="240"/>
        <w:rPr>
          <w:rFonts w:cs="Times New Roman"/>
          <w:color w:val="auto"/>
          <w:szCs w:val="24"/>
          <w:lang w:val="fi-FI"/>
        </w:rPr>
      </w:pPr>
      <w:r w:rsidRPr="00DD0D1F">
        <w:rPr>
          <w:rFonts w:cs="Times New Roman"/>
          <w:color w:val="auto"/>
          <w:szCs w:val="24"/>
          <w:lang w:val="fi-FI"/>
        </w:rPr>
        <w:t>Kömür ve linyit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067"/>
        <w:gridCol w:w="1748"/>
        <w:gridCol w:w="1844"/>
        <w:gridCol w:w="2418"/>
      </w:tblGrid>
      <w:tr w:rsidR="003328F9" w:rsidRPr="00DD0D1F" w14:paraId="73DD64CD" w14:textId="77777777" w:rsidTr="00F17342">
        <w:trPr>
          <w:trHeight w:val="61"/>
        </w:trPr>
        <w:tc>
          <w:tcPr>
            <w:tcW w:w="1689" w:type="pct"/>
            <w:vMerge w:val="restart"/>
            <w:tcBorders>
              <w:top w:val="single" w:sz="4" w:space="0" w:color="auto"/>
              <w:left w:val="single" w:sz="4" w:space="0" w:color="auto"/>
              <w:right w:val="single" w:sz="6" w:space="0" w:color="auto"/>
            </w:tcBorders>
            <w:vAlign w:val="center"/>
          </w:tcPr>
          <w:p w14:paraId="0522D0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311" w:type="pct"/>
            <w:gridSpan w:val="3"/>
            <w:tcBorders>
              <w:top w:val="single" w:sz="4" w:space="0" w:color="auto"/>
              <w:left w:val="single" w:sz="6" w:space="0" w:color="auto"/>
              <w:bottom w:val="single" w:sz="6" w:space="0" w:color="auto"/>
              <w:right w:val="single" w:sz="4" w:space="0" w:color="auto"/>
            </w:tcBorders>
            <w:vAlign w:val="center"/>
          </w:tcPr>
          <w:p w14:paraId="23B50DC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5860C6C0" w14:textId="77777777" w:rsidTr="00F17342">
        <w:trPr>
          <w:trHeight w:val="50"/>
        </w:trPr>
        <w:tc>
          <w:tcPr>
            <w:tcW w:w="1689" w:type="pct"/>
            <w:vMerge/>
            <w:tcBorders>
              <w:left w:val="single" w:sz="4" w:space="0" w:color="auto"/>
              <w:right w:val="single" w:sz="6" w:space="0" w:color="auto"/>
            </w:tcBorders>
            <w:vAlign w:val="center"/>
          </w:tcPr>
          <w:p w14:paraId="0F70F57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979" w:type="pct"/>
            <w:gridSpan w:val="2"/>
            <w:tcBorders>
              <w:top w:val="single" w:sz="6" w:space="0" w:color="auto"/>
              <w:left w:val="single" w:sz="6" w:space="0" w:color="auto"/>
              <w:bottom w:val="single" w:sz="6" w:space="0" w:color="auto"/>
              <w:right w:val="single" w:sz="6" w:space="0" w:color="auto"/>
            </w:tcBorders>
            <w:vAlign w:val="center"/>
          </w:tcPr>
          <w:p w14:paraId="7B8502A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elektrik verimi (%)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c>
          <w:tcPr>
            <w:tcW w:w="1332" w:type="pct"/>
            <w:tcBorders>
              <w:top w:val="single" w:sz="6" w:space="0" w:color="auto"/>
              <w:left w:val="single" w:sz="6" w:space="0" w:color="auto"/>
              <w:bottom w:val="single" w:sz="6" w:space="0" w:color="auto"/>
              <w:right w:val="single" w:sz="4" w:space="0" w:color="auto"/>
            </w:tcBorders>
            <w:vAlign w:val="center"/>
          </w:tcPr>
          <w:p w14:paraId="38C4DF7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toplam yakıt kullanımı</w:t>
            </w:r>
          </w:p>
          <w:p w14:paraId="73BDEE0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3328F9" w:rsidRPr="00DD0D1F" w14:paraId="237C364F" w14:textId="77777777" w:rsidTr="00F17342">
        <w:trPr>
          <w:trHeight w:val="50"/>
        </w:trPr>
        <w:tc>
          <w:tcPr>
            <w:tcW w:w="1689" w:type="pct"/>
            <w:vMerge/>
            <w:tcBorders>
              <w:left w:val="single" w:sz="4" w:space="0" w:color="auto"/>
              <w:bottom w:val="single" w:sz="6" w:space="0" w:color="auto"/>
              <w:right w:val="single" w:sz="6" w:space="0" w:color="auto"/>
            </w:tcBorders>
            <w:vAlign w:val="center"/>
          </w:tcPr>
          <w:p w14:paraId="13B58FB1"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963" w:type="pct"/>
            <w:tcBorders>
              <w:top w:val="single" w:sz="6" w:space="0" w:color="auto"/>
              <w:left w:val="single" w:sz="6" w:space="0" w:color="auto"/>
              <w:bottom w:val="single" w:sz="6" w:space="0" w:color="auto"/>
              <w:right w:val="single" w:sz="6" w:space="0" w:color="auto"/>
            </w:tcBorders>
            <w:vAlign w:val="center"/>
          </w:tcPr>
          <w:p w14:paraId="375627E8" w14:textId="64D478D9" w:rsidR="003328F9" w:rsidRPr="00DD0D1F" w:rsidRDefault="00F17342"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Yeni ünite </w:t>
            </w:r>
            <w:r w:rsidR="003328F9" w:rsidRPr="00DD0D1F">
              <w:rPr>
                <w:rFonts w:cs="Times New Roman"/>
                <w:szCs w:val="24"/>
                <w:lang w:val="tr-TR"/>
              </w:rPr>
              <w:t>(</w:t>
            </w:r>
            <w:r w:rsidR="003328F9" w:rsidRPr="00DD0D1F">
              <w:rPr>
                <w:rFonts w:cs="Times New Roman"/>
                <w:szCs w:val="24"/>
                <w:vertAlign w:val="superscript"/>
                <w:lang w:val="tr-TR"/>
              </w:rPr>
              <w:t>6</w:t>
            </w:r>
            <w:r w:rsidR="003328F9" w:rsidRPr="00DD0D1F">
              <w:rPr>
                <w:rFonts w:cs="Times New Roman"/>
                <w:szCs w:val="24"/>
                <w:lang w:val="tr-TR"/>
              </w:rPr>
              <w:t>) (</w:t>
            </w:r>
            <w:r w:rsidR="003328F9" w:rsidRPr="00DD0D1F">
              <w:rPr>
                <w:rFonts w:cs="Times New Roman"/>
                <w:szCs w:val="24"/>
                <w:vertAlign w:val="superscript"/>
                <w:lang w:val="tr-TR"/>
              </w:rPr>
              <w:t>7</w:t>
            </w:r>
            <w:r w:rsidR="003328F9"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7F45C85E" w14:textId="6B70A2A6" w:rsidR="003328F9" w:rsidRPr="00DD0D1F" w:rsidRDefault="003328F9" w:rsidP="00F17342">
            <w:pPr>
              <w:adjustRightInd w:val="0"/>
              <w:spacing w:line="240" w:lineRule="auto"/>
              <w:ind w:left="74" w:right="74"/>
              <w:rPr>
                <w:rFonts w:cs="Times New Roman"/>
                <w:b/>
                <w:szCs w:val="24"/>
                <w:lang w:val="tr-TR"/>
              </w:rPr>
            </w:pPr>
            <w:r w:rsidRPr="00DD0D1F">
              <w:rPr>
                <w:rFonts w:cs="Times New Roman"/>
                <w:b/>
                <w:szCs w:val="24"/>
                <w:lang w:val="tr-TR"/>
              </w:rPr>
              <w:t>Mevc</w:t>
            </w:r>
            <w:r w:rsidR="00F17342" w:rsidRPr="00DD0D1F">
              <w:rPr>
                <w:rFonts w:cs="Times New Roman"/>
                <w:b/>
                <w:szCs w:val="24"/>
                <w:lang w:val="tr-TR"/>
              </w:rPr>
              <w:t>ut ünite</w:t>
            </w: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 (</w:t>
            </w:r>
            <w:r w:rsidRPr="00DD0D1F">
              <w:rPr>
                <w:rFonts w:cs="Times New Roman"/>
                <w:szCs w:val="24"/>
                <w:vertAlign w:val="superscript"/>
                <w:lang w:val="tr-TR"/>
              </w:rPr>
              <w:t>8</w:t>
            </w:r>
            <w:r w:rsidRPr="00DD0D1F">
              <w:rPr>
                <w:rFonts w:cs="Times New Roman"/>
                <w:szCs w:val="24"/>
                <w:lang w:val="tr-TR"/>
              </w:rPr>
              <w:t>)</w:t>
            </w:r>
          </w:p>
        </w:tc>
        <w:tc>
          <w:tcPr>
            <w:tcW w:w="1332" w:type="pct"/>
            <w:tcBorders>
              <w:top w:val="single" w:sz="6" w:space="0" w:color="auto"/>
              <w:left w:val="single" w:sz="6" w:space="0" w:color="auto"/>
              <w:bottom w:val="single" w:sz="6" w:space="0" w:color="auto"/>
              <w:right w:val="single" w:sz="4" w:space="0" w:color="auto"/>
            </w:tcBorders>
            <w:vAlign w:val="center"/>
          </w:tcPr>
          <w:p w14:paraId="3324BD3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veya mevcut ünite</w:t>
            </w:r>
          </w:p>
        </w:tc>
      </w:tr>
      <w:tr w:rsidR="003328F9" w:rsidRPr="00DD0D1F" w14:paraId="59E6C67A" w14:textId="77777777" w:rsidTr="00F17342">
        <w:trPr>
          <w:trHeight w:val="47"/>
        </w:trPr>
        <w:tc>
          <w:tcPr>
            <w:tcW w:w="1689" w:type="pct"/>
            <w:tcBorders>
              <w:top w:val="single" w:sz="6" w:space="0" w:color="auto"/>
              <w:left w:val="single" w:sz="4" w:space="0" w:color="auto"/>
              <w:bottom w:val="single" w:sz="6" w:space="0" w:color="auto"/>
              <w:right w:val="single" w:sz="6" w:space="0" w:color="auto"/>
            </w:tcBorders>
            <w:vAlign w:val="center"/>
          </w:tcPr>
          <w:p w14:paraId="6F3C3F2D"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Kömür ile çalışan, ≥1000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7550905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45 - 46</w:t>
            </w:r>
          </w:p>
        </w:tc>
        <w:tc>
          <w:tcPr>
            <w:tcW w:w="1016" w:type="pct"/>
            <w:tcBorders>
              <w:top w:val="single" w:sz="6" w:space="0" w:color="auto"/>
              <w:left w:val="single" w:sz="6" w:space="0" w:color="auto"/>
              <w:bottom w:val="single" w:sz="6" w:space="0" w:color="auto"/>
              <w:right w:val="single" w:sz="6" w:space="0" w:color="auto"/>
            </w:tcBorders>
            <w:vAlign w:val="center"/>
          </w:tcPr>
          <w:p w14:paraId="2EBD4D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33.5 - 44</w:t>
            </w:r>
          </w:p>
        </w:tc>
        <w:tc>
          <w:tcPr>
            <w:tcW w:w="1332" w:type="pct"/>
            <w:tcBorders>
              <w:top w:val="single" w:sz="6" w:space="0" w:color="auto"/>
              <w:left w:val="single" w:sz="6" w:space="0" w:color="auto"/>
              <w:bottom w:val="single" w:sz="6" w:space="0" w:color="auto"/>
              <w:right w:val="single" w:sz="4" w:space="0" w:color="auto"/>
            </w:tcBorders>
            <w:vAlign w:val="center"/>
          </w:tcPr>
          <w:p w14:paraId="2F5B3AA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5DC24DAD" w14:textId="77777777" w:rsidTr="00F17342">
        <w:trPr>
          <w:trHeight w:val="47"/>
        </w:trPr>
        <w:tc>
          <w:tcPr>
            <w:tcW w:w="1689" w:type="pct"/>
            <w:tcBorders>
              <w:top w:val="single" w:sz="6" w:space="0" w:color="auto"/>
              <w:left w:val="single" w:sz="4" w:space="0" w:color="auto"/>
              <w:bottom w:val="single" w:sz="6" w:space="0" w:color="auto"/>
              <w:right w:val="single" w:sz="6" w:space="0" w:color="auto"/>
            </w:tcBorders>
            <w:vAlign w:val="center"/>
          </w:tcPr>
          <w:p w14:paraId="0559290A"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Linyit ile çalışan, ≥1000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48881B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42 - 44 (</w:t>
            </w:r>
            <w:r w:rsidRPr="00DD0D1F">
              <w:rPr>
                <w:rFonts w:cs="Times New Roman"/>
                <w:szCs w:val="24"/>
                <w:vertAlign w:val="superscript"/>
                <w:lang w:val="tr-TR"/>
              </w:rPr>
              <w:t>9</w:t>
            </w:r>
            <w:r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2898D5C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33.5 - 42,5</w:t>
            </w:r>
          </w:p>
        </w:tc>
        <w:tc>
          <w:tcPr>
            <w:tcW w:w="1332" w:type="pct"/>
            <w:tcBorders>
              <w:top w:val="single" w:sz="6" w:space="0" w:color="auto"/>
              <w:left w:val="single" w:sz="6" w:space="0" w:color="auto"/>
              <w:bottom w:val="single" w:sz="6" w:space="0" w:color="auto"/>
              <w:right w:val="single" w:sz="4" w:space="0" w:color="auto"/>
            </w:tcBorders>
            <w:vAlign w:val="center"/>
          </w:tcPr>
          <w:p w14:paraId="0A4D97B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223636D5" w14:textId="77777777" w:rsidTr="00F17342">
        <w:trPr>
          <w:trHeight w:val="47"/>
        </w:trPr>
        <w:tc>
          <w:tcPr>
            <w:tcW w:w="1689" w:type="pct"/>
            <w:tcBorders>
              <w:top w:val="single" w:sz="6" w:space="0" w:color="auto"/>
              <w:left w:val="single" w:sz="4" w:space="0" w:color="auto"/>
              <w:bottom w:val="single" w:sz="6" w:space="0" w:color="auto"/>
              <w:right w:val="single" w:sz="6" w:space="0" w:color="auto"/>
            </w:tcBorders>
            <w:vAlign w:val="center"/>
          </w:tcPr>
          <w:p w14:paraId="022ACBE7"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Kömür ile çalışan, &lt;1000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3EDD1F8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36.5 – 41.5 (</w:t>
            </w:r>
            <w:r w:rsidRPr="00DD0D1F">
              <w:rPr>
                <w:rFonts w:cs="Times New Roman"/>
                <w:szCs w:val="24"/>
                <w:vertAlign w:val="superscript"/>
                <w:lang w:val="tr-TR"/>
              </w:rPr>
              <w:t>10</w:t>
            </w:r>
            <w:r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440F6A3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32.5 – 41.5</w:t>
            </w:r>
          </w:p>
        </w:tc>
        <w:tc>
          <w:tcPr>
            <w:tcW w:w="1332" w:type="pct"/>
            <w:tcBorders>
              <w:top w:val="single" w:sz="6" w:space="0" w:color="auto"/>
              <w:left w:val="single" w:sz="6" w:space="0" w:color="auto"/>
              <w:bottom w:val="single" w:sz="6" w:space="0" w:color="auto"/>
              <w:right w:val="single" w:sz="4" w:space="0" w:color="auto"/>
            </w:tcBorders>
            <w:vAlign w:val="center"/>
          </w:tcPr>
          <w:p w14:paraId="1E6BA21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3E340E99" w14:textId="77777777" w:rsidTr="00F17342">
        <w:trPr>
          <w:trHeight w:val="48"/>
        </w:trPr>
        <w:tc>
          <w:tcPr>
            <w:tcW w:w="1689" w:type="pct"/>
            <w:tcBorders>
              <w:top w:val="single" w:sz="6" w:space="0" w:color="auto"/>
              <w:left w:val="single" w:sz="4" w:space="0" w:color="auto"/>
              <w:bottom w:val="single" w:sz="6" w:space="0" w:color="auto"/>
              <w:right w:val="single" w:sz="6" w:space="0" w:color="auto"/>
            </w:tcBorders>
            <w:vAlign w:val="center"/>
          </w:tcPr>
          <w:p w14:paraId="14E24121"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Linyit ile çalışan, &lt;1000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46E947D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36.5 – 40 (</w:t>
            </w:r>
            <w:r w:rsidRPr="00DD0D1F">
              <w:rPr>
                <w:rFonts w:cs="Times New Roman"/>
                <w:szCs w:val="24"/>
                <w:vertAlign w:val="superscript"/>
                <w:lang w:val="tr-TR"/>
              </w:rPr>
              <w:t>11</w:t>
            </w:r>
            <w:r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7E76979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31.5 – 39.5</w:t>
            </w:r>
          </w:p>
        </w:tc>
        <w:tc>
          <w:tcPr>
            <w:tcW w:w="1332" w:type="pct"/>
            <w:tcBorders>
              <w:top w:val="single" w:sz="6" w:space="0" w:color="auto"/>
              <w:left w:val="single" w:sz="6" w:space="0" w:color="auto"/>
              <w:bottom w:val="single" w:sz="6" w:space="0" w:color="auto"/>
              <w:right w:val="single" w:sz="4" w:space="0" w:color="auto"/>
            </w:tcBorders>
            <w:vAlign w:val="center"/>
          </w:tcPr>
          <w:p w14:paraId="26A25F7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59EED5B3" w14:textId="77777777" w:rsidTr="00F17342">
        <w:trPr>
          <w:trHeight w:val="4806"/>
        </w:trPr>
        <w:tc>
          <w:tcPr>
            <w:tcW w:w="5000" w:type="pct"/>
            <w:gridSpan w:val="4"/>
            <w:tcBorders>
              <w:top w:val="single" w:sz="6" w:space="0" w:color="auto"/>
              <w:left w:val="single" w:sz="4" w:space="0" w:color="auto"/>
              <w:bottom w:val="single" w:sz="4" w:space="0" w:color="auto"/>
              <w:right w:val="single" w:sz="4" w:space="0" w:color="auto"/>
            </w:tcBorders>
          </w:tcPr>
          <w:p w14:paraId="6E20E54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i/>
                <w:szCs w:val="24"/>
                <w:lang w:val="tr-TR"/>
              </w:rPr>
              <w:tab/>
            </w:r>
            <w:r w:rsidRPr="00DD0D1F">
              <w:rPr>
                <w:rFonts w:cs="Times New Roman"/>
                <w:szCs w:val="24"/>
                <w:lang w:val="tr-TR"/>
              </w:rPr>
              <w:t>Bu MET-İEVS'ler &lt;1500 saat/yıl çalışan ünitelere uygulanmaz.</w:t>
            </w:r>
          </w:p>
          <w:p w14:paraId="7F091C5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ünitesi tasarımına bağlı olarak 'Net elektrik verimliliği' veya 'Net toplam yakıt kullanımı' şeklindeki iki MET-İEVS'den sadece birisi uygulanır (yani elektrik üretimine ya da ısı üretimi yönelik olandan biri)</w:t>
            </w:r>
          </w:p>
          <w:p w14:paraId="1B909145" w14:textId="5F70FC9D"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Aralığın alt </w:t>
            </w:r>
            <w:r w:rsidR="008214A3" w:rsidRPr="00DD0D1F">
              <w:rPr>
                <w:rFonts w:cs="Times New Roman"/>
                <w:szCs w:val="24"/>
                <w:lang w:val="tr-TR"/>
              </w:rPr>
              <w:t>sınırı</w:t>
            </w:r>
            <w:r w:rsidRPr="00DD0D1F">
              <w:rPr>
                <w:rFonts w:cs="Times New Roman"/>
                <w:szCs w:val="24"/>
                <w:lang w:val="tr-TR"/>
              </w:rPr>
              <w:t>, kullanılan soğutma sistemi tipi veya ünitenin coğrafi yerinden dolayı elde edilen enerji verimliliğinin olumsuz olarak etkilendiği (yüzde dört puana kadar) durumlara karşılık gelebilir.</w:t>
            </w:r>
          </w:p>
          <w:p w14:paraId="1421B3F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Bu seviyeler, potansiyel ısı talebi çok düşükse elde edilemez. </w:t>
            </w:r>
          </w:p>
          <w:p w14:paraId="6C01276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Bu MET-İEVS'ler sadece elektrik üreten tesislere uygulanmaz.</w:t>
            </w:r>
          </w:p>
          <w:p w14:paraId="03506D43" w14:textId="3663C6D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 xml:space="preserve">Olumsuz hava koşullarında, düşük dereceli linyitle çalışan üniteler ve/veya eski ünitelerde (ilk kez 1985 yılından önce devreye alınan) MET-İEVS aralığının alt </w:t>
            </w:r>
            <w:r w:rsidR="008214A3" w:rsidRPr="00DD0D1F">
              <w:rPr>
                <w:rFonts w:cs="Times New Roman"/>
                <w:szCs w:val="24"/>
                <w:lang w:val="tr-TR"/>
              </w:rPr>
              <w:t xml:space="preserve">sınırı </w:t>
            </w:r>
            <w:r w:rsidRPr="00DD0D1F">
              <w:rPr>
                <w:rFonts w:cs="Times New Roman"/>
                <w:szCs w:val="24"/>
                <w:lang w:val="tr-TR"/>
              </w:rPr>
              <w:t>elde edilir.</w:t>
            </w:r>
          </w:p>
          <w:p w14:paraId="3F7C5FA8" w14:textId="2747032D"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t xml:space="preserve">MET-İEVS aralığının üst </w:t>
            </w:r>
            <w:r w:rsidR="008214A3" w:rsidRPr="00DD0D1F">
              <w:rPr>
                <w:rFonts w:cs="Times New Roman"/>
                <w:szCs w:val="24"/>
                <w:lang w:val="tr-TR"/>
              </w:rPr>
              <w:t xml:space="preserve">sınırı </w:t>
            </w:r>
            <w:r w:rsidRPr="00DD0D1F">
              <w:rPr>
                <w:rFonts w:cs="Times New Roman"/>
                <w:szCs w:val="24"/>
                <w:lang w:val="tr-TR"/>
              </w:rPr>
              <w:t>yüksek buhar parametreleri (basınç, sıcaklık) ile elde edilebilir.</w:t>
            </w:r>
          </w:p>
          <w:p w14:paraId="216E925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8</w:t>
            </w:r>
            <w:r w:rsidRPr="00DD0D1F">
              <w:rPr>
                <w:rFonts w:cs="Times New Roman"/>
                <w:szCs w:val="24"/>
                <w:lang w:val="tr-TR"/>
              </w:rPr>
              <w:t>)</w:t>
            </w:r>
            <w:r w:rsidRPr="00DD0D1F">
              <w:rPr>
                <w:rFonts w:cs="Times New Roman"/>
                <w:szCs w:val="24"/>
                <w:lang w:val="tr-TR"/>
              </w:rPr>
              <w:tab/>
              <w:t>Elde edilebilir elektrik verimliliği iyileştirmesi, belirli üniteye bağlıdır, ancak yüzde üç puanın üzerindeki bir artışın, ünitenin orijinal tasarımı ile halihazırda uygulanmış iyileştirmelere bağlı olarak mevcut üniteler için MET kullanımını yansıttığı kabul edilir.</w:t>
            </w:r>
          </w:p>
          <w:p w14:paraId="29F0EA13" w14:textId="4F189EE1"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9</w:t>
            </w:r>
            <w:r w:rsidRPr="00DD0D1F">
              <w:rPr>
                <w:rFonts w:cs="Times New Roman"/>
                <w:szCs w:val="24"/>
                <w:lang w:val="tr-TR"/>
              </w:rPr>
              <w:t>)</w:t>
            </w:r>
            <w:r w:rsidRPr="00DD0D1F">
              <w:rPr>
                <w:rFonts w:cs="Times New Roman"/>
                <w:szCs w:val="24"/>
                <w:lang w:val="tr-TR"/>
              </w:rPr>
              <w:tab/>
              <w:t xml:space="preserve">Alt ısıl </w:t>
            </w:r>
            <w:r w:rsidR="008214A3" w:rsidRPr="00DD0D1F">
              <w:rPr>
                <w:rFonts w:cs="Times New Roman"/>
                <w:szCs w:val="24"/>
                <w:lang w:val="tr-TR"/>
              </w:rPr>
              <w:t xml:space="preserve">sınırı </w:t>
            </w:r>
            <w:r w:rsidRPr="00DD0D1F">
              <w:rPr>
                <w:rFonts w:cs="Times New Roman"/>
                <w:szCs w:val="24"/>
                <w:lang w:val="tr-TR"/>
              </w:rPr>
              <w:t xml:space="preserve">6 MJ/kg’ın altında olan linyit ile çalışan üniteler söz konusu olduğunda, MET-İEVS aralığının </w:t>
            </w:r>
            <w:r w:rsidR="006B2679" w:rsidRPr="00DD0D1F">
              <w:rPr>
                <w:rFonts w:cs="Times New Roman"/>
                <w:szCs w:val="24"/>
                <w:lang w:val="tr-TR"/>
              </w:rPr>
              <w:t xml:space="preserve">alt </w:t>
            </w:r>
            <w:r w:rsidR="008214A3" w:rsidRPr="00DD0D1F">
              <w:rPr>
                <w:rFonts w:cs="Times New Roman"/>
                <w:szCs w:val="24"/>
                <w:lang w:val="tr-TR"/>
              </w:rPr>
              <w:t xml:space="preserve">sınırı </w:t>
            </w:r>
            <w:r w:rsidRPr="00DD0D1F">
              <w:rPr>
                <w:rFonts w:cs="Times New Roman"/>
                <w:szCs w:val="24"/>
                <w:lang w:val="tr-TR"/>
              </w:rPr>
              <w:t>%41,5'tir.</w:t>
            </w:r>
          </w:p>
          <w:p w14:paraId="1A50A5E8" w14:textId="0DCFD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10</w:t>
            </w:r>
            <w:r w:rsidRPr="00DD0D1F">
              <w:rPr>
                <w:rFonts w:cs="Times New Roman"/>
                <w:szCs w:val="24"/>
                <w:lang w:val="tr-TR"/>
              </w:rPr>
              <w:t>)</w:t>
            </w:r>
            <w:r w:rsidRPr="00DD0D1F">
              <w:rPr>
                <w:rFonts w:cs="Times New Roman"/>
                <w:szCs w:val="24"/>
                <w:lang w:val="tr-TR"/>
              </w:rPr>
              <w:tab/>
              <w:t xml:space="preserve">MET-İEVS aralığının üst </w:t>
            </w:r>
            <w:r w:rsidR="008214A3" w:rsidRPr="00DD0D1F">
              <w:rPr>
                <w:rFonts w:cs="Times New Roman"/>
                <w:szCs w:val="24"/>
                <w:lang w:val="tr-TR"/>
              </w:rPr>
              <w:t>sınırı</w:t>
            </w:r>
            <w:r w:rsidRPr="00DD0D1F">
              <w:rPr>
                <w:rFonts w:cs="Times New Roman"/>
                <w:szCs w:val="24"/>
                <w:lang w:val="tr-TR"/>
              </w:rPr>
              <w:t>, süperkritik veya ultrasüperkritik buhar koşullarını kullanan ≥600 MW</w:t>
            </w:r>
            <w:r w:rsidRPr="00DD0D1F">
              <w:rPr>
                <w:rFonts w:cs="Times New Roman"/>
                <w:szCs w:val="24"/>
                <w:vertAlign w:val="subscript"/>
                <w:lang w:val="tr-TR"/>
              </w:rPr>
              <w:t>th</w:t>
            </w:r>
            <w:r w:rsidRPr="00DD0D1F">
              <w:rPr>
                <w:rFonts w:cs="Times New Roman"/>
                <w:szCs w:val="24"/>
                <w:lang w:val="tr-TR"/>
              </w:rPr>
              <w:t>'lik üniteler söz konusu olduğunda %46'ya kadar çıkabilir.</w:t>
            </w:r>
          </w:p>
          <w:p w14:paraId="0C75C5DB" w14:textId="3356C607" w:rsidR="003328F9" w:rsidRPr="00DD0D1F" w:rsidRDefault="003328F9" w:rsidP="00D163BE">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11</w:t>
            </w:r>
            <w:r w:rsidRPr="00DD0D1F">
              <w:rPr>
                <w:rFonts w:cs="Times New Roman"/>
                <w:szCs w:val="24"/>
                <w:lang w:val="tr-TR"/>
              </w:rPr>
              <w:t>)</w:t>
            </w:r>
            <w:r w:rsidRPr="00DD0D1F">
              <w:rPr>
                <w:rFonts w:cs="Times New Roman"/>
                <w:szCs w:val="24"/>
                <w:lang w:val="tr-TR"/>
              </w:rPr>
              <w:tab/>
              <w:t xml:space="preserve">MET-İEVS aralığının üst </w:t>
            </w:r>
            <w:r w:rsidR="008214A3" w:rsidRPr="00DD0D1F">
              <w:rPr>
                <w:rFonts w:cs="Times New Roman"/>
                <w:szCs w:val="24"/>
                <w:lang w:val="tr-TR"/>
              </w:rPr>
              <w:t>sınırı</w:t>
            </w:r>
            <w:r w:rsidRPr="00DD0D1F">
              <w:rPr>
                <w:rFonts w:cs="Times New Roman"/>
                <w:szCs w:val="24"/>
                <w:lang w:val="tr-TR"/>
              </w:rPr>
              <w:t>, süperkritik veya ultrasüperkritik buhar koşullarını kullanan ≥600 MW</w:t>
            </w:r>
            <w:r w:rsidRPr="00DD0D1F">
              <w:rPr>
                <w:rFonts w:cs="Times New Roman"/>
                <w:szCs w:val="24"/>
                <w:vertAlign w:val="subscript"/>
                <w:lang w:val="tr-TR"/>
              </w:rPr>
              <w:t>th</w:t>
            </w:r>
            <w:r w:rsidRPr="00DD0D1F">
              <w:rPr>
                <w:rFonts w:cs="Times New Roman"/>
                <w:szCs w:val="24"/>
                <w:lang w:val="tr-TR"/>
              </w:rPr>
              <w:t xml:space="preserve">'lik üniteler söz konusu </w:t>
            </w:r>
            <w:r w:rsidR="00D163BE" w:rsidRPr="00DD0D1F">
              <w:rPr>
                <w:rFonts w:cs="Times New Roman"/>
                <w:szCs w:val="24"/>
                <w:lang w:val="tr-TR"/>
              </w:rPr>
              <w:t>olduğunda %44'e kadar çıkabilir.</w:t>
            </w:r>
          </w:p>
        </w:tc>
      </w:tr>
    </w:tbl>
    <w:p w14:paraId="3A892B2A" w14:textId="77777777" w:rsidR="003328F9" w:rsidRPr="00DD0D1F" w:rsidRDefault="003328F9" w:rsidP="00FF111D">
      <w:pPr>
        <w:pStyle w:val="Balk3"/>
        <w:numPr>
          <w:ilvl w:val="2"/>
          <w:numId w:val="73"/>
        </w:numPr>
        <w:rPr>
          <w:rFonts w:cs="Times New Roman"/>
        </w:rPr>
      </w:pPr>
      <w:bookmarkStart w:id="31" w:name="_Toc137367297"/>
      <w:r w:rsidRPr="00DD0D1F">
        <w:rPr>
          <w:rFonts w:cs="Times New Roman"/>
        </w:rPr>
        <w:t>Havaya NO</w:t>
      </w:r>
      <w:r w:rsidRPr="00DD0D1F">
        <w:rPr>
          <w:rFonts w:cs="Times New Roman"/>
          <w:vertAlign w:val="subscript"/>
        </w:rPr>
        <w:t>X</w:t>
      </w:r>
      <w:r w:rsidRPr="00DD0D1F">
        <w:rPr>
          <w:rFonts w:cs="Times New Roman"/>
        </w:rPr>
        <w:t>, N</w:t>
      </w:r>
      <w:r w:rsidRPr="00DD0D1F">
        <w:rPr>
          <w:rFonts w:cs="Times New Roman"/>
          <w:vertAlign w:val="subscript"/>
        </w:rPr>
        <w:t>2</w:t>
      </w:r>
      <w:r w:rsidRPr="00DD0D1F">
        <w:rPr>
          <w:rFonts w:cs="Times New Roman"/>
        </w:rPr>
        <w:t>O ve CO Emisyonları</w:t>
      </w:r>
      <w:bookmarkEnd w:id="31"/>
    </w:p>
    <w:p w14:paraId="3B49BCC1" w14:textId="00355E73" w:rsidR="003328F9" w:rsidRPr="00DD0D1F" w:rsidRDefault="003328F9" w:rsidP="003328F9">
      <w:pPr>
        <w:spacing w:before="240"/>
        <w:rPr>
          <w:rFonts w:cs="Times New Roman"/>
          <w:bCs/>
          <w:szCs w:val="24"/>
        </w:rPr>
      </w:pPr>
      <w:r w:rsidRPr="00DD0D1F">
        <w:rPr>
          <w:rFonts w:cs="Times New Roman"/>
          <w:b/>
          <w:bCs/>
          <w:szCs w:val="24"/>
        </w:rPr>
        <w:t xml:space="preserve">MET 20: </w:t>
      </w:r>
      <w:r w:rsidRPr="00DD0D1F">
        <w:rPr>
          <w:rFonts w:cs="Times New Roman"/>
          <w:bCs/>
          <w:szCs w:val="24"/>
        </w:rPr>
        <w:t>Kömür ve/veya linyitin yakılmasından kaynaklanan, havaya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azaltmak için, a</w:t>
      </w:r>
      <w:r w:rsidR="00F17342" w:rsidRPr="00DD0D1F">
        <w:rPr>
          <w:rFonts w:cs="Times New Roman"/>
          <w:bCs/>
          <w:szCs w:val="24"/>
        </w:rPr>
        <w:t>şağıda verilen tekniklerin biri</w:t>
      </w:r>
      <w:r w:rsidRPr="00DD0D1F">
        <w:rPr>
          <w:rFonts w:cs="Times New Roman"/>
          <w:bCs/>
          <w:szCs w:val="24"/>
        </w:rPr>
        <w:t xml:space="preserve"> veya bunların birleşimi kullan</w:t>
      </w:r>
      <w:r w:rsidR="00F17342"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83"/>
        <w:gridCol w:w="2500"/>
        <w:gridCol w:w="2883"/>
        <w:gridCol w:w="3311"/>
      </w:tblGrid>
      <w:tr w:rsidR="003328F9" w:rsidRPr="00DD0D1F" w14:paraId="5786FF0F" w14:textId="77777777" w:rsidTr="003328F9">
        <w:trPr>
          <w:trHeight w:val="48"/>
          <w:tblHeader/>
        </w:trPr>
        <w:tc>
          <w:tcPr>
            <w:tcW w:w="211" w:type="pct"/>
            <w:tcBorders>
              <w:top w:val="single" w:sz="4" w:space="0" w:color="auto"/>
              <w:left w:val="single" w:sz="4" w:space="0" w:color="auto"/>
              <w:bottom w:val="single" w:sz="6" w:space="0" w:color="auto"/>
              <w:right w:val="single" w:sz="6" w:space="0" w:color="auto"/>
            </w:tcBorders>
          </w:tcPr>
          <w:p w14:paraId="16DB116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77" w:type="pct"/>
            <w:tcBorders>
              <w:top w:val="single" w:sz="4" w:space="0" w:color="auto"/>
              <w:left w:val="single" w:sz="4" w:space="0" w:color="auto"/>
              <w:bottom w:val="single" w:sz="6" w:space="0" w:color="auto"/>
              <w:right w:val="single" w:sz="6" w:space="0" w:color="auto"/>
            </w:tcBorders>
          </w:tcPr>
          <w:p w14:paraId="6D38703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588" w:type="pct"/>
            <w:tcBorders>
              <w:top w:val="single" w:sz="4" w:space="0" w:color="auto"/>
              <w:left w:val="single" w:sz="6" w:space="0" w:color="auto"/>
              <w:bottom w:val="single" w:sz="6" w:space="0" w:color="auto"/>
              <w:right w:val="single" w:sz="6" w:space="0" w:color="auto"/>
            </w:tcBorders>
          </w:tcPr>
          <w:p w14:paraId="2935E43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24" w:type="pct"/>
            <w:tcBorders>
              <w:top w:val="single" w:sz="4" w:space="0" w:color="auto"/>
              <w:left w:val="single" w:sz="6" w:space="0" w:color="auto"/>
              <w:bottom w:val="single" w:sz="6" w:space="0" w:color="auto"/>
              <w:right w:val="single" w:sz="4" w:space="0" w:color="auto"/>
            </w:tcBorders>
          </w:tcPr>
          <w:p w14:paraId="1381041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47202EB8" w14:textId="77777777" w:rsidTr="003328F9">
        <w:trPr>
          <w:trHeight w:val="247"/>
        </w:trPr>
        <w:tc>
          <w:tcPr>
            <w:tcW w:w="211" w:type="pct"/>
            <w:tcBorders>
              <w:top w:val="single" w:sz="6" w:space="0" w:color="auto"/>
              <w:left w:val="single" w:sz="4" w:space="0" w:color="auto"/>
              <w:bottom w:val="single" w:sz="6" w:space="0" w:color="auto"/>
              <w:right w:val="single" w:sz="6" w:space="0" w:color="auto"/>
            </w:tcBorders>
            <w:vAlign w:val="center"/>
          </w:tcPr>
          <w:p w14:paraId="70F3C35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77" w:type="pct"/>
            <w:tcBorders>
              <w:top w:val="single" w:sz="6" w:space="0" w:color="auto"/>
              <w:left w:val="single" w:sz="6" w:space="0" w:color="auto"/>
              <w:bottom w:val="single" w:sz="6" w:space="0" w:color="auto"/>
              <w:right w:val="single" w:sz="6" w:space="0" w:color="auto"/>
            </w:tcBorders>
            <w:vAlign w:val="center"/>
          </w:tcPr>
          <w:p w14:paraId="529968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588" w:type="pct"/>
            <w:tcBorders>
              <w:top w:val="single" w:sz="6" w:space="0" w:color="auto"/>
              <w:left w:val="single" w:sz="6" w:space="0" w:color="auto"/>
              <w:bottom w:val="single" w:sz="6" w:space="0" w:color="auto"/>
              <w:right w:val="single" w:sz="6" w:space="0" w:color="auto"/>
            </w:tcBorders>
            <w:vAlign w:val="center"/>
          </w:tcPr>
          <w:p w14:paraId="6246E6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8.3’deki açıklamaya bakınız.</w:t>
            </w:r>
          </w:p>
          <w:p w14:paraId="550D2C1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diğer teknikler ile birlikte kullanılır.</w:t>
            </w:r>
          </w:p>
        </w:tc>
        <w:tc>
          <w:tcPr>
            <w:tcW w:w="1824" w:type="pct"/>
            <w:vMerge w:val="restart"/>
            <w:tcBorders>
              <w:top w:val="single" w:sz="6" w:space="0" w:color="auto"/>
              <w:left w:val="single" w:sz="6" w:space="0" w:color="auto"/>
              <w:right w:val="single" w:sz="4" w:space="0" w:color="auto"/>
            </w:tcBorders>
            <w:vAlign w:val="center"/>
          </w:tcPr>
          <w:p w14:paraId="7561E1C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B6592DA" w14:textId="77777777" w:rsidTr="003328F9">
        <w:trPr>
          <w:trHeight w:val="882"/>
        </w:trPr>
        <w:tc>
          <w:tcPr>
            <w:tcW w:w="211" w:type="pct"/>
            <w:tcBorders>
              <w:top w:val="single" w:sz="6" w:space="0" w:color="auto"/>
              <w:left w:val="single" w:sz="4" w:space="0" w:color="auto"/>
              <w:bottom w:val="single" w:sz="6" w:space="0" w:color="auto"/>
              <w:right w:val="single" w:sz="6" w:space="0" w:color="auto"/>
            </w:tcBorders>
            <w:vAlign w:val="center"/>
          </w:tcPr>
          <w:p w14:paraId="38AD19FE" w14:textId="77777777" w:rsidR="003328F9" w:rsidRPr="00DD0D1F" w:rsidRDefault="003328F9" w:rsidP="003328F9">
            <w:pPr>
              <w:adjustRightInd w:val="0"/>
              <w:spacing w:line="240" w:lineRule="auto"/>
              <w:ind w:left="74" w:right="74"/>
              <w:rPr>
                <w:rFonts w:cs="Times New Roman"/>
                <w:szCs w:val="24"/>
                <w:lang w:val="tr-TR"/>
              </w:rPr>
            </w:pPr>
          </w:p>
          <w:p w14:paraId="63CAF43F" w14:textId="77777777" w:rsidR="003328F9" w:rsidRPr="00DD0D1F" w:rsidRDefault="003328F9" w:rsidP="003328F9">
            <w:pPr>
              <w:adjustRightInd w:val="0"/>
              <w:spacing w:line="240" w:lineRule="auto"/>
              <w:ind w:left="74" w:right="74"/>
              <w:rPr>
                <w:rFonts w:cs="Times New Roman"/>
                <w:szCs w:val="24"/>
                <w:lang w:val="tr-TR"/>
              </w:rPr>
            </w:pPr>
          </w:p>
          <w:p w14:paraId="7C08FF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77" w:type="pct"/>
            <w:tcBorders>
              <w:top w:val="single" w:sz="6" w:space="0" w:color="auto"/>
              <w:left w:val="single" w:sz="6" w:space="0" w:color="auto"/>
              <w:bottom w:val="single" w:sz="6" w:space="0" w:color="auto"/>
              <w:right w:val="single" w:sz="6" w:space="0" w:color="auto"/>
            </w:tcBorders>
            <w:vAlign w:val="center"/>
          </w:tcPr>
          <w:p w14:paraId="00504980" w14:textId="37B1D70F"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NOx’yi azaltmak için diğer birincil tekniklerin birleşimi (örneğin, kademeli hava ve yakıt besleme, baca gazı geri besleme düşük NO</w:t>
            </w:r>
            <w:r w:rsidRPr="00DD0D1F">
              <w:rPr>
                <w:rFonts w:cs="Times New Roman"/>
                <w:szCs w:val="24"/>
                <w:vertAlign w:val="subscript"/>
                <w:lang w:val="tr-TR"/>
              </w:rPr>
              <w:t>X</w:t>
            </w:r>
            <w:r w:rsidRPr="00DD0D1F">
              <w:rPr>
                <w:rFonts w:cs="Times New Roman"/>
                <w:szCs w:val="24"/>
                <w:lang w:val="tr-TR"/>
              </w:rPr>
              <w:t xml:space="preserve"> brülörleri (LNB))</w:t>
            </w:r>
          </w:p>
        </w:tc>
        <w:tc>
          <w:tcPr>
            <w:tcW w:w="1588" w:type="pct"/>
            <w:tcBorders>
              <w:top w:val="single" w:sz="6" w:space="0" w:color="auto"/>
              <w:left w:val="single" w:sz="6" w:space="0" w:color="auto"/>
              <w:bottom w:val="single" w:sz="6" w:space="0" w:color="auto"/>
              <w:right w:val="single" w:sz="6" w:space="0" w:color="auto"/>
            </w:tcBorders>
            <w:vAlign w:val="center"/>
          </w:tcPr>
          <w:p w14:paraId="232071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Her bir teknik için Başlık  8.3’deki açıklamaya bakınız</w:t>
            </w:r>
          </w:p>
          <w:p w14:paraId="2EB943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Birincil tekniğin veya birincil tekniklerin uygun birleşiminin seçimi yapılırken ve performansı değerlendirilirken, kazan tasarımı dikkate alınmalıdır.</w:t>
            </w:r>
          </w:p>
        </w:tc>
        <w:tc>
          <w:tcPr>
            <w:tcW w:w="1824" w:type="pct"/>
            <w:vMerge/>
            <w:tcBorders>
              <w:left w:val="single" w:sz="6" w:space="0" w:color="auto"/>
              <w:bottom w:val="single" w:sz="6" w:space="0" w:color="auto"/>
              <w:right w:val="single" w:sz="4" w:space="0" w:color="auto"/>
            </w:tcBorders>
            <w:vAlign w:val="center"/>
          </w:tcPr>
          <w:p w14:paraId="146D97CF"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FEF4D7D" w14:textId="77777777" w:rsidTr="003328F9">
        <w:trPr>
          <w:trHeight w:val="903"/>
        </w:trPr>
        <w:tc>
          <w:tcPr>
            <w:tcW w:w="211" w:type="pct"/>
            <w:tcBorders>
              <w:top w:val="single" w:sz="6" w:space="0" w:color="auto"/>
              <w:left w:val="single" w:sz="4" w:space="0" w:color="auto"/>
              <w:bottom w:val="single" w:sz="6" w:space="0" w:color="auto"/>
              <w:right w:val="single" w:sz="6" w:space="0" w:color="auto"/>
            </w:tcBorders>
            <w:vAlign w:val="center"/>
          </w:tcPr>
          <w:p w14:paraId="12BF86F2" w14:textId="77777777" w:rsidR="003328F9" w:rsidRPr="00DD0D1F" w:rsidRDefault="003328F9" w:rsidP="003328F9">
            <w:pPr>
              <w:adjustRightInd w:val="0"/>
              <w:spacing w:line="240" w:lineRule="auto"/>
              <w:ind w:left="74" w:right="74"/>
              <w:rPr>
                <w:rFonts w:cs="Times New Roman"/>
                <w:szCs w:val="24"/>
                <w:lang w:val="tr-TR"/>
              </w:rPr>
            </w:pPr>
          </w:p>
          <w:p w14:paraId="58A8ABE8" w14:textId="77777777" w:rsidR="003328F9" w:rsidRPr="00DD0D1F" w:rsidRDefault="003328F9" w:rsidP="003328F9">
            <w:pPr>
              <w:adjustRightInd w:val="0"/>
              <w:spacing w:line="240" w:lineRule="auto"/>
              <w:ind w:left="74" w:right="74"/>
              <w:rPr>
                <w:rFonts w:cs="Times New Roman"/>
                <w:szCs w:val="24"/>
                <w:lang w:val="tr-TR"/>
              </w:rPr>
            </w:pPr>
          </w:p>
          <w:p w14:paraId="59D7D3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77" w:type="pct"/>
            <w:tcBorders>
              <w:top w:val="single" w:sz="6" w:space="0" w:color="auto"/>
              <w:left w:val="single" w:sz="6" w:space="0" w:color="auto"/>
              <w:bottom w:val="single" w:sz="6" w:space="0" w:color="auto"/>
              <w:right w:val="single" w:sz="6" w:space="0" w:color="auto"/>
            </w:tcBorders>
            <w:vAlign w:val="center"/>
          </w:tcPr>
          <w:p w14:paraId="47E338E1" w14:textId="77777777" w:rsidR="003328F9" w:rsidRPr="00DD0D1F" w:rsidRDefault="003328F9" w:rsidP="003328F9">
            <w:pPr>
              <w:adjustRightInd w:val="0"/>
              <w:spacing w:line="240" w:lineRule="auto"/>
              <w:ind w:left="74" w:right="74"/>
              <w:rPr>
                <w:rFonts w:cs="Times New Roman"/>
                <w:szCs w:val="24"/>
                <w:lang w:val="tr-TR"/>
              </w:rPr>
            </w:pPr>
          </w:p>
          <w:p w14:paraId="7309D831" w14:textId="77777777" w:rsidR="003328F9" w:rsidRPr="00DD0D1F" w:rsidRDefault="003328F9" w:rsidP="003328F9">
            <w:pPr>
              <w:adjustRightInd w:val="0"/>
              <w:spacing w:line="240" w:lineRule="auto"/>
              <w:ind w:left="74" w:right="74"/>
              <w:rPr>
                <w:rFonts w:cs="Times New Roman"/>
                <w:szCs w:val="24"/>
                <w:lang w:val="tr-TR"/>
              </w:rPr>
            </w:pPr>
          </w:p>
          <w:p w14:paraId="5BB7C27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p w14:paraId="33AB3F98" w14:textId="77777777" w:rsidR="003328F9" w:rsidRPr="00DD0D1F" w:rsidRDefault="003328F9" w:rsidP="003328F9">
            <w:pPr>
              <w:adjustRightInd w:val="0"/>
              <w:spacing w:line="240" w:lineRule="auto"/>
              <w:ind w:left="74" w:right="74"/>
              <w:rPr>
                <w:rFonts w:cs="Times New Roman"/>
                <w:szCs w:val="24"/>
                <w:lang w:val="tr-TR"/>
              </w:rPr>
            </w:pPr>
          </w:p>
        </w:tc>
        <w:tc>
          <w:tcPr>
            <w:tcW w:w="1588" w:type="pct"/>
            <w:tcBorders>
              <w:top w:val="single" w:sz="6" w:space="0" w:color="auto"/>
              <w:left w:val="single" w:sz="6" w:space="0" w:color="auto"/>
              <w:bottom w:val="single" w:sz="6" w:space="0" w:color="auto"/>
              <w:right w:val="single" w:sz="6" w:space="0" w:color="auto"/>
            </w:tcBorders>
            <w:vAlign w:val="center"/>
          </w:tcPr>
          <w:p w14:paraId="4BB37C31" w14:textId="77777777" w:rsidR="003328F9" w:rsidRPr="00DD0D1F" w:rsidRDefault="003328F9" w:rsidP="003328F9">
            <w:pPr>
              <w:adjustRightInd w:val="0"/>
              <w:spacing w:line="240" w:lineRule="auto"/>
              <w:ind w:left="74" w:right="74"/>
              <w:rPr>
                <w:rFonts w:cs="Times New Roman"/>
                <w:szCs w:val="24"/>
                <w:lang w:val="tr-TR"/>
              </w:rPr>
            </w:pPr>
          </w:p>
          <w:p w14:paraId="3FB032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6595E1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“Kayma” SCR ile birlikte uygulanabilir.</w:t>
            </w:r>
          </w:p>
          <w:p w14:paraId="41EAA29A"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616CD2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Homojen NH</w:t>
            </w:r>
            <w:r w:rsidRPr="00DD0D1F">
              <w:rPr>
                <w:rFonts w:cs="Times New Roman"/>
                <w:szCs w:val="24"/>
                <w:vertAlign w:val="subscript"/>
                <w:lang w:val="tr-TR"/>
              </w:rPr>
              <w:t>3</w:t>
            </w:r>
            <w:r w:rsidRPr="00DD0D1F">
              <w:rPr>
                <w:rFonts w:cs="Times New Roman"/>
                <w:szCs w:val="24"/>
                <w:lang w:val="tr-TR"/>
              </w:rPr>
              <w:t xml:space="preserve"> ve NO</w:t>
            </w:r>
            <w:r w:rsidRPr="00DD0D1F">
              <w:rPr>
                <w:rFonts w:cs="Times New Roman"/>
                <w:szCs w:val="24"/>
                <w:vertAlign w:val="subscript"/>
                <w:lang w:val="tr-TR"/>
              </w:rPr>
              <w:t xml:space="preserve">X </w:t>
            </w:r>
            <w:r w:rsidRPr="00DD0D1F">
              <w:rPr>
                <w:rFonts w:cs="Times New Roman"/>
                <w:szCs w:val="24"/>
                <w:lang w:val="tr-TR"/>
              </w:rPr>
              <w:t>karışımını engelleyen büyük kesit alanlı kazanlar söz konusu olduğunda uygulanabilirliği sınırlıdır.</w:t>
            </w:r>
          </w:p>
          <w:p w14:paraId="26C8C9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&lt;1500 saat/yıl çalıştırılan yakma tesislerinde uygulanabilirliği sınırlıdır.</w:t>
            </w:r>
          </w:p>
        </w:tc>
      </w:tr>
      <w:tr w:rsidR="003328F9" w:rsidRPr="00DD0D1F" w14:paraId="26331B4A" w14:textId="77777777" w:rsidTr="003328F9">
        <w:trPr>
          <w:trHeight w:val="1537"/>
        </w:trPr>
        <w:tc>
          <w:tcPr>
            <w:tcW w:w="211" w:type="pct"/>
            <w:tcBorders>
              <w:top w:val="single" w:sz="6" w:space="0" w:color="auto"/>
              <w:left w:val="single" w:sz="4" w:space="0" w:color="auto"/>
              <w:bottom w:val="single" w:sz="6" w:space="0" w:color="auto"/>
              <w:right w:val="single" w:sz="6" w:space="0" w:color="auto"/>
            </w:tcBorders>
            <w:vAlign w:val="center"/>
          </w:tcPr>
          <w:p w14:paraId="1A7CB6B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77" w:type="pct"/>
            <w:tcBorders>
              <w:top w:val="single" w:sz="6" w:space="0" w:color="auto"/>
              <w:left w:val="single" w:sz="6" w:space="0" w:color="auto"/>
              <w:bottom w:val="single" w:sz="6" w:space="0" w:color="auto"/>
              <w:right w:val="single" w:sz="6" w:space="0" w:color="auto"/>
            </w:tcBorders>
            <w:vAlign w:val="center"/>
          </w:tcPr>
          <w:p w14:paraId="3D7A39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588" w:type="pct"/>
            <w:tcBorders>
              <w:top w:val="single" w:sz="6" w:space="0" w:color="auto"/>
              <w:left w:val="single" w:sz="6" w:space="0" w:color="auto"/>
              <w:bottom w:val="single" w:sz="6" w:space="0" w:color="auto"/>
              <w:right w:val="single" w:sz="6" w:space="0" w:color="auto"/>
            </w:tcBorders>
            <w:vAlign w:val="center"/>
          </w:tcPr>
          <w:p w14:paraId="14EFB9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8.3’deki açıklamaya bakınız.</w:t>
            </w:r>
          </w:p>
          <w:p w14:paraId="4BBD9A3C"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43D2CC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ve &lt;500 saat/yıl çalıştırılan yakma tesislerine uygulanmaz.</w:t>
            </w:r>
          </w:p>
          <w:p w14:paraId="08F89F1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p w14:paraId="44FC82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ve anma ısıl gücü ≥300 MW</w:t>
            </w:r>
            <w:r w:rsidRPr="00DD0D1F">
              <w:rPr>
                <w:rFonts w:cs="Times New Roman"/>
                <w:szCs w:val="24"/>
                <w:vertAlign w:val="subscript"/>
                <w:lang w:val="tr-TR"/>
              </w:rPr>
              <w:t>th</w:t>
            </w:r>
            <w:r w:rsidRPr="00DD0D1F">
              <w:rPr>
                <w:rFonts w:cs="Times New Roman"/>
                <w:szCs w:val="24"/>
                <w:lang w:val="tr-TR"/>
              </w:rPr>
              <w:t xml:space="preserve"> olan mevcut yakma tesisleri için ve 500 saat/yıl ila 1500 saat/yıl arası çalıştırılan mevcut yakma tesislerinin iyileştirilmesi için teknik ve ekonomik kısıtlamalar bulunabilir.</w:t>
            </w:r>
          </w:p>
        </w:tc>
      </w:tr>
      <w:tr w:rsidR="003328F9" w:rsidRPr="00DD0D1F" w14:paraId="51CBFEBA" w14:textId="77777777" w:rsidTr="003328F9">
        <w:trPr>
          <w:trHeight w:val="366"/>
        </w:trPr>
        <w:tc>
          <w:tcPr>
            <w:tcW w:w="211" w:type="pct"/>
            <w:tcBorders>
              <w:top w:val="single" w:sz="6" w:space="0" w:color="auto"/>
              <w:left w:val="single" w:sz="4" w:space="0" w:color="auto"/>
              <w:bottom w:val="single" w:sz="4" w:space="0" w:color="auto"/>
              <w:right w:val="single" w:sz="6" w:space="0" w:color="auto"/>
            </w:tcBorders>
            <w:vAlign w:val="center"/>
          </w:tcPr>
          <w:p w14:paraId="11AAA26E" w14:textId="77777777" w:rsidR="003328F9" w:rsidRPr="00DD0D1F" w:rsidRDefault="003328F9" w:rsidP="003328F9">
            <w:pPr>
              <w:adjustRightInd w:val="0"/>
              <w:spacing w:line="240" w:lineRule="auto"/>
              <w:ind w:left="74" w:right="74"/>
              <w:rPr>
                <w:rFonts w:cs="Times New Roman"/>
                <w:szCs w:val="24"/>
                <w:lang w:val="tr-TR"/>
              </w:rPr>
            </w:pPr>
          </w:p>
          <w:p w14:paraId="5A26007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77" w:type="pct"/>
            <w:tcBorders>
              <w:top w:val="single" w:sz="6" w:space="0" w:color="auto"/>
              <w:left w:val="single" w:sz="6" w:space="0" w:color="auto"/>
              <w:bottom w:val="single" w:sz="4" w:space="0" w:color="auto"/>
              <w:right w:val="single" w:sz="6" w:space="0" w:color="auto"/>
            </w:tcBorders>
            <w:vAlign w:val="center"/>
          </w:tcPr>
          <w:p w14:paraId="7EEBEEE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’in azaltılması için birleşik teknikler</w:t>
            </w:r>
          </w:p>
        </w:tc>
        <w:tc>
          <w:tcPr>
            <w:tcW w:w="1588" w:type="pct"/>
            <w:tcBorders>
              <w:top w:val="single" w:sz="6" w:space="0" w:color="auto"/>
              <w:left w:val="single" w:sz="6" w:space="0" w:color="auto"/>
              <w:bottom w:val="single" w:sz="4" w:space="0" w:color="auto"/>
              <w:right w:val="single" w:sz="6" w:space="0" w:color="auto"/>
            </w:tcBorders>
            <w:vAlign w:val="center"/>
          </w:tcPr>
          <w:p w14:paraId="3C3802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Bölüm 8.3’deki açıklamaya bakınız.</w:t>
            </w:r>
          </w:p>
        </w:tc>
        <w:tc>
          <w:tcPr>
            <w:tcW w:w="1824" w:type="pct"/>
            <w:tcBorders>
              <w:top w:val="single" w:sz="6" w:space="0" w:color="auto"/>
              <w:left w:val="single" w:sz="6" w:space="0" w:color="auto"/>
              <w:bottom w:val="single" w:sz="4" w:space="0" w:color="auto"/>
              <w:right w:val="single" w:sz="4" w:space="0" w:color="auto"/>
            </w:tcBorders>
            <w:vAlign w:val="center"/>
          </w:tcPr>
          <w:p w14:paraId="4BD5528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özellikleri ve yanma prosesine bağlı olarak her durum için değerlendirme yapılarak uygulanabilir.</w:t>
            </w:r>
          </w:p>
        </w:tc>
      </w:tr>
    </w:tbl>
    <w:p w14:paraId="19F7FED0"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ve/veya linyitin yakılmasından kaynaklanan, havaya NO</w:t>
      </w:r>
      <w:r w:rsidRPr="00316427">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263"/>
        <w:gridCol w:w="2079"/>
        <w:gridCol w:w="1578"/>
        <w:gridCol w:w="1305"/>
        <w:gridCol w:w="1852"/>
      </w:tblGrid>
      <w:tr w:rsidR="003328F9" w:rsidRPr="00DD0D1F" w14:paraId="6CB7BF07" w14:textId="77777777" w:rsidTr="00FD308E">
        <w:trPr>
          <w:trHeight w:val="48"/>
        </w:trPr>
        <w:tc>
          <w:tcPr>
            <w:tcW w:w="1247" w:type="pct"/>
            <w:vMerge w:val="restart"/>
            <w:tcBorders>
              <w:top w:val="single" w:sz="4" w:space="0" w:color="auto"/>
              <w:left w:val="single" w:sz="4" w:space="0" w:color="auto"/>
              <w:right w:val="single" w:sz="6" w:space="0" w:color="auto"/>
            </w:tcBorders>
            <w:vAlign w:val="center"/>
          </w:tcPr>
          <w:p w14:paraId="59F731D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3753" w:type="pct"/>
            <w:gridSpan w:val="4"/>
            <w:tcBorders>
              <w:top w:val="single" w:sz="4" w:space="0" w:color="auto"/>
              <w:left w:val="single" w:sz="6" w:space="0" w:color="auto"/>
              <w:bottom w:val="single" w:sz="6" w:space="0" w:color="auto"/>
              <w:right w:val="single" w:sz="4" w:space="0" w:color="auto"/>
            </w:tcBorders>
            <w:vAlign w:val="center"/>
          </w:tcPr>
          <w:p w14:paraId="7B404C3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45691F48" w14:textId="77777777" w:rsidTr="00FD308E">
        <w:trPr>
          <w:trHeight w:val="51"/>
        </w:trPr>
        <w:tc>
          <w:tcPr>
            <w:tcW w:w="1247" w:type="pct"/>
            <w:vMerge/>
            <w:tcBorders>
              <w:left w:val="single" w:sz="4" w:space="0" w:color="auto"/>
              <w:right w:val="single" w:sz="6" w:space="0" w:color="auto"/>
            </w:tcBorders>
            <w:vAlign w:val="center"/>
          </w:tcPr>
          <w:p w14:paraId="6028577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014" w:type="pct"/>
            <w:gridSpan w:val="2"/>
            <w:tcBorders>
              <w:top w:val="single" w:sz="6" w:space="0" w:color="auto"/>
              <w:left w:val="single" w:sz="6" w:space="0" w:color="auto"/>
              <w:bottom w:val="single" w:sz="6" w:space="0" w:color="auto"/>
              <w:right w:val="single" w:sz="6" w:space="0" w:color="auto"/>
            </w:tcBorders>
            <w:vAlign w:val="center"/>
          </w:tcPr>
          <w:p w14:paraId="06B06E0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39" w:type="pct"/>
            <w:gridSpan w:val="2"/>
            <w:tcBorders>
              <w:top w:val="single" w:sz="6" w:space="0" w:color="auto"/>
              <w:left w:val="single" w:sz="6" w:space="0" w:color="auto"/>
              <w:bottom w:val="single" w:sz="6" w:space="0" w:color="auto"/>
              <w:right w:val="single" w:sz="4" w:space="0" w:color="auto"/>
            </w:tcBorders>
            <w:vAlign w:val="center"/>
          </w:tcPr>
          <w:p w14:paraId="397A282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1E628A8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1F2B3425" w14:textId="77777777" w:rsidTr="00FD308E">
        <w:trPr>
          <w:trHeight w:val="407"/>
        </w:trPr>
        <w:tc>
          <w:tcPr>
            <w:tcW w:w="1247" w:type="pct"/>
            <w:vMerge/>
            <w:tcBorders>
              <w:left w:val="single" w:sz="4" w:space="0" w:color="auto"/>
              <w:bottom w:val="single" w:sz="6" w:space="0" w:color="auto"/>
              <w:right w:val="single" w:sz="6" w:space="0" w:color="auto"/>
            </w:tcBorders>
            <w:vAlign w:val="center"/>
          </w:tcPr>
          <w:p w14:paraId="6CE1D682"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145" w:type="pct"/>
            <w:tcBorders>
              <w:top w:val="single" w:sz="6" w:space="0" w:color="auto"/>
              <w:left w:val="single" w:sz="6" w:space="0" w:color="auto"/>
              <w:bottom w:val="single" w:sz="6" w:space="0" w:color="auto"/>
              <w:right w:val="single" w:sz="6" w:space="0" w:color="auto"/>
            </w:tcBorders>
            <w:vAlign w:val="center"/>
          </w:tcPr>
          <w:p w14:paraId="2EEF32C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69" w:type="pct"/>
            <w:tcBorders>
              <w:top w:val="single" w:sz="6" w:space="0" w:color="auto"/>
              <w:left w:val="single" w:sz="6" w:space="0" w:color="auto"/>
              <w:bottom w:val="single" w:sz="6" w:space="0" w:color="auto"/>
              <w:right w:val="single" w:sz="6" w:space="0" w:color="auto"/>
            </w:tcBorders>
            <w:vAlign w:val="center"/>
          </w:tcPr>
          <w:p w14:paraId="297B2E4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719" w:type="pct"/>
            <w:tcBorders>
              <w:top w:val="single" w:sz="6" w:space="0" w:color="auto"/>
              <w:left w:val="single" w:sz="6" w:space="0" w:color="auto"/>
              <w:bottom w:val="single" w:sz="6" w:space="0" w:color="auto"/>
              <w:right w:val="single" w:sz="6" w:space="0" w:color="auto"/>
            </w:tcBorders>
            <w:vAlign w:val="center"/>
          </w:tcPr>
          <w:p w14:paraId="75ABC9B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020" w:type="pct"/>
            <w:tcBorders>
              <w:top w:val="single" w:sz="6" w:space="0" w:color="auto"/>
              <w:left w:val="single" w:sz="6" w:space="0" w:color="auto"/>
              <w:bottom w:val="single" w:sz="6" w:space="0" w:color="auto"/>
              <w:right w:val="single" w:sz="4" w:space="0" w:color="auto"/>
            </w:tcBorders>
            <w:vAlign w:val="center"/>
          </w:tcPr>
          <w:p w14:paraId="5A663C7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r>
      <w:tr w:rsidR="003328F9" w:rsidRPr="00DD0D1F" w14:paraId="0D87AA84" w14:textId="77777777" w:rsidTr="00FD308E">
        <w:trPr>
          <w:trHeight w:val="48"/>
        </w:trPr>
        <w:tc>
          <w:tcPr>
            <w:tcW w:w="1247" w:type="pct"/>
            <w:tcBorders>
              <w:top w:val="single" w:sz="6" w:space="0" w:color="auto"/>
              <w:left w:val="single" w:sz="4" w:space="0" w:color="auto"/>
              <w:bottom w:val="single" w:sz="6" w:space="0" w:color="auto"/>
              <w:right w:val="single" w:sz="6" w:space="0" w:color="auto"/>
            </w:tcBorders>
            <w:vAlign w:val="center"/>
          </w:tcPr>
          <w:p w14:paraId="577C33C6" w14:textId="07A65D50"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145" w:type="pct"/>
            <w:tcBorders>
              <w:top w:val="single" w:sz="6" w:space="0" w:color="auto"/>
              <w:left w:val="single" w:sz="6" w:space="0" w:color="auto"/>
              <w:bottom w:val="single" w:sz="6" w:space="0" w:color="auto"/>
              <w:right w:val="single" w:sz="6" w:space="0" w:color="auto"/>
            </w:tcBorders>
            <w:vAlign w:val="center"/>
          </w:tcPr>
          <w:p w14:paraId="52DB25F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100-150</w:t>
            </w:r>
          </w:p>
        </w:tc>
        <w:tc>
          <w:tcPr>
            <w:tcW w:w="869" w:type="pct"/>
            <w:tcBorders>
              <w:top w:val="single" w:sz="6" w:space="0" w:color="auto"/>
              <w:left w:val="single" w:sz="6" w:space="0" w:color="auto"/>
              <w:bottom w:val="single" w:sz="6" w:space="0" w:color="auto"/>
              <w:right w:val="single" w:sz="6" w:space="0" w:color="auto"/>
            </w:tcBorders>
            <w:vAlign w:val="center"/>
          </w:tcPr>
          <w:p w14:paraId="3C4B87C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100-270</w:t>
            </w:r>
          </w:p>
        </w:tc>
        <w:tc>
          <w:tcPr>
            <w:tcW w:w="719" w:type="pct"/>
            <w:tcBorders>
              <w:top w:val="single" w:sz="6" w:space="0" w:color="auto"/>
              <w:left w:val="single" w:sz="6" w:space="0" w:color="auto"/>
              <w:bottom w:val="single" w:sz="6" w:space="0" w:color="auto"/>
              <w:right w:val="single" w:sz="6" w:space="0" w:color="auto"/>
            </w:tcBorders>
            <w:vAlign w:val="center"/>
          </w:tcPr>
          <w:p w14:paraId="38A4FFD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155-200</w:t>
            </w:r>
          </w:p>
        </w:tc>
        <w:tc>
          <w:tcPr>
            <w:tcW w:w="1020" w:type="pct"/>
            <w:tcBorders>
              <w:top w:val="single" w:sz="6" w:space="0" w:color="auto"/>
              <w:left w:val="single" w:sz="6" w:space="0" w:color="auto"/>
              <w:bottom w:val="single" w:sz="6" w:space="0" w:color="auto"/>
              <w:right w:val="single" w:sz="4" w:space="0" w:color="auto"/>
            </w:tcBorders>
            <w:vAlign w:val="center"/>
          </w:tcPr>
          <w:p w14:paraId="2CF6A79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165-330</w:t>
            </w:r>
          </w:p>
        </w:tc>
      </w:tr>
      <w:tr w:rsidR="003328F9" w:rsidRPr="00DD0D1F" w14:paraId="20F758B4" w14:textId="77777777" w:rsidTr="00FD308E">
        <w:trPr>
          <w:trHeight w:val="103"/>
        </w:trPr>
        <w:tc>
          <w:tcPr>
            <w:tcW w:w="1247" w:type="pct"/>
            <w:tcBorders>
              <w:top w:val="single" w:sz="6" w:space="0" w:color="auto"/>
              <w:left w:val="single" w:sz="4" w:space="0" w:color="auto"/>
              <w:bottom w:val="single" w:sz="6" w:space="0" w:color="auto"/>
              <w:right w:val="single" w:sz="6" w:space="0" w:color="auto"/>
            </w:tcBorders>
            <w:vAlign w:val="center"/>
          </w:tcPr>
          <w:p w14:paraId="28A543F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1145" w:type="pct"/>
            <w:tcBorders>
              <w:top w:val="single" w:sz="6" w:space="0" w:color="auto"/>
              <w:left w:val="single" w:sz="6" w:space="0" w:color="auto"/>
              <w:bottom w:val="single" w:sz="6" w:space="0" w:color="auto"/>
              <w:right w:val="single" w:sz="6" w:space="0" w:color="auto"/>
            </w:tcBorders>
            <w:vAlign w:val="center"/>
          </w:tcPr>
          <w:p w14:paraId="672C8B6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50-100</w:t>
            </w:r>
          </w:p>
        </w:tc>
        <w:tc>
          <w:tcPr>
            <w:tcW w:w="869" w:type="pct"/>
            <w:tcBorders>
              <w:top w:val="single" w:sz="6" w:space="0" w:color="auto"/>
              <w:left w:val="single" w:sz="6" w:space="0" w:color="auto"/>
              <w:bottom w:val="single" w:sz="6" w:space="0" w:color="auto"/>
              <w:right w:val="single" w:sz="6" w:space="0" w:color="auto"/>
            </w:tcBorders>
            <w:vAlign w:val="center"/>
          </w:tcPr>
          <w:p w14:paraId="32EBFAB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100-180</w:t>
            </w:r>
          </w:p>
        </w:tc>
        <w:tc>
          <w:tcPr>
            <w:tcW w:w="719" w:type="pct"/>
            <w:tcBorders>
              <w:top w:val="single" w:sz="6" w:space="0" w:color="auto"/>
              <w:left w:val="single" w:sz="6" w:space="0" w:color="auto"/>
              <w:bottom w:val="single" w:sz="6" w:space="0" w:color="auto"/>
              <w:right w:val="single" w:sz="6" w:space="0" w:color="auto"/>
            </w:tcBorders>
            <w:vAlign w:val="center"/>
          </w:tcPr>
          <w:p w14:paraId="21FEA06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80-130</w:t>
            </w:r>
          </w:p>
        </w:tc>
        <w:tc>
          <w:tcPr>
            <w:tcW w:w="1020" w:type="pct"/>
            <w:tcBorders>
              <w:top w:val="single" w:sz="6" w:space="0" w:color="auto"/>
              <w:left w:val="single" w:sz="6" w:space="0" w:color="auto"/>
              <w:bottom w:val="single" w:sz="6" w:space="0" w:color="auto"/>
              <w:right w:val="single" w:sz="4" w:space="0" w:color="auto"/>
            </w:tcBorders>
            <w:vAlign w:val="center"/>
          </w:tcPr>
          <w:p w14:paraId="405BE89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155-210</w:t>
            </w:r>
          </w:p>
        </w:tc>
      </w:tr>
      <w:tr w:rsidR="003328F9" w:rsidRPr="00DD0D1F" w14:paraId="68DD60D9" w14:textId="77777777" w:rsidTr="00FD308E">
        <w:trPr>
          <w:trHeight w:val="48"/>
        </w:trPr>
        <w:tc>
          <w:tcPr>
            <w:tcW w:w="1247" w:type="pct"/>
            <w:tcBorders>
              <w:top w:val="single" w:sz="6" w:space="0" w:color="auto"/>
              <w:left w:val="single" w:sz="4" w:space="0" w:color="auto"/>
              <w:bottom w:val="single" w:sz="6" w:space="0" w:color="auto"/>
              <w:right w:val="single" w:sz="6" w:space="0" w:color="auto"/>
            </w:tcBorders>
            <w:vAlign w:val="center"/>
          </w:tcPr>
          <w:p w14:paraId="4C12B56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 kömür ve/veya linyit ile çalışan FBC (Akışkan yataklı yakma) kazanı ve linyit ile çalışan PC (Pulverize yakma) kazanı</w:t>
            </w:r>
          </w:p>
        </w:tc>
        <w:tc>
          <w:tcPr>
            <w:tcW w:w="1145" w:type="pct"/>
            <w:tcBorders>
              <w:top w:val="single" w:sz="6" w:space="0" w:color="auto"/>
              <w:left w:val="single" w:sz="6" w:space="0" w:color="auto"/>
              <w:bottom w:val="single" w:sz="6" w:space="0" w:color="auto"/>
              <w:right w:val="single" w:sz="6" w:space="0" w:color="auto"/>
            </w:tcBorders>
            <w:vAlign w:val="center"/>
          </w:tcPr>
          <w:p w14:paraId="04C6EDB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50 - 85</w:t>
            </w:r>
          </w:p>
        </w:tc>
        <w:tc>
          <w:tcPr>
            <w:tcW w:w="869" w:type="pct"/>
            <w:tcBorders>
              <w:top w:val="single" w:sz="6" w:space="0" w:color="auto"/>
              <w:left w:val="single" w:sz="6" w:space="0" w:color="auto"/>
              <w:bottom w:val="single" w:sz="6" w:space="0" w:color="auto"/>
              <w:right w:val="single" w:sz="6" w:space="0" w:color="auto"/>
            </w:tcBorders>
            <w:vAlign w:val="center"/>
          </w:tcPr>
          <w:p w14:paraId="5E9B4F0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&lt;85 -150 (</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p>
        </w:tc>
        <w:tc>
          <w:tcPr>
            <w:tcW w:w="719" w:type="pct"/>
            <w:tcBorders>
              <w:top w:val="single" w:sz="6" w:space="0" w:color="auto"/>
              <w:left w:val="single" w:sz="6" w:space="0" w:color="auto"/>
              <w:bottom w:val="single" w:sz="6" w:space="0" w:color="auto"/>
              <w:right w:val="single" w:sz="6" w:space="0" w:color="auto"/>
            </w:tcBorders>
            <w:vAlign w:val="center"/>
          </w:tcPr>
          <w:p w14:paraId="073320C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80 - 125</w:t>
            </w:r>
          </w:p>
        </w:tc>
        <w:tc>
          <w:tcPr>
            <w:tcW w:w="1020" w:type="pct"/>
            <w:tcBorders>
              <w:top w:val="single" w:sz="6" w:space="0" w:color="auto"/>
              <w:left w:val="single" w:sz="6" w:space="0" w:color="auto"/>
              <w:bottom w:val="single" w:sz="6" w:space="0" w:color="auto"/>
              <w:right w:val="single" w:sz="4" w:space="0" w:color="auto"/>
            </w:tcBorders>
            <w:vAlign w:val="center"/>
          </w:tcPr>
          <w:p w14:paraId="4F7C267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140 - 165 (</w:t>
            </w:r>
            <w:r w:rsidRPr="00DD0D1F">
              <w:rPr>
                <w:rFonts w:cs="Times New Roman"/>
                <w:szCs w:val="24"/>
                <w:vertAlign w:val="superscript"/>
                <w:lang w:val="tr-TR"/>
              </w:rPr>
              <w:t>6</w:t>
            </w:r>
            <w:r w:rsidRPr="00DD0D1F">
              <w:rPr>
                <w:rFonts w:cs="Times New Roman"/>
                <w:szCs w:val="24"/>
                <w:lang w:val="tr-TR"/>
              </w:rPr>
              <w:t>)</w:t>
            </w:r>
          </w:p>
        </w:tc>
      </w:tr>
      <w:tr w:rsidR="003328F9" w:rsidRPr="00DD0D1F" w14:paraId="77BDB48D" w14:textId="77777777" w:rsidTr="00FD308E">
        <w:trPr>
          <w:trHeight w:val="48"/>
        </w:trPr>
        <w:tc>
          <w:tcPr>
            <w:tcW w:w="1247" w:type="pct"/>
            <w:tcBorders>
              <w:top w:val="single" w:sz="6" w:space="0" w:color="auto"/>
              <w:left w:val="single" w:sz="4" w:space="0" w:color="auto"/>
              <w:bottom w:val="single" w:sz="6" w:space="0" w:color="auto"/>
              <w:right w:val="single" w:sz="6" w:space="0" w:color="auto"/>
            </w:tcBorders>
            <w:vAlign w:val="center"/>
          </w:tcPr>
          <w:p w14:paraId="0FD9641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 kömür ile çalışan PC kazanı</w:t>
            </w:r>
          </w:p>
        </w:tc>
        <w:tc>
          <w:tcPr>
            <w:tcW w:w="1145" w:type="pct"/>
            <w:tcBorders>
              <w:top w:val="single" w:sz="6" w:space="0" w:color="auto"/>
              <w:left w:val="single" w:sz="6" w:space="0" w:color="auto"/>
              <w:bottom w:val="single" w:sz="6" w:space="0" w:color="auto"/>
              <w:right w:val="single" w:sz="6" w:space="0" w:color="auto"/>
            </w:tcBorders>
            <w:vAlign w:val="center"/>
          </w:tcPr>
          <w:p w14:paraId="21E07DA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65 - 85</w:t>
            </w:r>
          </w:p>
        </w:tc>
        <w:tc>
          <w:tcPr>
            <w:tcW w:w="869" w:type="pct"/>
            <w:tcBorders>
              <w:top w:val="single" w:sz="6" w:space="0" w:color="auto"/>
              <w:left w:val="single" w:sz="6" w:space="0" w:color="auto"/>
              <w:bottom w:val="single" w:sz="6" w:space="0" w:color="auto"/>
              <w:right w:val="single" w:sz="6" w:space="0" w:color="auto"/>
            </w:tcBorders>
            <w:vAlign w:val="center"/>
          </w:tcPr>
          <w:p w14:paraId="3C40255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65 - 150</w:t>
            </w:r>
          </w:p>
        </w:tc>
        <w:tc>
          <w:tcPr>
            <w:tcW w:w="719" w:type="pct"/>
            <w:tcBorders>
              <w:top w:val="single" w:sz="6" w:space="0" w:color="auto"/>
              <w:left w:val="single" w:sz="6" w:space="0" w:color="auto"/>
              <w:bottom w:val="single" w:sz="6" w:space="0" w:color="auto"/>
              <w:right w:val="single" w:sz="6" w:space="0" w:color="auto"/>
            </w:tcBorders>
            <w:vAlign w:val="center"/>
          </w:tcPr>
          <w:p w14:paraId="03E62A2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80 - 125</w:t>
            </w:r>
          </w:p>
        </w:tc>
        <w:tc>
          <w:tcPr>
            <w:tcW w:w="1020" w:type="pct"/>
            <w:tcBorders>
              <w:top w:val="single" w:sz="6" w:space="0" w:color="auto"/>
              <w:left w:val="single" w:sz="6" w:space="0" w:color="auto"/>
              <w:bottom w:val="single" w:sz="6" w:space="0" w:color="auto"/>
              <w:right w:val="single" w:sz="4" w:space="0" w:color="auto"/>
            </w:tcBorders>
            <w:vAlign w:val="center"/>
          </w:tcPr>
          <w:p w14:paraId="2FEB7A4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&lt;85 - 165 (</w:t>
            </w:r>
            <w:r w:rsidRPr="00DD0D1F">
              <w:rPr>
                <w:rFonts w:cs="Times New Roman"/>
                <w:szCs w:val="24"/>
                <w:vertAlign w:val="superscript"/>
                <w:lang w:val="tr-TR"/>
              </w:rPr>
              <w:t>7</w:t>
            </w:r>
            <w:r w:rsidRPr="00DD0D1F">
              <w:rPr>
                <w:rFonts w:cs="Times New Roman"/>
                <w:szCs w:val="24"/>
                <w:lang w:val="tr-TR"/>
              </w:rPr>
              <w:t>)</w:t>
            </w:r>
          </w:p>
        </w:tc>
      </w:tr>
      <w:tr w:rsidR="003328F9" w:rsidRPr="00DD0D1F" w14:paraId="7E96B942" w14:textId="77777777" w:rsidTr="003328F9">
        <w:trPr>
          <w:trHeight w:val="420"/>
        </w:trPr>
        <w:tc>
          <w:tcPr>
            <w:tcW w:w="5000" w:type="pct"/>
            <w:gridSpan w:val="5"/>
            <w:tcBorders>
              <w:top w:val="single" w:sz="6" w:space="0" w:color="auto"/>
              <w:left w:val="single" w:sz="4" w:space="0" w:color="auto"/>
              <w:bottom w:val="single" w:sz="4" w:space="0" w:color="auto"/>
              <w:right w:val="single" w:sz="4" w:space="0" w:color="auto"/>
            </w:tcBorders>
          </w:tcPr>
          <w:p w14:paraId="43C4741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i/>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62A77624" w14:textId="153D2C13"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&lt;1500 saat/yıl çalıştırılan ve SCR ve/veya SNCR'nin uygulanmadığı, 1 Temmuz 1987 tarihinden önce devreye alınan, kömür ile çalışan PC kazanlarda aralığın üst </w:t>
            </w:r>
            <w:r w:rsidR="008214A3" w:rsidRPr="00DD0D1F">
              <w:rPr>
                <w:rFonts w:cs="Times New Roman"/>
                <w:szCs w:val="24"/>
                <w:lang w:val="tr-TR"/>
              </w:rPr>
              <w:t>sınırı</w:t>
            </w:r>
            <w:r w:rsidRPr="00DD0D1F">
              <w:rPr>
                <w:rFonts w:cs="Times New Roman"/>
                <w:szCs w:val="24"/>
                <w:lang w:val="tr-TR"/>
              </w:rPr>
              <w:t xml:space="preserve"> 340 mg/Nm</w:t>
            </w:r>
            <w:r w:rsidRPr="00DD0D1F">
              <w:rPr>
                <w:rFonts w:cs="Times New Roman"/>
                <w:szCs w:val="24"/>
                <w:vertAlign w:val="superscript"/>
                <w:lang w:val="tr-TR"/>
              </w:rPr>
              <w:t>3</w:t>
            </w:r>
            <w:r w:rsidRPr="00DD0D1F">
              <w:rPr>
                <w:rFonts w:cs="Times New Roman"/>
                <w:szCs w:val="24"/>
                <w:lang w:val="tr-TR"/>
              </w:rPr>
              <w:t>'tür.</w:t>
            </w:r>
          </w:p>
          <w:p w14:paraId="4D6C3BB6"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4C3B9FE4" w14:textId="0BDFBE03"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SCR kullanılırken aralığın </w:t>
            </w:r>
            <w:r w:rsidR="006B2679" w:rsidRPr="00DD0D1F">
              <w:rPr>
                <w:rFonts w:cs="Times New Roman"/>
                <w:szCs w:val="24"/>
                <w:lang w:val="tr-TR"/>
              </w:rPr>
              <w:t xml:space="preserve">alt </w:t>
            </w:r>
            <w:r w:rsidR="008214A3" w:rsidRPr="00DD0D1F">
              <w:rPr>
                <w:rFonts w:cs="Times New Roman"/>
                <w:szCs w:val="24"/>
                <w:lang w:val="tr-TR"/>
              </w:rPr>
              <w:t xml:space="preserve">sınırı </w:t>
            </w:r>
            <w:r w:rsidRPr="00DD0D1F">
              <w:rPr>
                <w:rFonts w:cs="Times New Roman"/>
                <w:szCs w:val="24"/>
                <w:lang w:val="tr-TR"/>
              </w:rPr>
              <w:t xml:space="preserve">elde edilebilir. </w:t>
            </w:r>
          </w:p>
          <w:p w14:paraId="2671C173" w14:textId="1F70328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 xml:space="preserve">)  </w:t>
            </w:r>
            <w:r w:rsidR="00073FA5" w:rsidRPr="00DD0D1F">
              <w:rPr>
                <w:rFonts w:cs="Times New Roman"/>
                <w:szCs w:val="24"/>
                <w:lang w:val="tr-TR"/>
              </w:rPr>
              <w:t>1 Aralık 2025</w:t>
            </w:r>
            <w:r w:rsidRPr="00DD0D1F">
              <w:rPr>
                <w:rFonts w:cs="Times New Roman"/>
                <w:szCs w:val="24"/>
                <w:lang w:val="tr-TR"/>
              </w:rPr>
              <w:t xml:space="preserve"> tarihinden önce devreye alınan FBC kazanları ve linyit ile çalışan PC kazanları için aralığın üst </w:t>
            </w:r>
            <w:r w:rsidR="008214A3" w:rsidRPr="00DD0D1F">
              <w:rPr>
                <w:rFonts w:cs="Times New Roman"/>
                <w:szCs w:val="24"/>
                <w:lang w:val="tr-TR"/>
              </w:rPr>
              <w:t xml:space="preserve">sınırı </w:t>
            </w:r>
            <w:r w:rsidRPr="00DD0D1F">
              <w:rPr>
                <w:rFonts w:cs="Times New Roman"/>
                <w:szCs w:val="24"/>
                <w:lang w:val="tr-TR"/>
              </w:rPr>
              <w:t>175 mg/Nm</w:t>
            </w:r>
            <w:r w:rsidRPr="00DD0D1F">
              <w:rPr>
                <w:rFonts w:cs="Times New Roman"/>
                <w:szCs w:val="24"/>
                <w:vertAlign w:val="superscript"/>
                <w:lang w:val="tr-TR"/>
              </w:rPr>
              <w:t>3</w:t>
            </w:r>
            <w:r w:rsidRPr="00DD0D1F">
              <w:rPr>
                <w:rFonts w:cs="Times New Roman"/>
                <w:szCs w:val="24"/>
                <w:lang w:val="tr-TR"/>
              </w:rPr>
              <w:t>'tür.</w:t>
            </w:r>
          </w:p>
          <w:p w14:paraId="75172786" w14:textId="2AE61F31"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r>
            <w:r w:rsidR="00073FA5" w:rsidRPr="00DD0D1F">
              <w:rPr>
                <w:rFonts w:cs="Times New Roman"/>
                <w:szCs w:val="24"/>
                <w:lang w:val="tr-TR"/>
              </w:rPr>
              <w:t xml:space="preserve">1 Aralık 2025 </w:t>
            </w:r>
            <w:r w:rsidRPr="00DD0D1F">
              <w:rPr>
                <w:rFonts w:cs="Times New Roman"/>
                <w:szCs w:val="24"/>
                <w:lang w:val="tr-TR"/>
              </w:rPr>
              <w:t xml:space="preserve">tarihinden önce devreye alınan FBC kazanları ve linyit ile çalışan PC kazanları için kazanları için aralığın üst </w:t>
            </w:r>
            <w:r w:rsidR="008214A3" w:rsidRPr="00DD0D1F">
              <w:rPr>
                <w:rFonts w:cs="Times New Roman"/>
                <w:szCs w:val="24"/>
                <w:lang w:val="tr-TR"/>
              </w:rPr>
              <w:t xml:space="preserve">sınırı </w:t>
            </w:r>
            <w:r w:rsidRPr="00DD0D1F">
              <w:rPr>
                <w:rFonts w:cs="Times New Roman"/>
                <w:szCs w:val="24"/>
                <w:lang w:val="tr-TR"/>
              </w:rPr>
              <w:t>220 mg/Nm</w:t>
            </w:r>
            <w:r w:rsidRPr="00DD0D1F">
              <w:rPr>
                <w:rFonts w:cs="Times New Roman"/>
                <w:szCs w:val="24"/>
                <w:vertAlign w:val="superscript"/>
                <w:lang w:val="tr-TR"/>
              </w:rPr>
              <w:t>3</w:t>
            </w:r>
            <w:r w:rsidRPr="00DD0D1F">
              <w:rPr>
                <w:rFonts w:cs="Times New Roman"/>
                <w:szCs w:val="24"/>
                <w:lang w:val="tr-TR"/>
              </w:rPr>
              <w:t xml:space="preserve">'tür. </w:t>
            </w:r>
          </w:p>
          <w:p w14:paraId="14543C37" w14:textId="45628D3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r>
            <w:r w:rsidR="00073FA5" w:rsidRPr="00DD0D1F">
              <w:rPr>
                <w:rFonts w:cs="Times New Roman"/>
                <w:szCs w:val="24"/>
                <w:lang w:val="tr-TR"/>
              </w:rPr>
              <w:t xml:space="preserve">1 Aralık 2025 </w:t>
            </w:r>
            <w:r w:rsidRPr="00DD0D1F">
              <w:rPr>
                <w:rFonts w:cs="Times New Roman"/>
                <w:szCs w:val="24"/>
                <w:lang w:val="tr-TR"/>
              </w:rPr>
              <w:t xml:space="preserve">tarihinden önce devreye alınan, ≥1500 saat/yıl çalıştırılan tesisler için aralığın üst </w:t>
            </w:r>
            <w:r w:rsidR="008214A3" w:rsidRPr="00DD0D1F">
              <w:rPr>
                <w:rFonts w:cs="Times New Roman"/>
                <w:szCs w:val="24"/>
                <w:lang w:val="tr-TR"/>
              </w:rPr>
              <w:t xml:space="preserve">sınırı </w:t>
            </w:r>
            <w:r w:rsidRPr="00DD0D1F">
              <w:rPr>
                <w:rFonts w:cs="Times New Roman"/>
                <w:szCs w:val="24"/>
                <w:lang w:val="tr-TR"/>
              </w:rPr>
              <w:t>200 mg/Nm</w:t>
            </w:r>
            <w:r w:rsidRPr="00DD0D1F">
              <w:rPr>
                <w:rFonts w:cs="Times New Roman"/>
                <w:szCs w:val="24"/>
                <w:vertAlign w:val="superscript"/>
                <w:lang w:val="tr-TR"/>
              </w:rPr>
              <w:t>3</w:t>
            </w:r>
            <w:r w:rsidRPr="00DD0D1F">
              <w:rPr>
                <w:rFonts w:cs="Times New Roman"/>
                <w:szCs w:val="24"/>
                <w:lang w:val="tr-TR"/>
              </w:rPr>
              <w:t xml:space="preserve">’tür ve  &lt;1500 saat/yıl çalıştırılan tesisler için aralığın üst </w:t>
            </w:r>
            <w:r w:rsidR="008214A3" w:rsidRPr="00DD0D1F">
              <w:rPr>
                <w:rFonts w:cs="Times New Roman"/>
                <w:szCs w:val="24"/>
                <w:lang w:val="tr-TR"/>
              </w:rPr>
              <w:t xml:space="preserve">sınırı </w:t>
            </w:r>
            <w:r w:rsidRPr="00DD0D1F">
              <w:rPr>
                <w:rFonts w:cs="Times New Roman"/>
                <w:szCs w:val="24"/>
                <w:lang w:val="tr-TR"/>
              </w:rPr>
              <w:t>220 mg/Nm</w:t>
            </w:r>
            <w:r w:rsidRPr="00DD0D1F">
              <w:rPr>
                <w:rFonts w:cs="Times New Roman"/>
                <w:szCs w:val="24"/>
                <w:vertAlign w:val="superscript"/>
                <w:lang w:val="tr-TR"/>
              </w:rPr>
              <w:t>3</w:t>
            </w:r>
            <w:r w:rsidRPr="00DD0D1F">
              <w:rPr>
                <w:rFonts w:cs="Times New Roman"/>
                <w:szCs w:val="24"/>
                <w:lang w:val="tr-TR"/>
              </w:rPr>
              <w:t>'tür.</w:t>
            </w:r>
          </w:p>
        </w:tc>
      </w:tr>
    </w:tbl>
    <w:p w14:paraId="774E0A6A"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mevcut yakma tesisleri için veya yeni yakma tesisleri için yıllık ortalama CO emisyon seviyeleri genelde aşağıdaki gibi olacaktır.</w:t>
      </w:r>
    </w:p>
    <w:tbl>
      <w:tblPr>
        <w:tblW w:w="5000" w:type="pct"/>
        <w:tblCellMar>
          <w:left w:w="40" w:type="dxa"/>
          <w:right w:w="40" w:type="dxa"/>
        </w:tblCellMar>
        <w:tblLook w:val="0000" w:firstRow="0" w:lastRow="0" w:firstColumn="0" w:lastColumn="0" w:noHBand="0" w:noVBand="0"/>
      </w:tblPr>
      <w:tblGrid>
        <w:gridCol w:w="6928"/>
        <w:gridCol w:w="2149"/>
      </w:tblGrid>
      <w:tr w:rsidR="003328F9" w:rsidRPr="00DD0D1F" w14:paraId="6A1FA534" w14:textId="77777777" w:rsidTr="003328F9">
        <w:trPr>
          <w:trHeight w:val="550"/>
          <w:tblHeader/>
        </w:trPr>
        <w:tc>
          <w:tcPr>
            <w:tcW w:w="3816" w:type="pct"/>
            <w:tcBorders>
              <w:top w:val="single" w:sz="4" w:space="0" w:color="auto"/>
              <w:left w:val="single" w:sz="4" w:space="0" w:color="auto"/>
              <w:bottom w:val="single" w:sz="6" w:space="0" w:color="auto"/>
              <w:right w:val="single" w:sz="6" w:space="0" w:color="auto"/>
            </w:tcBorders>
            <w:vAlign w:val="center"/>
          </w:tcPr>
          <w:p w14:paraId="07F2850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1184" w:type="pct"/>
            <w:tcBorders>
              <w:top w:val="single" w:sz="4" w:space="0" w:color="auto"/>
              <w:left w:val="single" w:sz="6" w:space="0" w:color="auto"/>
              <w:bottom w:val="single" w:sz="6" w:space="0" w:color="auto"/>
              <w:right w:val="single" w:sz="4" w:space="0" w:color="auto"/>
            </w:tcBorders>
            <w:vAlign w:val="center"/>
          </w:tcPr>
          <w:p w14:paraId="7DE58B5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CO gösterge emisyon seviyesi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40D13046" w14:textId="77777777" w:rsidTr="003328F9">
        <w:trPr>
          <w:trHeight w:val="48"/>
        </w:trPr>
        <w:tc>
          <w:tcPr>
            <w:tcW w:w="3816" w:type="pct"/>
            <w:tcBorders>
              <w:top w:val="single" w:sz="6" w:space="0" w:color="auto"/>
              <w:left w:val="single" w:sz="4" w:space="0" w:color="auto"/>
              <w:bottom w:val="single" w:sz="6" w:space="0" w:color="auto"/>
              <w:right w:val="single" w:sz="6" w:space="0" w:color="auto"/>
            </w:tcBorders>
            <w:vAlign w:val="center"/>
          </w:tcPr>
          <w:p w14:paraId="5B11AE0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&lt;300 MW</w:t>
            </w:r>
            <w:r w:rsidRPr="00DD0D1F">
              <w:rPr>
                <w:rFonts w:cs="Times New Roman"/>
                <w:szCs w:val="24"/>
                <w:vertAlign w:val="subscript"/>
                <w:lang w:val="tr-TR"/>
              </w:rPr>
              <w:t>th</w:t>
            </w:r>
          </w:p>
        </w:tc>
        <w:tc>
          <w:tcPr>
            <w:tcW w:w="1184" w:type="pct"/>
            <w:tcBorders>
              <w:top w:val="single" w:sz="6" w:space="0" w:color="auto"/>
              <w:left w:val="single" w:sz="6" w:space="0" w:color="auto"/>
              <w:bottom w:val="single" w:sz="6" w:space="0" w:color="auto"/>
              <w:right w:val="single" w:sz="4" w:space="0" w:color="auto"/>
            </w:tcBorders>
            <w:vAlign w:val="center"/>
          </w:tcPr>
          <w:p w14:paraId="504D4EB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&lt;30-140</w:t>
            </w:r>
          </w:p>
        </w:tc>
      </w:tr>
      <w:tr w:rsidR="003328F9" w:rsidRPr="00DD0D1F" w14:paraId="781F94CF" w14:textId="77777777" w:rsidTr="003328F9">
        <w:trPr>
          <w:trHeight w:val="48"/>
        </w:trPr>
        <w:tc>
          <w:tcPr>
            <w:tcW w:w="3816" w:type="pct"/>
            <w:tcBorders>
              <w:top w:val="single" w:sz="6" w:space="0" w:color="auto"/>
              <w:left w:val="single" w:sz="4" w:space="0" w:color="auto"/>
              <w:bottom w:val="single" w:sz="6" w:space="0" w:color="auto"/>
              <w:right w:val="single" w:sz="6" w:space="0" w:color="auto"/>
            </w:tcBorders>
            <w:vAlign w:val="center"/>
          </w:tcPr>
          <w:p w14:paraId="3435C1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≥300 MW</w:t>
            </w:r>
            <w:r w:rsidRPr="00DD0D1F">
              <w:rPr>
                <w:rFonts w:cs="Times New Roman"/>
                <w:szCs w:val="24"/>
                <w:vertAlign w:val="subscript"/>
                <w:lang w:val="tr-TR"/>
              </w:rPr>
              <w:t>th</w:t>
            </w:r>
            <w:r w:rsidRPr="00DD0D1F">
              <w:rPr>
                <w:rFonts w:cs="Times New Roman"/>
                <w:szCs w:val="24"/>
                <w:lang w:val="tr-TR"/>
              </w:rPr>
              <w:t>, kömür ve/veya linyit ile çalışan FBC kazan ve linyit ile çalışan PC kazanı</w:t>
            </w:r>
          </w:p>
        </w:tc>
        <w:tc>
          <w:tcPr>
            <w:tcW w:w="1184" w:type="pct"/>
            <w:tcBorders>
              <w:top w:val="single" w:sz="6" w:space="0" w:color="auto"/>
              <w:left w:val="single" w:sz="6" w:space="0" w:color="auto"/>
              <w:bottom w:val="single" w:sz="6" w:space="0" w:color="auto"/>
              <w:right w:val="single" w:sz="4" w:space="0" w:color="auto"/>
            </w:tcBorders>
            <w:vAlign w:val="center"/>
          </w:tcPr>
          <w:p w14:paraId="0D5E5CE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&lt;30-100 (</w:t>
            </w:r>
            <w:r w:rsidRPr="00DD0D1F">
              <w:rPr>
                <w:rFonts w:cs="Times New Roman"/>
                <w:szCs w:val="24"/>
                <w:vertAlign w:val="superscript"/>
                <w:lang w:val="tr-TR"/>
              </w:rPr>
              <w:t>1</w:t>
            </w:r>
            <w:r w:rsidRPr="00DD0D1F">
              <w:rPr>
                <w:rFonts w:cs="Times New Roman"/>
                <w:szCs w:val="24"/>
                <w:lang w:val="tr-TR"/>
              </w:rPr>
              <w:t>)</w:t>
            </w:r>
          </w:p>
        </w:tc>
      </w:tr>
      <w:tr w:rsidR="003328F9" w:rsidRPr="00DD0D1F" w14:paraId="13086D7A" w14:textId="77777777" w:rsidTr="003328F9">
        <w:trPr>
          <w:trHeight w:val="48"/>
        </w:trPr>
        <w:tc>
          <w:tcPr>
            <w:tcW w:w="3816" w:type="pct"/>
            <w:tcBorders>
              <w:top w:val="single" w:sz="6" w:space="0" w:color="auto"/>
              <w:left w:val="single" w:sz="4" w:space="0" w:color="auto"/>
              <w:bottom w:val="single" w:sz="6" w:space="0" w:color="auto"/>
              <w:right w:val="single" w:sz="6" w:space="0" w:color="auto"/>
            </w:tcBorders>
            <w:vAlign w:val="center"/>
          </w:tcPr>
          <w:p w14:paraId="6E9CC9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≥300 MW</w:t>
            </w:r>
            <w:r w:rsidRPr="00DD0D1F">
              <w:rPr>
                <w:rFonts w:cs="Times New Roman"/>
                <w:szCs w:val="24"/>
                <w:vertAlign w:val="subscript"/>
                <w:lang w:val="tr-TR"/>
              </w:rPr>
              <w:t>th</w:t>
            </w:r>
            <w:r w:rsidRPr="00DD0D1F">
              <w:rPr>
                <w:rFonts w:cs="Times New Roman"/>
                <w:szCs w:val="24"/>
                <w:lang w:val="tr-TR"/>
              </w:rPr>
              <w:t>, kömür ile çalışan PC kazanı</w:t>
            </w:r>
          </w:p>
        </w:tc>
        <w:tc>
          <w:tcPr>
            <w:tcW w:w="1184" w:type="pct"/>
            <w:tcBorders>
              <w:top w:val="single" w:sz="6" w:space="0" w:color="auto"/>
              <w:left w:val="single" w:sz="6" w:space="0" w:color="auto"/>
              <w:bottom w:val="single" w:sz="6" w:space="0" w:color="auto"/>
              <w:right w:val="single" w:sz="4" w:space="0" w:color="auto"/>
            </w:tcBorders>
            <w:vAlign w:val="center"/>
          </w:tcPr>
          <w:p w14:paraId="0FED05E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&lt;5-100 (</w:t>
            </w:r>
            <w:r w:rsidRPr="00DD0D1F">
              <w:rPr>
                <w:rFonts w:cs="Times New Roman"/>
                <w:szCs w:val="24"/>
                <w:vertAlign w:val="superscript"/>
                <w:lang w:val="tr-TR"/>
              </w:rPr>
              <w:t>1</w:t>
            </w:r>
            <w:r w:rsidRPr="00DD0D1F">
              <w:rPr>
                <w:rFonts w:cs="Times New Roman"/>
                <w:szCs w:val="24"/>
                <w:lang w:val="tr-TR"/>
              </w:rPr>
              <w:t>)</w:t>
            </w:r>
          </w:p>
        </w:tc>
      </w:tr>
      <w:tr w:rsidR="003328F9" w:rsidRPr="00DD0D1F" w14:paraId="0A91959F" w14:textId="77777777" w:rsidTr="003328F9">
        <w:trPr>
          <w:trHeight w:val="48"/>
        </w:trPr>
        <w:tc>
          <w:tcPr>
            <w:tcW w:w="5000" w:type="pct"/>
            <w:gridSpan w:val="2"/>
            <w:tcBorders>
              <w:top w:val="single" w:sz="6" w:space="0" w:color="auto"/>
              <w:left w:val="single" w:sz="4" w:space="0" w:color="auto"/>
              <w:bottom w:val="single" w:sz="4" w:space="0" w:color="auto"/>
              <w:right w:val="single" w:sz="4" w:space="0" w:color="auto"/>
            </w:tcBorders>
          </w:tcPr>
          <w:p w14:paraId="455C8CC7" w14:textId="1D68D0B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(1)</w:t>
            </w:r>
            <w:r w:rsidRPr="00DD0D1F">
              <w:rPr>
                <w:rFonts w:cs="Times New Roman"/>
                <w:szCs w:val="24"/>
                <w:lang w:val="tr-TR"/>
              </w:rPr>
              <w:tab/>
              <w:t xml:space="preserve">Kazan tasarımından kaynaklanan sınırlamalar olduğunda ve/veya NOx emisyonlarının azaltılması için ikincil azaltma tekniklerinin uygulanmadığı akışkan yataklı kazanlarda, aralığın üst </w:t>
            </w:r>
            <w:r w:rsidR="00A504E5" w:rsidRPr="00DD0D1F">
              <w:rPr>
                <w:rFonts w:cs="Times New Roman"/>
                <w:szCs w:val="24"/>
                <w:lang w:val="tr-TR"/>
              </w:rPr>
              <w:t>sınırı</w:t>
            </w:r>
            <w:r w:rsidRPr="00DD0D1F">
              <w:rPr>
                <w:rFonts w:cs="Times New Roman"/>
                <w:szCs w:val="24"/>
                <w:lang w:val="tr-TR"/>
              </w:rPr>
              <w:t xml:space="preserve"> 140 mg/Nm</w:t>
            </w:r>
            <w:r w:rsidRPr="00DD0D1F">
              <w:rPr>
                <w:rFonts w:cs="Times New Roman"/>
                <w:szCs w:val="24"/>
                <w:vertAlign w:val="superscript"/>
                <w:lang w:val="tr-TR"/>
              </w:rPr>
              <w:t>3</w:t>
            </w:r>
            <w:r w:rsidRPr="00DD0D1F">
              <w:rPr>
                <w:rFonts w:cs="Times New Roman"/>
                <w:szCs w:val="24"/>
                <w:lang w:val="tr-TR"/>
              </w:rPr>
              <w:t>’e kadar olabilir.</w:t>
            </w:r>
          </w:p>
        </w:tc>
      </w:tr>
    </w:tbl>
    <w:p w14:paraId="0E25BAC0" w14:textId="77777777" w:rsidR="003328F9" w:rsidRPr="00DD0D1F" w:rsidRDefault="003328F9" w:rsidP="00FF111D">
      <w:pPr>
        <w:pStyle w:val="Balk3"/>
        <w:numPr>
          <w:ilvl w:val="2"/>
          <w:numId w:val="73"/>
        </w:numPr>
        <w:rPr>
          <w:rFonts w:cs="Times New Roman"/>
        </w:rPr>
      </w:pPr>
      <w:bookmarkStart w:id="32" w:name="_Toc137367298"/>
      <w:r w:rsidRPr="00DD0D1F">
        <w:rPr>
          <w:rFonts w:cs="Times New Roman"/>
        </w:rPr>
        <w:t>Havaya SO</w:t>
      </w:r>
      <w:r w:rsidRPr="00DD0D1F">
        <w:rPr>
          <w:rFonts w:cs="Times New Roman"/>
          <w:vertAlign w:val="subscript"/>
        </w:rPr>
        <w:t>X</w:t>
      </w:r>
      <w:r w:rsidRPr="00DD0D1F">
        <w:rPr>
          <w:rFonts w:cs="Times New Roman"/>
        </w:rPr>
        <w:t>, HCl ve HF Emisyonları</w:t>
      </w:r>
      <w:bookmarkEnd w:id="32"/>
    </w:p>
    <w:p w14:paraId="5879FDE3" w14:textId="448AD5EA" w:rsidR="003328F9" w:rsidRPr="00DD0D1F" w:rsidRDefault="003328F9" w:rsidP="003328F9">
      <w:pPr>
        <w:spacing w:before="240"/>
        <w:rPr>
          <w:rFonts w:cs="Times New Roman"/>
          <w:b/>
          <w:bCs/>
          <w:szCs w:val="24"/>
        </w:rPr>
      </w:pPr>
      <w:r w:rsidRPr="00DD0D1F">
        <w:rPr>
          <w:rFonts w:cs="Times New Roman"/>
          <w:b/>
          <w:bCs/>
          <w:szCs w:val="24"/>
        </w:rPr>
        <w:t xml:space="preserve">MET 21: </w:t>
      </w:r>
      <w:r w:rsidRPr="00DD0D1F">
        <w:rPr>
          <w:rFonts w:cs="Times New Roman"/>
          <w:bCs/>
          <w:szCs w:val="24"/>
        </w:rPr>
        <w:t>Kömür ve/veya linyitin yakılmasından kaynaklanan, havaya SO</w:t>
      </w:r>
      <w:r w:rsidRPr="00DD0D1F">
        <w:rPr>
          <w:rFonts w:cs="Times New Roman"/>
          <w:bCs/>
          <w:szCs w:val="24"/>
          <w:vertAlign w:val="subscript"/>
        </w:rPr>
        <w:t>X</w:t>
      </w:r>
      <w:r w:rsidRPr="00DD0D1F">
        <w:rPr>
          <w:rFonts w:cs="Times New Roman"/>
          <w:bCs/>
          <w:szCs w:val="24"/>
        </w:rPr>
        <w:t>, HCl ve HF emisyonlarını önlemek veya azaltmak için, aşağıda verilen tekniklerin biri veya bunların bir birleşimi kullan</w:t>
      </w:r>
      <w:r w:rsidR="00360069"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50"/>
        <w:gridCol w:w="2387"/>
        <w:gridCol w:w="3584"/>
        <w:gridCol w:w="2756"/>
      </w:tblGrid>
      <w:tr w:rsidR="003328F9" w:rsidRPr="00DD0D1F" w14:paraId="6AE86C5A" w14:textId="77777777" w:rsidTr="003328F9">
        <w:trPr>
          <w:trHeight w:val="20"/>
          <w:tblHeader/>
        </w:trPr>
        <w:tc>
          <w:tcPr>
            <w:tcW w:w="193" w:type="pct"/>
            <w:tcBorders>
              <w:top w:val="single" w:sz="4" w:space="0" w:color="auto"/>
              <w:left w:val="single" w:sz="4" w:space="0" w:color="auto"/>
              <w:bottom w:val="single" w:sz="6" w:space="0" w:color="auto"/>
              <w:right w:val="single" w:sz="4" w:space="0" w:color="auto"/>
            </w:tcBorders>
          </w:tcPr>
          <w:p w14:paraId="5B0DD8C3" w14:textId="77777777" w:rsidR="003328F9" w:rsidRPr="00DD0D1F" w:rsidRDefault="003328F9" w:rsidP="003328F9">
            <w:pPr>
              <w:adjustRightInd w:val="0"/>
              <w:spacing w:line="240" w:lineRule="auto"/>
              <w:ind w:right="74"/>
              <w:jc w:val="center"/>
              <w:rPr>
                <w:rFonts w:cs="Times New Roman"/>
                <w:szCs w:val="24"/>
                <w:lang w:val="tr-TR"/>
              </w:rPr>
            </w:pPr>
          </w:p>
        </w:tc>
        <w:tc>
          <w:tcPr>
            <w:tcW w:w="1315" w:type="pct"/>
            <w:tcBorders>
              <w:top w:val="single" w:sz="4" w:space="0" w:color="auto"/>
              <w:left w:val="single" w:sz="4" w:space="0" w:color="auto"/>
              <w:bottom w:val="single" w:sz="6" w:space="0" w:color="auto"/>
              <w:right w:val="single" w:sz="6" w:space="0" w:color="auto"/>
            </w:tcBorders>
          </w:tcPr>
          <w:p w14:paraId="3D418EE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Teknik</w:t>
            </w:r>
          </w:p>
        </w:tc>
        <w:tc>
          <w:tcPr>
            <w:tcW w:w="1974" w:type="pct"/>
            <w:tcBorders>
              <w:top w:val="single" w:sz="6" w:space="0" w:color="auto"/>
              <w:left w:val="single" w:sz="6" w:space="0" w:color="auto"/>
              <w:bottom w:val="single" w:sz="6" w:space="0" w:color="auto"/>
              <w:right w:val="single" w:sz="6" w:space="0" w:color="auto"/>
            </w:tcBorders>
          </w:tcPr>
          <w:p w14:paraId="1712FFA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Açıklama</w:t>
            </w:r>
          </w:p>
        </w:tc>
        <w:tc>
          <w:tcPr>
            <w:tcW w:w="1518" w:type="pct"/>
            <w:tcBorders>
              <w:top w:val="single" w:sz="6" w:space="0" w:color="auto"/>
              <w:left w:val="single" w:sz="6" w:space="0" w:color="auto"/>
              <w:right w:val="single" w:sz="4" w:space="0" w:color="auto"/>
            </w:tcBorders>
            <w:vAlign w:val="center"/>
          </w:tcPr>
          <w:p w14:paraId="4EE60F5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Uygulanabilirlik</w:t>
            </w:r>
          </w:p>
        </w:tc>
      </w:tr>
      <w:tr w:rsidR="003328F9" w:rsidRPr="00DD0D1F" w14:paraId="07B8A7BA" w14:textId="77777777" w:rsidTr="003328F9">
        <w:trPr>
          <w:trHeight w:val="20"/>
        </w:trPr>
        <w:tc>
          <w:tcPr>
            <w:tcW w:w="193" w:type="pct"/>
            <w:tcBorders>
              <w:top w:val="single" w:sz="6" w:space="0" w:color="auto"/>
              <w:left w:val="single" w:sz="4" w:space="0" w:color="auto"/>
              <w:bottom w:val="single" w:sz="6" w:space="0" w:color="auto"/>
              <w:right w:val="single" w:sz="4" w:space="0" w:color="auto"/>
            </w:tcBorders>
            <w:vAlign w:val="center"/>
          </w:tcPr>
          <w:p w14:paraId="7191A5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15" w:type="pct"/>
            <w:tcBorders>
              <w:top w:val="single" w:sz="6" w:space="0" w:color="auto"/>
              <w:left w:val="single" w:sz="4" w:space="0" w:color="auto"/>
              <w:bottom w:val="single" w:sz="6" w:space="0" w:color="auto"/>
              <w:right w:val="single" w:sz="6" w:space="0" w:color="auto"/>
            </w:tcBorders>
            <w:vAlign w:val="center"/>
          </w:tcPr>
          <w:p w14:paraId="7B83C2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tc>
        <w:tc>
          <w:tcPr>
            <w:tcW w:w="1974" w:type="pct"/>
            <w:tcBorders>
              <w:top w:val="single" w:sz="6" w:space="0" w:color="auto"/>
              <w:left w:val="single" w:sz="6" w:space="0" w:color="auto"/>
              <w:bottom w:val="single" w:sz="6" w:space="0" w:color="auto"/>
              <w:right w:val="single" w:sz="6" w:space="0" w:color="auto"/>
            </w:tcBorders>
            <w:vAlign w:val="center"/>
          </w:tcPr>
          <w:p w14:paraId="08D9DBD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Başılık 8.4’deki açıklamaya bakınız.</w:t>
            </w:r>
          </w:p>
        </w:tc>
        <w:tc>
          <w:tcPr>
            <w:tcW w:w="1518" w:type="pct"/>
            <w:vMerge w:val="restart"/>
            <w:tcBorders>
              <w:top w:val="single" w:sz="6" w:space="0" w:color="auto"/>
              <w:left w:val="single" w:sz="6" w:space="0" w:color="auto"/>
              <w:right w:val="single" w:sz="4" w:space="0" w:color="auto"/>
            </w:tcBorders>
            <w:vAlign w:val="center"/>
          </w:tcPr>
          <w:p w14:paraId="28D35D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4FABAA7F"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D5DED38"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52073906" w14:textId="77777777" w:rsidR="003328F9" w:rsidRPr="00DD0D1F" w:rsidRDefault="003328F9" w:rsidP="003328F9">
            <w:pPr>
              <w:adjustRightInd w:val="0"/>
              <w:spacing w:line="240" w:lineRule="auto"/>
              <w:ind w:left="74" w:right="74"/>
              <w:rPr>
                <w:rFonts w:cs="Times New Roman"/>
                <w:szCs w:val="24"/>
                <w:lang w:val="tr-TR"/>
              </w:rPr>
            </w:pPr>
          </w:p>
          <w:p w14:paraId="7A238CB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15" w:type="pct"/>
            <w:tcBorders>
              <w:top w:val="single" w:sz="6" w:space="0" w:color="auto"/>
              <w:left w:val="single" w:sz="6" w:space="0" w:color="auto"/>
              <w:bottom w:val="single" w:sz="6" w:space="0" w:color="auto"/>
              <w:right w:val="single" w:sz="6" w:space="0" w:color="auto"/>
            </w:tcBorders>
            <w:vAlign w:val="center"/>
          </w:tcPr>
          <w:p w14:paraId="40D969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1974" w:type="pct"/>
            <w:tcBorders>
              <w:top w:val="single" w:sz="6" w:space="0" w:color="auto"/>
              <w:left w:val="single" w:sz="6" w:space="0" w:color="auto"/>
              <w:bottom w:val="single" w:sz="6" w:space="0" w:color="auto"/>
              <w:right w:val="single" w:sz="6" w:space="0" w:color="auto"/>
            </w:tcBorders>
            <w:vAlign w:val="center"/>
          </w:tcPr>
          <w:p w14:paraId="6FB5D46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p w14:paraId="2DA22C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Özel bir FGD boru sonu tekniği uygulanmadığında HCl/HF giderimi için bu teknik kullanılabilir.</w:t>
            </w:r>
          </w:p>
        </w:tc>
        <w:tc>
          <w:tcPr>
            <w:tcW w:w="1518" w:type="pct"/>
            <w:vMerge/>
            <w:tcBorders>
              <w:left w:val="single" w:sz="6" w:space="0" w:color="auto"/>
              <w:right w:val="single" w:sz="4" w:space="0" w:color="auto"/>
            </w:tcBorders>
            <w:vAlign w:val="center"/>
          </w:tcPr>
          <w:p w14:paraId="4192875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57F32BC"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0762391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15" w:type="pct"/>
            <w:tcBorders>
              <w:top w:val="single" w:sz="6" w:space="0" w:color="auto"/>
              <w:left w:val="single" w:sz="6" w:space="0" w:color="auto"/>
              <w:bottom w:val="single" w:sz="6" w:space="0" w:color="auto"/>
              <w:right w:val="single" w:sz="6" w:space="0" w:color="auto"/>
            </w:tcBorders>
            <w:vAlign w:val="center"/>
          </w:tcPr>
          <w:p w14:paraId="5E33EB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tc>
        <w:tc>
          <w:tcPr>
            <w:tcW w:w="1974" w:type="pct"/>
            <w:vMerge w:val="restart"/>
            <w:tcBorders>
              <w:top w:val="single" w:sz="6" w:space="0" w:color="auto"/>
              <w:left w:val="single" w:sz="6" w:space="0" w:color="auto"/>
              <w:right w:val="single" w:sz="6" w:space="0" w:color="auto"/>
            </w:tcBorders>
            <w:vAlign w:val="center"/>
          </w:tcPr>
          <w:p w14:paraId="08E76B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tc>
        <w:tc>
          <w:tcPr>
            <w:tcW w:w="1518" w:type="pct"/>
            <w:vMerge/>
            <w:tcBorders>
              <w:left w:val="single" w:sz="6" w:space="0" w:color="auto"/>
              <w:right w:val="single" w:sz="4" w:space="0" w:color="auto"/>
            </w:tcBorders>
            <w:vAlign w:val="center"/>
          </w:tcPr>
          <w:p w14:paraId="311CB602"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54B2166"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6BCA1F2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15" w:type="pct"/>
            <w:tcBorders>
              <w:top w:val="single" w:sz="6" w:space="0" w:color="auto"/>
              <w:left w:val="single" w:sz="6" w:space="0" w:color="auto"/>
              <w:bottom w:val="single" w:sz="6" w:space="0" w:color="auto"/>
              <w:right w:val="single" w:sz="6" w:space="0" w:color="auto"/>
            </w:tcBorders>
            <w:vAlign w:val="center"/>
          </w:tcPr>
          <w:p w14:paraId="4418FD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Dolaşımlı akışkan yataklı (CFB) kuru yıkayıcı</w:t>
            </w:r>
          </w:p>
        </w:tc>
        <w:tc>
          <w:tcPr>
            <w:tcW w:w="1974" w:type="pct"/>
            <w:vMerge/>
            <w:tcBorders>
              <w:left w:val="single" w:sz="6" w:space="0" w:color="auto"/>
              <w:bottom w:val="single" w:sz="6" w:space="0" w:color="auto"/>
              <w:right w:val="single" w:sz="6" w:space="0" w:color="auto"/>
            </w:tcBorders>
            <w:vAlign w:val="center"/>
          </w:tcPr>
          <w:p w14:paraId="0DCB4A41" w14:textId="77777777" w:rsidR="003328F9" w:rsidRPr="00DD0D1F" w:rsidRDefault="003328F9" w:rsidP="003328F9">
            <w:pPr>
              <w:adjustRightInd w:val="0"/>
              <w:spacing w:line="240" w:lineRule="auto"/>
              <w:ind w:left="74" w:right="74"/>
              <w:rPr>
                <w:rFonts w:cs="Times New Roman"/>
                <w:szCs w:val="24"/>
                <w:lang w:val="tr-TR"/>
              </w:rPr>
            </w:pPr>
          </w:p>
        </w:tc>
        <w:tc>
          <w:tcPr>
            <w:tcW w:w="1518" w:type="pct"/>
            <w:vMerge/>
            <w:tcBorders>
              <w:left w:val="single" w:sz="6" w:space="0" w:color="auto"/>
              <w:right w:val="single" w:sz="4" w:space="0" w:color="auto"/>
            </w:tcBorders>
            <w:vAlign w:val="center"/>
          </w:tcPr>
          <w:p w14:paraId="4AEC462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DE21B77"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0E4D35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15" w:type="pct"/>
            <w:tcBorders>
              <w:top w:val="single" w:sz="6" w:space="0" w:color="auto"/>
              <w:left w:val="single" w:sz="6" w:space="0" w:color="auto"/>
              <w:bottom w:val="single" w:sz="6" w:space="0" w:color="auto"/>
              <w:right w:val="single" w:sz="6" w:space="0" w:color="auto"/>
            </w:tcBorders>
            <w:vAlign w:val="center"/>
          </w:tcPr>
          <w:p w14:paraId="43179FF9" w14:textId="3133E9B4" w:rsidR="003328F9" w:rsidRPr="00DD0D1F" w:rsidRDefault="00D163BE" w:rsidP="003328F9">
            <w:pPr>
              <w:adjustRightInd w:val="0"/>
              <w:spacing w:line="240" w:lineRule="auto"/>
              <w:ind w:left="74" w:right="74"/>
              <w:rPr>
                <w:rFonts w:cs="Times New Roman"/>
                <w:szCs w:val="24"/>
                <w:lang w:val="tr-TR"/>
              </w:rPr>
            </w:pPr>
            <w:r w:rsidRPr="00DD0D1F">
              <w:rPr>
                <w:rFonts w:cs="Times New Roman"/>
                <w:szCs w:val="24"/>
                <w:lang w:val="tr-TR"/>
              </w:rPr>
              <w:t>Islak</w:t>
            </w:r>
            <w:r w:rsidR="003328F9" w:rsidRPr="00DD0D1F">
              <w:rPr>
                <w:rFonts w:cs="Times New Roman"/>
                <w:szCs w:val="24"/>
                <w:lang w:val="tr-TR"/>
              </w:rPr>
              <w:t xml:space="preserve"> yıkama</w:t>
            </w:r>
          </w:p>
        </w:tc>
        <w:tc>
          <w:tcPr>
            <w:tcW w:w="1974" w:type="pct"/>
            <w:tcBorders>
              <w:top w:val="single" w:sz="6" w:space="0" w:color="auto"/>
              <w:left w:val="single" w:sz="6" w:space="0" w:color="auto"/>
              <w:bottom w:val="single" w:sz="6" w:space="0" w:color="auto"/>
              <w:right w:val="single" w:sz="6" w:space="0" w:color="auto"/>
            </w:tcBorders>
            <w:vAlign w:val="center"/>
          </w:tcPr>
          <w:p w14:paraId="7C60DA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p w14:paraId="2AB08E7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Özel bir FGD boru sonu tekniği uygulanmadığında HCl/HF giderimi için bu teknikler kullanılabilir.</w:t>
            </w:r>
          </w:p>
        </w:tc>
        <w:tc>
          <w:tcPr>
            <w:tcW w:w="1518" w:type="pct"/>
            <w:vMerge/>
            <w:tcBorders>
              <w:left w:val="single" w:sz="6" w:space="0" w:color="auto"/>
              <w:bottom w:val="single" w:sz="6" w:space="0" w:color="auto"/>
              <w:right w:val="single" w:sz="4" w:space="0" w:color="auto"/>
            </w:tcBorders>
            <w:vAlign w:val="center"/>
          </w:tcPr>
          <w:p w14:paraId="5256FAD8"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E81F4B2" w14:textId="77777777" w:rsidTr="003328F9">
        <w:trPr>
          <w:trHeight w:val="1810"/>
        </w:trPr>
        <w:tc>
          <w:tcPr>
            <w:tcW w:w="193" w:type="pct"/>
            <w:tcBorders>
              <w:top w:val="single" w:sz="6" w:space="0" w:color="auto"/>
              <w:left w:val="single" w:sz="4" w:space="0" w:color="auto"/>
              <w:bottom w:val="single" w:sz="6" w:space="0" w:color="auto"/>
              <w:right w:val="single" w:sz="6" w:space="0" w:color="auto"/>
            </w:tcBorders>
            <w:vAlign w:val="center"/>
          </w:tcPr>
          <w:p w14:paraId="16448C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315" w:type="pct"/>
            <w:tcBorders>
              <w:top w:val="single" w:sz="6" w:space="0" w:color="auto"/>
              <w:left w:val="single" w:sz="6" w:space="0" w:color="auto"/>
              <w:bottom w:val="single" w:sz="6" w:space="0" w:color="auto"/>
              <w:right w:val="single" w:sz="6" w:space="0" w:color="auto"/>
            </w:tcBorders>
            <w:vAlign w:val="center"/>
          </w:tcPr>
          <w:p w14:paraId="5ED8B0F0" w14:textId="402A7406"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baca gazı kükürt giderme (yaş FGD)</w:t>
            </w:r>
          </w:p>
        </w:tc>
        <w:tc>
          <w:tcPr>
            <w:tcW w:w="1974" w:type="pct"/>
            <w:vMerge w:val="restart"/>
            <w:tcBorders>
              <w:top w:val="single" w:sz="6" w:space="0" w:color="auto"/>
              <w:left w:val="single" w:sz="6" w:space="0" w:color="auto"/>
              <w:right w:val="single" w:sz="6" w:space="0" w:color="auto"/>
            </w:tcBorders>
            <w:vAlign w:val="center"/>
          </w:tcPr>
          <w:p w14:paraId="3A08C5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tc>
        <w:tc>
          <w:tcPr>
            <w:tcW w:w="1518" w:type="pct"/>
            <w:vMerge w:val="restart"/>
            <w:tcBorders>
              <w:top w:val="single" w:sz="6" w:space="0" w:color="auto"/>
              <w:left w:val="single" w:sz="6" w:space="0" w:color="auto"/>
              <w:right w:val="single" w:sz="4" w:space="0" w:color="auto"/>
            </w:tcBorders>
            <w:vAlign w:val="center"/>
          </w:tcPr>
          <w:p w14:paraId="7D8B93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6EA9ADE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ve 500 saat/yıl ila 1500 saat/yıl arası çalıştırılan mevcut yakma tesislerinin iyileştirilmesi için teknik ve ekonomik kısıtlamalar bulunabilir.</w:t>
            </w:r>
          </w:p>
        </w:tc>
      </w:tr>
      <w:tr w:rsidR="003328F9" w:rsidRPr="00DD0D1F" w14:paraId="6C2F2F78" w14:textId="77777777" w:rsidTr="003328F9">
        <w:trPr>
          <w:trHeight w:val="277"/>
        </w:trPr>
        <w:tc>
          <w:tcPr>
            <w:tcW w:w="193" w:type="pct"/>
            <w:tcBorders>
              <w:top w:val="single" w:sz="6" w:space="0" w:color="auto"/>
              <w:left w:val="single" w:sz="4" w:space="0" w:color="auto"/>
              <w:bottom w:val="single" w:sz="6" w:space="0" w:color="auto"/>
              <w:right w:val="single" w:sz="6" w:space="0" w:color="auto"/>
            </w:tcBorders>
            <w:vAlign w:val="center"/>
          </w:tcPr>
          <w:p w14:paraId="5A9559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315" w:type="pct"/>
            <w:tcBorders>
              <w:top w:val="single" w:sz="6" w:space="0" w:color="auto"/>
              <w:left w:val="single" w:sz="6" w:space="0" w:color="auto"/>
              <w:bottom w:val="single" w:sz="6" w:space="0" w:color="auto"/>
              <w:right w:val="single" w:sz="6" w:space="0" w:color="auto"/>
            </w:tcBorders>
            <w:vAlign w:val="center"/>
          </w:tcPr>
          <w:p w14:paraId="2E8E17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w:t>
            </w:r>
          </w:p>
        </w:tc>
        <w:tc>
          <w:tcPr>
            <w:tcW w:w="1974" w:type="pct"/>
            <w:vMerge/>
            <w:tcBorders>
              <w:left w:val="single" w:sz="6" w:space="0" w:color="auto"/>
              <w:right w:val="single" w:sz="6" w:space="0" w:color="auto"/>
            </w:tcBorders>
            <w:vAlign w:val="center"/>
          </w:tcPr>
          <w:p w14:paraId="1C3824CE" w14:textId="77777777" w:rsidR="003328F9" w:rsidRPr="00DD0D1F" w:rsidRDefault="003328F9" w:rsidP="003328F9">
            <w:pPr>
              <w:adjustRightInd w:val="0"/>
              <w:spacing w:line="240" w:lineRule="auto"/>
              <w:ind w:left="74" w:right="74"/>
              <w:rPr>
                <w:rFonts w:cs="Times New Roman"/>
                <w:szCs w:val="24"/>
                <w:lang w:val="tr-TR"/>
              </w:rPr>
            </w:pPr>
          </w:p>
        </w:tc>
        <w:tc>
          <w:tcPr>
            <w:tcW w:w="1518" w:type="pct"/>
            <w:vMerge/>
            <w:tcBorders>
              <w:left w:val="single" w:sz="6" w:space="0" w:color="auto"/>
              <w:bottom w:val="single" w:sz="6" w:space="0" w:color="auto"/>
              <w:right w:val="single" w:sz="4" w:space="0" w:color="auto"/>
            </w:tcBorders>
            <w:vAlign w:val="center"/>
          </w:tcPr>
          <w:p w14:paraId="30E8C08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AE74C52" w14:textId="77777777" w:rsidTr="003328F9">
        <w:trPr>
          <w:trHeight w:val="898"/>
        </w:trPr>
        <w:tc>
          <w:tcPr>
            <w:tcW w:w="193" w:type="pct"/>
            <w:tcBorders>
              <w:top w:val="single" w:sz="6" w:space="0" w:color="auto"/>
              <w:left w:val="single" w:sz="4" w:space="0" w:color="auto"/>
              <w:bottom w:val="single" w:sz="6" w:space="0" w:color="auto"/>
              <w:right w:val="single" w:sz="6" w:space="0" w:color="auto"/>
            </w:tcBorders>
            <w:vAlign w:val="center"/>
          </w:tcPr>
          <w:p w14:paraId="693CF76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315" w:type="pct"/>
            <w:tcBorders>
              <w:top w:val="single" w:sz="6" w:space="0" w:color="auto"/>
              <w:left w:val="single" w:sz="6" w:space="0" w:color="auto"/>
              <w:bottom w:val="single" w:sz="6" w:space="0" w:color="auto"/>
              <w:right w:val="single" w:sz="6" w:space="0" w:color="auto"/>
            </w:tcBorders>
            <w:vAlign w:val="center"/>
          </w:tcPr>
          <w:p w14:paraId="62ECA2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 xml:space="preserve"> azaltımı için birleşik teknikler</w:t>
            </w:r>
          </w:p>
        </w:tc>
        <w:tc>
          <w:tcPr>
            <w:tcW w:w="1974" w:type="pct"/>
            <w:vMerge/>
            <w:tcBorders>
              <w:left w:val="single" w:sz="6" w:space="0" w:color="auto"/>
              <w:bottom w:val="single" w:sz="6" w:space="0" w:color="auto"/>
              <w:right w:val="single" w:sz="6" w:space="0" w:color="auto"/>
            </w:tcBorders>
            <w:vAlign w:val="center"/>
          </w:tcPr>
          <w:p w14:paraId="2B179908" w14:textId="77777777" w:rsidR="003328F9" w:rsidRPr="00DD0D1F" w:rsidRDefault="003328F9" w:rsidP="003328F9">
            <w:pPr>
              <w:adjustRightInd w:val="0"/>
              <w:spacing w:line="240" w:lineRule="auto"/>
              <w:ind w:left="74" w:right="74"/>
              <w:rPr>
                <w:rFonts w:cs="Times New Roman"/>
                <w:szCs w:val="24"/>
                <w:lang w:val="tr-TR"/>
              </w:rPr>
            </w:pPr>
          </w:p>
        </w:tc>
        <w:tc>
          <w:tcPr>
            <w:tcW w:w="1518" w:type="pct"/>
            <w:tcBorders>
              <w:top w:val="single" w:sz="6" w:space="0" w:color="auto"/>
              <w:left w:val="single" w:sz="6" w:space="0" w:color="auto"/>
              <w:bottom w:val="single" w:sz="6" w:space="0" w:color="auto"/>
              <w:right w:val="single" w:sz="4" w:space="0" w:color="auto"/>
            </w:tcBorders>
            <w:vAlign w:val="center"/>
          </w:tcPr>
          <w:p w14:paraId="435690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özellikleri ve yanma prosesine bağlı olarak her durum için değerlendirme yapılarak uygulanabilir.</w:t>
            </w:r>
          </w:p>
        </w:tc>
      </w:tr>
      <w:tr w:rsidR="003328F9" w:rsidRPr="00DD0D1F" w14:paraId="6143AFF5" w14:textId="77777777" w:rsidTr="003328F9">
        <w:trPr>
          <w:trHeight w:val="1291"/>
        </w:trPr>
        <w:tc>
          <w:tcPr>
            <w:tcW w:w="193" w:type="pct"/>
            <w:tcBorders>
              <w:top w:val="single" w:sz="6" w:space="0" w:color="auto"/>
              <w:left w:val="single" w:sz="4" w:space="0" w:color="auto"/>
              <w:bottom w:val="single" w:sz="6" w:space="0" w:color="auto"/>
              <w:right w:val="single" w:sz="6" w:space="0" w:color="auto"/>
            </w:tcBorders>
            <w:vAlign w:val="center"/>
          </w:tcPr>
          <w:p w14:paraId="4667C4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315" w:type="pct"/>
            <w:tcBorders>
              <w:top w:val="single" w:sz="6" w:space="0" w:color="auto"/>
              <w:left w:val="single" w:sz="6" w:space="0" w:color="auto"/>
              <w:bottom w:val="single" w:sz="6" w:space="0" w:color="auto"/>
              <w:right w:val="single" w:sz="6" w:space="0" w:color="auto"/>
            </w:tcBorders>
            <w:vAlign w:val="center"/>
          </w:tcPr>
          <w:p w14:paraId="15E74CF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çıkışında bulunan gaz-gaz ısıtıcının değiştirilmesi veya kaldırılması</w:t>
            </w:r>
          </w:p>
        </w:tc>
        <w:tc>
          <w:tcPr>
            <w:tcW w:w="1974" w:type="pct"/>
            <w:tcBorders>
              <w:top w:val="single" w:sz="6" w:space="0" w:color="auto"/>
              <w:left w:val="single" w:sz="6" w:space="0" w:color="auto"/>
              <w:bottom w:val="single" w:sz="6" w:space="0" w:color="auto"/>
              <w:right w:val="single" w:sz="6" w:space="0" w:color="auto"/>
            </w:tcBorders>
            <w:vAlign w:val="center"/>
          </w:tcPr>
          <w:p w14:paraId="65803828" w14:textId="620130C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FGD çıkışında bulunan gaz-gaz ısıtıcının yerine, çoklu boru ısı ayrıştırıcı konulması veya gaz-gaz ısıtıcı kaldırılarak </w:t>
            </w:r>
            <w:r w:rsidR="00E00B0A" w:rsidRPr="00DD0D1F">
              <w:rPr>
                <w:rFonts w:cs="Times New Roman"/>
                <w:szCs w:val="24"/>
                <w:lang w:val="tr-TR"/>
              </w:rPr>
              <w:t>baca</w:t>
            </w:r>
            <w:r w:rsidRPr="00DD0D1F">
              <w:rPr>
                <w:rFonts w:cs="Times New Roman"/>
                <w:szCs w:val="24"/>
                <w:lang w:val="tr-TR"/>
              </w:rPr>
              <w:t xml:space="preserve"> gazı soğutma kulesi veya yaş </w:t>
            </w:r>
            <w:r w:rsidR="00E00B0A" w:rsidRPr="00DD0D1F">
              <w:rPr>
                <w:rFonts w:cs="Times New Roman"/>
                <w:szCs w:val="24"/>
                <w:lang w:val="tr-TR"/>
              </w:rPr>
              <w:t>baca</w:t>
            </w:r>
            <w:r w:rsidRPr="00DD0D1F">
              <w:rPr>
                <w:rFonts w:cs="Times New Roman"/>
                <w:szCs w:val="24"/>
                <w:lang w:val="tr-TR"/>
              </w:rPr>
              <w:t>dan deşarj yapılması.</w:t>
            </w:r>
          </w:p>
        </w:tc>
        <w:tc>
          <w:tcPr>
            <w:tcW w:w="1518" w:type="pct"/>
            <w:tcBorders>
              <w:top w:val="single" w:sz="6" w:space="0" w:color="auto"/>
              <w:left w:val="single" w:sz="6" w:space="0" w:color="auto"/>
              <w:bottom w:val="single" w:sz="6" w:space="0" w:color="auto"/>
              <w:right w:val="single" w:sz="4" w:space="0" w:color="auto"/>
            </w:tcBorders>
            <w:vAlign w:val="center"/>
          </w:tcPr>
          <w:p w14:paraId="02F7389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ve aşağı yönlü bir gaz-gaz ısıtıcısı bulunan yakma tesislerinde, ısı eşanjörünün değiştirilmesi ya da yenilenmesi gerektiği durumlarda uygulanabilir.</w:t>
            </w:r>
          </w:p>
        </w:tc>
      </w:tr>
      <w:tr w:rsidR="003328F9" w:rsidRPr="00DD0D1F" w14:paraId="7D8F65D6" w14:textId="77777777" w:rsidTr="003328F9">
        <w:trPr>
          <w:trHeight w:val="20"/>
        </w:trPr>
        <w:tc>
          <w:tcPr>
            <w:tcW w:w="193" w:type="pct"/>
            <w:tcBorders>
              <w:top w:val="single" w:sz="6" w:space="0" w:color="auto"/>
              <w:left w:val="single" w:sz="4" w:space="0" w:color="auto"/>
              <w:bottom w:val="single" w:sz="4" w:space="0" w:color="auto"/>
              <w:right w:val="single" w:sz="6" w:space="0" w:color="auto"/>
            </w:tcBorders>
            <w:vAlign w:val="center"/>
          </w:tcPr>
          <w:p w14:paraId="7CC22A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j</w:t>
            </w:r>
          </w:p>
        </w:tc>
        <w:tc>
          <w:tcPr>
            <w:tcW w:w="1315" w:type="pct"/>
            <w:tcBorders>
              <w:top w:val="single" w:sz="6" w:space="0" w:color="auto"/>
              <w:left w:val="single" w:sz="6" w:space="0" w:color="auto"/>
              <w:bottom w:val="single" w:sz="4" w:space="0" w:color="auto"/>
              <w:right w:val="single" w:sz="6" w:space="0" w:color="auto"/>
            </w:tcBorders>
            <w:vAlign w:val="center"/>
          </w:tcPr>
          <w:p w14:paraId="3FE2F2C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974" w:type="pct"/>
            <w:tcBorders>
              <w:top w:val="single" w:sz="6" w:space="0" w:color="auto"/>
              <w:left w:val="single" w:sz="6" w:space="0" w:color="auto"/>
              <w:bottom w:val="single" w:sz="4" w:space="0" w:color="auto"/>
              <w:right w:val="single" w:sz="6" w:space="0" w:color="auto"/>
            </w:tcBorders>
            <w:vAlign w:val="center"/>
          </w:tcPr>
          <w:p w14:paraId="0088083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p w14:paraId="7DB01C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kükürt (örneğin ağırlık olarak %0,1'e kadar, kuru bazda), klor veya flor içerikli yakıt kullanımı</w:t>
            </w:r>
          </w:p>
        </w:tc>
        <w:tc>
          <w:tcPr>
            <w:tcW w:w="1518" w:type="pct"/>
            <w:tcBorders>
              <w:top w:val="single" w:sz="6" w:space="0" w:color="auto"/>
              <w:left w:val="single" w:sz="6" w:space="0" w:color="auto"/>
              <w:bottom w:val="single" w:sz="4" w:space="0" w:color="auto"/>
              <w:right w:val="single" w:sz="4" w:space="0" w:color="auto"/>
            </w:tcBorders>
            <w:vAlign w:val="center"/>
          </w:tcPr>
          <w:p w14:paraId="68541AA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 Oldukça özel yerli yakıtların yakıldığı yakma tesisleri olması halinde tasarım kısıtlamalarından ötürü uygulanabilirlik sınırlı olabilir.</w:t>
            </w:r>
          </w:p>
        </w:tc>
      </w:tr>
    </w:tbl>
    <w:p w14:paraId="0142B589" w14:textId="6C8F679D"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ve/veya linyitin yakılmasından kaynaklanan, havaya SO</w:t>
      </w:r>
      <w:r w:rsidRPr="00DD0D1F">
        <w:rPr>
          <w:rFonts w:cs="Times New Roman"/>
          <w:color w:val="auto"/>
          <w:szCs w:val="24"/>
          <w:vertAlign w:val="subscript"/>
          <w:lang w:val="tr-TR"/>
        </w:rPr>
        <w:t>2</w:t>
      </w:r>
      <w:r w:rsidRPr="00DD0D1F">
        <w:rPr>
          <w:rFonts w:cs="Times New Roman"/>
          <w:color w:val="auto"/>
          <w:szCs w:val="24"/>
          <w:lang w:val="tr-TR"/>
        </w:rPr>
        <w:t>’nin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240"/>
        <w:gridCol w:w="719"/>
        <w:gridCol w:w="1001"/>
        <w:gridCol w:w="1162"/>
        <w:gridCol w:w="1269"/>
        <w:gridCol w:w="3686"/>
      </w:tblGrid>
      <w:tr w:rsidR="00EB7491" w:rsidRPr="00DD0D1F" w14:paraId="15DC9589" w14:textId="2625DC9A" w:rsidTr="009C0302">
        <w:trPr>
          <w:trHeight w:val="18"/>
        </w:trPr>
        <w:tc>
          <w:tcPr>
            <w:tcW w:w="712" w:type="pct"/>
            <w:vMerge w:val="restart"/>
            <w:tcBorders>
              <w:top w:val="single" w:sz="4" w:space="0" w:color="auto"/>
              <w:left w:val="single" w:sz="4" w:space="0" w:color="auto"/>
              <w:right w:val="single" w:sz="6" w:space="0" w:color="auto"/>
            </w:tcBorders>
            <w:vAlign w:val="center"/>
          </w:tcPr>
          <w:p w14:paraId="773B06BB" w14:textId="77777777" w:rsidR="009C0302" w:rsidRPr="00DD0D1F" w:rsidRDefault="009C0302"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p w14:paraId="2E7E3C75" w14:textId="77777777" w:rsidR="009C0302" w:rsidRPr="00DD0D1F" w:rsidRDefault="009C0302" w:rsidP="003328F9">
            <w:pPr>
              <w:adjustRightInd w:val="0"/>
              <w:spacing w:line="240" w:lineRule="auto"/>
              <w:ind w:left="74" w:right="74"/>
              <w:jc w:val="center"/>
              <w:rPr>
                <w:rFonts w:cs="Times New Roman"/>
                <w:b/>
                <w:szCs w:val="24"/>
                <w:lang w:val="tr-TR"/>
              </w:rPr>
            </w:pPr>
          </w:p>
          <w:p w14:paraId="3BE21192" w14:textId="77777777" w:rsidR="009C0302" w:rsidRPr="00DD0D1F" w:rsidRDefault="009C0302" w:rsidP="003328F9">
            <w:pPr>
              <w:adjustRightInd w:val="0"/>
              <w:spacing w:line="240" w:lineRule="auto"/>
              <w:ind w:left="74" w:right="74"/>
              <w:jc w:val="center"/>
              <w:rPr>
                <w:rFonts w:cs="Times New Roman"/>
                <w:b/>
                <w:szCs w:val="24"/>
                <w:lang w:val="tr-TR"/>
              </w:rPr>
            </w:pPr>
          </w:p>
          <w:p w14:paraId="6AC8E94D" w14:textId="77777777" w:rsidR="009C0302" w:rsidRPr="00DD0D1F" w:rsidRDefault="009C0302" w:rsidP="003328F9">
            <w:pPr>
              <w:adjustRightInd w:val="0"/>
              <w:spacing w:line="240" w:lineRule="auto"/>
              <w:ind w:left="74" w:right="74"/>
              <w:jc w:val="center"/>
              <w:rPr>
                <w:rFonts w:cs="Times New Roman"/>
                <w:b/>
                <w:szCs w:val="24"/>
                <w:lang w:val="tr-TR"/>
              </w:rPr>
            </w:pPr>
          </w:p>
        </w:tc>
        <w:tc>
          <w:tcPr>
            <w:tcW w:w="4288" w:type="pct"/>
            <w:gridSpan w:val="5"/>
            <w:tcBorders>
              <w:top w:val="single" w:sz="4" w:space="0" w:color="auto"/>
              <w:left w:val="single" w:sz="6" w:space="0" w:color="auto"/>
              <w:bottom w:val="single" w:sz="6" w:space="0" w:color="auto"/>
              <w:right w:val="single" w:sz="4" w:space="0" w:color="auto"/>
            </w:tcBorders>
            <w:vAlign w:val="center"/>
          </w:tcPr>
          <w:p w14:paraId="158CC602" w14:textId="4EAD3524" w:rsidR="009C0302" w:rsidRPr="00DD0D1F" w:rsidRDefault="009C0302"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xml:space="preserve">) </w:t>
            </w:r>
          </w:p>
        </w:tc>
      </w:tr>
      <w:tr w:rsidR="00EB7491" w:rsidRPr="00DD0D1F" w14:paraId="403D3F3E" w14:textId="5494E7D5" w:rsidTr="00F1725A">
        <w:trPr>
          <w:trHeight w:val="18"/>
        </w:trPr>
        <w:tc>
          <w:tcPr>
            <w:tcW w:w="712" w:type="pct"/>
            <w:vMerge/>
            <w:tcBorders>
              <w:left w:val="single" w:sz="4" w:space="0" w:color="auto"/>
              <w:right w:val="single" w:sz="6" w:space="0" w:color="auto"/>
            </w:tcBorders>
            <w:vAlign w:val="center"/>
          </w:tcPr>
          <w:p w14:paraId="4A615EB8"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947" w:type="pct"/>
            <w:gridSpan w:val="2"/>
            <w:tcBorders>
              <w:top w:val="single" w:sz="6" w:space="0" w:color="auto"/>
              <w:left w:val="single" w:sz="6" w:space="0" w:color="auto"/>
              <w:bottom w:val="single" w:sz="6" w:space="0" w:color="auto"/>
              <w:right w:val="single" w:sz="6" w:space="0" w:color="auto"/>
            </w:tcBorders>
            <w:vAlign w:val="center"/>
          </w:tcPr>
          <w:p w14:paraId="147B8A4B"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554" w:type="pct"/>
            <w:tcBorders>
              <w:top w:val="single" w:sz="6" w:space="0" w:color="auto"/>
              <w:left w:val="single" w:sz="6" w:space="0" w:color="auto"/>
              <w:bottom w:val="single" w:sz="6" w:space="0" w:color="auto"/>
              <w:right w:val="single" w:sz="6" w:space="0" w:color="auto"/>
            </w:tcBorders>
            <w:vAlign w:val="center"/>
          </w:tcPr>
          <w:p w14:paraId="627523BB"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w:t>
            </w:r>
          </w:p>
        </w:tc>
        <w:tc>
          <w:tcPr>
            <w:tcW w:w="1" w:type="pct"/>
            <w:gridSpan w:val="2"/>
            <w:tcBorders>
              <w:top w:val="single" w:sz="6" w:space="0" w:color="auto"/>
              <w:left w:val="single" w:sz="6" w:space="0" w:color="auto"/>
              <w:bottom w:val="single" w:sz="6" w:space="0" w:color="auto"/>
              <w:right w:val="single" w:sz="4" w:space="0" w:color="auto"/>
            </w:tcBorders>
            <w:vAlign w:val="center"/>
          </w:tcPr>
          <w:p w14:paraId="5576B697"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6F8EBD8D" w14:textId="4647B22C"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6265E3D5" w14:textId="520ACEFF" w:rsidTr="00563E96">
        <w:trPr>
          <w:trHeight w:val="18"/>
        </w:trPr>
        <w:tc>
          <w:tcPr>
            <w:tcW w:w="712" w:type="pct"/>
            <w:vMerge/>
            <w:tcBorders>
              <w:left w:val="single" w:sz="4" w:space="0" w:color="auto"/>
              <w:bottom w:val="single" w:sz="6" w:space="0" w:color="auto"/>
              <w:right w:val="single" w:sz="6" w:space="0" w:color="auto"/>
            </w:tcBorders>
            <w:vAlign w:val="center"/>
          </w:tcPr>
          <w:p w14:paraId="08AFFF93" w14:textId="77777777" w:rsidR="00046F6A" w:rsidRPr="00DD0D1F" w:rsidRDefault="00046F6A" w:rsidP="003328F9">
            <w:pPr>
              <w:adjustRightInd w:val="0"/>
              <w:spacing w:line="240" w:lineRule="auto"/>
              <w:ind w:left="74" w:right="74"/>
              <w:jc w:val="center"/>
              <w:rPr>
                <w:rFonts w:cs="Times New Roman"/>
                <w:b/>
                <w:szCs w:val="24"/>
                <w:lang w:val="tr-TR"/>
              </w:rPr>
            </w:pPr>
          </w:p>
        </w:tc>
        <w:tc>
          <w:tcPr>
            <w:tcW w:w="425" w:type="pct"/>
            <w:tcBorders>
              <w:top w:val="single" w:sz="6" w:space="0" w:color="auto"/>
              <w:left w:val="single" w:sz="6" w:space="0" w:color="auto"/>
              <w:bottom w:val="single" w:sz="6" w:space="0" w:color="auto"/>
              <w:right w:val="single" w:sz="6" w:space="0" w:color="auto"/>
            </w:tcBorders>
            <w:vAlign w:val="center"/>
          </w:tcPr>
          <w:p w14:paraId="62EC59E8" w14:textId="77777777"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22" w:type="pct"/>
            <w:tcBorders>
              <w:top w:val="single" w:sz="6" w:space="0" w:color="auto"/>
              <w:left w:val="single" w:sz="6" w:space="0" w:color="auto"/>
              <w:bottom w:val="single" w:sz="6" w:space="0" w:color="auto"/>
              <w:right w:val="single" w:sz="6" w:space="0" w:color="auto"/>
            </w:tcBorders>
            <w:vAlign w:val="center"/>
          </w:tcPr>
          <w:p w14:paraId="2041F944" w14:textId="77777777"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54" w:type="pct"/>
            <w:tcBorders>
              <w:top w:val="single" w:sz="6" w:space="0" w:color="auto"/>
              <w:left w:val="single" w:sz="6" w:space="0" w:color="auto"/>
              <w:bottom w:val="single" w:sz="6" w:space="0" w:color="auto"/>
              <w:right w:val="single" w:sz="6" w:space="0" w:color="auto"/>
            </w:tcBorders>
            <w:vAlign w:val="center"/>
          </w:tcPr>
          <w:p w14:paraId="1E047355" w14:textId="77777777"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28" w:type="pct"/>
            <w:tcBorders>
              <w:top w:val="single" w:sz="6" w:space="0" w:color="auto"/>
              <w:left w:val="single" w:sz="6" w:space="0" w:color="auto"/>
              <w:bottom w:val="single" w:sz="6" w:space="0" w:color="auto"/>
              <w:right w:val="single" w:sz="4" w:space="0" w:color="auto"/>
            </w:tcBorders>
            <w:vAlign w:val="center"/>
          </w:tcPr>
          <w:p w14:paraId="2BC93E40" w14:textId="58CF253A"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00563E96" w:rsidRPr="00DD0D1F">
              <w:rPr>
                <w:rFonts w:cs="Times New Roman"/>
                <w:szCs w:val="24"/>
                <w:lang w:val="tr-TR"/>
              </w:rPr>
              <w:t xml:space="preserve"> </w:t>
            </w:r>
            <w:r w:rsidR="00563E96" w:rsidRPr="00DD0D1F">
              <w:rPr>
                <w:rFonts w:cs="Times New Roman"/>
                <w:b/>
                <w:szCs w:val="24"/>
                <w:lang w:val="tr-TR"/>
              </w:rPr>
              <w:t>Kademe 2</w:t>
            </w:r>
          </w:p>
        </w:tc>
        <w:tc>
          <w:tcPr>
            <w:tcW w:w="2059" w:type="pct"/>
            <w:tcBorders>
              <w:top w:val="single" w:sz="6" w:space="0" w:color="auto"/>
              <w:left w:val="single" w:sz="6" w:space="0" w:color="auto"/>
              <w:bottom w:val="single" w:sz="6" w:space="0" w:color="auto"/>
              <w:right w:val="single" w:sz="4" w:space="0" w:color="auto"/>
            </w:tcBorders>
          </w:tcPr>
          <w:p w14:paraId="133D01F1" w14:textId="77777777" w:rsidR="00563E96" w:rsidRPr="00DD0D1F" w:rsidRDefault="00563E96" w:rsidP="00563E96">
            <w:pPr>
              <w:adjustRightInd w:val="0"/>
              <w:spacing w:line="240" w:lineRule="auto"/>
              <w:ind w:left="74" w:right="74"/>
              <w:jc w:val="center"/>
              <w:rPr>
                <w:rFonts w:cs="Times New Roman"/>
                <w:b/>
                <w:szCs w:val="24"/>
                <w:lang w:val="tr-TR"/>
              </w:rPr>
            </w:pPr>
          </w:p>
          <w:p w14:paraId="1E86B350" w14:textId="77777777" w:rsidR="00563E96" w:rsidRPr="00DD0D1F" w:rsidRDefault="00563E96" w:rsidP="00563E96">
            <w:pPr>
              <w:adjustRightInd w:val="0"/>
              <w:spacing w:line="240" w:lineRule="auto"/>
              <w:ind w:left="74" w:right="74"/>
              <w:jc w:val="center"/>
              <w:rPr>
                <w:rFonts w:cs="Times New Roman"/>
                <w:b/>
                <w:szCs w:val="24"/>
                <w:lang w:val="tr-TR"/>
              </w:rPr>
            </w:pPr>
          </w:p>
          <w:p w14:paraId="03B3E162" w14:textId="26802E8E" w:rsidR="00046F6A" w:rsidRPr="00DD0D1F" w:rsidRDefault="009C0302" w:rsidP="00563E96">
            <w:pPr>
              <w:adjustRightInd w:val="0"/>
              <w:spacing w:line="240" w:lineRule="auto"/>
              <w:ind w:left="74" w:right="74"/>
              <w:jc w:val="center"/>
              <w:rPr>
                <w:rFonts w:cs="Times New Roman"/>
                <w:b/>
                <w:szCs w:val="24"/>
                <w:lang w:val="tr-TR"/>
              </w:rPr>
            </w:pPr>
            <w:r w:rsidRPr="00DD0D1F">
              <w:rPr>
                <w:rFonts w:cs="Times New Roman"/>
                <w:b/>
                <w:szCs w:val="24"/>
                <w:lang w:val="tr-TR"/>
              </w:rPr>
              <w:t>Mevcut tesis</w:t>
            </w:r>
            <w:r w:rsidR="00563E96" w:rsidRPr="00DD0D1F">
              <w:rPr>
                <w:rFonts w:cs="Times New Roman"/>
                <w:b/>
                <w:szCs w:val="24"/>
                <w:lang w:val="tr-TR"/>
              </w:rPr>
              <w:t xml:space="preserve"> Kademe 1</w:t>
            </w:r>
          </w:p>
        </w:tc>
      </w:tr>
      <w:tr w:rsidR="00EB7491" w:rsidRPr="00DD0D1F" w14:paraId="31EF5BD7" w14:textId="26DA30CA"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79E2404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425" w:type="pct"/>
            <w:tcBorders>
              <w:top w:val="single" w:sz="6" w:space="0" w:color="auto"/>
              <w:left w:val="single" w:sz="6" w:space="0" w:color="auto"/>
              <w:bottom w:val="single" w:sz="6" w:space="0" w:color="auto"/>
              <w:right w:val="single" w:sz="6" w:space="0" w:color="auto"/>
            </w:tcBorders>
            <w:vAlign w:val="center"/>
          </w:tcPr>
          <w:p w14:paraId="77C83B07"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150-200</w:t>
            </w:r>
          </w:p>
        </w:tc>
        <w:tc>
          <w:tcPr>
            <w:tcW w:w="522" w:type="pct"/>
            <w:tcBorders>
              <w:top w:val="single" w:sz="6" w:space="0" w:color="auto"/>
              <w:left w:val="single" w:sz="6" w:space="0" w:color="auto"/>
              <w:bottom w:val="single" w:sz="6" w:space="0" w:color="auto"/>
              <w:right w:val="single" w:sz="6" w:space="0" w:color="auto"/>
            </w:tcBorders>
            <w:vAlign w:val="center"/>
          </w:tcPr>
          <w:p w14:paraId="578D82F0"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150-360</w:t>
            </w:r>
          </w:p>
        </w:tc>
        <w:tc>
          <w:tcPr>
            <w:tcW w:w="554" w:type="pct"/>
            <w:tcBorders>
              <w:top w:val="single" w:sz="6" w:space="0" w:color="auto"/>
              <w:left w:val="single" w:sz="6" w:space="0" w:color="auto"/>
              <w:bottom w:val="single" w:sz="6" w:space="0" w:color="auto"/>
              <w:right w:val="single" w:sz="6" w:space="0" w:color="auto"/>
            </w:tcBorders>
            <w:vAlign w:val="center"/>
          </w:tcPr>
          <w:p w14:paraId="6AE513B7"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170-220</w:t>
            </w:r>
          </w:p>
        </w:tc>
        <w:tc>
          <w:tcPr>
            <w:tcW w:w="728" w:type="pct"/>
            <w:tcBorders>
              <w:top w:val="single" w:sz="6" w:space="0" w:color="auto"/>
              <w:left w:val="single" w:sz="6" w:space="0" w:color="auto"/>
              <w:bottom w:val="single" w:sz="6" w:space="0" w:color="auto"/>
              <w:right w:val="single" w:sz="4" w:space="0" w:color="auto"/>
            </w:tcBorders>
            <w:vAlign w:val="center"/>
          </w:tcPr>
          <w:p w14:paraId="71324E36"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170-400</w:t>
            </w:r>
          </w:p>
        </w:tc>
        <w:tc>
          <w:tcPr>
            <w:tcW w:w="2059" w:type="pct"/>
            <w:tcBorders>
              <w:top w:val="single" w:sz="6" w:space="0" w:color="auto"/>
              <w:left w:val="single" w:sz="6" w:space="0" w:color="auto"/>
              <w:bottom w:val="single" w:sz="6" w:space="0" w:color="auto"/>
              <w:right w:val="single" w:sz="4" w:space="0" w:color="auto"/>
            </w:tcBorders>
          </w:tcPr>
          <w:p w14:paraId="1B8E741A" w14:textId="5996531F" w:rsidR="00046F6A" w:rsidRPr="00DD0D1F" w:rsidRDefault="009C0302" w:rsidP="009C0302">
            <w:pPr>
              <w:tabs>
                <w:tab w:val="left" w:pos="1290"/>
              </w:tabs>
              <w:adjustRightInd w:val="0"/>
              <w:spacing w:line="240" w:lineRule="auto"/>
              <w:ind w:left="74" w:right="74"/>
              <w:rPr>
                <w:rFonts w:cs="Times New Roman"/>
                <w:szCs w:val="24"/>
                <w:lang w:val="tr-TR"/>
              </w:rPr>
            </w:pPr>
            <w:r w:rsidRPr="00DD0D1F">
              <w:rPr>
                <w:rFonts w:cs="Times New Roman"/>
                <w:szCs w:val="24"/>
                <w:lang w:val="tr-TR"/>
              </w:rPr>
              <w:tab/>
              <w:t xml:space="preserve">       400</w:t>
            </w:r>
          </w:p>
        </w:tc>
      </w:tr>
      <w:tr w:rsidR="00EB7491" w:rsidRPr="00DD0D1F" w14:paraId="4EC1E97B" w14:textId="4308BE32"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46A3021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425" w:type="pct"/>
            <w:tcBorders>
              <w:top w:val="single" w:sz="6" w:space="0" w:color="auto"/>
              <w:left w:val="single" w:sz="6" w:space="0" w:color="auto"/>
              <w:bottom w:val="single" w:sz="6" w:space="0" w:color="auto"/>
              <w:right w:val="single" w:sz="6" w:space="0" w:color="auto"/>
            </w:tcBorders>
            <w:vAlign w:val="center"/>
          </w:tcPr>
          <w:p w14:paraId="76936ADD"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80-150</w:t>
            </w:r>
          </w:p>
        </w:tc>
        <w:tc>
          <w:tcPr>
            <w:tcW w:w="522" w:type="pct"/>
            <w:tcBorders>
              <w:top w:val="single" w:sz="6" w:space="0" w:color="auto"/>
              <w:left w:val="single" w:sz="6" w:space="0" w:color="auto"/>
              <w:bottom w:val="single" w:sz="6" w:space="0" w:color="auto"/>
              <w:right w:val="single" w:sz="6" w:space="0" w:color="auto"/>
            </w:tcBorders>
            <w:vAlign w:val="center"/>
          </w:tcPr>
          <w:p w14:paraId="1077A9EF"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95-200</w:t>
            </w:r>
          </w:p>
        </w:tc>
        <w:tc>
          <w:tcPr>
            <w:tcW w:w="554" w:type="pct"/>
            <w:tcBorders>
              <w:top w:val="single" w:sz="6" w:space="0" w:color="auto"/>
              <w:left w:val="single" w:sz="6" w:space="0" w:color="auto"/>
              <w:bottom w:val="single" w:sz="6" w:space="0" w:color="auto"/>
              <w:right w:val="single" w:sz="6" w:space="0" w:color="auto"/>
            </w:tcBorders>
            <w:vAlign w:val="center"/>
          </w:tcPr>
          <w:p w14:paraId="59BEDCDC"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135-200</w:t>
            </w:r>
          </w:p>
        </w:tc>
        <w:tc>
          <w:tcPr>
            <w:tcW w:w="728" w:type="pct"/>
            <w:tcBorders>
              <w:top w:val="single" w:sz="6" w:space="0" w:color="auto"/>
              <w:left w:val="single" w:sz="6" w:space="0" w:color="auto"/>
              <w:bottom w:val="single" w:sz="6" w:space="0" w:color="auto"/>
              <w:right w:val="single" w:sz="4" w:space="0" w:color="auto"/>
            </w:tcBorders>
            <w:vAlign w:val="center"/>
          </w:tcPr>
          <w:p w14:paraId="0A2BD61E"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135-220 (</w:t>
            </w:r>
            <w:r w:rsidRPr="00DD0D1F">
              <w:rPr>
                <w:rFonts w:cs="Times New Roman"/>
                <w:szCs w:val="24"/>
                <w:vertAlign w:val="superscript"/>
                <w:lang w:val="tr-TR"/>
              </w:rPr>
              <w:t>3</w:t>
            </w:r>
            <w:r w:rsidRPr="00DD0D1F">
              <w:rPr>
                <w:rFonts w:cs="Times New Roman"/>
                <w:szCs w:val="24"/>
                <w:lang w:val="tr-TR"/>
              </w:rPr>
              <w:t>)</w:t>
            </w:r>
          </w:p>
        </w:tc>
        <w:tc>
          <w:tcPr>
            <w:tcW w:w="2059" w:type="pct"/>
            <w:tcBorders>
              <w:top w:val="single" w:sz="6" w:space="0" w:color="auto"/>
              <w:left w:val="single" w:sz="6" w:space="0" w:color="auto"/>
              <w:bottom w:val="single" w:sz="6" w:space="0" w:color="auto"/>
              <w:right w:val="single" w:sz="4" w:space="0" w:color="auto"/>
            </w:tcBorders>
          </w:tcPr>
          <w:p w14:paraId="41755935" w14:textId="2DD12643" w:rsidR="00046F6A" w:rsidRPr="00DD0D1F" w:rsidRDefault="009C0302" w:rsidP="003328F9">
            <w:pPr>
              <w:adjustRightInd w:val="0"/>
              <w:spacing w:line="240" w:lineRule="auto"/>
              <w:ind w:left="74" w:right="74"/>
              <w:jc w:val="center"/>
              <w:rPr>
                <w:rFonts w:cs="Times New Roman"/>
                <w:szCs w:val="24"/>
                <w:lang w:val="tr-TR"/>
              </w:rPr>
            </w:pPr>
            <w:r w:rsidRPr="00DD0D1F">
              <w:rPr>
                <w:rFonts w:cs="Times New Roman"/>
                <w:szCs w:val="24"/>
                <w:lang w:val="tr-TR"/>
              </w:rPr>
              <w:t>250</w:t>
            </w:r>
          </w:p>
        </w:tc>
      </w:tr>
      <w:tr w:rsidR="00EB7491" w:rsidRPr="00DD0D1F" w14:paraId="4B4BDE6B" w14:textId="4DEC2650"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0026F07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≥300, PC  kazanı</w:t>
            </w:r>
          </w:p>
        </w:tc>
        <w:tc>
          <w:tcPr>
            <w:tcW w:w="425" w:type="pct"/>
            <w:tcBorders>
              <w:top w:val="single" w:sz="6" w:space="0" w:color="auto"/>
              <w:left w:val="single" w:sz="6" w:space="0" w:color="auto"/>
              <w:bottom w:val="single" w:sz="6" w:space="0" w:color="auto"/>
              <w:right w:val="single" w:sz="6" w:space="0" w:color="auto"/>
            </w:tcBorders>
            <w:vAlign w:val="center"/>
          </w:tcPr>
          <w:p w14:paraId="70E31A4E"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10-75</w:t>
            </w:r>
          </w:p>
        </w:tc>
        <w:tc>
          <w:tcPr>
            <w:tcW w:w="522" w:type="pct"/>
            <w:tcBorders>
              <w:top w:val="single" w:sz="6" w:space="0" w:color="auto"/>
              <w:left w:val="single" w:sz="6" w:space="0" w:color="auto"/>
              <w:bottom w:val="single" w:sz="6" w:space="0" w:color="auto"/>
              <w:right w:val="single" w:sz="6" w:space="0" w:color="auto"/>
            </w:tcBorders>
            <w:vAlign w:val="center"/>
          </w:tcPr>
          <w:p w14:paraId="53751AD2"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10-130 (</w:t>
            </w:r>
            <w:r w:rsidRPr="00DD0D1F">
              <w:rPr>
                <w:rFonts w:cs="Times New Roman"/>
                <w:szCs w:val="24"/>
                <w:vertAlign w:val="superscript"/>
                <w:lang w:val="tr-TR"/>
              </w:rPr>
              <w:t>4</w:t>
            </w:r>
            <w:r w:rsidRPr="00DD0D1F">
              <w:rPr>
                <w:rFonts w:cs="Times New Roman"/>
                <w:szCs w:val="24"/>
                <w:lang w:val="tr-TR"/>
              </w:rPr>
              <w:t>)</w:t>
            </w:r>
          </w:p>
        </w:tc>
        <w:tc>
          <w:tcPr>
            <w:tcW w:w="554" w:type="pct"/>
            <w:tcBorders>
              <w:top w:val="single" w:sz="6" w:space="0" w:color="auto"/>
              <w:left w:val="single" w:sz="6" w:space="0" w:color="auto"/>
              <w:bottom w:val="single" w:sz="6" w:space="0" w:color="auto"/>
              <w:right w:val="single" w:sz="6" w:space="0" w:color="auto"/>
            </w:tcBorders>
            <w:vAlign w:val="center"/>
          </w:tcPr>
          <w:p w14:paraId="4E92D58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25-110</w:t>
            </w:r>
          </w:p>
        </w:tc>
        <w:tc>
          <w:tcPr>
            <w:tcW w:w="728" w:type="pct"/>
            <w:tcBorders>
              <w:top w:val="single" w:sz="6" w:space="0" w:color="auto"/>
              <w:left w:val="single" w:sz="6" w:space="0" w:color="auto"/>
              <w:bottom w:val="single" w:sz="6" w:space="0" w:color="auto"/>
              <w:right w:val="single" w:sz="4" w:space="0" w:color="auto"/>
            </w:tcBorders>
            <w:vAlign w:val="center"/>
          </w:tcPr>
          <w:p w14:paraId="7215D9A7"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25-165 (</w:t>
            </w:r>
            <w:r w:rsidRPr="00DD0D1F">
              <w:rPr>
                <w:rFonts w:cs="Times New Roman"/>
                <w:szCs w:val="24"/>
                <w:vertAlign w:val="superscript"/>
                <w:lang w:val="tr-TR"/>
              </w:rPr>
              <w:t>5</w:t>
            </w:r>
            <w:r w:rsidRPr="00DD0D1F">
              <w:rPr>
                <w:rFonts w:cs="Times New Roman"/>
                <w:szCs w:val="24"/>
                <w:lang w:val="tr-TR"/>
              </w:rPr>
              <w:t>)</w:t>
            </w:r>
          </w:p>
        </w:tc>
        <w:tc>
          <w:tcPr>
            <w:tcW w:w="2059" w:type="pct"/>
            <w:tcBorders>
              <w:top w:val="single" w:sz="6" w:space="0" w:color="auto"/>
              <w:left w:val="single" w:sz="6" w:space="0" w:color="auto"/>
              <w:bottom w:val="single" w:sz="6" w:space="0" w:color="auto"/>
              <w:right w:val="single" w:sz="4" w:space="0" w:color="auto"/>
            </w:tcBorders>
          </w:tcPr>
          <w:p w14:paraId="77869FA7" w14:textId="5E905C46" w:rsidR="00046F6A" w:rsidRPr="00DD0D1F" w:rsidRDefault="009C0302"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3A9CB55E" w14:textId="02A7CCA6"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38A0875D"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 300, Akışkan yataklı kazan (</w:t>
            </w:r>
            <w:r w:rsidRPr="00DD0D1F">
              <w:rPr>
                <w:rFonts w:cs="Times New Roman"/>
                <w:szCs w:val="24"/>
                <w:vertAlign w:val="superscript"/>
                <w:lang w:val="tr-TR"/>
              </w:rPr>
              <w:t>6</w:t>
            </w:r>
            <w:r w:rsidRPr="00DD0D1F">
              <w:rPr>
                <w:rFonts w:cs="Times New Roman"/>
                <w:szCs w:val="24"/>
                <w:lang w:val="tr-TR"/>
              </w:rPr>
              <w:t>)</w:t>
            </w:r>
          </w:p>
        </w:tc>
        <w:tc>
          <w:tcPr>
            <w:tcW w:w="425" w:type="pct"/>
            <w:tcBorders>
              <w:top w:val="single" w:sz="6" w:space="0" w:color="auto"/>
              <w:left w:val="single" w:sz="6" w:space="0" w:color="auto"/>
              <w:bottom w:val="single" w:sz="6" w:space="0" w:color="auto"/>
              <w:right w:val="single" w:sz="6" w:space="0" w:color="auto"/>
            </w:tcBorders>
            <w:vAlign w:val="center"/>
          </w:tcPr>
          <w:p w14:paraId="0175C21F"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20-75</w:t>
            </w:r>
          </w:p>
        </w:tc>
        <w:tc>
          <w:tcPr>
            <w:tcW w:w="522" w:type="pct"/>
            <w:tcBorders>
              <w:top w:val="single" w:sz="6" w:space="0" w:color="auto"/>
              <w:left w:val="single" w:sz="6" w:space="0" w:color="auto"/>
              <w:bottom w:val="single" w:sz="6" w:space="0" w:color="auto"/>
              <w:right w:val="single" w:sz="6" w:space="0" w:color="auto"/>
            </w:tcBorders>
            <w:vAlign w:val="center"/>
          </w:tcPr>
          <w:p w14:paraId="1DA4CFBE"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20-180</w:t>
            </w:r>
          </w:p>
        </w:tc>
        <w:tc>
          <w:tcPr>
            <w:tcW w:w="554" w:type="pct"/>
            <w:tcBorders>
              <w:top w:val="single" w:sz="6" w:space="0" w:color="auto"/>
              <w:left w:val="single" w:sz="6" w:space="0" w:color="auto"/>
              <w:bottom w:val="single" w:sz="6" w:space="0" w:color="auto"/>
              <w:right w:val="single" w:sz="6" w:space="0" w:color="auto"/>
            </w:tcBorders>
            <w:vAlign w:val="center"/>
          </w:tcPr>
          <w:p w14:paraId="56C27381"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25-110</w:t>
            </w:r>
          </w:p>
        </w:tc>
        <w:tc>
          <w:tcPr>
            <w:tcW w:w="728" w:type="pct"/>
            <w:tcBorders>
              <w:top w:val="single" w:sz="6" w:space="0" w:color="auto"/>
              <w:left w:val="single" w:sz="6" w:space="0" w:color="auto"/>
              <w:bottom w:val="single" w:sz="6" w:space="0" w:color="auto"/>
              <w:right w:val="single" w:sz="4" w:space="0" w:color="auto"/>
            </w:tcBorders>
            <w:vAlign w:val="center"/>
          </w:tcPr>
          <w:p w14:paraId="7CD60C24"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50-220</w:t>
            </w:r>
          </w:p>
        </w:tc>
        <w:tc>
          <w:tcPr>
            <w:tcW w:w="2059" w:type="pct"/>
            <w:tcBorders>
              <w:top w:val="single" w:sz="6" w:space="0" w:color="auto"/>
              <w:left w:val="single" w:sz="6" w:space="0" w:color="auto"/>
              <w:bottom w:val="single" w:sz="6" w:space="0" w:color="auto"/>
              <w:right w:val="single" w:sz="4" w:space="0" w:color="auto"/>
            </w:tcBorders>
          </w:tcPr>
          <w:p w14:paraId="7A629CE5" w14:textId="3C78927F" w:rsidR="00046F6A" w:rsidRPr="00DD0D1F" w:rsidRDefault="009C0302"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15B7B97D" w14:textId="3429FDEC" w:rsidTr="009C0302">
        <w:trPr>
          <w:trHeight w:val="18"/>
        </w:trPr>
        <w:tc>
          <w:tcPr>
            <w:tcW w:w="5000" w:type="pct"/>
            <w:gridSpan w:val="6"/>
            <w:tcBorders>
              <w:top w:val="single" w:sz="6" w:space="0" w:color="auto"/>
              <w:left w:val="single" w:sz="4" w:space="0" w:color="auto"/>
              <w:bottom w:val="single" w:sz="4" w:space="0" w:color="auto"/>
              <w:right w:val="single" w:sz="4" w:space="0" w:color="auto"/>
            </w:tcBorders>
          </w:tcPr>
          <w:p w14:paraId="0BF07CC1" w14:textId="77777777"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23EEBDA6" w14:textId="77777777"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18EE525D" w14:textId="4089F11D"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r>
            <w:r w:rsidR="00073FA5" w:rsidRPr="00DD0D1F">
              <w:rPr>
                <w:rFonts w:cs="Times New Roman"/>
                <w:szCs w:val="24"/>
                <w:lang w:val="tr-TR"/>
              </w:rPr>
              <w:t>1 Aralık 2025</w:t>
            </w:r>
            <w:r w:rsidRPr="00DD0D1F">
              <w:rPr>
                <w:rFonts w:cs="Times New Roman"/>
                <w:szCs w:val="24"/>
                <w:lang w:val="tr-TR"/>
              </w:rPr>
              <w:t xml:space="preserve"> tarihinden önce devreye alınan tesislerde, MET-İES aralığının üst </w:t>
            </w:r>
            <w:r w:rsidR="008214A3" w:rsidRPr="00DD0D1F">
              <w:rPr>
                <w:rFonts w:cs="Times New Roman"/>
                <w:szCs w:val="24"/>
                <w:lang w:val="tr-TR"/>
              </w:rPr>
              <w:t>sınırı</w:t>
            </w:r>
            <w:r w:rsidRPr="00DD0D1F">
              <w:rPr>
                <w:rFonts w:cs="Times New Roman"/>
                <w:szCs w:val="24"/>
                <w:lang w:val="tr-TR"/>
              </w:rPr>
              <w:t xml:space="preserve"> 250 mg/Nm</w:t>
            </w:r>
            <w:r w:rsidRPr="00DD0D1F">
              <w:rPr>
                <w:rFonts w:cs="Times New Roman"/>
                <w:szCs w:val="24"/>
                <w:vertAlign w:val="superscript"/>
                <w:lang w:val="tr-TR"/>
              </w:rPr>
              <w:t>3</w:t>
            </w:r>
            <w:r w:rsidRPr="00DD0D1F">
              <w:rPr>
                <w:rFonts w:cs="Times New Roman"/>
                <w:szCs w:val="24"/>
                <w:lang w:val="tr-TR"/>
              </w:rPr>
              <w:t>'tür.</w:t>
            </w:r>
          </w:p>
          <w:p w14:paraId="09DA7116" w14:textId="75EC601F"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En gelişmiş yaş azaltma sistemi tasarımı ve düşük kükürtlü yakıt kullanımı ile birlikte aralığın </w:t>
            </w:r>
            <w:r w:rsidR="006B2679" w:rsidRPr="00DD0D1F">
              <w:rPr>
                <w:rFonts w:cs="Times New Roman"/>
                <w:szCs w:val="24"/>
                <w:lang w:val="tr-TR"/>
              </w:rPr>
              <w:t xml:space="preserve">alt </w:t>
            </w:r>
            <w:r w:rsidR="008214A3" w:rsidRPr="00DD0D1F">
              <w:rPr>
                <w:rFonts w:cs="Times New Roman"/>
                <w:szCs w:val="24"/>
                <w:lang w:val="tr-TR"/>
              </w:rPr>
              <w:t xml:space="preserve">sınırı </w:t>
            </w:r>
            <w:r w:rsidRPr="00DD0D1F">
              <w:rPr>
                <w:rFonts w:cs="Times New Roman"/>
                <w:szCs w:val="24"/>
                <w:lang w:val="tr-TR"/>
              </w:rPr>
              <w:t>elde edilebilir.</w:t>
            </w:r>
          </w:p>
          <w:p w14:paraId="1C310E6B" w14:textId="7958B762"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00073FA5" w:rsidRPr="00DD0D1F">
              <w:rPr>
                <w:rFonts w:cs="Times New Roman"/>
                <w:szCs w:val="24"/>
                <w:lang w:val="tr-TR"/>
              </w:rPr>
              <w:t xml:space="preserve"> 1 Aralık 2025 </w:t>
            </w:r>
            <w:r w:rsidRPr="00DD0D1F">
              <w:rPr>
                <w:rFonts w:cs="Times New Roman"/>
                <w:szCs w:val="24"/>
                <w:lang w:val="tr-TR"/>
              </w:rPr>
              <w:t xml:space="preserve">tarihinden önce devreye alınan ve &lt;1500 saat/yıl çalıştırılan tesislerde, MET-İES aralığının üst </w:t>
            </w:r>
            <w:r w:rsidR="008214A3" w:rsidRPr="00DD0D1F">
              <w:rPr>
                <w:rFonts w:cs="Times New Roman"/>
                <w:szCs w:val="24"/>
                <w:lang w:val="tr-TR"/>
              </w:rPr>
              <w:t xml:space="preserve">sınırı </w:t>
            </w:r>
            <w:r w:rsidRPr="00DD0D1F">
              <w:rPr>
                <w:rFonts w:cs="Times New Roman"/>
                <w:szCs w:val="24"/>
                <w:lang w:val="tr-TR"/>
              </w:rPr>
              <w:t>220 mg/Nm</w:t>
            </w:r>
            <w:r w:rsidRPr="00DD0D1F">
              <w:rPr>
                <w:rFonts w:cs="Times New Roman"/>
                <w:szCs w:val="24"/>
                <w:vertAlign w:val="superscript"/>
                <w:lang w:val="tr-TR"/>
              </w:rPr>
              <w:t>3</w:t>
            </w:r>
            <w:r w:rsidRPr="00DD0D1F">
              <w:rPr>
                <w:rFonts w:cs="Times New Roman"/>
                <w:szCs w:val="24"/>
                <w:lang w:val="tr-TR"/>
              </w:rPr>
              <w:t>'tür</w:t>
            </w:r>
            <w:r w:rsidR="00073FA5" w:rsidRPr="00DD0D1F">
              <w:rPr>
                <w:rFonts w:cs="Times New Roman"/>
                <w:szCs w:val="24"/>
                <w:lang w:val="tr-TR"/>
              </w:rPr>
              <w:t xml:space="preserve"> 1 Aralık 2025 </w:t>
            </w:r>
            <w:r w:rsidRPr="00DD0D1F">
              <w:rPr>
                <w:rFonts w:cs="Times New Roman"/>
                <w:szCs w:val="24"/>
                <w:lang w:val="tr-TR"/>
              </w:rPr>
              <w:t xml:space="preserve">tarihinden önce devreye alınan diğer mevcut tesisler için MET-İES aralığının üst </w:t>
            </w:r>
            <w:r w:rsidR="008214A3" w:rsidRPr="00DD0D1F">
              <w:rPr>
                <w:rFonts w:cs="Times New Roman"/>
                <w:szCs w:val="24"/>
                <w:lang w:val="tr-TR"/>
              </w:rPr>
              <w:t xml:space="preserve">sınırı </w:t>
            </w:r>
            <w:r w:rsidRPr="00DD0D1F">
              <w:rPr>
                <w:rFonts w:cs="Times New Roman"/>
                <w:szCs w:val="24"/>
                <w:lang w:val="tr-TR"/>
              </w:rPr>
              <w:t>205 mg/Nm</w:t>
            </w:r>
            <w:r w:rsidRPr="00DD0D1F">
              <w:rPr>
                <w:rFonts w:cs="Times New Roman"/>
                <w:szCs w:val="24"/>
                <w:vertAlign w:val="superscript"/>
                <w:lang w:val="tr-TR"/>
              </w:rPr>
              <w:t>3</w:t>
            </w:r>
            <w:r w:rsidRPr="00DD0D1F">
              <w:rPr>
                <w:rFonts w:cs="Times New Roman"/>
                <w:szCs w:val="24"/>
                <w:lang w:val="tr-TR"/>
              </w:rPr>
              <w:t>'tür.</w:t>
            </w:r>
          </w:p>
          <w:p w14:paraId="49FF1389" w14:textId="0E3CDB42"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 xml:space="preserve">Dolaşımlı akışkan yataklı kazanlar için, aralığın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xml:space="preserve">, yüksek verimli yaş FGD kullanılarak ulaşılabilir. Aralığın üst </w:t>
            </w:r>
            <w:r w:rsidR="008214A3" w:rsidRPr="00DD0D1F">
              <w:rPr>
                <w:rFonts w:cs="Times New Roman"/>
                <w:szCs w:val="24"/>
                <w:lang w:val="tr-TR"/>
              </w:rPr>
              <w:t>sınırı</w:t>
            </w:r>
            <w:r w:rsidRPr="00DD0D1F">
              <w:rPr>
                <w:rFonts w:cs="Times New Roman"/>
                <w:szCs w:val="24"/>
                <w:lang w:val="tr-TR"/>
              </w:rPr>
              <w:t xml:space="preserve">, kazan yatak içi sorbent enjeksiyonu ile ulaşılabilir. </w:t>
            </w:r>
          </w:p>
        </w:tc>
      </w:tr>
    </w:tbl>
    <w:p w14:paraId="4453A29D" w14:textId="533E9B33" w:rsidR="003328F9" w:rsidRPr="00DD0D1F" w:rsidRDefault="003328F9" w:rsidP="003328F9">
      <w:pPr>
        <w:spacing w:before="240"/>
        <w:rPr>
          <w:rFonts w:cs="Times New Roman"/>
          <w:szCs w:val="24"/>
          <w:lang w:val="tr-TR"/>
        </w:rPr>
      </w:pPr>
      <w:r w:rsidRPr="00DD0D1F">
        <w:rPr>
          <w:rFonts w:cs="Times New Roman"/>
          <w:szCs w:val="24"/>
          <w:lang w:val="tr-TR"/>
        </w:rPr>
        <w:t xml:space="preserve">Yerli linyit yakıtlarını yakmak için özel olarak tasarlanmış ve </w:t>
      </w:r>
      <w:r w:rsidR="00BD5904" w:rsidRPr="00DD0D1F">
        <w:rPr>
          <w:rFonts w:cs="Times New Roman"/>
          <w:szCs w:val="24"/>
          <w:lang w:val="tr-TR"/>
        </w:rPr>
        <w:t>Tablo 4</w:t>
      </w:r>
      <w:r w:rsidRPr="00DD0D1F">
        <w:rPr>
          <w:rFonts w:cs="Times New Roman"/>
          <w:szCs w:val="24"/>
        </w:rPr>
        <w:fldChar w:fldCharType="begin"/>
      </w:r>
      <w:r w:rsidRPr="00DD0D1F">
        <w:rPr>
          <w:rFonts w:cs="Times New Roman"/>
          <w:szCs w:val="24"/>
          <w:lang w:val="tr-TR"/>
        </w:rPr>
        <w:instrText xml:space="preserve"> REF _Ref135144736 \h  \* MERGEFORMAT </w:instrText>
      </w:r>
      <w:r w:rsidRPr="00DD0D1F">
        <w:rPr>
          <w:rFonts w:cs="Times New Roman"/>
          <w:szCs w:val="24"/>
        </w:rPr>
      </w:r>
      <w:r w:rsidRPr="00DD0D1F">
        <w:rPr>
          <w:rFonts w:cs="Times New Roman"/>
          <w:szCs w:val="24"/>
        </w:rPr>
        <w:fldChar w:fldCharType="end"/>
      </w:r>
      <w:r w:rsidRPr="00DD0D1F">
        <w:rPr>
          <w:rFonts w:cs="Times New Roman"/>
          <w:szCs w:val="24"/>
          <w:lang w:val="tr-TR"/>
        </w:rPr>
        <w:t>’te belirtilen MET-İES'leri tekno-ekonomik nedenlerle elde edemediğini gösterebilen, toplam anma ısıl gücü 300 MW'tan fazla olan bir yakma tesisi için, Tablo 4'te belirtilen günlük ortalama MET-İES'ler geçerli değildir ve yıllık ortalama MET-İES aralığının üst sınırı aşağıdaki gibidir:</w:t>
      </w:r>
    </w:p>
    <w:p w14:paraId="57922F56" w14:textId="77777777" w:rsidR="003328F9" w:rsidRPr="00DD0D1F" w:rsidRDefault="003328F9" w:rsidP="00FF111D">
      <w:pPr>
        <w:pStyle w:val="ListeParagraf"/>
        <w:numPr>
          <w:ilvl w:val="0"/>
          <w:numId w:val="74"/>
        </w:numPr>
        <w:spacing w:before="240"/>
        <w:rPr>
          <w:rFonts w:cs="Times New Roman"/>
          <w:szCs w:val="24"/>
          <w:lang w:val="tr-TR"/>
        </w:rPr>
      </w:pPr>
      <w:r w:rsidRPr="00DD0D1F">
        <w:rPr>
          <w:rFonts w:cs="Times New Roman"/>
          <w:szCs w:val="24"/>
          <w:lang w:val="tr-TR"/>
        </w:rPr>
        <w:t>Yeni bir FGD sistemi için en fazla 200 mg/Nm</w:t>
      </w:r>
      <w:r w:rsidRPr="00DD0D1F">
        <w:rPr>
          <w:rFonts w:cs="Times New Roman"/>
          <w:szCs w:val="24"/>
          <w:vertAlign w:val="superscript"/>
          <w:lang w:val="tr-TR"/>
        </w:rPr>
        <w:t>3</w:t>
      </w:r>
      <w:r w:rsidRPr="00DD0D1F">
        <w:rPr>
          <w:rFonts w:cs="Times New Roman"/>
          <w:szCs w:val="24"/>
          <w:lang w:val="tr-TR"/>
        </w:rPr>
        <w:t xml:space="preserve"> olması şartıyla:  RCG x 0.01;</w:t>
      </w:r>
    </w:p>
    <w:p w14:paraId="1E2EC8F7" w14:textId="77777777" w:rsidR="003328F9" w:rsidRPr="00DD0D1F" w:rsidRDefault="003328F9" w:rsidP="00FF111D">
      <w:pPr>
        <w:pStyle w:val="ListeParagraf"/>
        <w:numPr>
          <w:ilvl w:val="0"/>
          <w:numId w:val="74"/>
        </w:numPr>
        <w:spacing w:before="240"/>
        <w:rPr>
          <w:rFonts w:cs="Times New Roman"/>
          <w:szCs w:val="24"/>
          <w:lang w:val="tr-TR"/>
        </w:rPr>
      </w:pPr>
      <w:r w:rsidRPr="00DD0D1F">
        <w:rPr>
          <w:rFonts w:cs="Times New Roman"/>
          <w:szCs w:val="24"/>
          <w:lang w:val="tr-TR"/>
        </w:rPr>
        <w:t>Mevcut bir FGD sistemi için en fazla 320 mg/Nm</w:t>
      </w:r>
      <w:r w:rsidRPr="00DD0D1F">
        <w:rPr>
          <w:rFonts w:cs="Times New Roman"/>
          <w:szCs w:val="24"/>
          <w:vertAlign w:val="superscript"/>
          <w:lang w:val="tr-TR"/>
        </w:rPr>
        <w:t>3</w:t>
      </w:r>
      <w:r w:rsidRPr="00DD0D1F">
        <w:rPr>
          <w:rFonts w:cs="Times New Roman"/>
          <w:szCs w:val="24"/>
          <w:lang w:val="tr-TR"/>
        </w:rPr>
        <w:t xml:space="preserve"> olması şartıyla: RCG x 0.03’dür.</w:t>
      </w:r>
    </w:p>
    <w:p w14:paraId="03E07397" w14:textId="6B2F89F4" w:rsidR="003328F9" w:rsidRPr="00DD0D1F" w:rsidRDefault="003328F9" w:rsidP="003328F9">
      <w:pPr>
        <w:spacing w:before="240"/>
        <w:ind w:left="360"/>
        <w:rPr>
          <w:rFonts w:cs="Times New Roman"/>
          <w:szCs w:val="24"/>
          <w:lang w:val="tr-TR"/>
        </w:rPr>
      </w:pPr>
      <w:r w:rsidRPr="00DD0D1F">
        <w:rPr>
          <w:rFonts w:cs="Times New Roman"/>
          <w:szCs w:val="24"/>
          <w:lang w:val="tr-TR"/>
        </w:rPr>
        <w:t>Yukarıda belirtilen RCG,  SO</w:t>
      </w:r>
      <w:r w:rsidRPr="00DD0D1F">
        <w:rPr>
          <w:rFonts w:cs="Times New Roman"/>
          <w:szCs w:val="24"/>
          <w:vertAlign w:val="subscript"/>
          <w:lang w:val="tr-TR"/>
        </w:rPr>
        <w:t>X</w:t>
      </w:r>
      <w:r w:rsidRPr="00DD0D1F">
        <w:rPr>
          <w:rFonts w:cs="Times New Roman"/>
          <w:szCs w:val="24"/>
          <w:lang w:val="tr-TR"/>
        </w:rPr>
        <w:t xml:space="preserve"> azaltma sisteminin girişinde ham </w:t>
      </w:r>
      <w:r w:rsidR="00E00B0A" w:rsidRPr="00DD0D1F">
        <w:rPr>
          <w:rFonts w:cs="Times New Roman"/>
          <w:szCs w:val="24"/>
          <w:lang w:val="tr-TR"/>
        </w:rPr>
        <w:t>baca</w:t>
      </w:r>
      <w:r w:rsidRPr="00DD0D1F">
        <w:rPr>
          <w:rFonts w:cs="Times New Roman"/>
          <w:szCs w:val="24"/>
          <w:lang w:val="tr-TR"/>
        </w:rPr>
        <w:t xml:space="preserve"> gazında, hacim olarak %6 O</w:t>
      </w:r>
      <w:r w:rsidRPr="00DD0D1F">
        <w:rPr>
          <w:rFonts w:cs="Times New Roman"/>
          <w:szCs w:val="24"/>
          <w:vertAlign w:val="subscript"/>
          <w:lang w:val="tr-TR"/>
        </w:rPr>
        <w:t>2</w:t>
      </w:r>
      <w:r w:rsidRPr="00DD0D1F">
        <w:rPr>
          <w:rFonts w:cs="Times New Roman"/>
          <w:szCs w:val="24"/>
          <w:lang w:val="tr-TR"/>
        </w:rPr>
        <w:t xml:space="preserve"> referans oksijen içeriğindeki (Genel Değerlendirmeler bölümü altındaki standart koşullar kapsamında) yıllık ortalama SO</w:t>
      </w:r>
      <w:r w:rsidRPr="00DD0D1F">
        <w:rPr>
          <w:rFonts w:cs="Times New Roman"/>
          <w:szCs w:val="24"/>
          <w:vertAlign w:val="subscript"/>
          <w:lang w:val="tr-TR"/>
        </w:rPr>
        <w:t>2</w:t>
      </w:r>
      <w:r w:rsidRPr="00DD0D1F">
        <w:rPr>
          <w:rFonts w:cs="Times New Roman"/>
          <w:szCs w:val="24"/>
          <w:lang w:val="tr-TR"/>
        </w:rPr>
        <w:t xml:space="preserve"> konsantrasyonunu temsil eder.</w:t>
      </w:r>
    </w:p>
    <w:p w14:paraId="54BF22C0" w14:textId="77777777" w:rsidR="003328F9" w:rsidRPr="00DD0D1F" w:rsidRDefault="003328F9" w:rsidP="00FF111D">
      <w:pPr>
        <w:pStyle w:val="ListeParagraf"/>
        <w:numPr>
          <w:ilvl w:val="0"/>
          <w:numId w:val="74"/>
        </w:numPr>
        <w:spacing w:before="240"/>
        <w:rPr>
          <w:rFonts w:cs="Times New Roman"/>
          <w:szCs w:val="24"/>
          <w:lang w:val="tr-TR"/>
        </w:rPr>
      </w:pPr>
      <w:r w:rsidRPr="00DD0D1F">
        <w:rPr>
          <w:rFonts w:cs="Times New Roman"/>
          <w:szCs w:val="24"/>
          <w:lang w:val="tr-TR"/>
        </w:rPr>
        <w:t>Eğer kazana sorbent enjeksiyonu yöntemi, FGD sistemin bir parçası olarak uygulanıyorsa, RCG, bu tekniğin SO</w:t>
      </w:r>
      <w:r w:rsidRPr="00DD0D1F">
        <w:rPr>
          <w:rFonts w:cs="Times New Roman"/>
          <w:szCs w:val="24"/>
          <w:vertAlign w:val="subscript"/>
          <w:lang w:val="tr-TR"/>
        </w:rPr>
        <w:t>2</w:t>
      </w:r>
      <w:r w:rsidRPr="00DD0D1F">
        <w:rPr>
          <w:rFonts w:cs="Times New Roman"/>
          <w:szCs w:val="24"/>
          <w:lang w:val="tr-TR"/>
        </w:rPr>
        <w:t xml:space="preserve"> indirgeme verimliliğini (</w:t>
      </w:r>
      <w:r w:rsidRPr="00DD0D1F">
        <w:rPr>
          <w:rFonts w:cs="Times New Roman"/>
          <w:szCs w:val="24"/>
        </w:rPr>
        <w:t>η</w:t>
      </w:r>
      <w:r w:rsidRPr="00DD0D1F">
        <w:rPr>
          <w:rFonts w:cs="Times New Roman"/>
          <w:szCs w:val="24"/>
          <w:vertAlign w:val="subscript"/>
          <w:lang w:val="tr-TR"/>
        </w:rPr>
        <w:t>BSI</w:t>
      </w:r>
      <w:r w:rsidRPr="00DD0D1F">
        <w:rPr>
          <w:rFonts w:cs="Times New Roman"/>
          <w:szCs w:val="24"/>
          <w:lang w:val="tr-TR"/>
        </w:rPr>
        <w:t>) göz önüne alarak şu şekilde ayarlanabilir: RCG (ayarlanmış) = RCG (ölçülmüş) / (1-</w:t>
      </w:r>
      <w:r w:rsidRPr="00DD0D1F">
        <w:rPr>
          <w:rFonts w:cs="Times New Roman"/>
          <w:szCs w:val="24"/>
          <w:vertAlign w:val="subscript"/>
        </w:rPr>
        <w:t>η</w:t>
      </w:r>
      <w:r w:rsidRPr="00DD0D1F">
        <w:rPr>
          <w:rFonts w:cs="Times New Roman"/>
          <w:szCs w:val="24"/>
          <w:vertAlign w:val="subscript"/>
          <w:lang w:val="tr-TR"/>
        </w:rPr>
        <w:t>BSI</w:t>
      </w:r>
      <w:r w:rsidRPr="00DD0D1F">
        <w:rPr>
          <w:rFonts w:cs="Times New Roman"/>
          <w:szCs w:val="24"/>
          <w:lang w:val="tr-TR"/>
        </w:rPr>
        <w:t>).</w:t>
      </w:r>
    </w:p>
    <w:p w14:paraId="6DA34113" w14:textId="77777777" w:rsidR="00316427" w:rsidRDefault="00316427" w:rsidP="003328F9">
      <w:pPr>
        <w:pStyle w:val="ResimYazs"/>
        <w:spacing w:before="240"/>
        <w:rPr>
          <w:rFonts w:cs="Times New Roman"/>
          <w:color w:val="auto"/>
          <w:szCs w:val="24"/>
          <w:lang w:val="tr-TR"/>
        </w:rPr>
      </w:pPr>
    </w:p>
    <w:p w14:paraId="43A4F0BF" w14:textId="1496861A"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ve/veya linyitin yakılmasından kaynaklanan, havaya HCI ve HF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630"/>
        <w:gridCol w:w="830"/>
        <w:gridCol w:w="2480"/>
        <w:gridCol w:w="2487"/>
        <w:gridCol w:w="2650"/>
      </w:tblGrid>
      <w:tr w:rsidR="003328F9" w:rsidRPr="00DD0D1F" w14:paraId="52AC8E6F" w14:textId="77777777" w:rsidTr="003328F9">
        <w:trPr>
          <w:trHeight w:val="46"/>
        </w:trPr>
        <w:tc>
          <w:tcPr>
            <w:tcW w:w="723" w:type="pct"/>
            <w:gridSpan w:val="2"/>
            <w:vMerge w:val="restart"/>
            <w:tcBorders>
              <w:top w:val="single" w:sz="4" w:space="0" w:color="auto"/>
              <w:left w:val="single" w:sz="4" w:space="0" w:color="auto"/>
              <w:right w:val="single" w:sz="6" w:space="0" w:color="auto"/>
            </w:tcBorders>
            <w:vAlign w:val="center"/>
          </w:tcPr>
          <w:p w14:paraId="29B4B6C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Kirletici</w:t>
            </w:r>
          </w:p>
        </w:tc>
        <w:tc>
          <w:tcPr>
            <w:tcW w:w="1393" w:type="pct"/>
            <w:vMerge w:val="restart"/>
            <w:tcBorders>
              <w:top w:val="single" w:sz="4" w:space="0" w:color="auto"/>
              <w:left w:val="single" w:sz="6" w:space="0" w:color="auto"/>
              <w:right w:val="single" w:sz="6" w:space="0" w:color="auto"/>
            </w:tcBorders>
            <w:vAlign w:val="center"/>
          </w:tcPr>
          <w:p w14:paraId="14D5305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884" w:type="pct"/>
            <w:gridSpan w:val="2"/>
            <w:tcBorders>
              <w:top w:val="single" w:sz="4" w:space="0" w:color="auto"/>
              <w:left w:val="single" w:sz="6" w:space="0" w:color="auto"/>
              <w:bottom w:val="single" w:sz="6" w:space="0" w:color="auto"/>
              <w:right w:val="single" w:sz="4" w:space="0" w:color="auto"/>
            </w:tcBorders>
            <w:vAlign w:val="center"/>
          </w:tcPr>
          <w:p w14:paraId="51AC1B9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7F10383E" w14:textId="77777777" w:rsidTr="003328F9">
        <w:trPr>
          <w:trHeight w:val="353"/>
        </w:trPr>
        <w:tc>
          <w:tcPr>
            <w:tcW w:w="723" w:type="pct"/>
            <w:gridSpan w:val="2"/>
            <w:vMerge/>
            <w:tcBorders>
              <w:left w:val="single" w:sz="4" w:space="0" w:color="auto"/>
              <w:right w:val="single" w:sz="6" w:space="0" w:color="auto"/>
            </w:tcBorders>
            <w:vAlign w:val="center"/>
          </w:tcPr>
          <w:p w14:paraId="40E112D6"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3" w:type="pct"/>
            <w:vMerge/>
            <w:tcBorders>
              <w:left w:val="single" w:sz="6" w:space="0" w:color="auto"/>
              <w:right w:val="single" w:sz="6" w:space="0" w:color="auto"/>
            </w:tcBorders>
            <w:vAlign w:val="center"/>
          </w:tcPr>
          <w:p w14:paraId="159C85C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884" w:type="pct"/>
            <w:gridSpan w:val="2"/>
            <w:tcBorders>
              <w:top w:val="single" w:sz="6" w:space="0" w:color="auto"/>
              <w:left w:val="single" w:sz="6" w:space="0" w:color="auto"/>
              <w:bottom w:val="single" w:sz="6" w:space="0" w:color="auto"/>
              <w:right w:val="single" w:sz="4" w:space="0" w:color="auto"/>
            </w:tcBorders>
            <w:vAlign w:val="center"/>
          </w:tcPr>
          <w:p w14:paraId="30C48AD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veya bir yılda alınan numunelerin ortalaması</w:t>
            </w:r>
          </w:p>
        </w:tc>
      </w:tr>
      <w:tr w:rsidR="003328F9" w:rsidRPr="00DD0D1F" w14:paraId="64C8B504" w14:textId="77777777" w:rsidTr="003328F9">
        <w:trPr>
          <w:trHeight w:val="46"/>
        </w:trPr>
        <w:tc>
          <w:tcPr>
            <w:tcW w:w="723" w:type="pct"/>
            <w:gridSpan w:val="2"/>
            <w:vMerge/>
            <w:tcBorders>
              <w:left w:val="single" w:sz="4" w:space="0" w:color="auto"/>
              <w:bottom w:val="single" w:sz="6" w:space="0" w:color="auto"/>
              <w:right w:val="single" w:sz="6" w:space="0" w:color="auto"/>
            </w:tcBorders>
            <w:vAlign w:val="center"/>
          </w:tcPr>
          <w:p w14:paraId="2C4A9B4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3" w:type="pct"/>
            <w:vMerge/>
            <w:tcBorders>
              <w:left w:val="single" w:sz="6" w:space="0" w:color="auto"/>
              <w:bottom w:val="single" w:sz="6" w:space="0" w:color="auto"/>
              <w:right w:val="single" w:sz="6" w:space="0" w:color="auto"/>
            </w:tcBorders>
            <w:vAlign w:val="center"/>
          </w:tcPr>
          <w:p w14:paraId="4534F80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7" w:type="pct"/>
            <w:tcBorders>
              <w:top w:val="single" w:sz="6" w:space="0" w:color="auto"/>
              <w:left w:val="single" w:sz="6" w:space="0" w:color="auto"/>
              <w:bottom w:val="single" w:sz="6" w:space="0" w:color="auto"/>
              <w:right w:val="single" w:sz="6" w:space="0" w:color="auto"/>
            </w:tcBorders>
            <w:vAlign w:val="center"/>
          </w:tcPr>
          <w:p w14:paraId="1C1CAFB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486" w:type="pct"/>
            <w:tcBorders>
              <w:top w:val="single" w:sz="6" w:space="0" w:color="auto"/>
              <w:left w:val="single" w:sz="6" w:space="0" w:color="auto"/>
              <w:bottom w:val="single" w:sz="6" w:space="0" w:color="auto"/>
              <w:right w:val="single" w:sz="4" w:space="0" w:color="auto"/>
            </w:tcBorders>
            <w:vAlign w:val="center"/>
          </w:tcPr>
          <w:p w14:paraId="138EB52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09BC281B" w14:textId="77777777" w:rsidTr="003328F9">
        <w:trPr>
          <w:trHeight w:val="46"/>
        </w:trPr>
        <w:tc>
          <w:tcPr>
            <w:tcW w:w="238" w:type="pct"/>
            <w:tcBorders>
              <w:top w:val="single" w:sz="6" w:space="0" w:color="auto"/>
              <w:left w:val="single" w:sz="4" w:space="0" w:color="auto"/>
              <w:bottom w:val="nil"/>
              <w:right w:val="nil"/>
            </w:tcBorders>
            <w:vAlign w:val="center"/>
          </w:tcPr>
          <w:p w14:paraId="02D553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HCl</w:t>
            </w:r>
          </w:p>
        </w:tc>
        <w:tc>
          <w:tcPr>
            <w:tcW w:w="484" w:type="pct"/>
            <w:tcBorders>
              <w:top w:val="single" w:sz="6" w:space="0" w:color="auto"/>
              <w:left w:val="nil"/>
              <w:bottom w:val="nil"/>
              <w:right w:val="single" w:sz="6" w:space="0" w:color="auto"/>
            </w:tcBorders>
            <w:vAlign w:val="center"/>
          </w:tcPr>
          <w:p w14:paraId="4CEFBD1E" w14:textId="77777777" w:rsidR="003328F9" w:rsidRPr="00DD0D1F" w:rsidRDefault="003328F9" w:rsidP="003328F9">
            <w:pPr>
              <w:adjustRightInd w:val="0"/>
              <w:spacing w:line="240" w:lineRule="auto"/>
              <w:ind w:left="74"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24370D4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1397" w:type="pct"/>
            <w:tcBorders>
              <w:top w:val="single" w:sz="6" w:space="0" w:color="auto"/>
              <w:left w:val="single" w:sz="6" w:space="0" w:color="auto"/>
              <w:bottom w:val="single" w:sz="6" w:space="0" w:color="auto"/>
              <w:right w:val="single" w:sz="6" w:space="0" w:color="auto"/>
            </w:tcBorders>
            <w:vAlign w:val="center"/>
          </w:tcPr>
          <w:p w14:paraId="6F05446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1-6</w:t>
            </w:r>
          </w:p>
        </w:tc>
        <w:tc>
          <w:tcPr>
            <w:tcW w:w="1486" w:type="pct"/>
            <w:tcBorders>
              <w:top w:val="single" w:sz="6" w:space="0" w:color="auto"/>
              <w:left w:val="single" w:sz="6" w:space="0" w:color="auto"/>
              <w:bottom w:val="single" w:sz="6" w:space="0" w:color="auto"/>
              <w:right w:val="single" w:sz="4" w:space="0" w:color="auto"/>
            </w:tcBorders>
            <w:vAlign w:val="center"/>
          </w:tcPr>
          <w:p w14:paraId="381E9EB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 (</w:t>
            </w:r>
            <w:r w:rsidRPr="00DD0D1F">
              <w:rPr>
                <w:rFonts w:cs="Times New Roman"/>
                <w:szCs w:val="24"/>
                <w:vertAlign w:val="superscript"/>
                <w:lang w:val="tr-TR"/>
              </w:rPr>
              <w:t>2</w:t>
            </w:r>
            <w:r w:rsidRPr="00DD0D1F">
              <w:rPr>
                <w:rFonts w:cs="Times New Roman"/>
                <w:szCs w:val="24"/>
                <w:lang w:val="tr-TR"/>
              </w:rPr>
              <w:t>)</w:t>
            </w:r>
          </w:p>
        </w:tc>
      </w:tr>
      <w:tr w:rsidR="003328F9" w:rsidRPr="00DD0D1F" w14:paraId="3BAB7B6B" w14:textId="77777777" w:rsidTr="003328F9">
        <w:trPr>
          <w:trHeight w:val="46"/>
        </w:trPr>
        <w:tc>
          <w:tcPr>
            <w:tcW w:w="238" w:type="pct"/>
            <w:tcBorders>
              <w:top w:val="nil"/>
              <w:left w:val="single" w:sz="4" w:space="0" w:color="auto"/>
              <w:bottom w:val="single" w:sz="6" w:space="0" w:color="auto"/>
              <w:right w:val="nil"/>
            </w:tcBorders>
            <w:vAlign w:val="center"/>
          </w:tcPr>
          <w:p w14:paraId="125B41D1" w14:textId="77777777" w:rsidR="003328F9" w:rsidRPr="00DD0D1F" w:rsidRDefault="003328F9" w:rsidP="003328F9">
            <w:pPr>
              <w:adjustRightInd w:val="0"/>
              <w:spacing w:line="240" w:lineRule="auto"/>
              <w:ind w:left="74" w:right="74"/>
              <w:rPr>
                <w:rFonts w:cs="Times New Roman"/>
                <w:szCs w:val="24"/>
                <w:lang w:val="tr-TR"/>
              </w:rPr>
            </w:pPr>
          </w:p>
        </w:tc>
        <w:tc>
          <w:tcPr>
            <w:tcW w:w="484" w:type="pct"/>
            <w:tcBorders>
              <w:top w:val="nil"/>
              <w:left w:val="nil"/>
              <w:bottom w:val="single" w:sz="6" w:space="0" w:color="auto"/>
              <w:right w:val="single" w:sz="6" w:space="0" w:color="auto"/>
            </w:tcBorders>
            <w:vAlign w:val="center"/>
          </w:tcPr>
          <w:p w14:paraId="51F8B6A2" w14:textId="77777777" w:rsidR="003328F9" w:rsidRPr="00DD0D1F" w:rsidRDefault="003328F9" w:rsidP="003328F9">
            <w:pPr>
              <w:adjustRightInd w:val="0"/>
              <w:spacing w:line="240" w:lineRule="auto"/>
              <w:ind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4D8338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397" w:type="pct"/>
            <w:tcBorders>
              <w:top w:val="single" w:sz="6" w:space="0" w:color="auto"/>
              <w:left w:val="single" w:sz="6" w:space="0" w:color="auto"/>
              <w:bottom w:val="single" w:sz="6" w:space="0" w:color="auto"/>
              <w:right w:val="single" w:sz="6" w:space="0" w:color="auto"/>
            </w:tcBorders>
            <w:vAlign w:val="center"/>
          </w:tcPr>
          <w:p w14:paraId="3E0EC93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w:t>
            </w:r>
          </w:p>
        </w:tc>
        <w:tc>
          <w:tcPr>
            <w:tcW w:w="1486" w:type="pct"/>
            <w:tcBorders>
              <w:top w:val="single" w:sz="6" w:space="0" w:color="auto"/>
              <w:left w:val="single" w:sz="6" w:space="0" w:color="auto"/>
              <w:bottom w:val="single" w:sz="6" w:space="0" w:color="auto"/>
              <w:right w:val="single" w:sz="4" w:space="0" w:color="auto"/>
            </w:tcBorders>
            <w:vAlign w:val="center"/>
          </w:tcPr>
          <w:p w14:paraId="584A765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r>
      <w:tr w:rsidR="003328F9" w:rsidRPr="00DD0D1F" w14:paraId="40A25F86" w14:textId="77777777" w:rsidTr="003328F9">
        <w:trPr>
          <w:trHeight w:val="46"/>
        </w:trPr>
        <w:tc>
          <w:tcPr>
            <w:tcW w:w="238" w:type="pct"/>
            <w:tcBorders>
              <w:top w:val="single" w:sz="6" w:space="0" w:color="auto"/>
              <w:left w:val="single" w:sz="4" w:space="0" w:color="auto"/>
              <w:bottom w:val="nil"/>
              <w:right w:val="nil"/>
            </w:tcBorders>
            <w:vAlign w:val="center"/>
          </w:tcPr>
          <w:p w14:paraId="3CAA83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w:t>
            </w:r>
          </w:p>
        </w:tc>
        <w:tc>
          <w:tcPr>
            <w:tcW w:w="484" w:type="pct"/>
            <w:tcBorders>
              <w:top w:val="single" w:sz="6" w:space="0" w:color="auto"/>
              <w:left w:val="nil"/>
              <w:bottom w:val="nil"/>
              <w:right w:val="single" w:sz="6" w:space="0" w:color="auto"/>
            </w:tcBorders>
            <w:vAlign w:val="center"/>
          </w:tcPr>
          <w:p w14:paraId="74743E01" w14:textId="77777777" w:rsidR="003328F9" w:rsidRPr="00DD0D1F" w:rsidRDefault="003328F9" w:rsidP="003328F9">
            <w:pPr>
              <w:adjustRightInd w:val="0"/>
              <w:spacing w:line="240" w:lineRule="auto"/>
              <w:ind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2A7BAA1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1397" w:type="pct"/>
            <w:tcBorders>
              <w:top w:val="single" w:sz="6" w:space="0" w:color="auto"/>
              <w:left w:val="single" w:sz="6" w:space="0" w:color="auto"/>
              <w:bottom w:val="single" w:sz="6" w:space="0" w:color="auto"/>
              <w:right w:val="single" w:sz="6" w:space="0" w:color="auto"/>
            </w:tcBorders>
            <w:vAlign w:val="center"/>
          </w:tcPr>
          <w:p w14:paraId="65392CC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w:t>
            </w:r>
          </w:p>
        </w:tc>
        <w:tc>
          <w:tcPr>
            <w:tcW w:w="1486" w:type="pct"/>
            <w:tcBorders>
              <w:top w:val="single" w:sz="6" w:space="0" w:color="auto"/>
              <w:left w:val="single" w:sz="6" w:space="0" w:color="auto"/>
              <w:bottom w:val="single" w:sz="6" w:space="0" w:color="auto"/>
              <w:right w:val="single" w:sz="4" w:space="0" w:color="auto"/>
            </w:tcBorders>
            <w:vAlign w:val="center"/>
          </w:tcPr>
          <w:p w14:paraId="5D77311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&lt;1-6 (</w:t>
            </w:r>
            <w:r w:rsidRPr="00DD0D1F">
              <w:rPr>
                <w:rFonts w:cs="Times New Roman"/>
                <w:szCs w:val="24"/>
                <w:vertAlign w:val="superscript"/>
                <w:lang w:val="tr-TR"/>
              </w:rPr>
              <w:t>4</w:t>
            </w:r>
            <w:r w:rsidRPr="00DD0D1F">
              <w:rPr>
                <w:rFonts w:cs="Times New Roman"/>
                <w:szCs w:val="24"/>
                <w:lang w:val="tr-TR"/>
              </w:rPr>
              <w:t>)</w:t>
            </w:r>
          </w:p>
        </w:tc>
      </w:tr>
      <w:tr w:rsidR="003328F9" w:rsidRPr="00DD0D1F" w14:paraId="0C571F63" w14:textId="77777777" w:rsidTr="003328F9">
        <w:trPr>
          <w:trHeight w:val="46"/>
        </w:trPr>
        <w:tc>
          <w:tcPr>
            <w:tcW w:w="238" w:type="pct"/>
            <w:tcBorders>
              <w:top w:val="nil"/>
              <w:left w:val="single" w:sz="4" w:space="0" w:color="auto"/>
              <w:bottom w:val="single" w:sz="6" w:space="0" w:color="auto"/>
              <w:right w:val="nil"/>
            </w:tcBorders>
            <w:vAlign w:val="center"/>
          </w:tcPr>
          <w:p w14:paraId="3037654F" w14:textId="77777777" w:rsidR="003328F9" w:rsidRPr="00DD0D1F" w:rsidRDefault="003328F9" w:rsidP="003328F9">
            <w:pPr>
              <w:adjustRightInd w:val="0"/>
              <w:spacing w:line="240" w:lineRule="auto"/>
              <w:ind w:left="74" w:right="74"/>
              <w:rPr>
                <w:rFonts w:cs="Times New Roman"/>
                <w:szCs w:val="24"/>
                <w:lang w:val="tr-TR"/>
              </w:rPr>
            </w:pPr>
          </w:p>
        </w:tc>
        <w:tc>
          <w:tcPr>
            <w:tcW w:w="484" w:type="pct"/>
            <w:tcBorders>
              <w:top w:val="nil"/>
              <w:left w:val="nil"/>
              <w:bottom w:val="single" w:sz="6" w:space="0" w:color="auto"/>
              <w:right w:val="single" w:sz="6" w:space="0" w:color="auto"/>
            </w:tcBorders>
            <w:vAlign w:val="center"/>
          </w:tcPr>
          <w:p w14:paraId="58364211" w14:textId="77777777" w:rsidR="003328F9" w:rsidRPr="00DD0D1F" w:rsidRDefault="003328F9" w:rsidP="003328F9">
            <w:pPr>
              <w:adjustRightInd w:val="0"/>
              <w:spacing w:line="240" w:lineRule="auto"/>
              <w:ind w:left="74"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3491731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397" w:type="pct"/>
            <w:tcBorders>
              <w:top w:val="single" w:sz="6" w:space="0" w:color="auto"/>
              <w:left w:val="single" w:sz="6" w:space="0" w:color="auto"/>
              <w:bottom w:val="single" w:sz="6" w:space="0" w:color="auto"/>
              <w:right w:val="single" w:sz="6" w:space="0" w:color="auto"/>
            </w:tcBorders>
            <w:vAlign w:val="center"/>
          </w:tcPr>
          <w:p w14:paraId="4AFA4A2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&lt;1-2</w:t>
            </w:r>
          </w:p>
        </w:tc>
        <w:tc>
          <w:tcPr>
            <w:tcW w:w="1486" w:type="pct"/>
            <w:tcBorders>
              <w:top w:val="single" w:sz="6" w:space="0" w:color="auto"/>
              <w:left w:val="single" w:sz="6" w:space="0" w:color="auto"/>
              <w:bottom w:val="single" w:sz="6" w:space="0" w:color="auto"/>
              <w:right w:val="single" w:sz="4" w:space="0" w:color="auto"/>
            </w:tcBorders>
            <w:vAlign w:val="center"/>
          </w:tcPr>
          <w:p w14:paraId="7EFB5E2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 (</w:t>
            </w:r>
            <w:r w:rsidRPr="00DD0D1F">
              <w:rPr>
                <w:rFonts w:cs="Times New Roman"/>
                <w:szCs w:val="24"/>
                <w:vertAlign w:val="superscript"/>
                <w:lang w:val="tr-TR"/>
              </w:rPr>
              <w:t>4</w:t>
            </w:r>
            <w:r w:rsidRPr="00DD0D1F">
              <w:rPr>
                <w:rFonts w:cs="Times New Roman"/>
                <w:szCs w:val="24"/>
                <w:lang w:val="tr-TR"/>
              </w:rPr>
              <w:t>)</w:t>
            </w:r>
          </w:p>
        </w:tc>
      </w:tr>
      <w:tr w:rsidR="003328F9" w:rsidRPr="00DD0D1F" w14:paraId="4F0944C1" w14:textId="77777777" w:rsidTr="003328F9">
        <w:trPr>
          <w:trHeight w:val="905"/>
        </w:trPr>
        <w:tc>
          <w:tcPr>
            <w:tcW w:w="5000" w:type="pct"/>
            <w:gridSpan w:val="5"/>
            <w:tcBorders>
              <w:top w:val="single" w:sz="6" w:space="0" w:color="auto"/>
              <w:left w:val="single" w:sz="4" w:space="0" w:color="auto"/>
              <w:bottom w:val="single" w:sz="4" w:space="0" w:color="auto"/>
              <w:right w:val="single" w:sz="4" w:space="0" w:color="auto"/>
            </w:tcBorders>
          </w:tcPr>
          <w:p w14:paraId="055BD523" w14:textId="002B3EC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Yaş FGD ve aşağı yönlü bir gaz-gaz ısıtıcısı bulunan tesislerde, MET-İES aralıklarının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na ulaşılması zor olabilir.</w:t>
            </w:r>
          </w:p>
          <w:p w14:paraId="2F0C4DB9" w14:textId="791C8B0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 xml:space="preserve">) Şu durumlarda MET-İES aralığının üst </w:t>
            </w:r>
            <w:r w:rsidR="00A504E5" w:rsidRPr="00DD0D1F">
              <w:rPr>
                <w:rFonts w:cs="Times New Roman"/>
                <w:szCs w:val="24"/>
                <w:lang w:val="tr-TR"/>
              </w:rPr>
              <w:t>sınırı</w:t>
            </w:r>
            <w:r w:rsidRPr="00DD0D1F">
              <w:rPr>
                <w:rFonts w:cs="Times New Roman"/>
                <w:szCs w:val="24"/>
                <w:lang w:val="tr-TR"/>
              </w:rPr>
              <w:t xml:space="preserve"> 20 mg/Nm</w:t>
            </w:r>
            <w:r w:rsidRPr="00DD0D1F">
              <w:rPr>
                <w:rFonts w:cs="Times New Roman"/>
                <w:szCs w:val="24"/>
                <w:vertAlign w:val="superscript"/>
                <w:lang w:val="tr-TR"/>
              </w:rPr>
              <w:t>3</w:t>
            </w:r>
            <w:r w:rsidRPr="00DD0D1F">
              <w:rPr>
                <w:rFonts w:cs="Times New Roman"/>
                <w:szCs w:val="24"/>
                <w:lang w:val="tr-TR"/>
              </w:rPr>
              <w:t xml:space="preserve">'tür: ortalama klor içeriği 1000 mg/kg (kuru) veya üzerinde olan yakıt yakan tesisler;  &lt;1500 saat/yıl çalıştırılan tesisler ve FBC kazanlarında. &lt;500 saat/yıl çalıştırılan tesisler için bu seviyeler gösterge niteliğindedir. </w:t>
            </w:r>
            <w:r w:rsidRPr="00DD0D1F">
              <w:rPr>
                <w:rFonts w:cs="Times New Roman"/>
                <w:szCs w:val="24"/>
                <w:lang w:val="tr-TR"/>
              </w:rPr>
              <w:tab/>
            </w:r>
          </w:p>
          <w:p w14:paraId="060E79EB" w14:textId="5025B59C"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Yaş FGD ve aşağı yönlü bir gaz-gaz ısıtıcısı bulunan tesislerde, MET-İES aralığının üst </w:t>
            </w:r>
            <w:r w:rsidR="00A504E5" w:rsidRPr="00DD0D1F">
              <w:rPr>
                <w:rFonts w:cs="Times New Roman"/>
                <w:szCs w:val="24"/>
                <w:lang w:val="tr-TR"/>
              </w:rPr>
              <w:t>sınırı</w:t>
            </w:r>
            <w:r w:rsidRPr="00DD0D1F">
              <w:rPr>
                <w:rFonts w:cs="Times New Roman"/>
                <w:szCs w:val="24"/>
                <w:lang w:val="tr-TR"/>
              </w:rPr>
              <w:t xml:space="preserve"> 7 mg/Nm</w:t>
            </w:r>
            <w:r w:rsidRPr="00DD0D1F">
              <w:rPr>
                <w:rFonts w:cs="Times New Roman"/>
                <w:szCs w:val="24"/>
                <w:vertAlign w:val="superscript"/>
                <w:lang w:val="tr-TR"/>
              </w:rPr>
              <w:t>3</w:t>
            </w:r>
            <w:r w:rsidRPr="00DD0D1F">
              <w:rPr>
                <w:rFonts w:cs="Times New Roman"/>
                <w:szCs w:val="24"/>
                <w:lang w:val="tr-TR"/>
              </w:rPr>
              <w:t>'tür.</w:t>
            </w:r>
          </w:p>
          <w:p w14:paraId="7467D953" w14:textId="2AF0166C"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Şu durumlarda MET-İES aralığının üst </w:t>
            </w:r>
            <w:r w:rsidR="00A504E5" w:rsidRPr="00DD0D1F">
              <w:rPr>
                <w:rFonts w:cs="Times New Roman"/>
                <w:szCs w:val="24"/>
                <w:lang w:val="tr-TR"/>
              </w:rPr>
              <w:t>sınırı</w:t>
            </w:r>
            <w:r w:rsidRPr="00DD0D1F">
              <w:rPr>
                <w:rFonts w:cs="Times New Roman"/>
                <w:szCs w:val="24"/>
                <w:lang w:val="tr-TR"/>
              </w:rPr>
              <w:t xml:space="preserve"> 7 mg/Nm</w:t>
            </w:r>
            <w:r w:rsidRPr="00DD0D1F">
              <w:rPr>
                <w:rFonts w:cs="Times New Roman"/>
                <w:szCs w:val="24"/>
                <w:vertAlign w:val="superscript"/>
                <w:lang w:val="tr-TR"/>
              </w:rPr>
              <w:t>3</w:t>
            </w:r>
            <w:r w:rsidRPr="00DD0D1F">
              <w:rPr>
                <w:rFonts w:cs="Times New Roman"/>
                <w:szCs w:val="24"/>
                <w:lang w:val="tr-TR"/>
              </w:rPr>
              <w:t>'tür: Yaş FGD ve aşağı yönlü bir gaz-gaz ısıtıcısı bulunan tesisler, &lt;1500 saat/yıl çalıştırılan tesisler ve FBC kazanlarında. &lt;500 saat/yıl çalıştırılan tesisler için bu seviyeler gösterge niteliğindedir.</w:t>
            </w:r>
          </w:p>
        </w:tc>
      </w:tr>
    </w:tbl>
    <w:p w14:paraId="319F86D7" w14:textId="77777777" w:rsidR="003328F9" w:rsidRPr="00DD0D1F" w:rsidRDefault="003328F9" w:rsidP="00FF111D">
      <w:pPr>
        <w:pStyle w:val="Balk3"/>
        <w:numPr>
          <w:ilvl w:val="2"/>
          <w:numId w:val="73"/>
        </w:numPr>
        <w:rPr>
          <w:rFonts w:cs="Times New Roman"/>
        </w:rPr>
      </w:pPr>
      <w:bookmarkStart w:id="33" w:name="_Toc137367299"/>
      <w:r w:rsidRPr="00DD0D1F">
        <w:rPr>
          <w:rFonts w:cs="Times New Roman"/>
        </w:rPr>
        <w:t>Toz ve Partiküle Bağlı Maddelerin Havaya Emisyonları</w:t>
      </w:r>
      <w:bookmarkEnd w:id="33"/>
    </w:p>
    <w:p w14:paraId="5004C111" w14:textId="0E541D78" w:rsidR="003328F9" w:rsidRPr="00DD0D1F" w:rsidRDefault="003328F9" w:rsidP="003328F9">
      <w:pPr>
        <w:spacing w:before="240"/>
        <w:rPr>
          <w:rFonts w:cs="Times New Roman"/>
          <w:bCs/>
          <w:szCs w:val="24"/>
        </w:rPr>
      </w:pPr>
      <w:r w:rsidRPr="00DD0D1F">
        <w:rPr>
          <w:rFonts w:cs="Times New Roman"/>
          <w:b/>
          <w:bCs/>
          <w:szCs w:val="24"/>
        </w:rPr>
        <w:t xml:space="preserve">MET 22: </w:t>
      </w:r>
      <w:r w:rsidRPr="00DD0D1F">
        <w:rPr>
          <w:rFonts w:cs="Times New Roman"/>
          <w:bCs/>
          <w:szCs w:val="24"/>
        </w:rPr>
        <w:t>Kömür ve/veya linyitin yakılmasından kaynaklanan, toz ve partiküle bağlı metallerin havaya emisyonlarını azaltmak için, aş</w:t>
      </w:r>
      <w:r w:rsidR="00F25637" w:rsidRPr="00DD0D1F">
        <w:rPr>
          <w:rFonts w:cs="Times New Roman"/>
          <w:bCs/>
          <w:szCs w:val="24"/>
        </w:rPr>
        <w:t>ağıda verilen tekniklerin biri</w:t>
      </w:r>
      <w:r w:rsidRPr="00DD0D1F">
        <w:rPr>
          <w:rFonts w:cs="Times New Roman"/>
          <w:bCs/>
          <w:szCs w:val="24"/>
        </w:rPr>
        <w:t xml:space="preserve"> veya bunların bir birleşimi kullan</w:t>
      </w:r>
      <w:r w:rsidR="00F25637"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49"/>
        <w:gridCol w:w="3099"/>
        <w:gridCol w:w="3349"/>
        <w:gridCol w:w="2280"/>
      </w:tblGrid>
      <w:tr w:rsidR="003328F9" w:rsidRPr="00DD0D1F" w14:paraId="15314BA5" w14:textId="77777777" w:rsidTr="003328F9">
        <w:trPr>
          <w:trHeight w:val="370"/>
          <w:tblHeader/>
        </w:trPr>
        <w:tc>
          <w:tcPr>
            <w:tcW w:w="192" w:type="pct"/>
            <w:tcBorders>
              <w:top w:val="single" w:sz="4" w:space="0" w:color="auto"/>
              <w:left w:val="single" w:sz="4" w:space="0" w:color="auto"/>
              <w:bottom w:val="single" w:sz="6" w:space="0" w:color="auto"/>
              <w:right w:val="single" w:sz="4" w:space="0" w:color="auto"/>
            </w:tcBorders>
            <w:vAlign w:val="center"/>
          </w:tcPr>
          <w:p w14:paraId="616F96A5" w14:textId="77777777" w:rsidR="003328F9" w:rsidRPr="00DD0D1F" w:rsidRDefault="003328F9" w:rsidP="003328F9">
            <w:pPr>
              <w:adjustRightInd w:val="0"/>
              <w:spacing w:line="240" w:lineRule="auto"/>
              <w:ind w:right="74"/>
              <w:jc w:val="center"/>
              <w:rPr>
                <w:rFonts w:cs="Times New Roman"/>
                <w:b/>
                <w:szCs w:val="24"/>
                <w:lang w:val="tr-TR"/>
              </w:rPr>
            </w:pPr>
          </w:p>
        </w:tc>
        <w:tc>
          <w:tcPr>
            <w:tcW w:w="1707" w:type="pct"/>
            <w:tcBorders>
              <w:top w:val="single" w:sz="4" w:space="0" w:color="auto"/>
              <w:left w:val="single" w:sz="4" w:space="0" w:color="auto"/>
              <w:bottom w:val="single" w:sz="6" w:space="0" w:color="auto"/>
              <w:right w:val="single" w:sz="6" w:space="0" w:color="auto"/>
            </w:tcBorders>
            <w:vAlign w:val="center"/>
          </w:tcPr>
          <w:p w14:paraId="10F3203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45" w:type="pct"/>
            <w:tcBorders>
              <w:top w:val="single" w:sz="4" w:space="0" w:color="auto"/>
              <w:left w:val="single" w:sz="6" w:space="0" w:color="auto"/>
              <w:bottom w:val="single" w:sz="4" w:space="0" w:color="auto"/>
              <w:right w:val="single" w:sz="6" w:space="0" w:color="auto"/>
            </w:tcBorders>
            <w:vAlign w:val="center"/>
          </w:tcPr>
          <w:p w14:paraId="5A28BE5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256" w:type="pct"/>
            <w:tcBorders>
              <w:top w:val="single" w:sz="4" w:space="0" w:color="auto"/>
              <w:left w:val="single" w:sz="6" w:space="0" w:color="auto"/>
              <w:bottom w:val="single" w:sz="4" w:space="0" w:color="auto"/>
              <w:right w:val="single" w:sz="4" w:space="0" w:color="auto"/>
            </w:tcBorders>
            <w:vAlign w:val="center"/>
          </w:tcPr>
          <w:p w14:paraId="681BFFC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27B0930" w14:textId="77777777" w:rsidTr="003328F9">
        <w:trPr>
          <w:trHeight w:val="48"/>
        </w:trPr>
        <w:tc>
          <w:tcPr>
            <w:tcW w:w="192" w:type="pct"/>
            <w:tcBorders>
              <w:top w:val="single" w:sz="6" w:space="0" w:color="auto"/>
              <w:left w:val="single" w:sz="4" w:space="0" w:color="auto"/>
              <w:bottom w:val="single" w:sz="6" w:space="0" w:color="auto"/>
              <w:right w:val="single" w:sz="4" w:space="0" w:color="auto"/>
            </w:tcBorders>
            <w:vAlign w:val="center"/>
          </w:tcPr>
          <w:p w14:paraId="1F2FA93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a</w:t>
            </w:r>
          </w:p>
        </w:tc>
        <w:tc>
          <w:tcPr>
            <w:tcW w:w="1707" w:type="pct"/>
            <w:tcBorders>
              <w:top w:val="single" w:sz="6" w:space="0" w:color="auto"/>
              <w:left w:val="single" w:sz="4" w:space="0" w:color="auto"/>
              <w:bottom w:val="single" w:sz="6" w:space="0" w:color="auto"/>
              <w:right w:val="single" w:sz="4" w:space="0" w:color="auto"/>
            </w:tcBorders>
            <w:vAlign w:val="center"/>
          </w:tcPr>
          <w:p w14:paraId="027ABC1C" w14:textId="3F0B7D56" w:rsidR="003328F9" w:rsidRPr="00DD0D1F" w:rsidRDefault="009A6605" w:rsidP="009A6605">
            <w:pPr>
              <w:adjustRightInd w:val="0"/>
              <w:spacing w:line="240" w:lineRule="auto"/>
              <w:ind w:left="74" w:right="74"/>
              <w:rPr>
                <w:rFonts w:cs="Times New Roman"/>
                <w:bCs/>
                <w:szCs w:val="24"/>
                <w:lang w:val="tr-TR"/>
              </w:rPr>
            </w:pPr>
            <w:r w:rsidRPr="00DD0D1F">
              <w:rPr>
                <w:rFonts w:cs="Times New Roman"/>
                <w:bCs/>
                <w:szCs w:val="24"/>
                <w:lang w:val="tr-TR"/>
              </w:rPr>
              <w:t>Elektrostatik çöktürücü</w:t>
            </w:r>
            <w:r w:rsidR="003328F9" w:rsidRPr="00DD0D1F">
              <w:rPr>
                <w:rFonts w:cs="Times New Roman"/>
                <w:bCs/>
                <w:szCs w:val="24"/>
                <w:lang w:val="tr-TR"/>
              </w:rPr>
              <w:t xml:space="preserve"> (ESP)</w:t>
            </w:r>
          </w:p>
        </w:tc>
        <w:tc>
          <w:tcPr>
            <w:tcW w:w="1845" w:type="pct"/>
            <w:vMerge w:val="restart"/>
            <w:tcBorders>
              <w:top w:val="single" w:sz="4" w:space="0" w:color="auto"/>
              <w:left w:val="single" w:sz="4" w:space="0" w:color="auto"/>
              <w:bottom w:val="single" w:sz="4" w:space="0" w:color="auto"/>
              <w:right w:val="single" w:sz="4" w:space="0" w:color="auto"/>
            </w:tcBorders>
            <w:vAlign w:val="center"/>
          </w:tcPr>
          <w:p w14:paraId="398F229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14:paraId="432EB8F9"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0433FB0F" w14:textId="77777777" w:rsidTr="003328F9">
        <w:trPr>
          <w:trHeight w:val="48"/>
        </w:trPr>
        <w:tc>
          <w:tcPr>
            <w:tcW w:w="192" w:type="pct"/>
            <w:tcBorders>
              <w:top w:val="single" w:sz="6" w:space="0" w:color="auto"/>
              <w:left w:val="single" w:sz="4" w:space="0" w:color="auto"/>
              <w:bottom w:val="single" w:sz="6" w:space="0" w:color="auto"/>
              <w:right w:val="single" w:sz="6" w:space="0" w:color="auto"/>
            </w:tcBorders>
            <w:vAlign w:val="center"/>
          </w:tcPr>
          <w:p w14:paraId="751C636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707" w:type="pct"/>
            <w:tcBorders>
              <w:top w:val="single" w:sz="6" w:space="0" w:color="auto"/>
              <w:left w:val="single" w:sz="6" w:space="0" w:color="auto"/>
              <w:bottom w:val="single" w:sz="6" w:space="0" w:color="auto"/>
              <w:right w:val="single" w:sz="4" w:space="0" w:color="auto"/>
            </w:tcBorders>
            <w:vAlign w:val="center"/>
          </w:tcPr>
          <w:p w14:paraId="5D1D84A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845" w:type="pct"/>
            <w:vMerge/>
            <w:tcBorders>
              <w:top w:val="single" w:sz="4" w:space="0" w:color="auto"/>
              <w:left w:val="single" w:sz="4" w:space="0" w:color="auto"/>
              <w:bottom w:val="single" w:sz="4" w:space="0" w:color="auto"/>
              <w:right w:val="single" w:sz="4" w:space="0" w:color="auto"/>
            </w:tcBorders>
            <w:vAlign w:val="center"/>
          </w:tcPr>
          <w:p w14:paraId="5076398E"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vMerge/>
            <w:tcBorders>
              <w:top w:val="single" w:sz="4" w:space="0" w:color="auto"/>
              <w:left w:val="single" w:sz="4" w:space="0" w:color="auto"/>
              <w:bottom w:val="single" w:sz="4" w:space="0" w:color="auto"/>
              <w:right w:val="single" w:sz="4" w:space="0" w:color="auto"/>
            </w:tcBorders>
            <w:vAlign w:val="center"/>
          </w:tcPr>
          <w:p w14:paraId="628ADC58"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197CD975" w14:textId="77777777" w:rsidTr="003328F9">
        <w:trPr>
          <w:trHeight w:val="285"/>
        </w:trPr>
        <w:tc>
          <w:tcPr>
            <w:tcW w:w="192" w:type="pct"/>
            <w:tcBorders>
              <w:top w:val="single" w:sz="6" w:space="0" w:color="auto"/>
              <w:left w:val="single" w:sz="4" w:space="0" w:color="auto"/>
              <w:bottom w:val="single" w:sz="6" w:space="0" w:color="auto"/>
              <w:right w:val="single" w:sz="6" w:space="0" w:color="auto"/>
            </w:tcBorders>
            <w:vAlign w:val="center"/>
          </w:tcPr>
          <w:p w14:paraId="59330ED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707" w:type="pct"/>
            <w:tcBorders>
              <w:top w:val="single" w:sz="6" w:space="0" w:color="auto"/>
              <w:left w:val="single" w:sz="6" w:space="0" w:color="auto"/>
              <w:bottom w:val="single" w:sz="6" w:space="0" w:color="auto"/>
              <w:right w:val="single" w:sz="4" w:space="0" w:color="auto"/>
            </w:tcBorders>
            <w:vAlign w:val="center"/>
          </w:tcPr>
          <w:p w14:paraId="16CC53C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Kazana sorbent enjeksiyonu</w:t>
            </w:r>
          </w:p>
          <w:p w14:paraId="37B5AED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(fırın içi veya yatak içi)</w:t>
            </w:r>
          </w:p>
        </w:tc>
        <w:tc>
          <w:tcPr>
            <w:tcW w:w="1845" w:type="pct"/>
            <w:vMerge w:val="restart"/>
            <w:tcBorders>
              <w:top w:val="single" w:sz="4" w:space="0" w:color="auto"/>
              <w:left w:val="single" w:sz="4" w:space="0" w:color="auto"/>
              <w:bottom w:val="single" w:sz="4" w:space="0" w:color="auto"/>
              <w:right w:val="single" w:sz="4" w:space="0" w:color="auto"/>
            </w:tcBorders>
            <w:vAlign w:val="center"/>
          </w:tcPr>
          <w:p w14:paraId="5001298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57A2D517"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Teknikler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kullanılmaktadır</w:t>
            </w:r>
          </w:p>
          <w:p w14:paraId="1CD5C446"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vMerge/>
            <w:tcBorders>
              <w:top w:val="single" w:sz="4" w:space="0" w:color="auto"/>
              <w:left w:val="single" w:sz="4" w:space="0" w:color="auto"/>
              <w:bottom w:val="single" w:sz="4" w:space="0" w:color="auto"/>
              <w:right w:val="single" w:sz="4" w:space="0" w:color="auto"/>
            </w:tcBorders>
            <w:vAlign w:val="center"/>
          </w:tcPr>
          <w:p w14:paraId="4FD78101"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11C5DCE7" w14:textId="77777777" w:rsidTr="003328F9">
        <w:trPr>
          <w:trHeight w:val="48"/>
        </w:trPr>
        <w:tc>
          <w:tcPr>
            <w:tcW w:w="192" w:type="pct"/>
            <w:tcBorders>
              <w:top w:val="single" w:sz="6" w:space="0" w:color="auto"/>
              <w:left w:val="single" w:sz="4" w:space="0" w:color="auto"/>
              <w:bottom w:val="single" w:sz="6" w:space="0" w:color="auto"/>
              <w:right w:val="single" w:sz="6" w:space="0" w:color="auto"/>
            </w:tcBorders>
            <w:vAlign w:val="center"/>
          </w:tcPr>
          <w:p w14:paraId="65AF2C07"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707" w:type="pct"/>
            <w:tcBorders>
              <w:top w:val="single" w:sz="6" w:space="0" w:color="auto"/>
              <w:left w:val="single" w:sz="6" w:space="0" w:color="auto"/>
              <w:bottom w:val="single" w:sz="6" w:space="0" w:color="auto"/>
              <w:right w:val="single" w:sz="6" w:space="0" w:color="auto"/>
            </w:tcBorders>
            <w:vAlign w:val="center"/>
          </w:tcPr>
          <w:p w14:paraId="0C38F02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845" w:type="pct"/>
            <w:vMerge/>
            <w:tcBorders>
              <w:top w:val="single" w:sz="4" w:space="0" w:color="auto"/>
              <w:left w:val="single" w:sz="6" w:space="0" w:color="auto"/>
              <w:right w:val="single" w:sz="6" w:space="0" w:color="auto"/>
            </w:tcBorders>
            <w:vAlign w:val="center"/>
          </w:tcPr>
          <w:p w14:paraId="7F628379"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vMerge/>
            <w:tcBorders>
              <w:top w:val="single" w:sz="4" w:space="0" w:color="auto"/>
              <w:left w:val="single" w:sz="6" w:space="0" w:color="auto"/>
              <w:bottom w:val="single" w:sz="6" w:space="0" w:color="auto"/>
              <w:right w:val="single" w:sz="4" w:space="0" w:color="auto"/>
            </w:tcBorders>
            <w:vAlign w:val="center"/>
          </w:tcPr>
          <w:p w14:paraId="015AC1B5"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59BCF7B9" w14:textId="77777777" w:rsidTr="003328F9">
        <w:trPr>
          <w:trHeight w:val="48"/>
        </w:trPr>
        <w:tc>
          <w:tcPr>
            <w:tcW w:w="192" w:type="pct"/>
            <w:tcBorders>
              <w:top w:val="single" w:sz="6" w:space="0" w:color="auto"/>
              <w:left w:val="single" w:sz="4" w:space="0" w:color="auto"/>
              <w:bottom w:val="single" w:sz="4" w:space="0" w:color="auto"/>
              <w:right w:val="single" w:sz="6" w:space="0" w:color="auto"/>
            </w:tcBorders>
            <w:vAlign w:val="center"/>
          </w:tcPr>
          <w:p w14:paraId="6EB83A7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e</w:t>
            </w:r>
          </w:p>
        </w:tc>
        <w:tc>
          <w:tcPr>
            <w:tcW w:w="1707" w:type="pct"/>
            <w:tcBorders>
              <w:top w:val="single" w:sz="6" w:space="0" w:color="auto"/>
              <w:left w:val="single" w:sz="6" w:space="0" w:color="auto"/>
              <w:bottom w:val="single" w:sz="4" w:space="0" w:color="auto"/>
              <w:right w:val="single" w:sz="6" w:space="0" w:color="auto"/>
            </w:tcBorders>
            <w:vAlign w:val="center"/>
          </w:tcPr>
          <w:p w14:paraId="2CA80DE9" w14:textId="4D5404AB"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Yaş </w:t>
            </w:r>
            <w:r w:rsidR="00E00B0A" w:rsidRPr="00DD0D1F">
              <w:rPr>
                <w:rFonts w:cs="Times New Roman"/>
                <w:bCs/>
                <w:szCs w:val="24"/>
                <w:lang w:val="tr-TR"/>
              </w:rPr>
              <w:t>baca</w:t>
            </w:r>
            <w:r w:rsidRPr="00DD0D1F">
              <w:rPr>
                <w:rFonts w:cs="Times New Roman"/>
                <w:bCs/>
                <w:szCs w:val="24"/>
                <w:lang w:val="tr-TR"/>
              </w:rPr>
              <w:t xml:space="preserve"> gazı kükürt giderme (yaş FGD)</w:t>
            </w:r>
          </w:p>
        </w:tc>
        <w:tc>
          <w:tcPr>
            <w:tcW w:w="1845" w:type="pct"/>
            <w:vMerge/>
            <w:tcBorders>
              <w:left w:val="single" w:sz="6" w:space="0" w:color="auto"/>
              <w:bottom w:val="single" w:sz="4" w:space="0" w:color="auto"/>
              <w:right w:val="single" w:sz="6" w:space="0" w:color="auto"/>
            </w:tcBorders>
            <w:vAlign w:val="center"/>
          </w:tcPr>
          <w:p w14:paraId="462A6CB3"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tcBorders>
              <w:top w:val="single" w:sz="6" w:space="0" w:color="auto"/>
              <w:left w:val="single" w:sz="6" w:space="0" w:color="auto"/>
              <w:bottom w:val="single" w:sz="4" w:space="0" w:color="auto"/>
              <w:right w:val="single" w:sz="4" w:space="0" w:color="auto"/>
            </w:tcBorders>
            <w:vAlign w:val="center"/>
          </w:tcPr>
          <w:p w14:paraId="6498ECB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MET 21'deki uygulanabilirlik bölümüne bakınız.</w:t>
            </w:r>
          </w:p>
        </w:tc>
      </w:tr>
    </w:tbl>
    <w:p w14:paraId="4178619A" w14:textId="77777777" w:rsidR="003328F9" w:rsidRPr="00DD0D1F" w:rsidRDefault="003328F9" w:rsidP="003328F9">
      <w:pPr>
        <w:pStyle w:val="ResimYazs"/>
        <w:rPr>
          <w:rFonts w:cs="Times New Roman"/>
          <w:color w:val="auto"/>
          <w:szCs w:val="24"/>
          <w:lang w:val="tr-TR"/>
        </w:rPr>
      </w:pPr>
    </w:p>
    <w:p w14:paraId="42453247" w14:textId="77777777" w:rsidR="003328F9" w:rsidRPr="00DD0D1F" w:rsidRDefault="003328F9" w:rsidP="003328F9">
      <w:pPr>
        <w:pStyle w:val="ResimYazs"/>
        <w:rPr>
          <w:rFonts w:cs="Times New Roman"/>
          <w:color w:val="auto"/>
          <w:szCs w:val="24"/>
          <w:lang w:val="tr-TR"/>
        </w:rPr>
      </w:pPr>
      <w:r w:rsidRPr="00DD0D1F">
        <w:rPr>
          <w:rFonts w:cs="Times New Roman"/>
          <w:color w:val="auto"/>
          <w:szCs w:val="24"/>
          <w:lang w:val="tr-TR"/>
        </w:rPr>
        <w:t>Kömür ve/veya linyitin yakılmasından kaynaklanan,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067"/>
        <w:gridCol w:w="876"/>
        <w:gridCol w:w="1001"/>
        <w:gridCol w:w="1043"/>
        <w:gridCol w:w="1137"/>
        <w:gridCol w:w="3953"/>
      </w:tblGrid>
      <w:tr w:rsidR="00EB7491" w:rsidRPr="00DD0D1F" w14:paraId="246E6DE1" w14:textId="4CF13C83" w:rsidTr="00563E96">
        <w:trPr>
          <w:trHeight w:val="118"/>
        </w:trPr>
        <w:tc>
          <w:tcPr>
            <w:tcW w:w="602" w:type="pct"/>
            <w:vMerge w:val="restart"/>
            <w:tcBorders>
              <w:top w:val="single" w:sz="4" w:space="0" w:color="auto"/>
              <w:left w:val="single" w:sz="4" w:space="0" w:color="auto"/>
              <w:right w:val="single" w:sz="6" w:space="0" w:color="auto"/>
            </w:tcBorders>
            <w:vAlign w:val="center"/>
          </w:tcPr>
          <w:p w14:paraId="73A6A5C2"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207" w:type="pct"/>
            <w:gridSpan w:val="4"/>
            <w:tcBorders>
              <w:top w:val="single" w:sz="4" w:space="0" w:color="auto"/>
              <w:left w:val="single" w:sz="6" w:space="0" w:color="auto"/>
              <w:bottom w:val="single" w:sz="6" w:space="0" w:color="auto"/>
              <w:right w:val="single" w:sz="4" w:space="0" w:color="auto"/>
            </w:tcBorders>
            <w:vAlign w:val="center"/>
          </w:tcPr>
          <w:p w14:paraId="5B31E6C1"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c>
          <w:tcPr>
            <w:tcW w:w="2191" w:type="pct"/>
            <w:tcBorders>
              <w:top w:val="single" w:sz="4" w:space="0" w:color="auto"/>
              <w:left w:val="single" w:sz="6" w:space="0" w:color="auto"/>
              <w:bottom w:val="single" w:sz="6" w:space="0" w:color="auto"/>
              <w:right w:val="single" w:sz="4" w:space="0" w:color="auto"/>
            </w:tcBorders>
          </w:tcPr>
          <w:p w14:paraId="5DAB464E" w14:textId="77777777" w:rsidR="00131D47" w:rsidRPr="00DD0D1F" w:rsidRDefault="00131D47" w:rsidP="003328F9">
            <w:pPr>
              <w:adjustRightInd w:val="0"/>
              <w:spacing w:line="240" w:lineRule="auto"/>
              <w:ind w:left="74" w:right="74"/>
              <w:jc w:val="center"/>
              <w:rPr>
                <w:rFonts w:cs="Times New Roman"/>
                <w:b/>
                <w:szCs w:val="24"/>
                <w:lang w:val="tr-TR"/>
              </w:rPr>
            </w:pPr>
          </w:p>
        </w:tc>
      </w:tr>
      <w:tr w:rsidR="00EB7491" w:rsidRPr="00DD0D1F" w14:paraId="7B354B85" w14:textId="0EB4FA93" w:rsidTr="00442E61">
        <w:trPr>
          <w:trHeight w:val="43"/>
        </w:trPr>
        <w:tc>
          <w:tcPr>
            <w:tcW w:w="601" w:type="pct"/>
            <w:vMerge/>
            <w:tcBorders>
              <w:left w:val="single" w:sz="4" w:space="0" w:color="auto"/>
              <w:right w:val="single" w:sz="6" w:space="0" w:color="auto"/>
            </w:tcBorders>
            <w:vAlign w:val="center"/>
          </w:tcPr>
          <w:p w14:paraId="3B7A1C91"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978" w:type="pct"/>
            <w:gridSpan w:val="2"/>
            <w:tcBorders>
              <w:top w:val="single" w:sz="6" w:space="0" w:color="auto"/>
              <w:left w:val="single" w:sz="6" w:space="0" w:color="auto"/>
              <w:bottom w:val="single" w:sz="6" w:space="0" w:color="auto"/>
              <w:right w:val="single" w:sz="6" w:space="0" w:color="auto"/>
            </w:tcBorders>
            <w:vAlign w:val="center"/>
          </w:tcPr>
          <w:p w14:paraId="56A6B99F"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 w:type="pct"/>
            <w:gridSpan w:val="3"/>
            <w:tcBorders>
              <w:top w:val="single" w:sz="6" w:space="0" w:color="auto"/>
              <w:left w:val="single" w:sz="6" w:space="0" w:color="auto"/>
              <w:bottom w:val="single" w:sz="6" w:space="0" w:color="auto"/>
              <w:right w:val="single" w:sz="4" w:space="0" w:color="auto"/>
            </w:tcBorders>
            <w:vAlign w:val="center"/>
          </w:tcPr>
          <w:p w14:paraId="6EF17802"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4FFDA3E1" w14:textId="4095D771"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302810C3" w14:textId="5084DDB5" w:rsidTr="00563E96">
        <w:trPr>
          <w:trHeight w:val="43"/>
        </w:trPr>
        <w:tc>
          <w:tcPr>
            <w:tcW w:w="602" w:type="pct"/>
            <w:vMerge/>
            <w:tcBorders>
              <w:left w:val="single" w:sz="4" w:space="0" w:color="auto"/>
              <w:bottom w:val="single" w:sz="6" w:space="0" w:color="auto"/>
              <w:right w:val="single" w:sz="6" w:space="0" w:color="auto"/>
            </w:tcBorders>
            <w:vAlign w:val="center"/>
          </w:tcPr>
          <w:p w14:paraId="469F3084" w14:textId="77777777" w:rsidR="00131D47" w:rsidRPr="00DD0D1F" w:rsidRDefault="00131D47" w:rsidP="003328F9">
            <w:pPr>
              <w:adjustRightInd w:val="0"/>
              <w:spacing w:line="240" w:lineRule="auto"/>
              <w:ind w:left="74" w:right="74"/>
              <w:jc w:val="center"/>
              <w:rPr>
                <w:rFonts w:cs="Times New Roman"/>
                <w:b/>
                <w:szCs w:val="24"/>
                <w:lang w:val="tr-TR"/>
              </w:rPr>
            </w:pPr>
          </w:p>
        </w:tc>
        <w:tc>
          <w:tcPr>
            <w:tcW w:w="497" w:type="pct"/>
            <w:tcBorders>
              <w:top w:val="single" w:sz="6" w:space="0" w:color="auto"/>
              <w:left w:val="single" w:sz="6" w:space="0" w:color="auto"/>
              <w:bottom w:val="single" w:sz="6" w:space="0" w:color="auto"/>
              <w:right w:val="single" w:sz="6" w:space="0" w:color="auto"/>
            </w:tcBorders>
            <w:vAlign w:val="center"/>
          </w:tcPr>
          <w:p w14:paraId="641513E3"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81" w:type="pct"/>
            <w:tcBorders>
              <w:top w:val="single" w:sz="6" w:space="0" w:color="auto"/>
              <w:left w:val="single" w:sz="6" w:space="0" w:color="auto"/>
              <w:bottom w:val="single" w:sz="6" w:space="0" w:color="auto"/>
              <w:right w:val="single" w:sz="6" w:space="0" w:color="auto"/>
            </w:tcBorders>
            <w:vAlign w:val="center"/>
          </w:tcPr>
          <w:p w14:paraId="17A8E6CD"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89" w:type="pct"/>
            <w:tcBorders>
              <w:top w:val="single" w:sz="6" w:space="0" w:color="auto"/>
              <w:left w:val="single" w:sz="6" w:space="0" w:color="auto"/>
              <w:bottom w:val="single" w:sz="6" w:space="0" w:color="auto"/>
              <w:right w:val="single" w:sz="6" w:space="0" w:color="auto"/>
            </w:tcBorders>
            <w:vAlign w:val="center"/>
          </w:tcPr>
          <w:p w14:paraId="45AAF933"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640" w:type="pct"/>
            <w:tcBorders>
              <w:top w:val="single" w:sz="6" w:space="0" w:color="auto"/>
              <w:left w:val="single" w:sz="6" w:space="0" w:color="auto"/>
              <w:bottom w:val="single" w:sz="6" w:space="0" w:color="auto"/>
              <w:right w:val="single" w:sz="4" w:space="0" w:color="auto"/>
            </w:tcBorders>
            <w:vAlign w:val="center"/>
          </w:tcPr>
          <w:p w14:paraId="4B26F23E" w14:textId="73B8DFA5"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00563E96" w:rsidRPr="00DD0D1F">
              <w:rPr>
                <w:rFonts w:cs="Times New Roman"/>
                <w:b/>
                <w:szCs w:val="24"/>
                <w:lang w:val="tr-TR"/>
              </w:rPr>
              <w:t xml:space="preserve"> Kademe 2</w:t>
            </w:r>
            <w:r w:rsidRPr="00DD0D1F">
              <w:rPr>
                <w:rFonts w:cs="Times New Roman"/>
                <w:b/>
                <w:szCs w:val="24"/>
                <w:lang w:val="tr-TR"/>
              </w:rPr>
              <w:t>(</w:t>
            </w:r>
            <w:r w:rsidRPr="00DD0D1F">
              <w:rPr>
                <w:rFonts w:cs="Times New Roman"/>
                <w:b/>
                <w:szCs w:val="24"/>
                <w:vertAlign w:val="superscript"/>
                <w:lang w:val="tr-TR"/>
              </w:rPr>
              <w:t>2</w:t>
            </w:r>
            <w:r w:rsidRPr="00DD0D1F">
              <w:rPr>
                <w:rFonts w:cs="Times New Roman"/>
                <w:b/>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6C16654E" w14:textId="77777777" w:rsidR="00563E96" w:rsidRPr="00DD0D1F" w:rsidRDefault="00131D47" w:rsidP="00563E96">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p w14:paraId="5AE4A4F8" w14:textId="77777777" w:rsidR="00563E96" w:rsidRPr="00DD0D1F" w:rsidRDefault="00563E96" w:rsidP="00563E96">
            <w:pPr>
              <w:adjustRightInd w:val="0"/>
              <w:spacing w:line="240" w:lineRule="auto"/>
              <w:ind w:left="74" w:right="74"/>
              <w:jc w:val="center"/>
              <w:rPr>
                <w:rFonts w:cs="Times New Roman"/>
                <w:b/>
                <w:szCs w:val="24"/>
                <w:lang w:val="tr-TR"/>
              </w:rPr>
            </w:pPr>
          </w:p>
          <w:p w14:paraId="143A42F8" w14:textId="32394A50" w:rsidR="00131D47"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 xml:space="preserve"> Kademe 1</w:t>
            </w:r>
          </w:p>
        </w:tc>
      </w:tr>
      <w:tr w:rsidR="00EB7491" w:rsidRPr="00DD0D1F" w14:paraId="60510445" w14:textId="1A27F23F"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0C17D352"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497" w:type="pct"/>
            <w:tcBorders>
              <w:top w:val="single" w:sz="6" w:space="0" w:color="auto"/>
              <w:left w:val="single" w:sz="6" w:space="0" w:color="auto"/>
              <w:bottom w:val="single" w:sz="6" w:space="0" w:color="auto"/>
              <w:right w:val="single" w:sz="6" w:space="0" w:color="auto"/>
            </w:tcBorders>
            <w:vAlign w:val="center"/>
          </w:tcPr>
          <w:p w14:paraId="0912B966"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2E5F31E8"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2-18</w:t>
            </w:r>
          </w:p>
        </w:tc>
        <w:tc>
          <w:tcPr>
            <w:tcW w:w="589" w:type="pct"/>
            <w:tcBorders>
              <w:top w:val="single" w:sz="6" w:space="0" w:color="auto"/>
              <w:left w:val="single" w:sz="6" w:space="0" w:color="auto"/>
              <w:bottom w:val="single" w:sz="6" w:space="0" w:color="auto"/>
              <w:right w:val="single" w:sz="6" w:space="0" w:color="auto"/>
            </w:tcBorders>
            <w:vAlign w:val="center"/>
          </w:tcPr>
          <w:p w14:paraId="150A5F6F"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4-16</w:t>
            </w:r>
          </w:p>
        </w:tc>
        <w:tc>
          <w:tcPr>
            <w:tcW w:w="640" w:type="pct"/>
            <w:tcBorders>
              <w:top w:val="single" w:sz="6" w:space="0" w:color="auto"/>
              <w:left w:val="single" w:sz="6" w:space="0" w:color="auto"/>
              <w:bottom w:val="single" w:sz="6" w:space="0" w:color="auto"/>
              <w:right w:val="single" w:sz="4" w:space="0" w:color="auto"/>
            </w:tcBorders>
            <w:vAlign w:val="center"/>
          </w:tcPr>
          <w:p w14:paraId="49FBEA1C"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4-22 (</w:t>
            </w:r>
            <w:r w:rsidRPr="00DD0D1F">
              <w:rPr>
                <w:rFonts w:cs="Times New Roman"/>
                <w:szCs w:val="24"/>
                <w:vertAlign w:val="superscript"/>
                <w:lang w:val="tr-TR"/>
              </w:rPr>
              <w:t>3</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09851FAD" w14:textId="272FCD61"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30</w:t>
            </w:r>
          </w:p>
        </w:tc>
      </w:tr>
      <w:tr w:rsidR="00EB7491" w:rsidRPr="00DD0D1F" w14:paraId="1A254276" w14:textId="531CD995"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1F1DAB94"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497" w:type="pct"/>
            <w:tcBorders>
              <w:top w:val="single" w:sz="6" w:space="0" w:color="auto"/>
              <w:left w:val="single" w:sz="6" w:space="0" w:color="auto"/>
              <w:bottom w:val="single" w:sz="6" w:space="0" w:color="auto"/>
              <w:right w:val="single" w:sz="6" w:space="0" w:color="auto"/>
            </w:tcBorders>
            <w:vAlign w:val="center"/>
          </w:tcPr>
          <w:p w14:paraId="504BFE71"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0E6D1F4D"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2-14</w:t>
            </w:r>
          </w:p>
        </w:tc>
        <w:tc>
          <w:tcPr>
            <w:tcW w:w="589" w:type="pct"/>
            <w:tcBorders>
              <w:top w:val="single" w:sz="6" w:space="0" w:color="auto"/>
              <w:left w:val="single" w:sz="6" w:space="0" w:color="auto"/>
              <w:bottom w:val="single" w:sz="6" w:space="0" w:color="auto"/>
              <w:right w:val="single" w:sz="6" w:space="0" w:color="auto"/>
            </w:tcBorders>
            <w:vAlign w:val="center"/>
          </w:tcPr>
          <w:p w14:paraId="0B56962E"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3-15</w:t>
            </w:r>
          </w:p>
        </w:tc>
        <w:tc>
          <w:tcPr>
            <w:tcW w:w="640" w:type="pct"/>
            <w:tcBorders>
              <w:top w:val="single" w:sz="6" w:space="0" w:color="auto"/>
              <w:left w:val="single" w:sz="6" w:space="0" w:color="auto"/>
              <w:bottom w:val="single" w:sz="6" w:space="0" w:color="auto"/>
              <w:right w:val="single" w:sz="4" w:space="0" w:color="auto"/>
            </w:tcBorders>
            <w:vAlign w:val="center"/>
          </w:tcPr>
          <w:p w14:paraId="13CC27F3"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4-22 (</w:t>
            </w:r>
            <w:r w:rsidRPr="00DD0D1F">
              <w:rPr>
                <w:rFonts w:cs="Times New Roman"/>
                <w:szCs w:val="24"/>
                <w:vertAlign w:val="superscript"/>
                <w:lang w:val="tr-TR"/>
              </w:rPr>
              <w:t>4</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14D409A4" w14:textId="041799A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r>
      <w:tr w:rsidR="00EB7491" w:rsidRPr="00DD0D1F" w14:paraId="3A09E61F" w14:textId="25828A42"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227370A7"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300-1000</w:t>
            </w:r>
          </w:p>
        </w:tc>
        <w:tc>
          <w:tcPr>
            <w:tcW w:w="497" w:type="pct"/>
            <w:tcBorders>
              <w:top w:val="single" w:sz="6" w:space="0" w:color="auto"/>
              <w:left w:val="single" w:sz="6" w:space="0" w:color="auto"/>
              <w:bottom w:val="single" w:sz="6" w:space="0" w:color="auto"/>
              <w:right w:val="single" w:sz="6" w:space="0" w:color="auto"/>
            </w:tcBorders>
            <w:vAlign w:val="center"/>
          </w:tcPr>
          <w:p w14:paraId="41B56A98"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67C71E56"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2-10 (</w:t>
            </w:r>
            <w:r w:rsidRPr="00DD0D1F">
              <w:rPr>
                <w:rFonts w:cs="Times New Roman"/>
                <w:szCs w:val="24"/>
                <w:vertAlign w:val="superscript"/>
                <w:lang w:val="tr-TR"/>
              </w:rPr>
              <w:t>5</w:t>
            </w:r>
            <w:r w:rsidRPr="00DD0D1F">
              <w:rPr>
                <w:rFonts w:cs="Times New Roman"/>
                <w:szCs w:val="24"/>
                <w:lang w:val="tr-TR"/>
              </w:rPr>
              <w:t>)</w:t>
            </w:r>
          </w:p>
        </w:tc>
        <w:tc>
          <w:tcPr>
            <w:tcW w:w="589" w:type="pct"/>
            <w:tcBorders>
              <w:top w:val="single" w:sz="6" w:space="0" w:color="auto"/>
              <w:left w:val="single" w:sz="6" w:space="0" w:color="auto"/>
              <w:bottom w:val="single" w:sz="6" w:space="0" w:color="auto"/>
              <w:right w:val="single" w:sz="6" w:space="0" w:color="auto"/>
            </w:tcBorders>
            <w:vAlign w:val="center"/>
          </w:tcPr>
          <w:p w14:paraId="5CE3B044"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3-10</w:t>
            </w:r>
          </w:p>
        </w:tc>
        <w:tc>
          <w:tcPr>
            <w:tcW w:w="640" w:type="pct"/>
            <w:tcBorders>
              <w:top w:val="single" w:sz="6" w:space="0" w:color="auto"/>
              <w:left w:val="single" w:sz="6" w:space="0" w:color="auto"/>
              <w:bottom w:val="single" w:sz="6" w:space="0" w:color="auto"/>
              <w:right w:val="single" w:sz="4" w:space="0" w:color="auto"/>
            </w:tcBorders>
            <w:vAlign w:val="center"/>
          </w:tcPr>
          <w:p w14:paraId="25EE178B"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3-11 (</w:t>
            </w:r>
            <w:r w:rsidRPr="00DD0D1F">
              <w:rPr>
                <w:rFonts w:cs="Times New Roman"/>
                <w:szCs w:val="24"/>
                <w:vertAlign w:val="superscript"/>
                <w:lang w:val="tr-TR"/>
              </w:rPr>
              <w:t>6</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1BFEC9DD" w14:textId="59ED9AFA"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69B69500" w14:textId="1892EC7E"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28CDF6B3"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≥1000</w:t>
            </w:r>
          </w:p>
        </w:tc>
        <w:tc>
          <w:tcPr>
            <w:tcW w:w="497" w:type="pct"/>
            <w:tcBorders>
              <w:top w:val="single" w:sz="6" w:space="0" w:color="auto"/>
              <w:left w:val="single" w:sz="6" w:space="0" w:color="auto"/>
              <w:bottom w:val="single" w:sz="6" w:space="0" w:color="auto"/>
              <w:right w:val="single" w:sz="6" w:space="0" w:color="auto"/>
            </w:tcBorders>
            <w:vAlign w:val="center"/>
          </w:tcPr>
          <w:p w14:paraId="007DF6CA"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7B715AFA"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2-8</w:t>
            </w:r>
          </w:p>
        </w:tc>
        <w:tc>
          <w:tcPr>
            <w:tcW w:w="589" w:type="pct"/>
            <w:tcBorders>
              <w:top w:val="single" w:sz="6" w:space="0" w:color="auto"/>
              <w:left w:val="single" w:sz="6" w:space="0" w:color="auto"/>
              <w:bottom w:val="single" w:sz="6" w:space="0" w:color="auto"/>
              <w:right w:val="single" w:sz="6" w:space="0" w:color="auto"/>
            </w:tcBorders>
            <w:vAlign w:val="center"/>
          </w:tcPr>
          <w:p w14:paraId="46BC207B"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3-10</w:t>
            </w:r>
          </w:p>
        </w:tc>
        <w:tc>
          <w:tcPr>
            <w:tcW w:w="640" w:type="pct"/>
            <w:tcBorders>
              <w:top w:val="single" w:sz="6" w:space="0" w:color="auto"/>
              <w:left w:val="single" w:sz="6" w:space="0" w:color="auto"/>
              <w:bottom w:val="single" w:sz="6" w:space="0" w:color="auto"/>
              <w:right w:val="single" w:sz="4" w:space="0" w:color="auto"/>
            </w:tcBorders>
            <w:vAlign w:val="center"/>
          </w:tcPr>
          <w:p w14:paraId="3A36F736"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3-11 (</w:t>
            </w:r>
            <w:r w:rsidRPr="00DD0D1F">
              <w:rPr>
                <w:rFonts w:cs="Times New Roman"/>
                <w:szCs w:val="24"/>
                <w:vertAlign w:val="superscript"/>
                <w:lang w:val="tr-TR"/>
              </w:rPr>
              <w:t>7</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57876302" w14:textId="609E5E4A"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6187FB49" w14:textId="7FEE1745" w:rsidTr="00563E96">
        <w:trPr>
          <w:trHeight w:val="1182"/>
        </w:trPr>
        <w:tc>
          <w:tcPr>
            <w:tcW w:w="5000" w:type="pct"/>
            <w:gridSpan w:val="6"/>
            <w:tcBorders>
              <w:top w:val="single" w:sz="6" w:space="0" w:color="auto"/>
              <w:left w:val="single" w:sz="4" w:space="0" w:color="auto"/>
              <w:bottom w:val="single" w:sz="4" w:space="0" w:color="auto"/>
              <w:right w:val="single" w:sz="4" w:space="0" w:color="auto"/>
            </w:tcBorders>
          </w:tcPr>
          <w:p w14:paraId="1C428D49" w14:textId="77777777" w:rsidR="00131D47" w:rsidRPr="00DD0D1F" w:rsidRDefault="00131D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4032D820" w14:textId="77777777" w:rsidR="00131D47" w:rsidRPr="00DD0D1F" w:rsidRDefault="00131D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6BFFA035" w14:textId="4B23B95B" w:rsidR="00131D47" w:rsidRPr="00DD0D1F" w:rsidRDefault="00131D47" w:rsidP="003328F9">
            <w:pPr>
              <w:tabs>
                <w:tab w:val="left" w:pos="359"/>
              </w:tabs>
              <w:adjustRightInd w:val="0"/>
              <w:spacing w:line="240" w:lineRule="auto"/>
              <w:ind w:left="358" w:right="74" w:hanging="284"/>
              <w:rPr>
                <w:rFonts w:cs="Times New Roman"/>
                <w:szCs w:val="24"/>
                <w:lang w:val="tr-TR"/>
              </w:rPr>
            </w:pPr>
          </w:p>
        </w:tc>
      </w:tr>
    </w:tbl>
    <w:p w14:paraId="38C00101" w14:textId="77777777" w:rsidR="003328F9" w:rsidRPr="00DD0D1F" w:rsidRDefault="003328F9" w:rsidP="00FF111D">
      <w:pPr>
        <w:pStyle w:val="Balk3"/>
        <w:numPr>
          <w:ilvl w:val="2"/>
          <w:numId w:val="73"/>
        </w:numPr>
        <w:rPr>
          <w:rFonts w:cs="Times New Roman"/>
        </w:rPr>
      </w:pPr>
      <w:bookmarkStart w:id="34" w:name="_Toc137367300"/>
      <w:r w:rsidRPr="00DD0D1F">
        <w:rPr>
          <w:rFonts w:cs="Times New Roman"/>
        </w:rPr>
        <w:t>Havaya Civa Emisyonları</w:t>
      </w:r>
      <w:bookmarkEnd w:id="34"/>
    </w:p>
    <w:p w14:paraId="38F342E7" w14:textId="77AD2474" w:rsidR="003328F9" w:rsidRPr="00DD0D1F" w:rsidRDefault="003328F9" w:rsidP="003328F9">
      <w:pPr>
        <w:spacing w:before="240"/>
        <w:rPr>
          <w:rFonts w:cs="Times New Roman"/>
          <w:b/>
          <w:bCs/>
          <w:szCs w:val="24"/>
        </w:rPr>
      </w:pPr>
      <w:r w:rsidRPr="00DD0D1F">
        <w:rPr>
          <w:rFonts w:cs="Times New Roman"/>
          <w:b/>
          <w:bCs/>
          <w:szCs w:val="24"/>
        </w:rPr>
        <w:t xml:space="preserve">MET 23: </w:t>
      </w:r>
      <w:r w:rsidRPr="00DD0D1F">
        <w:rPr>
          <w:rFonts w:cs="Times New Roman"/>
          <w:bCs/>
          <w:szCs w:val="24"/>
        </w:rPr>
        <w:t>Kömür ve/veya linyitin yakılmasından kaynaklanan, havaya cıva emisyonunu önlemek veya azaltmak için aşağıda verilen tekniklerin bir</w:t>
      </w:r>
      <w:r w:rsidR="003F53F5" w:rsidRPr="00DD0D1F">
        <w:rPr>
          <w:rFonts w:cs="Times New Roman"/>
          <w:bCs/>
          <w:szCs w:val="24"/>
        </w:rPr>
        <w:t>i veya bunların bir birleşimi</w:t>
      </w:r>
      <w:r w:rsidRPr="00DD0D1F">
        <w:rPr>
          <w:rFonts w:cs="Times New Roman"/>
          <w:bCs/>
          <w:szCs w:val="24"/>
        </w:rPr>
        <w:t xml:space="preserve"> kullan</w:t>
      </w:r>
      <w:r w:rsidR="003F53F5"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422"/>
        <w:gridCol w:w="2523"/>
        <w:gridCol w:w="216"/>
        <w:gridCol w:w="3442"/>
        <w:gridCol w:w="301"/>
        <w:gridCol w:w="2173"/>
      </w:tblGrid>
      <w:tr w:rsidR="003328F9" w:rsidRPr="00DD0D1F" w14:paraId="137C07A3" w14:textId="77777777" w:rsidTr="003328F9">
        <w:trPr>
          <w:trHeight w:val="46"/>
        </w:trPr>
        <w:tc>
          <w:tcPr>
            <w:tcW w:w="1622" w:type="pct"/>
            <w:gridSpan w:val="2"/>
            <w:tcBorders>
              <w:top w:val="single" w:sz="4" w:space="0" w:color="auto"/>
              <w:left w:val="single" w:sz="4" w:space="0" w:color="auto"/>
              <w:bottom w:val="single" w:sz="6" w:space="0" w:color="auto"/>
              <w:right w:val="single" w:sz="6" w:space="0" w:color="auto"/>
            </w:tcBorders>
            <w:vAlign w:val="center"/>
          </w:tcPr>
          <w:p w14:paraId="675A72F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181" w:type="pct"/>
            <w:gridSpan w:val="3"/>
            <w:tcBorders>
              <w:top w:val="single" w:sz="4" w:space="0" w:color="auto"/>
              <w:left w:val="single" w:sz="6" w:space="0" w:color="auto"/>
              <w:bottom w:val="single" w:sz="6" w:space="0" w:color="auto"/>
              <w:right w:val="single" w:sz="6" w:space="0" w:color="auto"/>
            </w:tcBorders>
            <w:vAlign w:val="center"/>
          </w:tcPr>
          <w:p w14:paraId="13F8EF1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198" w:type="pct"/>
            <w:tcBorders>
              <w:top w:val="single" w:sz="4" w:space="0" w:color="auto"/>
              <w:left w:val="single" w:sz="6" w:space="0" w:color="auto"/>
              <w:bottom w:val="single" w:sz="6" w:space="0" w:color="auto"/>
              <w:right w:val="single" w:sz="4" w:space="0" w:color="auto"/>
            </w:tcBorders>
            <w:vAlign w:val="center"/>
          </w:tcPr>
          <w:p w14:paraId="4FF8B67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11E1EC1D" w14:textId="77777777" w:rsidTr="003328F9">
        <w:trPr>
          <w:trHeight w:val="46"/>
        </w:trPr>
        <w:tc>
          <w:tcPr>
            <w:tcW w:w="5000" w:type="pct"/>
            <w:gridSpan w:val="6"/>
            <w:tcBorders>
              <w:top w:val="single" w:sz="6" w:space="0" w:color="auto"/>
              <w:left w:val="single" w:sz="4" w:space="0" w:color="auto"/>
              <w:bottom w:val="single" w:sz="6" w:space="0" w:color="auto"/>
              <w:right w:val="single" w:sz="4" w:space="0" w:color="auto"/>
            </w:tcBorders>
          </w:tcPr>
          <w:p w14:paraId="183DB1FD"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Öncelikli olarak diğer kirletici emisyonlarını azaltmak için kullanılan tekniklerin uygulanması ile ortak fayda sağlanması</w:t>
            </w:r>
          </w:p>
        </w:tc>
      </w:tr>
      <w:tr w:rsidR="003328F9" w:rsidRPr="00DD0D1F" w14:paraId="53B85DA1" w14:textId="77777777" w:rsidTr="003328F9">
        <w:trPr>
          <w:trHeight w:val="429"/>
        </w:trPr>
        <w:tc>
          <w:tcPr>
            <w:tcW w:w="232" w:type="pct"/>
            <w:tcBorders>
              <w:top w:val="single" w:sz="6" w:space="0" w:color="auto"/>
              <w:left w:val="single" w:sz="4" w:space="0" w:color="auto"/>
              <w:bottom w:val="single" w:sz="6" w:space="0" w:color="auto"/>
              <w:right w:val="single" w:sz="6" w:space="0" w:color="auto"/>
            </w:tcBorders>
            <w:vAlign w:val="center"/>
          </w:tcPr>
          <w:p w14:paraId="232BC6A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61712F16" w14:textId="620F5D85" w:rsidR="003328F9" w:rsidRPr="00DD0D1F" w:rsidRDefault="009A6605" w:rsidP="009A6605">
            <w:pPr>
              <w:adjustRightInd w:val="0"/>
              <w:spacing w:line="240" w:lineRule="auto"/>
              <w:ind w:left="74" w:right="74"/>
              <w:rPr>
                <w:rFonts w:cs="Times New Roman"/>
                <w:szCs w:val="24"/>
                <w:lang w:val="tr-TR"/>
              </w:rPr>
            </w:pPr>
            <w:r w:rsidRPr="00DD0D1F">
              <w:rPr>
                <w:rFonts w:cs="Times New Roman"/>
                <w:szCs w:val="24"/>
                <w:lang w:val="tr-TR"/>
              </w:rPr>
              <w:t>Elektrostatik çöktürücü</w:t>
            </w:r>
            <w:r w:rsidR="003328F9" w:rsidRPr="00DD0D1F">
              <w:rPr>
                <w:rFonts w:cs="Times New Roman"/>
                <w:szCs w:val="24"/>
                <w:lang w:val="tr-TR"/>
              </w:rPr>
              <w:t xml:space="preserve"> (ESP)</w:t>
            </w:r>
          </w:p>
        </w:tc>
        <w:tc>
          <w:tcPr>
            <w:tcW w:w="1896" w:type="pct"/>
            <w:tcBorders>
              <w:top w:val="single" w:sz="6" w:space="0" w:color="auto"/>
              <w:left w:val="single" w:sz="6" w:space="0" w:color="auto"/>
              <w:bottom w:val="single" w:sz="6" w:space="0" w:color="auto"/>
              <w:right w:val="single" w:sz="6" w:space="0" w:color="auto"/>
            </w:tcBorders>
            <w:vAlign w:val="center"/>
          </w:tcPr>
          <w:p w14:paraId="4E285C3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7D65D801" w14:textId="69405A33"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130°C altındaki </w:t>
            </w:r>
            <w:r w:rsidR="00E00B0A" w:rsidRPr="00DD0D1F">
              <w:rPr>
                <w:rFonts w:cs="Times New Roman"/>
                <w:szCs w:val="24"/>
                <w:lang w:val="tr-TR"/>
              </w:rPr>
              <w:t>baca</w:t>
            </w:r>
            <w:r w:rsidRPr="00DD0D1F">
              <w:rPr>
                <w:rFonts w:cs="Times New Roman"/>
                <w:szCs w:val="24"/>
                <w:lang w:val="tr-TR"/>
              </w:rPr>
              <w:t xml:space="preserve"> gazı sıcaklıklarında, yüksek cıva giderme verimliliği elde edilir.</w:t>
            </w:r>
          </w:p>
          <w:p w14:paraId="471CA98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esas olarak toz kontrolü için kullanılır.</w:t>
            </w:r>
          </w:p>
        </w:tc>
        <w:tc>
          <w:tcPr>
            <w:tcW w:w="1363" w:type="pct"/>
            <w:gridSpan w:val="2"/>
            <w:tcBorders>
              <w:top w:val="single" w:sz="6" w:space="0" w:color="auto"/>
              <w:left w:val="single" w:sz="6" w:space="0" w:color="auto"/>
              <w:bottom w:val="nil"/>
              <w:right w:val="single" w:sz="4" w:space="0" w:color="auto"/>
            </w:tcBorders>
            <w:vAlign w:val="center"/>
          </w:tcPr>
          <w:p w14:paraId="319F9F8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C489106" w14:textId="77777777" w:rsidTr="003328F9">
        <w:trPr>
          <w:trHeight w:val="46"/>
        </w:trPr>
        <w:tc>
          <w:tcPr>
            <w:tcW w:w="232" w:type="pct"/>
            <w:tcBorders>
              <w:top w:val="single" w:sz="6" w:space="0" w:color="auto"/>
              <w:left w:val="single" w:sz="4" w:space="0" w:color="auto"/>
              <w:bottom w:val="single" w:sz="6" w:space="0" w:color="auto"/>
              <w:right w:val="single" w:sz="6" w:space="0" w:color="auto"/>
            </w:tcBorders>
            <w:vAlign w:val="center"/>
          </w:tcPr>
          <w:p w14:paraId="62ECC3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30253E2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896" w:type="pct"/>
            <w:tcBorders>
              <w:top w:val="single" w:sz="6" w:space="0" w:color="auto"/>
              <w:left w:val="single" w:sz="6" w:space="0" w:color="auto"/>
              <w:bottom w:val="single" w:sz="6" w:space="0" w:color="auto"/>
              <w:right w:val="single" w:sz="6" w:space="0" w:color="auto"/>
            </w:tcBorders>
            <w:vAlign w:val="center"/>
          </w:tcPr>
          <w:p w14:paraId="1FCE3C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46052D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esas olarak toz kontrolü için kullanılır.</w:t>
            </w:r>
          </w:p>
        </w:tc>
        <w:tc>
          <w:tcPr>
            <w:tcW w:w="1363" w:type="pct"/>
            <w:gridSpan w:val="2"/>
            <w:tcBorders>
              <w:top w:val="nil"/>
              <w:left w:val="single" w:sz="6" w:space="0" w:color="auto"/>
              <w:bottom w:val="nil"/>
              <w:right w:val="single" w:sz="4" w:space="0" w:color="auto"/>
            </w:tcBorders>
            <w:vAlign w:val="center"/>
          </w:tcPr>
          <w:p w14:paraId="4FBD4D3A" w14:textId="77777777" w:rsidR="003328F9" w:rsidRPr="00DD0D1F" w:rsidRDefault="003328F9" w:rsidP="003328F9">
            <w:pPr>
              <w:adjustRightInd w:val="0"/>
              <w:spacing w:line="240" w:lineRule="auto"/>
              <w:ind w:right="74"/>
              <w:rPr>
                <w:rFonts w:cs="Times New Roman"/>
                <w:szCs w:val="24"/>
                <w:lang w:val="tr-TR"/>
              </w:rPr>
            </w:pPr>
          </w:p>
        </w:tc>
      </w:tr>
      <w:tr w:rsidR="003328F9" w:rsidRPr="00DD0D1F" w14:paraId="38181FD2" w14:textId="77777777" w:rsidTr="003328F9">
        <w:trPr>
          <w:trHeight w:val="325"/>
        </w:trPr>
        <w:tc>
          <w:tcPr>
            <w:tcW w:w="232" w:type="pct"/>
            <w:tcBorders>
              <w:top w:val="single" w:sz="6" w:space="0" w:color="auto"/>
              <w:left w:val="single" w:sz="4" w:space="0" w:color="auto"/>
              <w:bottom w:val="single" w:sz="6" w:space="0" w:color="auto"/>
              <w:right w:val="single" w:sz="6" w:space="0" w:color="auto"/>
            </w:tcBorders>
            <w:vAlign w:val="center"/>
          </w:tcPr>
          <w:p w14:paraId="76F05C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7E2086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veya yarı kuru FGD sistemi</w:t>
            </w:r>
          </w:p>
        </w:tc>
        <w:tc>
          <w:tcPr>
            <w:tcW w:w="1896" w:type="pct"/>
            <w:vMerge w:val="restart"/>
            <w:tcBorders>
              <w:top w:val="single" w:sz="6" w:space="0" w:color="auto"/>
              <w:left w:val="single" w:sz="6" w:space="0" w:color="auto"/>
              <w:right w:val="single" w:sz="6" w:space="0" w:color="auto"/>
            </w:tcBorders>
            <w:vAlign w:val="center"/>
          </w:tcPr>
          <w:p w14:paraId="40DBAA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462DF892" w14:textId="77777777" w:rsidR="003328F9" w:rsidRPr="00DD0D1F" w:rsidRDefault="003328F9" w:rsidP="003328F9">
            <w:pPr>
              <w:adjustRightInd w:val="0"/>
              <w:spacing w:line="240" w:lineRule="auto"/>
              <w:ind w:left="74" w:right="74"/>
              <w:rPr>
                <w:rFonts w:cs="Times New Roman"/>
                <w:szCs w:val="24"/>
                <w:lang w:val="tr-TR"/>
              </w:rPr>
            </w:pPr>
          </w:p>
          <w:p w14:paraId="6CA5CC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Teknikler esas olarak SO</w:t>
            </w:r>
            <w:r w:rsidRPr="00DD0D1F">
              <w:rPr>
                <w:rFonts w:cs="Times New Roman"/>
                <w:szCs w:val="24"/>
                <w:vertAlign w:val="subscript"/>
                <w:lang w:val="tr-TR"/>
              </w:rPr>
              <w:t>X</w:t>
            </w:r>
            <w:r w:rsidRPr="00DD0D1F">
              <w:rPr>
                <w:rFonts w:cs="Times New Roman"/>
                <w:szCs w:val="24"/>
                <w:lang w:val="tr-TR"/>
              </w:rPr>
              <w:t>, HCl ve/veya HF kontrolü için kullanılır.</w:t>
            </w:r>
          </w:p>
        </w:tc>
        <w:tc>
          <w:tcPr>
            <w:tcW w:w="1363" w:type="pct"/>
            <w:gridSpan w:val="2"/>
            <w:tcBorders>
              <w:top w:val="nil"/>
              <w:left w:val="single" w:sz="6" w:space="0" w:color="auto"/>
              <w:bottom w:val="single" w:sz="6" w:space="0" w:color="auto"/>
              <w:right w:val="single" w:sz="4" w:space="0" w:color="auto"/>
            </w:tcBorders>
            <w:vAlign w:val="center"/>
          </w:tcPr>
          <w:p w14:paraId="2F97FEEC" w14:textId="77777777" w:rsidR="003328F9" w:rsidRPr="00DD0D1F" w:rsidRDefault="003328F9" w:rsidP="003328F9">
            <w:pPr>
              <w:adjustRightInd w:val="0"/>
              <w:spacing w:line="240" w:lineRule="auto"/>
              <w:ind w:left="74" w:right="74"/>
              <w:rPr>
                <w:rFonts w:cs="Times New Roman"/>
                <w:szCs w:val="24"/>
                <w:lang w:val="tr-TR"/>
              </w:rPr>
            </w:pPr>
          </w:p>
          <w:p w14:paraId="751B6C56"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E441814" w14:textId="77777777" w:rsidTr="003328F9">
        <w:trPr>
          <w:trHeight w:val="46"/>
        </w:trPr>
        <w:tc>
          <w:tcPr>
            <w:tcW w:w="232" w:type="pct"/>
            <w:tcBorders>
              <w:top w:val="single" w:sz="6" w:space="0" w:color="auto"/>
              <w:left w:val="single" w:sz="4" w:space="0" w:color="auto"/>
              <w:bottom w:val="single" w:sz="6" w:space="0" w:color="auto"/>
              <w:right w:val="single" w:sz="6" w:space="0" w:color="auto"/>
            </w:tcBorders>
            <w:vAlign w:val="center"/>
          </w:tcPr>
          <w:p w14:paraId="1089897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076A78D7" w14:textId="4B10971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1896" w:type="pct"/>
            <w:vMerge/>
            <w:tcBorders>
              <w:left w:val="single" w:sz="6" w:space="0" w:color="auto"/>
              <w:bottom w:val="single" w:sz="6" w:space="0" w:color="auto"/>
              <w:right w:val="single" w:sz="6" w:space="0" w:color="auto"/>
            </w:tcBorders>
            <w:vAlign w:val="center"/>
          </w:tcPr>
          <w:p w14:paraId="1AAA79D8" w14:textId="77777777" w:rsidR="003328F9" w:rsidRPr="00DD0D1F" w:rsidRDefault="003328F9" w:rsidP="003328F9">
            <w:pPr>
              <w:adjustRightInd w:val="0"/>
              <w:spacing w:line="240" w:lineRule="auto"/>
              <w:ind w:left="74" w:right="74"/>
              <w:rPr>
                <w:rFonts w:cs="Times New Roman"/>
                <w:szCs w:val="24"/>
                <w:lang w:val="tr-TR"/>
              </w:rPr>
            </w:pPr>
          </w:p>
        </w:tc>
        <w:tc>
          <w:tcPr>
            <w:tcW w:w="1363" w:type="pct"/>
            <w:gridSpan w:val="2"/>
            <w:tcBorders>
              <w:top w:val="single" w:sz="6" w:space="0" w:color="auto"/>
              <w:left w:val="single" w:sz="6" w:space="0" w:color="auto"/>
              <w:bottom w:val="single" w:sz="6" w:space="0" w:color="auto"/>
              <w:right w:val="single" w:sz="4" w:space="0" w:color="auto"/>
            </w:tcBorders>
            <w:vAlign w:val="center"/>
          </w:tcPr>
          <w:p w14:paraId="19110D9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 21'deki uygulanabilirlik bölümüne bakınız.</w:t>
            </w:r>
          </w:p>
        </w:tc>
      </w:tr>
      <w:tr w:rsidR="003328F9" w:rsidRPr="00DD0D1F" w14:paraId="400A36A0" w14:textId="77777777" w:rsidTr="003328F9">
        <w:trPr>
          <w:trHeight w:val="717"/>
        </w:trPr>
        <w:tc>
          <w:tcPr>
            <w:tcW w:w="232" w:type="pct"/>
            <w:tcBorders>
              <w:top w:val="single" w:sz="6" w:space="0" w:color="auto"/>
              <w:left w:val="single" w:sz="4" w:space="0" w:color="auto"/>
              <w:bottom w:val="single" w:sz="6" w:space="0" w:color="auto"/>
              <w:right w:val="single" w:sz="6" w:space="0" w:color="auto"/>
            </w:tcBorders>
            <w:vAlign w:val="center"/>
          </w:tcPr>
          <w:p w14:paraId="555C7B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57ED505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896" w:type="pct"/>
            <w:tcBorders>
              <w:top w:val="single" w:sz="6" w:space="0" w:color="auto"/>
              <w:left w:val="single" w:sz="6" w:space="0" w:color="auto"/>
              <w:bottom w:val="single" w:sz="6" w:space="0" w:color="auto"/>
              <w:right w:val="single" w:sz="6" w:space="0" w:color="auto"/>
            </w:tcBorders>
            <w:vAlign w:val="center"/>
          </w:tcPr>
          <w:p w14:paraId="463138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69425DB7" w14:textId="3891E16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Sadece, </w:t>
            </w:r>
            <w:r w:rsidR="00353734" w:rsidRPr="00DD0D1F">
              <w:rPr>
                <w:rFonts w:cs="Times New Roman"/>
                <w:szCs w:val="24"/>
                <w:lang w:val="tr-TR"/>
              </w:rPr>
              <w:t xml:space="preserve">bir sonraki </w:t>
            </w:r>
            <w:r w:rsidRPr="00DD0D1F">
              <w:rPr>
                <w:rFonts w:cs="Times New Roman"/>
                <w:szCs w:val="24"/>
                <w:lang w:val="tr-TR"/>
              </w:rPr>
              <w:t>bir FGD veya toz giderme sisteminde tutulmadan önce cıva oksidasyonunu artırmak veya azalmak için diğer tekniklerle birlikte kullanılır.</w:t>
            </w:r>
          </w:p>
          <w:p w14:paraId="321223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esas olarak NO</w:t>
            </w:r>
            <w:r w:rsidRPr="00DD0D1F">
              <w:rPr>
                <w:rFonts w:cs="Times New Roman"/>
                <w:szCs w:val="24"/>
                <w:vertAlign w:val="subscript"/>
                <w:lang w:val="tr-TR"/>
              </w:rPr>
              <w:t xml:space="preserve">X </w:t>
            </w:r>
            <w:r w:rsidRPr="00DD0D1F">
              <w:rPr>
                <w:rFonts w:cs="Times New Roman"/>
                <w:szCs w:val="24"/>
                <w:lang w:val="tr-TR"/>
              </w:rPr>
              <w:t>kontrolü için kullanılır.</w:t>
            </w:r>
          </w:p>
        </w:tc>
        <w:tc>
          <w:tcPr>
            <w:tcW w:w="1363" w:type="pct"/>
            <w:gridSpan w:val="2"/>
            <w:tcBorders>
              <w:top w:val="single" w:sz="6" w:space="0" w:color="auto"/>
              <w:left w:val="single" w:sz="6" w:space="0" w:color="auto"/>
              <w:bottom w:val="single" w:sz="6" w:space="0" w:color="auto"/>
              <w:right w:val="single" w:sz="4" w:space="0" w:color="auto"/>
            </w:tcBorders>
            <w:vAlign w:val="center"/>
          </w:tcPr>
          <w:p w14:paraId="7CED8B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 20’deki uygulanabilirlik bölümüne bakınız.</w:t>
            </w:r>
          </w:p>
        </w:tc>
      </w:tr>
      <w:tr w:rsidR="003328F9" w:rsidRPr="00DD0D1F" w14:paraId="0CC0CBA5" w14:textId="77777777" w:rsidTr="003328F9">
        <w:trPr>
          <w:trHeight w:val="46"/>
        </w:trPr>
        <w:tc>
          <w:tcPr>
            <w:tcW w:w="5000" w:type="pct"/>
            <w:gridSpan w:val="6"/>
            <w:tcBorders>
              <w:top w:val="single" w:sz="6" w:space="0" w:color="auto"/>
              <w:left w:val="single" w:sz="4" w:space="0" w:color="auto"/>
              <w:bottom w:val="single" w:sz="6" w:space="0" w:color="auto"/>
              <w:right w:val="single" w:sz="4" w:space="0" w:color="auto"/>
            </w:tcBorders>
            <w:vAlign w:val="center"/>
          </w:tcPr>
          <w:p w14:paraId="62DE7F26"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Cıva emisyonlarını azaltmaya yönelik özel teknikler</w:t>
            </w:r>
          </w:p>
        </w:tc>
      </w:tr>
      <w:tr w:rsidR="003328F9" w:rsidRPr="00DD0D1F" w14:paraId="13D5D52F" w14:textId="77777777" w:rsidTr="003328F9">
        <w:trPr>
          <w:trHeight w:val="620"/>
        </w:trPr>
        <w:tc>
          <w:tcPr>
            <w:tcW w:w="232" w:type="pct"/>
            <w:tcBorders>
              <w:top w:val="single" w:sz="6" w:space="0" w:color="auto"/>
              <w:left w:val="single" w:sz="4" w:space="0" w:color="auto"/>
              <w:bottom w:val="single" w:sz="6" w:space="0" w:color="auto"/>
              <w:right w:val="single" w:sz="6" w:space="0" w:color="auto"/>
            </w:tcBorders>
            <w:vAlign w:val="center"/>
          </w:tcPr>
          <w:p w14:paraId="5B512F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549A911C" w14:textId="43F1E0BC"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gazına karbon sorbent enjeksiyonu (örneğin aktif karbon veya halojenli aktif karbon)</w:t>
            </w:r>
          </w:p>
        </w:tc>
        <w:tc>
          <w:tcPr>
            <w:tcW w:w="1896" w:type="pct"/>
            <w:tcBorders>
              <w:top w:val="single" w:sz="6" w:space="0" w:color="auto"/>
              <w:left w:val="single" w:sz="6" w:space="0" w:color="auto"/>
              <w:bottom w:val="single" w:sz="6" w:space="0" w:color="auto"/>
              <w:right w:val="single" w:sz="6" w:space="0" w:color="auto"/>
            </w:tcBorders>
            <w:vAlign w:val="center"/>
          </w:tcPr>
          <w:p w14:paraId="48BDCB4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342CDA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Genelde bir ESP/torba filtre ile birlikte kullanılır.</w:t>
            </w:r>
          </w:p>
          <w:p w14:paraId="37BBF4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tekniğin kullanımı, uçucu külün yeniden kullanımı öncesinde cıva içeren karbon parçasını ileri düzeyde ayırmak için ek arıtma adımlarını gerektirebilir.</w:t>
            </w:r>
          </w:p>
        </w:tc>
        <w:tc>
          <w:tcPr>
            <w:tcW w:w="1363" w:type="pct"/>
            <w:gridSpan w:val="2"/>
            <w:tcBorders>
              <w:top w:val="single" w:sz="6" w:space="0" w:color="auto"/>
              <w:left w:val="single" w:sz="6" w:space="0" w:color="auto"/>
              <w:bottom w:val="single" w:sz="4" w:space="0" w:color="auto"/>
              <w:right w:val="single" w:sz="4" w:space="0" w:color="auto"/>
            </w:tcBorders>
            <w:vAlign w:val="center"/>
          </w:tcPr>
          <w:p w14:paraId="40A1A2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4CADB91" w14:textId="77777777" w:rsidTr="003328F9">
        <w:trPr>
          <w:trHeight w:val="82"/>
        </w:trPr>
        <w:tc>
          <w:tcPr>
            <w:tcW w:w="232" w:type="pct"/>
            <w:tcBorders>
              <w:top w:val="single" w:sz="6" w:space="0" w:color="auto"/>
              <w:left w:val="single" w:sz="4" w:space="0" w:color="auto"/>
              <w:bottom w:val="single" w:sz="6" w:space="0" w:color="auto"/>
              <w:right w:val="single" w:sz="6" w:space="0" w:color="auto"/>
            </w:tcBorders>
            <w:vAlign w:val="center"/>
          </w:tcPr>
          <w:p w14:paraId="0D6035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3F02AF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Yakıtta veya fırına enjekte edilen halojenli katkı maddelerinin kullanılması</w:t>
            </w:r>
          </w:p>
        </w:tc>
        <w:tc>
          <w:tcPr>
            <w:tcW w:w="1896" w:type="pct"/>
            <w:tcBorders>
              <w:top w:val="single" w:sz="6" w:space="0" w:color="auto"/>
              <w:left w:val="single" w:sz="6" w:space="0" w:color="auto"/>
              <w:bottom w:val="single" w:sz="6" w:space="0" w:color="auto"/>
              <w:right w:val="single" w:sz="4" w:space="0" w:color="auto"/>
            </w:tcBorders>
            <w:vAlign w:val="center"/>
          </w:tcPr>
          <w:p w14:paraId="650918E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290CADFC" w14:textId="77777777" w:rsidR="003328F9" w:rsidRPr="00DD0D1F" w:rsidRDefault="003328F9" w:rsidP="003328F9">
            <w:pPr>
              <w:adjustRightInd w:val="0"/>
              <w:spacing w:line="240" w:lineRule="auto"/>
              <w:ind w:left="74" w:right="74"/>
              <w:rPr>
                <w:rFonts w:cs="Times New Roman"/>
                <w:szCs w:val="24"/>
                <w:lang w:val="tr-TR"/>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667B57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yakıtta düşük halojen içeriği söz konusu olduğunda uygulanabilir</w:t>
            </w:r>
          </w:p>
        </w:tc>
      </w:tr>
      <w:tr w:rsidR="003328F9" w:rsidRPr="00DD0D1F" w14:paraId="66B40794" w14:textId="77777777" w:rsidTr="003328F9">
        <w:trPr>
          <w:trHeight w:val="46"/>
        </w:trPr>
        <w:tc>
          <w:tcPr>
            <w:tcW w:w="232" w:type="pct"/>
            <w:tcBorders>
              <w:top w:val="single" w:sz="6" w:space="0" w:color="auto"/>
              <w:left w:val="single" w:sz="4" w:space="0" w:color="auto"/>
              <w:bottom w:val="single" w:sz="6" w:space="0" w:color="auto"/>
              <w:right w:val="single" w:sz="6" w:space="0" w:color="auto"/>
            </w:tcBorders>
            <w:vAlign w:val="center"/>
          </w:tcPr>
          <w:p w14:paraId="15561B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235E3E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ön işlemi</w:t>
            </w:r>
          </w:p>
        </w:tc>
        <w:tc>
          <w:tcPr>
            <w:tcW w:w="1896" w:type="pct"/>
            <w:tcBorders>
              <w:top w:val="single" w:sz="6" w:space="0" w:color="auto"/>
              <w:left w:val="single" w:sz="6" w:space="0" w:color="auto"/>
              <w:bottom w:val="single" w:sz="6" w:space="0" w:color="auto"/>
              <w:right w:val="single" w:sz="6" w:space="0" w:color="auto"/>
            </w:tcBorders>
            <w:vAlign w:val="center"/>
          </w:tcPr>
          <w:p w14:paraId="71A2F9A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Cıva içeriğini sınırlamak/azaltmak veya kirlilik kontrol ekipmanıyla cıva tutulmasını iyileştirmek için yakıt yıkama, harmanlama ve karıştırma işlemleri uygulanır.</w:t>
            </w:r>
          </w:p>
        </w:tc>
        <w:tc>
          <w:tcPr>
            <w:tcW w:w="1363" w:type="pct"/>
            <w:gridSpan w:val="2"/>
            <w:tcBorders>
              <w:top w:val="single" w:sz="4" w:space="0" w:color="auto"/>
              <w:left w:val="single" w:sz="6" w:space="0" w:color="auto"/>
              <w:bottom w:val="single" w:sz="6" w:space="0" w:color="auto"/>
              <w:right w:val="single" w:sz="4" w:space="0" w:color="auto"/>
            </w:tcBorders>
            <w:vAlign w:val="center"/>
          </w:tcPr>
          <w:p w14:paraId="145046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karakterizasyonu ve tekniğin potansiyel etkinliğinin tahmini için öncesinde araştırma yapılmışsa uygulanabilir.</w:t>
            </w:r>
          </w:p>
        </w:tc>
      </w:tr>
      <w:tr w:rsidR="003328F9" w:rsidRPr="00DD0D1F" w14:paraId="080E6603" w14:textId="77777777" w:rsidTr="003328F9">
        <w:trPr>
          <w:trHeight w:val="46"/>
        </w:trPr>
        <w:tc>
          <w:tcPr>
            <w:tcW w:w="232" w:type="pct"/>
            <w:tcBorders>
              <w:top w:val="single" w:sz="6" w:space="0" w:color="auto"/>
              <w:left w:val="single" w:sz="4" w:space="0" w:color="auto"/>
              <w:bottom w:val="single" w:sz="4" w:space="0" w:color="auto"/>
              <w:right w:val="single" w:sz="6" w:space="0" w:color="auto"/>
            </w:tcBorders>
            <w:vAlign w:val="center"/>
          </w:tcPr>
          <w:p w14:paraId="2393A3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509" w:type="pct"/>
            <w:gridSpan w:val="2"/>
            <w:tcBorders>
              <w:top w:val="single" w:sz="6" w:space="0" w:color="auto"/>
              <w:left w:val="single" w:sz="6" w:space="0" w:color="auto"/>
              <w:bottom w:val="single" w:sz="4" w:space="0" w:color="auto"/>
              <w:right w:val="single" w:sz="6" w:space="0" w:color="auto"/>
            </w:tcBorders>
            <w:vAlign w:val="center"/>
          </w:tcPr>
          <w:p w14:paraId="71F2D8E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896" w:type="pct"/>
            <w:tcBorders>
              <w:top w:val="single" w:sz="6" w:space="0" w:color="auto"/>
              <w:left w:val="single" w:sz="6" w:space="0" w:color="auto"/>
              <w:bottom w:val="single" w:sz="4" w:space="0" w:color="auto"/>
              <w:right w:val="single" w:sz="6" w:space="0" w:color="auto"/>
            </w:tcBorders>
            <w:vAlign w:val="center"/>
          </w:tcPr>
          <w:p w14:paraId="0C7728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tc>
        <w:tc>
          <w:tcPr>
            <w:tcW w:w="1363" w:type="pct"/>
            <w:gridSpan w:val="2"/>
            <w:tcBorders>
              <w:top w:val="single" w:sz="6" w:space="0" w:color="auto"/>
              <w:left w:val="single" w:sz="6" w:space="0" w:color="auto"/>
              <w:bottom w:val="single" w:sz="4" w:space="0" w:color="auto"/>
              <w:right w:val="single" w:sz="4" w:space="0" w:color="auto"/>
            </w:tcBorders>
            <w:vAlign w:val="center"/>
          </w:tcPr>
          <w:p w14:paraId="526BAE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tbl>
    <w:p w14:paraId="2B6C243C"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 linyitin yakılmasından kaynaklanan, havaya cıva emisyonlarına yönelik MET ile ilişkili emisyon seviyeleri (MET-İES’ler)</w:t>
      </w:r>
    </w:p>
    <w:tbl>
      <w:tblPr>
        <w:tblStyle w:val="TabloKlavuzu"/>
        <w:tblW w:w="0" w:type="auto"/>
        <w:tblLook w:val="04A0" w:firstRow="1" w:lastRow="0" w:firstColumn="1" w:lastColumn="0" w:noHBand="0" w:noVBand="1"/>
      </w:tblPr>
      <w:tblGrid>
        <w:gridCol w:w="3624"/>
        <w:gridCol w:w="1359"/>
        <w:gridCol w:w="1360"/>
        <w:gridCol w:w="1359"/>
        <w:gridCol w:w="1360"/>
      </w:tblGrid>
      <w:tr w:rsidR="003328F9" w:rsidRPr="00DD0D1F" w14:paraId="08E23E4F" w14:textId="77777777" w:rsidTr="003328F9">
        <w:trPr>
          <w:trHeight w:val="295"/>
        </w:trPr>
        <w:tc>
          <w:tcPr>
            <w:tcW w:w="3624" w:type="dxa"/>
            <w:vMerge w:val="restart"/>
            <w:vAlign w:val="center"/>
          </w:tcPr>
          <w:p w14:paraId="6EB6CC8A" w14:textId="77777777" w:rsidR="003328F9" w:rsidRPr="00DD0D1F" w:rsidRDefault="003328F9" w:rsidP="003328F9">
            <w:pPr>
              <w:spacing w:line="240" w:lineRule="auto"/>
              <w:ind w:left="74" w:right="74"/>
              <w:jc w:val="center"/>
              <w:rPr>
                <w:rFonts w:cs="Times New Roman"/>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5438" w:type="dxa"/>
            <w:gridSpan w:val="4"/>
            <w:vAlign w:val="center"/>
          </w:tcPr>
          <w:p w14:paraId="75D1B38E" w14:textId="77777777" w:rsidR="003328F9" w:rsidRPr="00DD0D1F" w:rsidRDefault="003328F9" w:rsidP="003328F9">
            <w:pPr>
              <w:spacing w:line="240" w:lineRule="auto"/>
              <w:ind w:left="74" w:right="74"/>
              <w:jc w:val="center"/>
              <w:rPr>
                <w:rFonts w:cs="Times New Roman"/>
                <w:szCs w:val="24"/>
              </w:rPr>
            </w:pPr>
            <w:r w:rsidRPr="00DD0D1F">
              <w:rPr>
                <w:rFonts w:cs="Times New Roman"/>
                <w:b/>
                <w:szCs w:val="24"/>
                <w:lang w:val="tr-TR"/>
              </w:rPr>
              <w:t>MET-İES'ler (µg/Nm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515612D4" w14:textId="77777777" w:rsidTr="003328F9">
        <w:trPr>
          <w:trHeight w:val="584"/>
        </w:trPr>
        <w:tc>
          <w:tcPr>
            <w:tcW w:w="3624" w:type="dxa"/>
            <w:vMerge/>
            <w:vAlign w:val="center"/>
          </w:tcPr>
          <w:p w14:paraId="6A7D0994" w14:textId="77777777" w:rsidR="003328F9" w:rsidRPr="00DD0D1F" w:rsidRDefault="003328F9" w:rsidP="003328F9">
            <w:pPr>
              <w:spacing w:line="240" w:lineRule="auto"/>
              <w:ind w:left="74" w:right="74"/>
              <w:jc w:val="center"/>
              <w:rPr>
                <w:rFonts w:cs="Times New Roman"/>
                <w:szCs w:val="24"/>
              </w:rPr>
            </w:pPr>
          </w:p>
        </w:tc>
        <w:tc>
          <w:tcPr>
            <w:tcW w:w="5438" w:type="dxa"/>
            <w:gridSpan w:val="4"/>
            <w:vAlign w:val="center"/>
          </w:tcPr>
          <w:p w14:paraId="59E56B66" w14:textId="77777777" w:rsidR="003328F9" w:rsidRPr="00DD0D1F" w:rsidRDefault="003328F9" w:rsidP="003328F9">
            <w:pPr>
              <w:spacing w:line="240" w:lineRule="auto"/>
              <w:ind w:left="74" w:right="74"/>
              <w:jc w:val="center"/>
              <w:rPr>
                <w:rFonts w:cs="Times New Roman"/>
                <w:b/>
                <w:szCs w:val="24"/>
                <w:lang w:val="fi-FI"/>
              </w:rPr>
            </w:pPr>
            <w:r w:rsidRPr="00DD0D1F">
              <w:rPr>
                <w:rFonts w:cs="Times New Roman"/>
                <w:b/>
                <w:szCs w:val="24"/>
                <w:lang w:val="tr-TR"/>
              </w:rPr>
              <w:t>Yıllık ortalama veya bir yılda alınan numunelerin ortalaması</w:t>
            </w:r>
          </w:p>
        </w:tc>
      </w:tr>
      <w:tr w:rsidR="003328F9" w:rsidRPr="00DD0D1F" w14:paraId="236FFEFF" w14:textId="77777777" w:rsidTr="003328F9">
        <w:trPr>
          <w:trHeight w:val="210"/>
        </w:trPr>
        <w:tc>
          <w:tcPr>
            <w:tcW w:w="3624" w:type="dxa"/>
            <w:vMerge/>
            <w:vAlign w:val="center"/>
          </w:tcPr>
          <w:p w14:paraId="6E1D22A2" w14:textId="77777777" w:rsidR="003328F9" w:rsidRPr="00DD0D1F" w:rsidRDefault="003328F9" w:rsidP="003328F9">
            <w:pPr>
              <w:spacing w:line="240" w:lineRule="auto"/>
              <w:ind w:left="74" w:right="74"/>
              <w:jc w:val="center"/>
              <w:rPr>
                <w:rFonts w:cs="Times New Roman"/>
                <w:szCs w:val="24"/>
                <w:lang w:val="fi-FI"/>
              </w:rPr>
            </w:pPr>
          </w:p>
        </w:tc>
        <w:tc>
          <w:tcPr>
            <w:tcW w:w="2719" w:type="dxa"/>
            <w:gridSpan w:val="2"/>
            <w:tcBorders>
              <w:bottom w:val="single" w:sz="4" w:space="0" w:color="auto"/>
            </w:tcBorders>
            <w:vAlign w:val="center"/>
          </w:tcPr>
          <w:p w14:paraId="6EC695F6" w14:textId="77777777" w:rsidR="003328F9" w:rsidRPr="00DD0D1F" w:rsidRDefault="003328F9" w:rsidP="003328F9">
            <w:pPr>
              <w:spacing w:line="240" w:lineRule="auto"/>
              <w:ind w:left="74" w:right="74"/>
              <w:jc w:val="center"/>
              <w:rPr>
                <w:rFonts w:cs="Times New Roman"/>
                <w:b/>
                <w:szCs w:val="24"/>
              </w:rPr>
            </w:pPr>
            <w:r w:rsidRPr="00DD0D1F">
              <w:rPr>
                <w:rFonts w:cs="Times New Roman"/>
                <w:b/>
                <w:szCs w:val="24"/>
              </w:rPr>
              <w:t>Yeni tesis</w:t>
            </w:r>
          </w:p>
        </w:tc>
        <w:tc>
          <w:tcPr>
            <w:tcW w:w="2719" w:type="dxa"/>
            <w:gridSpan w:val="2"/>
            <w:tcBorders>
              <w:bottom w:val="single" w:sz="4" w:space="0" w:color="auto"/>
            </w:tcBorders>
            <w:vAlign w:val="center"/>
          </w:tcPr>
          <w:p w14:paraId="5373FAF9" w14:textId="77777777" w:rsidR="003328F9" w:rsidRPr="00DD0D1F" w:rsidRDefault="003328F9" w:rsidP="003328F9">
            <w:pPr>
              <w:spacing w:line="240" w:lineRule="auto"/>
              <w:ind w:left="74" w:right="74"/>
              <w:jc w:val="center"/>
              <w:rPr>
                <w:rFonts w:cs="Times New Roman"/>
                <w:b/>
                <w:szCs w:val="24"/>
              </w:rPr>
            </w:pPr>
            <w:r w:rsidRPr="00DD0D1F">
              <w:rPr>
                <w:rFonts w:cs="Times New Roman"/>
                <w:b/>
                <w:szCs w:val="24"/>
              </w:rPr>
              <w:t>Mevcut tesis</w:t>
            </w:r>
          </w:p>
        </w:tc>
      </w:tr>
      <w:tr w:rsidR="003328F9" w:rsidRPr="00DD0D1F" w14:paraId="112A511A" w14:textId="77777777" w:rsidTr="003328F9">
        <w:trPr>
          <w:trHeight w:val="199"/>
        </w:trPr>
        <w:tc>
          <w:tcPr>
            <w:tcW w:w="3624" w:type="dxa"/>
            <w:vMerge/>
            <w:tcBorders>
              <w:bottom w:val="single" w:sz="4" w:space="0" w:color="auto"/>
            </w:tcBorders>
            <w:vAlign w:val="center"/>
          </w:tcPr>
          <w:p w14:paraId="1A963CA1" w14:textId="77777777" w:rsidR="003328F9" w:rsidRPr="00DD0D1F" w:rsidRDefault="003328F9" w:rsidP="003328F9">
            <w:pPr>
              <w:spacing w:line="240" w:lineRule="auto"/>
              <w:ind w:left="74" w:right="74"/>
              <w:jc w:val="center"/>
              <w:rPr>
                <w:rFonts w:cs="Times New Roman"/>
                <w:szCs w:val="24"/>
              </w:rPr>
            </w:pPr>
          </w:p>
        </w:tc>
        <w:tc>
          <w:tcPr>
            <w:tcW w:w="1359" w:type="dxa"/>
            <w:tcBorders>
              <w:bottom w:val="single" w:sz="4" w:space="0" w:color="auto"/>
            </w:tcBorders>
            <w:vAlign w:val="center"/>
          </w:tcPr>
          <w:p w14:paraId="10A0A49D"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Kömür</w:t>
            </w:r>
          </w:p>
        </w:tc>
        <w:tc>
          <w:tcPr>
            <w:tcW w:w="1360" w:type="dxa"/>
            <w:tcBorders>
              <w:bottom w:val="single" w:sz="4" w:space="0" w:color="auto"/>
            </w:tcBorders>
            <w:vAlign w:val="center"/>
          </w:tcPr>
          <w:p w14:paraId="7DD7D061"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Linyit</w:t>
            </w:r>
          </w:p>
        </w:tc>
        <w:tc>
          <w:tcPr>
            <w:tcW w:w="1359" w:type="dxa"/>
            <w:tcBorders>
              <w:bottom w:val="single" w:sz="4" w:space="0" w:color="auto"/>
            </w:tcBorders>
            <w:vAlign w:val="center"/>
          </w:tcPr>
          <w:p w14:paraId="5B622607"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Kömür</w:t>
            </w:r>
          </w:p>
        </w:tc>
        <w:tc>
          <w:tcPr>
            <w:tcW w:w="1360" w:type="dxa"/>
            <w:tcBorders>
              <w:bottom w:val="single" w:sz="4" w:space="0" w:color="auto"/>
            </w:tcBorders>
            <w:vAlign w:val="center"/>
          </w:tcPr>
          <w:p w14:paraId="5F59C012"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Linyit</w:t>
            </w:r>
          </w:p>
        </w:tc>
      </w:tr>
      <w:tr w:rsidR="003328F9" w:rsidRPr="00DD0D1F" w14:paraId="7B839772" w14:textId="77777777" w:rsidTr="003328F9">
        <w:tc>
          <w:tcPr>
            <w:tcW w:w="3624" w:type="dxa"/>
            <w:vAlign w:val="center"/>
          </w:tcPr>
          <w:p w14:paraId="1F760EC4"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&lt;300</w:t>
            </w:r>
          </w:p>
        </w:tc>
        <w:tc>
          <w:tcPr>
            <w:tcW w:w="1359" w:type="dxa"/>
            <w:vAlign w:val="center"/>
          </w:tcPr>
          <w:p w14:paraId="0F213126"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&lt;1-3</w:t>
            </w:r>
          </w:p>
        </w:tc>
        <w:tc>
          <w:tcPr>
            <w:tcW w:w="1360" w:type="dxa"/>
            <w:vAlign w:val="center"/>
          </w:tcPr>
          <w:p w14:paraId="07673E46"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&lt;1-5</w:t>
            </w:r>
          </w:p>
        </w:tc>
        <w:tc>
          <w:tcPr>
            <w:tcW w:w="1359" w:type="dxa"/>
            <w:vAlign w:val="center"/>
          </w:tcPr>
          <w:p w14:paraId="1ECCB123"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&lt;1-9</w:t>
            </w:r>
          </w:p>
        </w:tc>
        <w:tc>
          <w:tcPr>
            <w:tcW w:w="1360" w:type="dxa"/>
            <w:vAlign w:val="center"/>
          </w:tcPr>
          <w:p w14:paraId="2DB45DEA"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&lt;1-10</w:t>
            </w:r>
          </w:p>
        </w:tc>
      </w:tr>
      <w:tr w:rsidR="003328F9" w:rsidRPr="00DD0D1F" w14:paraId="26E641B4" w14:textId="77777777" w:rsidTr="003328F9">
        <w:trPr>
          <w:trHeight w:val="160"/>
        </w:trPr>
        <w:tc>
          <w:tcPr>
            <w:tcW w:w="3624" w:type="dxa"/>
            <w:vAlign w:val="center"/>
          </w:tcPr>
          <w:p w14:paraId="0255EE86"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≥300</w:t>
            </w:r>
          </w:p>
        </w:tc>
        <w:tc>
          <w:tcPr>
            <w:tcW w:w="1359" w:type="dxa"/>
            <w:vAlign w:val="center"/>
          </w:tcPr>
          <w:p w14:paraId="35AC32C4"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&lt;1-2</w:t>
            </w:r>
          </w:p>
        </w:tc>
        <w:tc>
          <w:tcPr>
            <w:tcW w:w="1360" w:type="dxa"/>
            <w:vAlign w:val="center"/>
          </w:tcPr>
          <w:p w14:paraId="2A2469DD"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&lt;1-4</w:t>
            </w:r>
          </w:p>
        </w:tc>
        <w:tc>
          <w:tcPr>
            <w:tcW w:w="1359" w:type="dxa"/>
            <w:vAlign w:val="center"/>
          </w:tcPr>
          <w:p w14:paraId="51FE19E7"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&lt;1-4</w:t>
            </w:r>
          </w:p>
        </w:tc>
        <w:tc>
          <w:tcPr>
            <w:tcW w:w="1360" w:type="dxa"/>
            <w:vAlign w:val="center"/>
          </w:tcPr>
          <w:p w14:paraId="1C348BDC"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&lt;1-7</w:t>
            </w:r>
          </w:p>
        </w:tc>
      </w:tr>
    </w:tbl>
    <w:p w14:paraId="6A735481" w14:textId="0EC78B33" w:rsidR="003328F9" w:rsidRPr="00DD0D1F" w:rsidRDefault="003328F9" w:rsidP="00FF111D">
      <w:pPr>
        <w:pStyle w:val="Balk2"/>
        <w:numPr>
          <w:ilvl w:val="1"/>
          <w:numId w:val="73"/>
        </w:numPr>
        <w:rPr>
          <w:rFonts w:cs="Times New Roman"/>
          <w:szCs w:val="24"/>
        </w:rPr>
      </w:pPr>
      <w:bookmarkStart w:id="35" w:name="_Toc137367301"/>
      <w:r w:rsidRPr="00DD0D1F">
        <w:rPr>
          <w:rFonts w:cs="Times New Roman"/>
          <w:szCs w:val="24"/>
        </w:rPr>
        <w:t>Katı Biyokütle Ve/Veya Turbanın Yakılmasına İlişkin MET</w:t>
      </w:r>
      <w:bookmarkEnd w:id="35"/>
    </w:p>
    <w:p w14:paraId="657DC8F4" w14:textId="563F8EAA" w:rsidR="003328F9" w:rsidRPr="00DD0D1F" w:rsidRDefault="00A13BD5" w:rsidP="003328F9">
      <w:pPr>
        <w:spacing w:before="240"/>
        <w:rPr>
          <w:rFonts w:cs="Times New Roman"/>
          <w:szCs w:val="24"/>
          <w:lang w:val="nl-NL"/>
        </w:rPr>
      </w:pPr>
      <w:r>
        <w:rPr>
          <w:rFonts w:cs="Times New Roman"/>
          <w:szCs w:val="24"/>
        </w:rPr>
        <w:t>B</w:t>
      </w:r>
      <w:r w:rsidR="003328F9" w:rsidRPr="00DD0D1F">
        <w:rPr>
          <w:rFonts w:cs="Times New Roman"/>
          <w:szCs w:val="24"/>
        </w:rPr>
        <w:t xml:space="preserve">u bölümde sunulan MET sonuçları genel olarak katı biyokütle ve/veya turbanın yakılması ile ilgilidir. </w:t>
      </w:r>
      <w:r w:rsidR="003328F9" w:rsidRPr="00DD0D1F">
        <w:rPr>
          <w:rFonts w:cs="Times New Roman"/>
          <w:szCs w:val="24"/>
          <w:lang w:val="nl-NL"/>
        </w:rPr>
        <w:t>Bu MET sonuçları, Başlık  1’de belirtilen genel MET sonuçlarına ek olarak geçerlidir.</w:t>
      </w:r>
    </w:p>
    <w:p w14:paraId="25932EA8" w14:textId="77777777" w:rsidR="003328F9" w:rsidRPr="00DD0D1F" w:rsidRDefault="003328F9" w:rsidP="00FF111D">
      <w:pPr>
        <w:pStyle w:val="Balk3"/>
        <w:numPr>
          <w:ilvl w:val="2"/>
          <w:numId w:val="73"/>
        </w:numPr>
        <w:rPr>
          <w:rFonts w:cs="Times New Roman"/>
        </w:rPr>
      </w:pPr>
      <w:bookmarkStart w:id="36" w:name="_Toc137367302"/>
      <w:r w:rsidRPr="00DD0D1F">
        <w:rPr>
          <w:rFonts w:cs="Times New Roman"/>
        </w:rPr>
        <w:t>Enerji Verimliliği</w:t>
      </w:r>
      <w:bookmarkEnd w:id="36"/>
    </w:p>
    <w:p w14:paraId="1A7199BB" w14:textId="77777777" w:rsidR="003328F9" w:rsidRPr="00DD0D1F" w:rsidRDefault="003328F9" w:rsidP="003328F9">
      <w:pPr>
        <w:pStyle w:val="ResimYazs"/>
        <w:spacing w:before="240"/>
        <w:rPr>
          <w:rFonts w:cs="Times New Roman"/>
          <w:color w:val="auto"/>
          <w:szCs w:val="24"/>
          <w:lang w:val="fi-FI"/>
        </w:rPr>
      </w:pPr>
      <w:r w:rsidRPr="00DD0D1F">
        <w:rPr>
          <w:rFonts w:cs="Times New Roman"/>
          <w:color w:val="auto"/>
          <w:szCs w:val="24"/>
          <w:lang w:val="fi-FI"/>
        </w:rPr>
        <w:t>Katı biyokütle ve/veya turba yakılmasına yönelik MET ile ilişkili enerji verimliliği   seviyeleri (MET-İEVS’ler)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0"/>
        <w:gridCol w:w="1921"/>
        <w:gridCol w:w="1481"/>
        <w:gridCol w:w="1354"/>
        <w:gridCol w:w="1901"/>
      </w:tblGrid>
      <w:tr w:rsidR="003328F9" w:rsidRPr="00DD0D1F" w14:paraId="48E2A9B2" w14:textId="77777777" w:rsidTr="003328F9">
        <w:trPr>
          <w:trHeight w:val="47"/>
        </w:trPr>
        <w:tc>
          <w:tcPr>
            <w:tcW w:w="1333" w:type="pct"/>
            <w:vMerge w:val="restart"/>
            <w:vAlign w:val="center"/>
          </w:tcPr>
          <w:p w14:paraId="13236557" w14:textId="77777777" w:rsidR="003328F9" w:rsidRPr="00DD0D1F" w:rsidRDefault="003328F9" w:rsidP="003328F9">
            <w:pPr>
              <w:adjustRightInd w:val="0"/>
              <w:spacing w:line="240" w:lineRule="auto"/>
              <w:ind w:left="74" w:right="74"/>
              <w:jc w:val="center"/>
              <w:rPr>
                <w:rFonts w:cs="Times New Roman"/>
                <w:b/>
                <w:szCs w:val="24"/>
                <w:lang w:val="tr-TR"/>
              </w:rPr>
            </w:pPr>
            <w:bookmarkStart w:id="37" w:name="_Hlk135145924"/>
          </w:p>
          <w:p w14:paraId="4FF37C3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667" w:type="pct"/>
            <w:gridSpan w:val="4"/>
            <w:vAlign w:val="center"/>
          </w:tcPr>
          <w:p w14:paraId="4AF234D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0F44B57E" w14:textId="77777777" w:rsidTr="003328F9">
        <w:trPr>
          <w:trHeight w:val="47"/>
        </w:trPr>
        <w:tc>
          <w:tcPr>
            <w:tcW w:w="1333" w:type="pct"/>
            <w:vMerge/>
            <w:vAlign w:val="center"/>
          </w:tcPr>
          <w:p w14:paraId="3A95005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74" w:type="pct"/>
            <w:gridSpan w:val="2"/>
            <w:vAlign w:val="center"/>
          </w:tcPr>
          <w:p w14:paraId="013AA19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r w:rsidRPr="00DD0D1F">
              <w:rPr>
                <w:rFonts w:cs="Times New Roman"/>
                <w:szCs w:val="24"/>
                <w:lang w:val="tr-TR"/>
              </w:rPr>
              <w:t xml:space="preserve"> (</w:t>
            </w:r>
            <w:r w:rsidRPr="00DD0D1F">
              <w:rPr>
                <w:rFonts w:cs="Times New Roman"/>
                <w:szCs w:val="24"/>
                <w:vertAlign w:val="superscript"/>
                <w:lang w:val="tr-TR"/>
              </w:rPr>
              <w:t>3</w:t>
            </w:r>
            <w:r w:rsidRPr="00DD0D1F">
              <w:rPr>
                <w:rFonts w:cs="Times New Roman"/>
                <w:szCs w:val="24"/>
                <w:lang w:val="tr-TR"/>
              </w:rPr>
              <w:t>)</w:t>
            </w:r>
          </w:p>
        </w:tc>
        <w:tc>
          <w:tcPr>
            <w:tcW w:w="1793" w:type="pct"/>
            <w:gridSpan w:val="2"/>
            <w:vAlign w:val="center"/>
          </w:tcPr>
          <w:p w14:paraId="4155AFC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3328F9" w:rsidRPr="00DD0D1F" w14:paraId="62C2F384" w14:textId="77777777" w:rsidTr="003328F9">
        <w:trPr>
          <w:trHeight w:val="47"/>
        </w:trPr>
        <w:tc>
          <w:tcPr>
            <w:tcW w:w="1333" w:type="pct"/>
            <w:vMerge/>
            <w:vAlign w:val="center"/>
          </w:tcPr>
          <w:p w14:paraId="59F3660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58" w:type="pct"/>
            <w:vAlign w:val="center"/>
          </w:tcPr>
          <w:p w14:paraId="699F2BA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Yeni ünite </w:t>
            </w: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p>
        </w:tc>
        <w:tc>
          <w:tcPr>
            <w:tcW w:w="816" w:type="pct"/>
            <w:vAlign w:val="center"/>
          </w:tcPr>
          <w:p w14:paraId="1A59CC0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746" w:type="pct"/>
            <w:vAlign w:val="center"/>
          </w:tcPr>
          <w:p w14:paraId="01F605A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1047" w:type="pct"/>
            <w:vAlign w:val="center"/>
          </w:tcPr>
          <w:p w14:paraId="5642FBC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3602AD3A" w14:textId="77777777" w:rsidTr="003328F9">
        <w:trPr>
          <w:trHeight w:val="173"/>
        </w:trPr>
        <w:tc>
          <w:tcPr>
            <w:tcW w:w="1333" w:type="pct"/>
            <w:vAlign w:val="center"/>
          </w:tcPr>
          <w:p w14:paraId="6C04EC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Katı biyokütle ve/veya turba kazanı</w:t>
            </w:r>
          </w:p>
        </w:tc>
        <w:tc>
          <w:tcPr>
            <w:tcW w:w="1058" w:type="pct"/>
            <w:vAlign w:val="center"/>
          </w:tcPr>
          <w:p w14:paraId="13E1FFB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 ila &gt;38</w:t>
            </w:r>
          </w:p>
        </w:tc>
        <w:tc>
          <w:tcPr>
            <w:tcW w:w="816" w:type="pct"/>
            <w:vAlign w:val="center"/>
          </w:tcPr>
          <w:p w14:paraId="601C66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28-38</w:t>
            </w:r>
          </w:p>
        </w:tc>
        <w:tc>
          <w:tcPr>
            <w:tcW w:w="746" w:type="pct"/>
            <w:vAlign w:val="center"/>
          </w:tcPr>
          <w:p w14:paraId="3C98E83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73-99</w:t>
            </w:r>
          </w:p>
        </w:tc>
        <w:tc>
          <w:tcPr>
            <w:tcW w:w="1047" w:type="pct"/>
            <w:vAlign w:val="center"/>
          </w:tcPr>
          <w:p w14:paraId="5111E17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73-99</w:t>
            </w:r>
          </w:p>
        </w:tc>
      </w:tr>
      <w:tr w:rsidR="003328F9" w:rsidRPr="00DD0D1F" w14:paraId="749C25BC" w14:textId="77777777" w:rsidTr="003328F9">
        <w:trPr>
          <w:trHeight w:val="397"/>
        </w:trPr>
        <w:tc>
          <w:tcPr>
            <w:tcW w:w="5000" w:type="pct"/>
            <w:gridSpan w:val="5"/>
          </w:tcPr>
          <w:p w14:paraId="1FBC699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MET-İEVS'ler &lt;1500 saat/yıl işletilen üniteler için uygulanmaz.</w:t>
            </w:r>
          </w:p>
          <w:p w14:paraId="1A2C297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olam).</w:t>
            </w:r>
          </w:p>
          <w:p w14:paraId="2B407382" w14:textId="067F37C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Kullanılan soğutma sistemi tipi veya ünitenin coğrafi yerinden dolayı elde edilen enerji verimliliğinin negatif olarak etkilendiği durumlarda aralığın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karşılık gelebilir. (yüzde dört puana kadar).</w:t>
            </w:r>
          </w:p>
          <w:p w14:paraId="629C068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seviyeler, potansiyel ısı talebi çok düşükse elde edilemez.</w:t>
            </w:r>
          </w:p>
          <w:p w14:paraId="16B48EF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Bu MET-İEVS'ler sadece elektrik üreten tesislere uygulanmaz.</w:t>
            </w:r>
          </w:p>
          <w:p w14:paraId="27DD6C9A" w14:textId="67672C06"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Yüksek nemli biyokütle yakıtları yakan, anma ısıl gücü &lt;150 MW</w:t>
            </w:r>
            <w:r w:rsidRPr="00DD0D1F">
              <w:rPr>
                <w:rFonts w:cs="Times New Roman"/>
                <w:szCs w:val="24"/>
                <w:vertAlign w:val="subscript"/>
                <w:lang w:val="tr-TR"/>
              </w:rPr>
              <w:t>th</w:t>
            </w:r>
            <w:r w:rsidRPr="00DD0D1F">
              <w:rPr>
                <w:rFonts w:cs="Times New Roman"/>
                <w:szCs w:val="24"/>
                <w:lang w:val="tr-TR"/>
              </w:rPr>
              <w:t xml:space="preserve"> ünitelerde, aralığın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xml:space="preserve"> %32'ye kadar inebilir.</w:t>
            </w:r>
          </w:p>
        </w:tc>
      </w:tr>
    </w:tbl>
    <w:p w14:paraId="25609CAD" w14:textId="77777777" w:rsidR="003328F9" w:rsidRPr="00DD0D1F" w:rsidRDefault="003328F9" w:rsidP="00FF111D">
      <w:pPr>
        <w:pStyle w:val="Balk3"/>
        <w:numPr>
          <w:ilvl w:val="2"/>
          <w:numId w:val="73"/>
        </w:numPr>
        <w:rPr>
          <w:rFonts w:cs="Times New Roman"/>
        </w:rPr>
      </w:pPr>
      <w:bookmarkStart w:id="38" w:name="_Toc137367303"/>
      <w:bookmarkEnd w:id="37"/>
      <w:r w:rsidRPr="00DD0D1F">
        <w:rPr>
          <w:rFonts w:cs="Times New Roman"/>
        </w:rPr>
        <w:t>Havaya NO</w:t>
      </w:r>
      <w:r w:rsidRPr="00DD0D1F">
        <w:rPr>
          <w:rFonts w:cs="Times New Roman"/>
          <w:vertAlign w:val="subscript"/>
        </w:rPr>
        <w:t>X</w:t>
      </w:r>
      <w:r w:rsidRPr="00DD0D1F">
        <w:rPr>
          <w:rFonts w:cs="Times New Roman"/>
        </w:rPr>
        <w:t>, N</w:t>
      </w:r>
      <w:r w:rsidRPr="00DD0D1F">
        <w:rPr>
          <w:rFonts w:cs="Times New Roman"/>
          <w:vertAlign w:val="subscript"/>
        </w:rPr>
        <w:t>2</w:t>
      </w:r>
      <w:r w:rsidRPr="00DD0D1F">
        <w:rPr>
          <w:rFonts w:cs="Times New Roman"/>
        </w:rPr>
        <w:t>O ve CO Emisyonları</w:t>
      </w:r>
      <w:bookmarkEnd w:id="38"/>
    </w:p>
    <w:p w14:paraId="06676A99" w14:textId="54122C50" w:rsidR="003328F9" w:rsidRPr="00DD0D1F" w:rsidRDefault="003328F9" w:rsidP="003328F9">
      <w:pPr>
        <w:spacing w:before="240"/>
        <w:rPr>
          <w:rFonts w:cs="Times New Roman"/>
          <w:b/>
          <w:bCs/>
          <w:szCs w:val="24"/>
        </w:rPr>
      </w:pPr>
      <w:r w:rsidRPr="00DD0D1F">
        <w:rPr>
          <w:rFonts w:cs="Times New Roman"/>
          <w:b/>
          <w:bCs/>
          <w:szCs w:val="24"/>
        </w:rPr>
        <w:t xml:space="preserve">MET 24: </w:t>
      </w:r>
      <w:r w:rsidRPr="00DD0D1F">
        <w:rPr>
          <w:rFonts w:cs="Times New Roman"/>
          <w:bCs/>
          <w:szCs w:val="24"/>
        </w:rPr>
        <w:t>Katı biyokütle ve/veya turbanın yakılmasından kaynaklanan, havaya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azaltmak için, aşağıda verilen tekniklerin biri</w:t>
      </w:r>
      <w:r w:rsidR="003F53F5" w:rsidRPr="00DD0D1F">
        <w:rPr>
          <w:rFonts w:cs="Times New Roman"/>
          <w:bCs/>
          <w:szCs w:val="24"/>
        </w:rPr>
        <w:t xml:space="preserve"> veya bunların bir birleşimi kullanılır.</w:t>
      </w:r>
    </w:p>
    <w:tbl>
      <w:tblPr>
        <w:tblW w:w="5000" w:type="pct"/>
        <w:tblCellMar>
          <w:left w:w="40" w:type="dxa"/>
          <w:right w:w="40" w:type="dxa"/>
        </w:tblCellMar>
        <w:tblLook w:val="0000" w:firstRow="0" w:lastRow="0" w:firstColumn="0" w:lastColumn="0" w:noHBand="0" w:noVBand="0"/>
      </w:tblPr>
      <w:tblGrid>
        <w:gridCol w:w="349"/>
        <w:gridCol w:w="2545"/>
        <w:gridCol w:w="3001"/>
        <w:gridCol w:w="3182"/>
      </w:tblGrid>
      <w:tr w:rsidR="003328F9" w:rsidRPr="00DD0D1F" w14:paraId="5BD6280C" w14:textId="77777777" w:rsidTr="003328F9">
        <w:trPr>
          <w:trHeight w:val="365"/>
        </w:trPr>
        <w:tc>
          <w:tcPr>
            <w:tcW w:w="192" w:type="pct"/>
            <w:tcBorders>
              <w:top w:val="single" w:sz="4" w:space="0" w:color="auto"/>
              <w:left w:val="single" w:sz="4" w:space="0" w:color="auto"/>
              <w:bottom w:val="single" w:sz="6" w:space="0" w:color="auto"/>
              <w:right w:val="single" w:sz="4" w:space="0" w:color="auto"/>
            </w:tcBorders>
            <w:vAlign w:val="center"/>
          </w:tcPr>
          <w:p w14:paraId="4871299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402" w:type="pct"/>
            <w:tcBorders>
              <w:top w:val="single" w:sz="4" w:space="0" w:color="auto"/>
              <w:left w:val="single" w:sz="4" w:space="0" w:color="auto"/>
              <w:bottom w:val="single" w:sz="6" w:space="0" w:color="auto"/>
              <w:right w:val="single" w:sz="6" w:space="0" w:color="auto"/>
            </w:tcBorders>
            <w:vAlign w:val="center"/>
          </w:tcPr>
          <w:p w14:paraId="3854DCD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653" w:type="pct"/>
            <w:tcBorders>
              <w:top w:val="single" w:sz="4" w:space="0" w:color="auto"/>
              <w:left w:val="single" w:sz="6" w:space="0" w:color="auto"/>
              <w:bottom w:val="single" w:sz="6" w:space="0" w:color="auto"/>
              <w:right w:val="single" w:sz="6" w:space="0" w:color="auto"/>
            </w:tcBorders>
            <w:vAlign w:val="center"/>
          </w:tcPr>
          <w:p w14:paraId="2AAA232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53" w:type="pct"/>
            <w:tcBorders>
              <w:top w:val="single" w:sz="4" w:space="0" w:color="auto"/>
              <w:left w:val="single" w:sz="6" w:space="0" w:color="auto"/>
              <w:bottom w:val="single" w:sz="6" w:space="0" w:color="auto"/>
              <w:right w:val="single" w:sz="4" w:space="0" w:color="auto"/>
            </w:tcBorders>
            <w:vAlign w:val="center"/>
          </w:tcPr>
          <w:p w14:paraId="5C12E4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DC4D85D" w14:textId="77777777" w:rsidTr="003328F9">
        <w:trPr>
          <w:trHeight w:val="280"/>
        </w:trPr>
        <w:tc>
          <w:tcPr>
            <w:tcW w:w="192" w:type="pct"/>
            <w:tcBorders>
              <w:top w:val="single" w:sz="6" w:space="0" w:color="auto"/>
              <w:left w:val="single" w:sz="4" w:space="0" w:color="auto"/>
              <w:bottom w:val="single" w:sz="6" w:space="0" w:color="auto"/>
              <w:right w:val="single" w:sz="6" w:space="0" w:color="auto"/>
            </w:tcBorders>
            <w:vAlign w:val="center"/>
          </w:tcPr>
          <w:p w14:paraId="41CB2A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402" w:type="pct"/>
            <w:tcBorders>
              <w:top w:val="single" w:sz="6" w:space="0" w:color="auto"/>
              <w:left w:val="single" w:sz="6" w:space="0" w:color="auto"/>
              <w:bottom w:val="single" w:sz="6" w:space="0" w:color="auto"/>
              <w:right w:val="single" w:sz="6" w:space="0" w:color="auto"/>
            </w:tcBorders>
            <w:vAlign w:val="center"/>
          </w:tcPr>
          <w:p w14:paraId="2A33F2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653" w:type="pct"/>
            <w:vMerge w:val="restart"/>
            <w:tcBorders>
              <w:top w:val="single" w:sz="6" w:space="0" w:color="auto"/>
              <w:left w:val="single" w:sz="6" w:space="0" w:color="auto"/>
              <w:right w:val="single" w:sz="6" w:space="0" w:color="auto"/>
            </w:tcBorders>
            <w:vAlign w:val="center"/>
          </w:tcPr>
          <w:p w14:paraId="25DD72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753" w:type="pct"/>
            <w:vMerge w:val="restart"/>
            <w:tcBorders>
              <w:top w:val="single" w:sz="6" w:space="0" w:color="auto"/>
              <w:left w:val="single" w:sz="6" w:space="0" w:color="auto"/>
              <w:right w:val="single" w:sz="4" w:space="0" w:color="auto"/>
            </w:tcBorders>
            <w:vAlign w:val="center"/>
          </w:tcPr>
          <w:p w14:paraId="3B8F91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7DB46DB5" w14:textId="77777777" w:rsidTr="003328F9">
        <w:trPr>
          <w:trHeight w:val="271"/>
        </w:trPr>
        <w:tc>
          <w:tcPr>
            <w:tcW w:w="192" w:type="pct"/>
            <w:tcBorders>
              <w:top w:val="single" w:sz="6" w:space="0" w:color="auto"/>
              <w:left w:val="single" w:sz="4" w:space="0" w:color="auto"/>
              <w:bottom w:val="single" w:sz="6" w:space="0" w:color="auto"/>
              <w:right w:val="single" w:sz="6" w:space="0" w:color="auto"/>
            </w:tcBorders>
            <w:vAlign w:val="center"/>
          </w:tcPr>
          <w:p w14:paraId="53AD288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02" w:type="pct"/>
            <w:tcBorders>
              <w:top w:val="single" w:sz="6" w:space="0" w:color="auto"/>
              <w:left w:val="single" w:sz="6" w:space="0" w:color="auto"/>
              <w:bottom w:val="single" w:sz="6" w:space="0" w:color="auto"/>
              <w:right w:val="single" w:sz="6" w:space="0" w:color="auto"/>
            </w:tcBorders>
            <w:vAlign w:val="center"/>
          </w:tcPr>
          <w:p w14:paraId="34F874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653" w:type="pct"/>
            <w:vMerge/>
            <w:tcBorders>
              <w:left w:val="single" w:sz="6" w:space="0" w:color="auto"/>
              <w:right w:val="single" w:sz="6" w:space="0" w:color="auto"/>
            </w:tcBorders>
            <w:vAlign w:val="center"/>
          </w:tcPr>
          <w:p w14:paraId="3A8BA221"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right w:val="single" w:sz="4" w:space="0" w:color="auto"/>
            </w:tcBorders>
            <w:vAlign w:val="center"/>
          </w:tcPr>
          <w:p w14:paraId="19D78FCD"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93A1CBE" w14:textId="77777777" w:rsidTr="003328F9">
        <w:trPr>
          <w:trHeight w:val="164"/>
        </w:trPr>
        <w:tc>
          <w:tcPr>
            <w:tcW w:w="192" w:type="pct"/>
            <w:tcBorders>
              <w:top w:val="single" w:sz="6" w:space="0" w:color="auto"/>
              <w:left w:val="single" w:sz="4" w:space="0" w:color="auto"/>
              <w:bottom w:val="single" w:sz="6" w:space="0" w:color="auto"/>
              <w:right w:val="single" w:sz="6" w:space="0" w:color="auto"/>
            </w:tcBorders>
            <w:vAlign w:val="center"/>
          </w:tcPr>
          <w:p w14:paraId="0DE1A8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02" w:type="pct"/>
            <w:tcBorders>
              <w:top w:val="single" w:sz="6" w:space="0" w:color="auto"/>
              <w:left w:val="single" w:sz="6" w:space="0" w:color="auto"/>
              <w:bottom w:val="single" w:sz="6" w:space="0" w:color="auto"/>
              <w:right w:val="single" w:sz="6" w:space="0" w:color="auto"/>
            </w:tcBorders>
            <w:vAlign w:val="center"/>
          </w:tcPr>
          <w:p w14:paraId="2508FD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653" w:type="pct"/>
            <w:vMerge/>
            <w:tcBorders>
              <w:left w:val="single" w:sz="6" w:space="0" w:color="auto"/>
              <w:right w:val="single" w:sz="6" w:space="0" w:color="auto"/>
            </w:tcBorders>
            <w:vAlign w:val="center"/>
          </w:tcPr>
          <w:p w14:paraId="64E68629"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right w:val="single" w:sz="4" w:space="0" w:color="auto"/>
            </w:tcBorders>
            <w:vAlign w:val="center"/>
          </w:tcPr>
          <w:p w14:paraId="7AB5BDA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9E74982" w14:textId="77777777" w:rsidTr="003328F9">
        <w:trPr>
          <w:trHeight w:val="111"/>
        </w:trPr>
        <w:tc>
          <w:tcPr>
            <w:tcW w:w="192" w:type="pct"/>
            <w:tcBorders>
              <w:top w:val="single" w:sz="6" w:space="0" w:color="auto"/>
              <w:left w:val="single" w:sz="4" w:space="0" w:color="auto"/>
              <w:bottom w:val="single" w:sz="6" w:space="0" w:color="auto"/>
              <w:right w:val="single" w:sz="6" w:space="0" w:color="auto"/>
            </w:tcBorders>
            <w:vAlign w:val="center"/>
          </w:tcPr>
          <w:p w14:paraId="356D73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02" w:type="pct"/>
            <w:tcBorders>
              <w:top w:val="single" w:sz="6" w:space="0" w:color="auto"/>
              <w:left w:val="single" w:sz="6" w:space="0" w:color="auto"/>
              <w:bottom w:val="single" w:sz="6" w:space="0" w:color="auto"/>
              <w:right w:val="single" w:sz="6" w:space="0" w:color="auto"/>
            </w:tcBorders>
            <w:vAlign w:val="center"/>
          </w:tcPr>
          <w:p w14:paraId="42FF49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653" w:type="pct"/>
            <w:vMerge/>
            <w:tcBorders>
              <w:left w:val="single" w:sz="6" w:space="0" w:color="auto"/>
              <w:right w:val="single" w:sz="6" w:space="0" w:color="auto"/>
            </w:tcBorders>
            <w:vAlign w:val="center"/>
          </w:tcPr>
          <w:p w14:paraId="56A41993"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right w:val="single" w:sz="4" w:space="0" w:color="auto"/>
            </w:tcBorders>
            <w:vAlign w:val="center"/>
          </w:tcPr>
          <w:p w14:paraId="7075FFE8"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5026FCC" w14:textId="77777777" w:rsidTr="003328F9">
        <w:trPr>
          <w:trHeight w:val="58"/>
        </w:trPr>
        <w:tc>
          <w:tcPr>
            <w:tcW w:w="192" w:type="pct"/>
            <w:tcBorders>
              <w:top w:val="single" w:sz="6" w:space="0" w:color="auto"/>
              <w:left w:val="single" w:sz="4" w:space="0" w:color="auto"/>
              <w:bottom w:val="single" w:sz="6" w:space="0" w:color="auto"/>
              <w:right w:val="single" w:sz="6" w:space="0" w:color="auto"/>
            </w:tcBorders>
            <w:vAlign w:val="center"/>
          </w:tcPr>
          <w:p w14:paraId="38FC058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02" w:type="pct"/>
            <w:tcBorders>
              <w:top w:val="single" w:sz="6" w:space="0" w:color="auto"/>
              <w:left w:val="single" w:sz="6" w:space="0" w:color="auto"/>
              <w:bottom w:val="single" w:sz="6" w:space="0" w:color="auto"/>
              <w:right w:val="single" w:sz="6" w:space="0" w:color="auto"/>
            </w:tcBorders>
            <w:vAlign w:val="center"/>
          </w:tcPr>
          <w:p w14:paraId="376CC4EA" w14:textId="1D7EE35C"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tc>
        <w:tc>
          <w:tcPr>
            <w:tcW w:w="1653" w:type="pct"/>
            <w:vMerge/>
            <w:tcBorders>
              <w:left w:val="single" w:sz="6" w:space="0" w:color="auto"/>
              <w:bottom w:val="single" w:sz="6" w:space="0" w:color="auto"/>
              <w:right w:val="single" w:sz="6" w:space="0" w:color="auto"/>
            </w:tcBorders>
            <w:vAlign w:val="center"/>
          </w:tcPr>
          <w:p w14:paraId="62CB19AD"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bottom w:val="single" w:sz="6" w:space="0" w:color="auto"/>
              <w:right w:val="single" w:sz="4" w:space="0" w:color="auto"/>
            </w:tcBorders>
            <w:vAlign w:val="center"/>
          </w:tcPr>
          <w:p w14:paraId="24A4E56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95CA8D3" w14:textId="77777777" w:rsidTr="003328F9">
        <w:trPr>
          <w:trHeight w:val="986"/>
        </w:trPr>
        <w:tc>
          <w:tcPr>
            <w:tcW w:w="192" w:type="pct"/>
            <w:tcBorders>
              <w:top w:val="single" w:sz="6" w:space="0" w:color="auto"/>
              <w:left w:val="single" w:sz="4" w:space="0" w:color="auto"/>
              <w:bottom w:val="nil"/>
              <w:right w:val="single" w:sz="6" w:space="0" w:color="auto"/>
            </w:tcBorders>
            <w:vAlign w:val="center"/>
          </w:tcPr>
          <w:p w14:paraId="2987BF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02" w:type="pct"/>
            <w:tcBorders>
              <w:top w:val="single" w:sz="6" w:space="0" w:color="auto"/>
              <w:left w:val="single" w:sz="6" w:space="0" w:color="auto"/>
              <w:bottom w:val="nil"/>
              <w:right w:val="single" w:sz="6" w:space="0" w:color="auto"/>
            </w:tcBorders>
            <w:vAlign w:val="center"/>
          </w:tcPr>
          <w:p w14:paraId="57D7C06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653" w:type="pct"/>
            <w:tcBorders>
              <w:top w:val="single" w:sz="6" w:space="0" w:color="auto"/>
              <w:left w:val="single" w:sz="6" w:space="0" w:color="auto"/>
              <w:bottom w:val="nil"/>
              <w:right w:val="single" w:sz="6" w:space="0" w:color="auto"/>
            </w:tcBorders>
            <w:vAlign w:val="center"/>
          </w:tcPr>
          <w:p w14:paraId="0AFCD75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20DE90C8" w14:textId="77777777" w:rsidR="003328F9" w:rsidRPr="00DD0D1F" w:rsidRDefault="003328F9" w:rsidP="003328F9">
            <w:pPr>
              <w:adjustRightInd w:val="0"/>
              <w:spacing w:line="240" w:lineRule="auto"/>
              <w:ind w:left="74" w:right="74"/>
              <w:rPr>
                <w:rFonts w:cs="Times New Roman"/>
                <w:szCs w:val="24"/>
                <w:lang w:val="tr-TR"/>
              </w:rPr>
            </w:pPr>
          </w:p>
          <w:p w14:paraId="156510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'Kayma’ SCR sistemi ile birlikte uygulanabilir.</w:t>
            </w:r>
          </w:p>
        </w:tc>
        <w:tc>
          <w:tcPr>
            <w:tcW w:w="1753" w:type="pct"/>
            <w:tcBorders>
              <w:top w:val="single" w:sz="6" w:space="0" w:color="auto"/>
              <w:left w:val="single" w:sz="6" w:space="0" w:color="auto"/>
              <w:bottom w:val="nil"/>
              <w:right w:val="single" w:sz="4" w:space="0" w:color="auto"/>
            </w:tcBorders>
            <w:vAlign w:val="center"/>
          </w:tcPr>
          <w:p w14:paraId="613752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&lt;500 saat/yıl çalıştırılan yakma tesislerine uygulanmaz.</w:t>
            </w:r>
          </w:p>
          <w:p w14:paraId="22721F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500 saat/yıl ila &lt;1500 saat/yıl çalıştırılan yakma tesislerinde uygulanabilirliği sınırlıdır.</w:t>
            </w:r>
          </w:p>
          <w:p w14:paraId="0F3BEF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Enjekte edilen reaktanlar için gerekli sıcaklık aralığı ve kalış süresiyle ilişkili kısıtlamalardan dolayı mevcut yakma tesislerinde uygulanabilirliği sınırlıdır.</w:t>
            </w:r>
          </w:p>
        </w:tc>
      </w:tr>
      <w:tr w:rsidR="003328F9" w:rsidRPr="00DD0D1F" w14:paraId="628636A8" w14:textId="77777777" w:rsidTr="003328F9">
        <w:trPr>
          <w:trHeight w:val="725"/>
        </w:trPr>
        <w:tc>
          <w:tcPr>
            <w:tcW w:w="192" w:type="pct"/>
            <w:tcBorders>
              <w:top w:val="single" w:sz="6" w:space="0" w:color="auto"/>
              <w:left w:val="single" w:sz="4" w:space="0" w:color="auto"/>
              <w:bottom w:val="single" w:sz="4" w:space="0" w:color="auto"/>
              <w:right w:val="single" w:sz="6" w:space="0" w:color="auto"/>
            </w:tcBorders>
            <w:vAlign w:val="center"/>
          </w:tcPr>
          <w:p w14:paraId="42C56F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02" w:type="pct"/>
            <w:tcBorders>
              <w:top w:val="single" w:sz="6" w:space="0" w:color="auto"/>
              <w:left w:val="single" w:sz="6" w:space="0" w:color="auto"/>
              <w:bottom w:val="single" w:sz="4" w:space="0" w:color="auto"/>
              <w:right w:val="single" w:sz="6" w:space="0" w:color="auto"/>
            </w:tcBorders>
            <w:vAlign w:val="center"/>
          </w:tcPr>
          <w:p w14:paraId="2B41719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653" w:type="pct"/>
            <w:tcBorders>
              <w:top w:val="single" w:sz="6" w:space="0" w:color="auto"/>
              <w:left w:val="single" w:sz="6" w:space="0" w:color="auto"/>
              <w:bottom w:val="single" w:sz="4" w:space="0" w:color="auto"/>
              <w:right w:val="single" w:sz="6" w:space="0" w:color="auto"/>
            </w:tcBorders>
            <w:vAlign w:val="center"/>
          </w:tcPr>
          <w:p w14:paraId="08AF154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3FD02ED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alkali içerikli yakıtların kullanımı (örneğin saman) SCR'nin, toz azaltma sisteminin çıkışında kurulmasını gerektirebilir</w:t>
            </w:r>
          </w:p>
        </w:tc>
        <w:tc>
          <w:tcPr>
            <w:tcW w:w="1753" w:type="pct"/>
            <w:tcBorders>
              <w:top w:val="single" w:sz="6" w:space="0" w:color="auto"/>
              <w:left w:val="single" w:sz="6" w:space="0" w:color="auto"/>
              <w:bottom w:val="single" w:sz="4" w:space="0" w:color="auto"/>
              <w:right w:val="single" w:sz="4" w:space="0" w:color="auto"/>
            </w:tcBorders>
            <w:vAlign w:val="center"/>
          </w:tcPr>
          <w:p w14:paraId="30A0E29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7218C7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 xml:space="preserve">th </w:t>
            </w:r>
            <w:r w:rsidRPr="00DD0D1F">
              <w:rPr>
                <w:rFonts w:cs="Times New Roman"/>
                <w:szCs w:val="24"/>
                <w:lang w:val="tr-TR"/>
              </w:rPr>
              <w:t>olan yakma tesislerinin iyileştirilmesi için ekonomik kısıtlamalar bulunabilir.</w:t>
            </w:r>
          </w:p>
          <w:p w14:paraId="4D161090"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mevcut yakma tesislerine uygulanmaz.</w:t>
            </w:r>
          </w:p>
        </w:tc>
      </w:tr>
    </w:tbl>
    <w:p w14:paraId="51EBBCC6" w14:textId="77777777" w:rsidR="003328F9" w:rsidRPr="00DD0D1F" w:rsidRDefault="003328F9" w:rsidP="003328F9">
      <w:pPr>
        <w:spacing w:before="240"/>
        <w:rPr>
          <w:rFonts w:cs="Times New Roman"/>
          <w:b/>
          <w:szCs w:val="24"/>
          <w:lang w:val="tr-TR"/>
        </w:rPr>
      </w:pPr>
    </w:p>
    <w:p w14:paraId="5BB5C76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Katı biyokütle ve/veya turbanın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002"/>
        <w:gridCol w:w="1554"/>
        <w:gridCol w:w="1001"/>
        <w:gridCol w:w="1212"/>
        <w:gridCol w:w="1082"/>
        <w:gridCol w:w="2226"/>
      </w:tblGrid>
      <w:tr w:rsidR="00EB7491" w:rsidRPr="00DD0D1F" w14:paraId="06D80078" w14:textId="6431F178" w:rsidTr="00563E96">
        <w:trPr>
          <w:trHeight w:val="51"/>
        </w:trPr>
        <w:tc>
          <w:tcPr>
            <w:tcW w:w="1111" w:type="pct"/>
            <w:tcBorders>
              <w:top w:val="single" w:sz="4" w:space="0" w:color="auto"/>
              <w:left w:val="single" w:sz="4" w:space="0" w:color="auto"/>
              <w:bottom w:val="nil"/>
              <w:right w:val="single" w:sz="6" w:space="0" w:color="auto"/>
            </w:tcBorders>
            <w:vAlign w:val="center"/>
          </w:tcPr>
          <w:p w14:paraId="67B09615"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655" w:type="pct"/>
            <w:gridSpan w:val="4"/>
            <w:tcBorders>
              <w:top w:val="single" w:sz="4" w:space="0" w:color="auto"/>
              <w:left w:val="single" w:sz="6" w:space="0" w:color="auto"/>
              <w:bottom w:val="single" w:sz="6" w:space="0" w:color="auto"/>
              <w:right w:val="single" w:sz="4" w:space="0" w:color="auto"/>
            </w:tcBorders>
            <w:vAlign w:val="center"/>
          </w:tcPr>
          <w:p w14:paraId="7C7A9CA2"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c>
          <w:tcPr>
            <w:tcW w:w="1234" w:type="pct"/>
            <w:tcBorders>
              <w:top w:val="single" w:sz="4" w:space="0" w:color="auto"/>
              <w:left w:val="single" w:sz="6" w:space="0" w:color="auto"/>
              <w:bottom w:val="single" w:sz="6" w:space="0" w:color="auto"/>
              <w:right w:val="single" w:sz="4" w:space="0" w:color="auto"/>
            </w:tcBorders>
          </w:tcPr>
          <w:p w14:paraId="6B09819A" w14:textId="77777777" w:rsidR="00563E96" w:rsidRPr="00DD0D1F" w:rsidRDefault="00563E96" w:rsidP="003328F9">
            <w:pPr>
              <w:adjustRightInd w:val="0"/>
              <w:spacing w:line="240" w:lineRule="auto"/>
              <w:ind w:left="74" w:right="74"/>
              <w:jc w:val="center"/>
              <w:rPr>
                <w:rFonts w:cs="Times New Roman"/>
                <w:b/>
                <w:szCs w:val="24"/>
                <w:lang w:val="tr-TR"/>
              </w:rPr>
            </w:pPr>
          </w:p>
        </w:tc>
      </w:tr>
      <w:tr w:rsidR="00EB7491" w:rsidRPr="00DD0D1F" w14:paraId="380CB7F5" w14:textId="66BDD832" w:rsidTr="00563E96">
        <w:trPr>
          <w:trHeight w:val="51"/>
        </w:trPr>
        <w:tc>
          <w:tcPr>
            <w:tcW w:w="1111" w:type="pct"/>
            <w:tcBorders>
              <w:top w:val="nil"/>
              <w:left w:val="single" w:sz="4" w:space="0" w:color="auto"/>
              <w:bottom w:val="nil"/>
              <w:right w:val="single" w:sz="6" w:space="0" w:color="auto"/>
            </w:tcBorders>
            <w:vAlign w:val="center"/>
          </w:tcPr>
          <w:p w14:paraId="2796BAC3" w14:textId="77777777" w:rsidR="00563E96" w:rsidRPr="00DD0D1F" w:rsidRDefault="00563E96" w:rsidP="003328F9">
            <w:pPr>
              <w:adjustRightInd w:val="0"/>
              <w:spacing w:line="240" w:lineRule="auto"/>
              <w:ind w:right="74"/>
              <w:rPr>
                <w:rFonts w:cs="Times New Roman"/>
                <w:b/>
                <w:szCs w:val="24"/>
                <w:lang w:val="tr-TR"/>
              </w:rPr>
            </w:pPr>
          </w:p>
        </w:tc>
        <w:tc>
          <w:tcPr>
            <w:tcW w:w="1420" w:type="pct"/>
            <w:gridSpan w:val="2"/>
            <w:tcBorders>
              <w:top w:val="single" w:sz="6" w:space="0" w:color="auto"/>
              <w:left w:val="single" w:sz="6" w:space="0" w:color="auto"/>
              <w:bottom w:val="single" w:sz="6" w:space="0" w:color="auto"/>
              <w:right w:val="single" w:sz="6" w:space="0" w:color="auto"/>
            </w:tcBorders>
            <w:vAlign w:val="center"/>
          </w:tcPr>
          <w:p w14:paraId="5C878309"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2469" w:type="pct"/>
            <w:gridSpan w:val="3"/>
            <w:tcBorders>
              <w:top w:val="single" w:sz="6" w:space="0" w:color="auto"/>
              <w:left w:val="single" w:sz="6" w:space="0" w:color="auto"/>
              <w:bottom w:val="single" w:sz="6" w:space="0" w:color="auto"/>
              <w:right w:val="single" w:sz="4" w:space="0" w:color="auto"/>
            </w:tcBorders>
            <w:vAlign w:val="center"/>
          </w:tcPr>
          <w:p w14:paraId="2EA52EDA"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1C1BDBB2" w14:textId="12033FE8"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74ECA499" w14:textId="73C7F3DC" w:rsidTr="00563E96">
        <w:trPr>
          <w:trHeight w:val="51"/>
        </w:trPr>
        <w:tc>
          <w:tcPr>
            <w:tcW w:w="1111" w:type="pct"/>
            <w:tcBorders>
              <w:top w:val="nil"/>
              <w:left w:val="single" w:sz="4" w:space="0" w:color="auto"/>
              <w:bottom w:val="single" w:sz="6" w:space="0" w:color="auto"/>
              <w:right w:val="single" w:sz="6" w:space="0" w:color="auto"/>
            </w:tcBorders>
            <w:vAlign w:val="center"/>
          </w:tcPr>
          <w:p w14:paraId="5AFA0626" w14:textId="77777777" w:rsidR="00563E96" w:rsidRPr="00DD0D1F" w:rsidRDefault="00563E96" w:rsidP="003328F9">
            <w:pPr>
              <w:adjustRightInd w:val="0"/>
              <w:spacing w:line="240" w:lineRule="auto"/>
              <w:ind w:left="74" w:right="74"/>
              <w:jc w:val="center"/>
              <w:rPr>
                <w:rFonts w:cs="Times New Roman"/>
                <w:b/>
                <w:szCs w:val="24"/>
                <w:lang w:val="tr-TR"/>
              </w:rPr>
            </w:pPr>
          </w:p>
          <w:p w14:paraId="44CAB8F8"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864" w:type="pct"/>
            <w:tcBorders>
              <w:top w:val="single" w:sz="6" w:space="0" w:color="auto"/>
              <w:left w:val="single" w:sz="6" w:space="0" w:color="auto"/>
              <w:bottom w:val="single" w:sz="6" w:space="0" w:color="auto"/>
              <w:right w:val="single" w:sz="6" w:space="0" w:color="auto"/>
            </w:tcBorders>
            <w:vAlign w:val="center"/>
          </w:tcPr>
          <w:p w14:paraId="3026E1C7"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56" w:type="pct"/>
            <w:tcBorders>
              <w:top w:val="single" w:sz="6" w:space="0" w:color="auto"/>
              <w:left w:val="single" w:sz="6" w:space="0" w:color="auto"/>
              <w:bottom w:val="single" w:sz="6" w:space="0" w:color="auto"/>
              <w:right w:val="single" w:sz="6" w:space="0" w:color="auto"/>
            </w:tcBorders>
            <w:vAlign w:val="center"/>
          </w:tcPr>
          <w:p w14:paraId="5EB06768"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679" w:type="pct"/>
            <w:tcBorders>
              <w:top w:val="single" w:sz="6" w:space="0" w:color="auto"/>
              <w:left w:val="single" w:sz="6" w:space="0" w:color="auto"/>
              <w:bottom w:val="single" w:sz="6" w:space="0" w:color="auto"/>
              <w:right w:val="single" w:sz="6" w:space="0" w:color="auto"/>
            </w:tcBorders>
            <w:vAlign w:val="center"/>
          </w:tcPr>
          <w:p w14:paraId="307BF200"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56" w:type="pct"/>
            <w:tcBorders>
              <w:top w:val="single" w:sz="6" w:space="0" w:color="auto"/>
              <w:left w:val="single" w:sz="6" w:space="0" w:color="auto"/>
              <w:bottom w:val="single" w:sz="6" w:space="0" w:color="auto"/>
              <w:right w:val="single" w:sz="4" w:space="0" w:color="auto"/>
            </w:tcBorders>
            <w:vAlign w:val="center"/>
          </w:tcPr>
          <w:p w14:paraId="1DFFAF16" w14:textId="50B16AF9"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1234" w:type="pct"/>
            <w:tcBorders>
              <w:top w:val="single" w:sz="6" w:space="0" w:color="auto"/>
              <w:left w:val="single" w:sz="6" w:space="0" w:color="auto"/>
              <w:bottom w:val="single" w:sz="6" w:space="0" w:color="auto"/>
              <w:right w:val="single" w:sz="4" w:space="0" w:color="auto"/>
            </w:tcBorders>
          </w:tcPr>
          <w:p w14:paraId="697D0A61"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1FF2CE8A" w14:textId="77777777" w:rsidR="00563E96" w:rsidRPr="00DD0D1F" w:rsidRDefault="00563E96" w:rsidP="003328F9">
            <w:pPr>
              <w:adjustRightInd w:val="0"/>
              <w:spacing w:line="240" w:lineRule="auto"/>
              <w:ind w:left="74" w:right="74"/>
              <w:jc w:val="center"/>
              <w:rPr>
                <w:rFonts w:cs="Times New Roman"/>
                <w:b/>
                <w:szCs w:val="24"/>
                <w:lang w:val="tr-TR"/>
              </w:rPr>
            </w:pPr>
          </w:p>
          <w:p w14:paraId="58E3219A" w14:textId="796BF367" w:rsidR="00563E96"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FE47B57" w14:textId="1C8CF354" w:rsidTr="00563E96">
        <w:trPr>
          <w:trHeight w:val="51"/>
        </w:trPr>
        <w:tc>
          <w:tcPr>
            <w:tcW w:w="1111" w:type="pct"/>
            <w:tcBorders>
              <w:top w:val="single" w:sz="6" w:space="0" w:color="auto"/>
              <w:left w:val="single" w:sz="4" w:space="0" w:color="auto"/>
              <w:bottom w:val="single" w:sz="6" w:space="0" w:color="auto"/>
              <w:right w:val="single" w:sz="6" w:space="0" w:color="auto"/>
            </w:tcBorders>
            <w:vAlign w:val="center"/>
          </w:tcPr>
          <w:p w14:paraId="357377F8" w14:textId="77777777" w:rsidR="00563E96" w:rsidRPr="00DD0D1F" w:rsidRDefault="00563E96" w:rsidP="003328F9">
            <w:pPr>
              <w:adjustRightInd w:val="0"/>
              <w:spacing w:line="240" w:lineRule="auto"/>
              <w:ind w:left="74" w:right="74"/>
              <w:rPr>
                <w:rFonts w:cs="Times New Roman"/>
                <w:szCs w:val="24"/>
                <w:lang w:val="tr-TR"/>
              </w:rPr>
            </w:pPr>
            <w:r w:rsidRPr="00DD0D1F">
              <w:rPr>
                <w:rFonts w:cs="Times New Roman"/>
                <w:szCs w:val="24"/>
                <w:lang w:val="tr-TR"/>
              </w:rPr>
              <w:t>50-100</w:t>
            </w:r>
          </w:p>
        </w:tc>
        <w:tc>
          <w:tcPr>
            <w:tcW w:w="864" w:type="pct"/>
            <w:tcBorders>
              <w:top w:val="single" w:sz="6" w:space="0" w:color="auto"/>
              <w:left w:val="single" w:sz="6" w:space="0" w:color="auto"/>
              <w:bottom w:val="single" w:sz="6" w:space="0" w:color="auto"/>
              <w:right w:val="single" w:sz="6" w:space="0" w:color="auto"/>
            </w:tcBorders>
            <w:vAlign w:val="center"/>
          </w:tcPr>
          <w:p w14:paraId="29CE3EA2"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70-150 (</w:t>
            </w:r>
            <w:r w:rsidRPr="00DD0D1F">
              <w:rPr>
                <w:rFonts w:cs="Times New Roman"/>
                <w:szCs w:val="24"/>
                <w:vertAlign w:val="superscript"/>
                <w:lang w:val="tr-TR"/>
              </w:rPr>
              <w:t>3</w:t>
            </w:r>
            <w:r w:rsidRPr="00DD0D1F">
              <w:rPr>
                <w:rFonts w:cs="Times New Roman"/>
                <w:szCs w:val="24"/>
                <w:lang w:val="tr-TR"/>
              </w:rPr>
              <w:t>)</w:t>
            </w:r>
          </w:p>
        </w:tc>
        <w:tc>
          <w:tcPr>
            <w:tcW w:w="556" w:type="pct"/>
            <w:tcBorders>
              <w:top w:val="single" w:sz="6" w:space="0" w:color="auto"/>
              <w:left w:val="single" w:sz="6" w:space="0" w:color="auto"/>
              <w:bottom w:val="single" w:sz="6" w:space="0" w:color="auto"/>
              <w:right w:val="single" w:sz="6" w:space="0" w:color="auto"/>
            </w:tcBorders>
            <w:vAlign w:val="center"/>
          </w:tcPr>
          <w:p w14:paraId="6845A903"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70-225 (</w:t>
            </w:r>
            <w:r w:rsidRPr="00DD0D1F">
              <w:rPr>
                <w:rFonts w:cs="Times New Roman"/>
                <w:szCs w:val="24"/>
                <w:vertAlign w:val="superscript"/>
                <w:lang w:val="tr-TR"/>
              </w:rPr>
              <w:t>4</w:t>
            </w:r>
            <w:r w:rsidRPr="00DD0D1F">
              <w:rPr>
                <w:rFonts w:cs="Times New Roman"/>
                <w:szCs w:val="24"/>
                <w:lang w:val="tr-TR"/>
              </w:rPr>
              <w:t>)</w:t>
            </w:r>
          </w:p>
        </w:tc>
        <w:tc>
          <w:tcPr>
            <w:tcW w:w="679" w:type="pct"/>
            <w:tcBorders>
              <w:top w:val="single" w:sz="6" w:space="0" w:color="auto"/>
              <w:left w:val="single" w:sz="6" w:space="0" w:color="auto"/>
              <w:bottom w:val="single" w:sz="6" w:space="0" w:color="auto"/>
              <w:right w:val="single" w:sz="6" w:space="0" w:color="auto"/>
            </w:tcBorders>
            <w:vAlign w:val="center"/>
          </w:tcPr>
          <w:p w14:paraId="5371C1F6"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120-200 (</w:t>
            </w:r>
            <w:r w:rsidRPr="00DD0D1F">
              <w:rPr>
                <w:rFonts w:cs="Times New Roman"/>
                <w:szCs w:val="24"/>
                <w:vertAlign w:val="superscript"/>
                <w:lang w:val="tr-TR"/>
              </w:rPr>
              <w:t>5</w:t>
            </w:r>
            <w:r w:rsidRPr="00DD0D1F">
              <w:rPr>
                <w:rFonts w:cs="Times New Roman"/>
                <w:szCs w:val="24"/>
                <w:lang w:val="tr-TR"/>
              </w:rPr>
              <w:t>)</w:t>
            </w:r>
          </w:p>
        </w:tc>
        <w:tc>
          <w:tcPr>
            <w:tcW w:w="556" w:type="pct"/>
            <w:tcBorders>
              <w:top w:val="single" w:sz="6" w:space="0" w:color="auto"/>
              <w:left w:val="single" w:sz="6" w:space="0" w:color="auto"/>
              <w:bottom w:val="single" w:sz="6" w:space="0" w:color="auto"/>
              <w:right w:val="single" w:sz="4" w:space="0" w:color="auto"/>
            </w:tcBorders>
            <w:vAlign w:val="center"/>
          </w:tcPr>
          <w:p w14:paraId="4E2AED75"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120-275 (</w:t>
            </w:r>
            <w:r w:rsidRPr="00DD0D1F">
              <w:rPr>
                <w:rFonts w:cs="Times New Roman"/>
                <w:szCs w:val="24"/>
                <w:vertAlign w:val="superscript"/>
                <w:lang w:val="tr-TR"/>
              </w:rPr>
              <w:t>6</w:t>
            </w:r>
            <w:r w:rsidRPr="00DD0D1F">
              <w:rPr>
                <w:rFonts w:cs="Times New Roman"/>
                <w:szCs w:val="24"/>
                <w:lang w:val="tr-TR"/>
              </w:rPr>
              <w:t>)</w:t>
            </w:r>
          </w:p>
        </w:tc>
        <w:tc>
          <w:tcPr>
            <w:tcW w:w="1234" w:type="pct"/>
            <w:tcBorders>
              <w:top w:val="single" w:sz="6" w:space="0" w:color="auto"/>
              <w:left w:val="single" w:sz="6" w:space="0" w:color="auto"/>
              <w:bottom w:val="single" w:sz="6" w:space="0" w:color="auto"/>
              <w:right w:val="single" w:sz="4" w:space="0" w:color="auto"/>
            </w:tcBorders>
          </w:tcPr>
          <w:p w14:paraId="665FA3F2" w14:textId="56E73E3D"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r>
      <w:tr w:rsidR="00EB7491" w:rsidRPr="00DD0D1F" w14:paraId="621573B5" w14:textId="7E217139" w:rsidTr="00563E96">
        <w:trPr>
          <w:trHeight w:val="51"/>
        </w:trPr>
        <w:tc>
          <w:tcPr>
            <w:tcW w:w="1111" w:type="pct"/>
            <w:tcBorders>
              <w:top w:val="single" w:sz="6" w:space="0" w:color="auto"/>
              <w:left w:val="single" w:sz="4" w:space="0" w:color="auto"/>
              <w:bottom w:val="single" w:sz="6" w:space="0" w:color="auto"/>
              <w:right w:val="single" w:sz="6" w:space="0" w:color="auto"/>
            </w:tcBorders>
            <w:vAlign w:val="center"/>
          </w:tcPr>
          <w:p w14:paraId="5B5CB0A4" w14:textId="77777777" w:rsidR="00563E96" w:rsidRPr="00DD0D1F" w:rsidRDefault="00563E96" w:rsidP="003328F9">
            <w:pPr>
              <w:adjustRightInd w:val="0"/>
              <w:spacing w:line="240" w:lineRule="auto"/>
              <w:ind w:left="74" w:right="74"/>
              <w:rPr>
                <w:rFonts w:cs="Times New Roman"/>
                <w:szCs w:val="24"/>
                <w:lang w:val="tr-TR"/>
              </w:rPr>
            </w:pPr>
            <w:r w:rsidRPr="00DD0D1F">
              <w:rPr>
                <w:rFonts w:cs="Times New Roman"/>
                <w:szCs w:val="24"/>
                <w:lang w:val="tr-TR"/>
              </w:rPr>
              <w:t>100-300</w:t>
            </w:r>
          </w:p>
        </w:tc>
        <w:tc>
          <w:tcPr>
            <w:tcW w:w="864" w:type="pct"/>
            <w:tcBorders>
              <w:top w:val="single" w:sz="6" w:space="0" w:color="auto"/>
              <w:left w:val="single" w:sz="6" w:space="0" w:color="auto"/>
              <w:bottom w:val="single" w:sz="6" w:space="0" w:color="auto"/>
              <w:right w:val="single" w:sz="6" w:space="0" w:color="auto"/>
            </w:tcBorders>
            <w:vAlign w:val="center"/>
          </w:tcPr>
          <w:p w14:paraId="0DF15CF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50-140</w:t>
            </w:r>
          </w:p>
        </w:tc>
        <w:tc>
          <w:tcPr>
            <w:tcW w:w="556" w:type="pct"/>
            <w:tcBorders>
              <w:top w:val="single" w:sz="6" w:space="0" w:color="auto"/>
              <w:left w:val="single" w:sz="6" w:space="0" w:color="auto"/>
              <w:bottom w:val="single" w:sz="6" w:space="0" w:color="auto"/>
              <w:right w:val="single" w:sz="6" w:space="0" w:color="auto"/>
            </w:tcBorders>
            <w:vAlign w:val="center"/>
          </w:tcPr>
          <w:p w14:paraId="7F886451"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50-180</w:t>
            </w:r>
          </w:p>
        </w:tc>
        <w:tc>
          <w:tcPr>
            <w:tcW w:w="679" w:type="pct"/>
            <w:tcBorders>
              <w:top w:val="single" w:sz="6" w:space="0" w:color="auto"/>
              <w:left w:val="single" w:sz="6" w:space="0" w:color="auto"/>
              <w:bottom w:val="single" w:sz="6" w:space="0" w:color="auto"/>
              <w:right w:val="single" w:sz="6" w:space="0" w:color="auto"/>
            </w:tcBorders>
            <w:vAlign w:val="center"/>
          </w:tcPr>
          <w:p w14:paraId="2E7D698B"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100-200</w:t>
            </w:r>
          </w:p>
        </w:tc>
        <w:tc>
          <w:tcPr>
            <w:tcW w:w="556" w:type="pct"/>
            <w:tcBorders>
              <w:top w:val="single" w:sz="6" w:space="0" w:color="auto"/>
              <w:left w:val="single" w:sz="6" w:space="0" w:color="auto"/>
              <w:bottom w:val="single" w:sz="6" w:space="0" w:color="auto"/>
              <w:right w:val="single" w:sz="4" w:space="0" w:color="auto"/>
            </w:tcBorders>
            <w:vAlign w:val="center"/>
          </w:tcPr>
          <w:p w14:paraId="1C46C58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100-220</w:t>
            </w:r>
          </w:p>
        </w:tc>
        <w:tc>
          <w:tcPr>
            <w:tcW w:w="1234" w:type="pct"/>
            <w:tcBorders>
              <w:top w:val="single" w:sz="6" w:space="0" w:color="auto"/>
              <w:left w:val="single" w:sz="6" w:space="0" w:color="auto"/>
              <w:bottom w:val="single" w:sz="6" w:space="0" w:color="auto"/>
              <w:right w:val="single" w:sz="4" w:space="0" w:color="auto"/>
            </w:tcBorders>
          </w:tcPr>
          <w:p w14:paraId="640190A4" w14:textId="2217225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250</w:t>
            </w:r>
          </w:p>
        </w:tc>
      </w:tr>
      <w:tr w:rsidR="00EB7491" w:rsidRPr="00DD0D1F" w14:paraId="04B2C3B0" w14:textId="2B16C403" w:rsidTr="00563E96">
        <w:trPr>
          <w:trHeight w:val="51"/>
        </w:trPr>
        <w:tc>
          <w:tcPr>
            <w:tcW w:w="1111" w:type="pct"/>
            <w:tcBorders>
              <w:top w:val="single" w:sz="6" w:space="0" w:color="auto"/>
              <w:left w:val="single" w:sz="4" w:space="0" w:color="auto"/>
              <w:bottom w:val="single" w:sz="6" w:space="0" w:color="auto"/>
              <w:right w:val="single" w:sz="6" w:space="0" w:color="auto"/>
            </w:tcBorders>
            <w:vAlign w:val="center"/>
          </w:tcPr>
          <w:p w14:paraId="6C04DD83" w14:textId="77777777" w:rsidR="00563E96" w:rsidRPr="00DD0D1F" w:rsidRDefault="00563E96" w:rsidP="003328F9">
            <w:pPr>
              <w:adjustRightInd w:val="0"/>
              <w:spacing w:line="240" w:lineRule="auto"/>
              <w:ind w:left="74" w:right="74"/>
              <w:rPr>
                <w:rFonts w:cs="Times New Roman"/>
                <w:szCs w:val="24"/>
                <w:lang w:val="tr-TR"/>
              </w:rPr>
            </w:pPr>
            <w:r w:rsidRPr="00DD0D1F">
              <w:rPr>
                <w:rFonts w:cs="Times New Roman"/>
                <w:szCs w:val="24"/>
                <w:lang w:val="tr-TR"/>
              </w:rPr>
              <w:t>≥300</w:t>
            </w:r>
          </w:p>
        </w:tc>
        <w:tc>
          <w:tcPr>
            <w:tcW w:w="864" w:type="pct"/>
            <w:tcBorders>
              <w:top w:val="single" w:sz="6" w:space="0" w:color="auto"/>
              <w:left w:val="single" w:sz="6" w:space="0" w:color="auto"/>
              <w:bottom w:val="single" w:sz="6" w:space="0" w:color="auto"/>
              <w:right w:val="single" w:sz="6" w:space="0" w:color="auto"/>
            </w:tcBorders>
            <w:vAlign w:val="center"/>
          </w:tcPr>
          <w:p w14:paraId="11B2E6F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40-140</w:t>
            </w:r>
          </w:p>
        </w:tc>
        <w:tc>
          <w:tcPr>
            <w:tcW w:w="556" w:type="pct"/>
            <w:tcBorders>
              <w:top w:val="single" w:sz="6" w:space="0" w:color="auto"/>
              <w:left w:val="single" w:sz="6" w:space="0" w:color="auto"/>
              <w:bottom w:val="single" w:sz="6" w:space="0" w:color="auto"/>
              <w:right w:val="single" w:sz="6" w:space="0" w:color="auto"/>
            </w:tcBorders>
            <w:vAlign w:val="center"/>
          </w:tcPr>
          <w:p w14:paraId="1753A604"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40-150 (</w:t>
            </w:r>
            <w:r w:rsidRPr="00DD0D1F">
              <w:rPr>
                <w:rFonts w:cs="Times New Roman"/>
                <w:szCs w:val="24"/>
                <w:vertAlign w:val="superscript"/>
                <w:lang w:val="tr-TR"/>
              </w:rPr>
              <w:t>7</w:t>
            </w:r>
            <w:r w:rsidRPr="00DD0D1F">
              <w:rPr>
                <w:rFonts w:cs="Times New Roman"/>
                <w:szCs w:val="24"/>
                <w:lang w:val="tr-TR"/>
              </w:rPr>
              <w:t>)</w:t>
            </w:r>
          </w:p>
        </w:tc>
        <w:tc>
          <w:tcPr>
            <w:tcW w:w="679" w:type="pct"/>
            <w:tcBorders>
              <w:top w:val="single" w:sz="6" w:space="0" w:color="auto"/>
              <w:left w:val="single" w:sz="6" w:space="0" w:color="auto"/>
              <w:bottom w:val="single" w:sz="6" w:space="0" w:color="auto"/>
              <w:right w:val="single" w:sz="6" w:space="0" w:color="auto"/>
            </w:tcBorders>
            <w:vAlign w:val="center"/>
          </w:tcPr>
          <w:p w14:paraId="7F14ACD5"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65-150</w:t>
            </w:r>
          </w:p>
        </w:tc>
        <w:tc>
          <w:tcPr>
            <w:tcW w:w="556" w:type="pct"/>
            <w:tcBorders>
              <w:top w:val="single" w:sz="6" w:space="0" w:color="auto"/>
              <w:left w:val="single" w:sz="6" w:space="0" w:color="auto"/>
              <w:bottom w:val="single" w:sz="6" w:space="0" w:color="auto"/>
              <w:right w:val="single" w:sz="4" w:space="0" w:color="auto"/>
            </w:tcBorders>
            <w:vAlign w:val="center"/>
          </w:tcPr>
          <w:p w14:paraId="57376F3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95-165 (</w:t>
            </w:r>
            <w:r w:rsidRPr="00DD0D1F">
              <w:rPr>
                <w:rFonts w:cs="Times New Roman"/>
                <w:szCs w:val="24"/>
                <w:vertAlign w:val="superscript"/>
                <w:lang w:val="tr-TR"/>
              </w:rPr>
              <w:t>8</w:t>
            </w:r>
            <w:r w:rsidRPr="00DD0D1F">
              <w:rPr>
                <w:rFonts w:cs="Times New Roman"/>
                <w:szCs w:val="24"/>
                <w:lang w:val="tr-TR"/>
              </w:rPr>
              <w:t>)</w:t>
            </w:r>
          </w:p>
        </w:tc>
        <w:tc>
          <w:tcPr>
            <w:tcW w:w="1234" w:type="pct"/>
            <w:tcBorders>
              <w:top w:val="single" w:sz="6" w:space="0" w:color="auto"/>
              <w:left w:val="single" w:sz="6" w:space="0" w:color="auto"/>
              <w:bottom w:val="single" w:sz="6" w:space="0" w:color="auto"/>
              <w:right w:val="single" w:sz="4" w:space="0" w:color="auto"/>
            </w:tcBorders>
          </w:tcPr>
          <w:p w14:paraId="236A782A" w14:textId="67F8BFF5"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16E5ED3B" w14:textId="4690AB44" w:rsidTr="00563E96">
        <w:trPr>
          <w:trHeight w:val="557"/>
        </w:trPr>
        <w:tc>
          <w:tcPr>
            <w:tcW w:w="5000" w:type="pct"/>
            <w:gridSpan w:val="6"/>
            <w:tcBorders>
              <w:top w:val="single" w:sz="6" w:space="0" w:color="auto"/>
              <w:left w:val="single" w:sz="4" w:space="0" w:color="auto"/>
              <w:bottom w:val="single" w:sz="4" w:space="0" w:color="auto"/>
              <w:right w:val="single" w:sz="4" w:space="0" w:color="auto"/>
            </w:tcBorders>
          </w:tcPr>
          <w:p w14:paraId="664C2AED"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i/>
                <w:szCs w:val="24"/>
                <w:lang w:val="tr-TR"/>
              </w:rPr>
              <w:t>)</w:t>
            </w:r>
            <w:r w:rsidRPr="00DD0D1F">
              <w:rPr>
                <w:rFonts w:cs="Times New Roman"/>
                <w:i/>
                <w:szCs w:val="24"/>
                <w:lang w:val="tr-TR"/>
              </w:rPr>
              <w:tab/>
            </w:r>
            <w:r w:rsidRPr="00DD0D1F">
              <w:rPr>
                <w:rFonts w:cs="Times New Roman"/>
                <w:szCs w:val="24"/>
                <w:lang w:val="tr-TR"/>
              </w:rPr>
              <w:t>Bu MET-İES'ler &lt;1500 saat/yıl çalıştırılan tesislere uygulanmaz.</w:t>
            </w:r>
          </w:p>
          <w:p w14:paraId="1317A3C3"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yakma tesisleri için bu seviyeler gösterge niteliğindedir.</w:t>
            </w:r>
          </w:p>
          <w:p w14:paraId="0CF22544"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tesislerde MET-İES aralığının üst sınırı 200 mg/Nm</w:t>
            </w:r>
            <w:r w:rsidRPr="00DD0D1F">
              <w:rPr>
                <w:rFonts w:cs="Times New Roman"/>
                <w:szCs w:val="24"/>
                <w:vertAlign w:val="superscript"/>
                <w:lang w:val="tr-TR"/>
              </w:rPr>
              <w:t>3</w:t>
            </w:r>
            <w:r w:rsidRPr="00DD0D1F">
              <w:rPr>
                <w:rFonts w:cs="Times New Roman"/>
                <w:szCs w:val="24"/>
                <w:lang w:val="tr-TR"/>
              </w:rPr>
              <w:t>'tür.</w:t>
            </w:r>
          </w:p>
          <w:p w14:paraId="408C68BC"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tesislerde MET-İES aralığının üst sınırı 250 mg/Nm</w:t>
            </w:r>
            <w:r w:rsidRPr="00DD0D1F">
              <w:rPr>
                <w:rFonts w:cs="Times New Roman"/>
                <w:szCs w:val="24"/>
                <w:vertAlign w:val="superscript"/>
                <w:lang w:val="tr-TR"/>
              </w:rPr>
              <w:t>3</w:t>
            </w:r>
            <w:r w:rsidRPr="00DD0D1F">
              <w:rPr>
                <w:rFonts w:cs="Times New Roman"/>
                <w:szCs w:val="24"/>
                <w:lang w:val="tr-TR"/>
              </w:rPr>
              <w:t>'tür.</w:t>
            </w:r>
          </w:p>
          <w:p w14:paraId="659AD5A0"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tesislerde MET-İES aralığının üst sınırı 260 mg/Nm</w:t>
            </w:r>
            <w:r w:rsidRPr="00DD0D1F">
              <w:rPr>
                <w:rFonts w:cs="Times New Roman"/>
                <w:szCs w:val="24"/>
                <w:vertAlign w:val="superscript"/>
                <w:lang w:val="tr-TR"/>
              </w:rPr>
              <w:t>3</w:t>
            </w:r>
            <w:r w:rsidRPr="00DD0D1F">
              <w:rPr>
                <w:rFonts w:cs="Times New Roman"/>
                <w:szCs w:val="24"/>
                <w:lang w:val="tr-TR"/>
              </w:rPr>
              <w:t>'tür.</w:t>
            </w:r>
          </w:p>
          <w:p w14:paraId="00025975"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ve 1 Aralık 2025 tarihinden önce devreye alınan yakma tesislerinde, MET-İES aralığının üst sınırı 310 mg/Nm</w:t>
            </w:r>
            <w:r w:rsidRPr="00DD0D1F">
              <w:rPr>
                <w:rFonts w:cs="Times New Roman"/>
                <w:szCs w:val="24"/>
                <w:vertAlign w:val="superscript"/>
                <w:lang w:val="tr-TR"/>
              </w:rPr>
              <w:t>3</w:t>
            </w:r>
            <w:r w:rsidRPr="00DD0D1F">
              <w:rPr>
                <w:rFonts w:cs="Times New Roman"/>
                <w:szCs w:val="24"/>
                <w:lang w:val="tr-TR"/>
              </w:rPr>
              <w:t>'tür.</w:t>
            </w:r>
          </w:p>
          <w:p w14:paraId="752E9A6B"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160 mg/Nm</w:t>
            </w:r>
            <w:r w:rsidRPr="00DD0D1F">
              <w:rPr>
                <w:rFonts w:cs="Times New Roman"/>
                <w:szCs w:val="24"/>
                <w:vertAlign w:val="superscript"/>
                <w:lang w:val="tr-TR"/>
              </w:rPr>
              <w:t>3</w:t>
            </w:r>
            <w:r w:rsidRPr="00DD0D1F">
              <w:rPr>
                <w:rFonts w:cs="Times New Roman"/>
                <w:szCs w:val="24"/>
                <w:lang w:val="tr-TR"/>
              </w:rPr>
              <w:t>'tür.</w:t>
            </w:r>
          </w:p>
          <w:p w14:paraId="37071889" w14:textId="17E6EE91"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8</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200 mg/Nm</w:t>
            </w:r>
            <w:r w:rsidRPr="00DD0D1F">
              <w:rPr>
                <w:rFonts w:cs="Times New Roman"/>
                <w:szCs w:val="24"/>
                <w:vertAlign w:val="superscript"/>
                <w:lang w:val="tr-TR"/>
              </w:rPr>
              <w:t>3</w:t>
            </w:r>
            <w:r w:rsidRPr="00DD0D1F">
              <w:rPr>
                <w:rFonts w:cs="Times New Roman"/>
                <w:szCs w:val="24"/>
                <w:lang w:val="tr-TR"/>
              </w:rPr>
              <w:t>'tür.</w:t>
            </w:r>
          </w:p>
        </w:tc>
      </w:tr>
    </w:tbl>
    <w:p w14:paraId="0DCAA9E8"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32E4E8F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50-100 MWth’lik mevcut yakma tesisleri için veya 50-100 MWth’lik yeni yakma tesisleri için &lt;30-250 mg/Nm</w:t>
      </w:r>
      <w:r w:rsidRPr="00DD0D1F">
        <w:rPr>
          <w:rFonts w:cs="Times New Roman"/>
          <w:szCs w:val="24"/>
          <w:vertAlign w:val="superscript"/>
          <w:lang w:val="tr-TR"/>
        </w:rPr>
        <w:t>3</w:t>
      </w:r>
      <w:r w:rsidRPr="00DD0D1F">
        <w:rPr>
          <w:rFonts w:cs="Times New Roman"/>
          <w:szCs w:val="24"/>
          <w:lang w:val="tr-TR"/>
        </w:rPr>
        <w:t>'tür,</w:t>
      </w:r>
    </w:p>
    <w:p w14:paraId="12CA5B12"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100-300 MWth’lik mevcut yakma tesisleri için veya 100-300 MWth’lik yeni yakma tesisleri için &lt;30-160 mg/Nm</w:t>
      </w:r>
      <w:r w:rsidRPr="00DD0D1F">
        <w:rPr>
          <w:rFonts w:cs="Times New Roman"/>
          <w:szCs w:val="24"/>
          <w:vertAlign w:val="superscript"/>
          <w:lang w:val="tr-TR"/>
        </w:rPr>
        <w:t>3</w:t>
      </w:r>
      <w:r w:rsidRPr="00DD0D1F">
        <w:rPr>
          <w:rFonts w:cs="Times New Roman"/>
          <w:szCs w:val="24"/>
          <w:lang w:val="tr-TR"/>
        </w:rPr>
        <w:t>'tür,</w:t>
      </w:r>
    </w:p>
    <w:p w14:paraId="7814875E"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 300 MWth’lik mevcut yakma tesisleri için veya ≥ 300 MWth’lik yeni yakma tesisleri için &lt;30-80 mg/Nm</w:t>
      </w:r>
      <w:r w:rsidRPr="00DD0D1F">
        <w:rPr>
          <w:rFonts w:cs="Times New Roman"/>
          <w:szCs w:val="24"/>
          <w:vertAlign w:val="superscript"/>
          <w:lang w:val="tr-TR"/>
        </w:rPr>
        <w:t>3</w:t>
      </w:r>
      <w:r w:rsidRPr="00DD0D1F">
        <w:rPr>
          <w:rFonts w:cs="Times New Roman"/>
          <w:szCs w:val="24"/>
          <w:lang w:val="tr-TR"/>
        </w:rPr>
        <w:t>'tür.</w:t>
      </w:r>
    </w:p>
    <w:p w14:paraId="469A2C71" w14:textId="77777777" w:rsidR="003328F9" w:rsidRPr="00DD0D1F" w:rsidRDefault="003328F9" w:rsidP="00FF111D">
      <w:pPr>
        <w:pStyle w:val="Balk3"/>
        <w:numPr>
          <w:ilvl w:val="2"/>
          <w:numId w:val="73"/>
        </w:numPr>
        <w:rPr>
          <w:rFonts w:cs="Times New Roman"/>
          <w:lang w:val="tr-TR"/>
        </w:rPr>
      </w:pPr>
      <w:bookmarkStart w:id="39" w:name="_Toc137367304"/>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39"/>
    </w:p>
    <w:p w14:paraId="23A7B84E" w14:textId="28A10D96"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25: </w:t>
      </w:r>
      <w:r w:rsidRPr="00DD0D1F">
        <w:rPr>
          <w:rFonts w:cs="Times New Roman"/>
          <w:bCs/>
          <w:szCs w:val="24"/>
          <w:lang w:val="tr-TR"/>
        </w:rPr>
        <w:t>Katı biyokütle ve/veya turbanın yakılmasından kaynaklanan, havaya SO</w:t>
      </w:r>
      <w:r w:rsidRPr="00DD0D1F">
        <w:rPr>
          <w:rFonts w:cs="Times New Roman"/>
          <w:bCs/>
          <w:szCs w:val="24"/>
          <w:vertAlign w:val="subscript"/>
          <w:lang w:val="tr-TR"/>
        </w:rPr>
        <w:t>X</w:t>
      </w:r>
      <w:r w:rsidRPr="00DD0D1F">
        <w:rPr>
          <w:rFonts w:cs="Times New Roman"/>
          <w:bCs/>
          <w:szCs w:val="24"/>
          <w:lang w:val="tr-TR"/>
        </w:rPr>
        <w:t>, HCl ve HF emisyonlarını önlemek veya azaltmak için, aşağıda verilen tekniklerin biri</w:t>
      </w:r>
      <w:r w:rsidR="00C25428" w:rsidRPr="00DD0D1F">
        <w:rPr>
          <w:rFonts w:cs="Times New Roman"/>
          <w:bCs/>
          <w:szCs w:val="24"/>
          <w:lang w:val="tr-TR"/>
        </w:rPr>
        <w:t xml:space="preserve"> veya bunların bir birleşimi</w:t>
      </w:r>
      <w:r w:rsidRPr="00DD0D1F">
        <w:rPr>
          <w:rFonts w:cs="Times New Roman"/>
          <w:bCs/>
          <w:szCs w:val="24"/>
          <w:lang w:val="tr-TR"/>
        </w:rPr>
        <w:t xml:space="preserve"> kullan</w:t>
      </w:r>
      <w:r w:rsidR="00C25428" w:rsidRPr="00DD0D1F">
        <w:rPr>
          <w:rFonts w:cs="Times New Roman"/>
          <w:bCs/>
          <w:szCs w:val="24"/>
          <w:lang w:val="tr-TR"/>
        </w:rPr>
        <w:t>ılır.</w:t>
      </w:r>
    </w:p>
    <w:tbl>
      <w:tblPr>
        <w:tblW w:w="5000" w:type="pct"/>
        <w:tblCellMar>
          <w:left w:w="40" w:type="dxa"/>
          <w:right w:w="40" w:type="dxa"/>
        </w:tblCellMar>
        <w:tblLook w:val="0000" w:firstRow="0" w:lastRow="0" w:firstColumn="0" w:lastColumn="0" w:noHBand="0" w:noVBand="0"/>
      </w:tblPr>
      <w:tblGrid>
        <w:gridCol w:w="350"/>
        <w:gridCol w:w="2037"/>
        <w:gridCol w:w="3201"/>
        <w:gridCol w:w="3489"/>
      </w:tblGrid>
      <w:tr w:rsidR="003328F9" w:rsidRPr="00DD0D1F" w14:paraId="36672DB1" w14:textId="77777777" w:rsidTr="003328F9">
        <w:trPr>
          <w:trHeight w:val="360"/>
          <w:tblHeader/>
        </w:trPr>
        <w:tc>
          <w:tcPr>
            <w:tcW w:w="193" w:type="pct"/>
            <w:tcBorders>
              <w:top w:val="single" w:sz="4" w:space="0" w:color="auto"/>
              <w:left w:val="single" w:sz="4" w:space="0" w:color="auto"/>
              <w:bottom w:val="single" w:sz="6" w:space="0" w:color="auto"/>
              <w:right w:val="single" w:sz="4" w:space="0" w:color="auto"/>
            </w:tcBorders>
            <w:vAlign w:val="center"/>
          </w:tcPr>
          <w:p w14:paraId="74564639" w14:textId="77777777" w:rsidR="003328F9" w:rsidRPr="00DD0D1F" w:rsidRDefault="003328F9" w:rsidP="003328F9">
            <w:pPr>
              <w:adjustRightInd w:val="0"/>
              <w:spacing w:line="240" w:lineRule="auto"/>
              <w:ind w:right="74"/>
              <w:jc w:val="center"/>
              <w:rPr>
                <w:rFonts w:cs="Times New Roman"/>
                <w:b/>
                <w:szCs w:val="24"/>
                <w:lang w:val="tr-TR"/>
              </w:rPr>
            </w:pPr>
          </w:p>
        </w:tc>
        <w:tc>
          <w:tcPr>
            <w:tcW w:w="1122" w:type="pct"/>
            <w:tcBorders>
              <w:top w:val="single" w:sz="4" w:space="0" w:color="auto"/>
              <w:left w:val="single" w:sz="4" w:space="0" w:color="auto"/>
              <w:bottom w:val="single" w:sz="6" w:space="0" w:color="auto"/>
              <w:right w:val="single" w:sz="6" w:space="0" w:color="auto"/>
            </w:tcBorders>
            <w:vAlign w:val="center"/>
          </w:tcPr>
          <w:p w14:paraId="2CD0FA4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763" w:type="pct"/>
            <w:tcBorders>
              <w:top w:val="single" w:sz="4" w:space="0" w:color="auto"/>
              <w:left w:val="single" w:sz="6" w:space="0" w:color="auto"/>
              <w:bottom w:val="single" w:sz="6" w:space="0" w:color="auto"/>
              <w:right w:val="single" w:sz="6" w:space="0" w:color="auto"/>
            </w:tcBorders>
            <w:vAlign w:val="center"/>
          </w:tcPr>
          <w:p w14:paraId="681D921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922" w:type="pct"/>
            <w:tcBorders>
              <w:top w:val="single" w:sz="4" w:space="0" w:color="auto"/>
              <w:left w:val="single" w:sz="6" w:space="0" w:color="auto"/>
              <w:bottom w:val="single" w:sz="6" w:space="0" w:color="auto"/>
              <w:right w:val="single" w:sz="4" w:space="0" w:color="auto"/>
            </w:tcBorders>
            <w:vAlign w:val="center"/>
          </w:tcPr>
          <w:p w14:paraId="517952B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96E9BFD" w14:textId="77777777" w:rsidTr="003328F9">
        <w:trPr>
          <w:trHeight w:val="367"/>
        </w:trPr>
        <w:tc>
          <w:tcPr>
            <w:tcW w:w="193" w:type="pct"/>
            <w:tcBorders>
              <w:top w:val="single" w:sz="6" w:space="0" w:color="auto"/>
              <w:left w:val="single" w:sz="4" w:space="0" w:color="auto"/>
              <w:bottom w:val="single" w:sz="6" w:space="0" w:color="auto"/>
              <w:right w:val="single" w:sz="4" w:space="0" w:color="auto"/>
            </w:tcBorders>
            <w:vAlign w:val="center"/>
          </w:tcPr>
          <w:p w14:paraId="2F50B8C4" w14:textId="77777777" w:rsidR="003328F9" w:rsidRPr="00DD0D1F" w:rsidRDefault="003328F9" w:rsidP="003328F9">
            <w:pPr>
              <w:adjustRightInd w:val="0"/>
              <w:spacing w:line="240" w:lineRule="auto"/>
              <w:ind w:left="74" w:right="74"/>
              <w:rPr>
                <w:rFonts w:cs="Times New Roman"/>
                <w:szCs w:val="24"/>
                <w:lang w:val="tr-TR"/>
              </w:rPr>
            </w:pPr>
          </w:p>
          <w:p w14:paraId="46CD0C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122" w:type="pct"/>
            <w:tcBorders>
              <w:top w:val="single" w:sz="6" w:space="0" w:color="auto"/>
              <w:left w:val="single" w:sz="4" w:space="0" w:color="auto"/>
              <w:bottom w:val="single" w:sz="6" w:space="0" w:color="auto"/>
              <w:right w:val="single" w:sz="6" w:space="0" w:color="auto"/>
            </w:tcBorders>
            <w:vAlign w:val="center"/>
          </w:tcPr>
          <w:p w14:paraId="43616CB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w:t>
            </w:r>
          </w:p>
          <w:p w14:paraId="0B93684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(fırın içi veya yatak içi)</w:t>
            </w:r>
          </w:p>
        </w:tc>
        <w:tc>
          <w:tcPr>
            <w:tcW w:w="1763" w:type="pct"/>
            <w:vMerge w:val="restart"/>
            <w:tcBorders>
              <w:top w:val="single" w:sz="6" w:space="0" w:color="auto"/>
              <w:left w:val="single" w:sz="6" w:space="0" w:color="auto"/>
              <w:right w:val="single" w:sz="6" w:space="0" w:color="auto"/>
            </w:tcBorders>
            <w:vAlign w:val="center"/>
          </w:tcPr>
          <w:p w14:paraId="3114BC3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1922" w:type="pct"/>
            <w:vMerge w:val="restart"/>
            <w:tcBorders>
              <w:top w:val="single" w:sz="6" w:space="0" w:color="auto"/>
              <w:left w:val="single" w:sz="6" w:space="0" w:color="auto"/>
              <w:right w:val="single" w:sz="4" w:space="0" w:color="auto"/>
            </w:tcBorders>
            <w:vAlign w:val="center"/>
          </w:tcPr>
          <w:p w14:paraId="03867CC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B052AF9" w14:textId="77777777" w:rsidTr="003328F9">
        <w:trPr>
          <w:trHeight w:val="172"/>
        </w:trPr>
        <w:tc>
          <w:tcPr>
            <w:tcW w:w="193" w:type="pct"/>
            <w:tcBorders>
              <w:top w:val="single" w:sz="6" w:space="0" w:color="auto"/>
              <w:left w:val="single" w:sz="4" w:space="0" w:color="auto"/>
              <w:bottom w:val="single" w:sz="6" w:space="0" w:color="auto"/>
              <w:right w:val="single" w:sz="6" w:space="0" w:color="auto"/>
            </w:tcBorders>
            <w:vAlign w:val="center"/>
          </w:tcPr>
          <w:p w14:paraId="036318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22" w:type="pct"/>
            <w:tcBorders>
              <w:top w:val="single" w:sz="6" w:space="0" w:color="auto"/>
              <w:left w:val="single" w:sz="6" w:space="0" w:color="auto"/>
              <w:bottom w:val="single" w:sz="6" w:space="0" w:color="auto"/>
              <w:right w:val="single" w:sz="6" w:space="0" w:color="auto"/>
            </w:tcBorders>
            <w:vAlign w:val="center"/>
          </w:tcPr>
          <w:p w14:paraId="0BB9171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1763" w:type="pct"/>
            <w:vMerge/>
            <w:tcBorders>
              <w:left w:val="single" w:sz="6" w:space="0" w:color="auto"/>
              <w:right w:val="single" w:sz="6" w:space="0" w:color="auto"/>
            </w:tcBorders>
            <w:vAlign w:val="center"/>
          </w:tcPr>
          <w:p w14:paraId="56B71CE0"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49DBA992"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B906275" w14:textId="77777777" w:rsidTr="003328F9">
        <w:trPr>
          <w:trHeight w:val="67"/>
        </w:trPr>
        <w:tc>
          <w:tcPr>
            <w:tcW w:w="193" w:type="pct"/>
            <w:tcBorders>
              <w:top w:val="single" w:sz="6" w:space="0" w:color="auto"/>
              <w:left w:val="single" w:sz="4" w:space="0" w:color="auto"/>
              <w:bottom w:val="single" w:sz="6" w:space="0" w:color="auto"/>
              <w:right w:val="single" w:sz="6" w:space="0" w:color="auto"/>
            </w:tcBorders>
            <w:vAlign w:val="center"/>
          </w:tcPr>
          <w:p w14:paraId="604E39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22" w:type="pct"/>
            <w:tcBorders>
              <w:top w:val="single" w:sz="6" w:space="0" w:color="auto"/>
              <w:left w:val="single" w:sz="6" w:space="0" w:color="auto"/>
              <w:bottom w:val="single" w:sz="6" w:space="0" w:color="auto"/>
              <w:right w:val="single" w:sz="6" w:space="0" w:color="auto"/>
            </w:tcBorders>
            <w:vAlign w:val="center"/>
          </w:tcPr>
          <w:p w14:paraId="33F7E95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tc>
        <w:tc>
          <w:tcPr>
            <w:tcW w:w="1763" w:type="pct"/>
            <w:vMerge/>
            <w:tcBorders>
              <w:left w:val="single" w:sz="6" w:space="0" w:color="auto"/>
              <w:right w:val="single" w:sz="6" w:space="0" w:color="auto"/>
            </w:tcBorders>
            <w:vAlign w:val="center"/>
          </w:tcPr>
          <w:p w14:paraId="48C00101"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08F35F0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10F3C66" w14:textId="77777777" w:rsidTr="003328F9">
        <w:trPr>
          <w:trHeight w:val="49"/>
        </w:trPr>
        <w:tc>
          <w:tcPr>
            <w:tcW w:w="193" w:type="pct"/>
            <w:tcBorders>
              <w:top w:val="single" w:sz="6" w:space="0" w:color="auto"/>
              <w:left w:val="single" w:sz="4" w:space="0" w:color="auto"/>
              <w:bottom w:val="single" w:sz="6" w:space="0" w:color="auto"/>
              <w:right w:val="single" w:sz="6" w:space="0" w:color="auto"/>
            </w:tcBorders>
            <w:vAlign w:val="center"/>
          </w:tcPr>
          <w:p w14:paraId="6D1E0C13" w14:textId="77777777" w:rsidR="003328F9" w:rsidRPr="00DD0D1F" w:rsidRDefault="003328F9" w:rsidP="003328F9">
            <w:pPr>
              <w:adjustRightInd w:val="0"/>
              <w:spacing w:line="240" w:lineRule="auto"/>
              <w:ind w:left="74" w:right="74"/>
              <w:rPr>
                <w:rFonts w:cs="Times New Roman"/>
                <w:szCs w:val="24"/>
                <w:lang w:val="tr-TR"/>
              </w:rPr>
            </w:pPr>
          </w:p>
          <w:p w14:paraId="34C232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22" w:type="pct"/>
            <w:tcBorders>
              <w:top w:val="single" w:sz="6" w:space="0" w:color="auto"/>
              <w:left w:val="single" w:sz="6" w:space="0" w:color="auto"/>
              <w:bottom w:val="single" w:sz="6" w:space="0" w:color="auto"/>
              <w:right w:val="single" w:sz="6" w:space="0" w:color="auto"/>
            </w:tcBorders>
            <w:vAlign w:val="center"/>
          </w:tcPr>
          <w:p w14:paraId="191A62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Dolaşımlı akışkan yataklı (CFB) kuru yıkayıcı</w:t>
            </w:r>
          </w:p>
        </w:tc>
        <w:tc>
          <w:tcPr>
            <w:tcW w:w="1763" w:type="pct"/>
            <w:vMerge/>
            <w:tcBorders>
              <w:left w:val="single" w:sz="6" w:space="0" w:color="auto"/>
              <w:right w:val="single" w:sz="6" w:space="0" w:color="auto"/>
            </w:tcBorders>
            <w:vAlign w:val="center"/>
          </w:tcPr>
          <w:p w14:paraId="2452FDAA"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1EDA202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50F08A5" w14:textId="77777777" w:rsidTr="003328F9">
        <w:trPr>
          <w:trHeight w:val="160"/>
        </w:trPr>
        <w:tc>
          <w:tcPr>
            <w:tcW w:w="193" w:type="pct"/>
            <w:tcBorders>
              <w:top w:val="single" w:sz="6" w:space="0" w:color="auto"/>
              <w:left w:val="single" w:sz="4" w:space="0" w:color="auto"/>
              <w:bottom w:val="single" w:sz="6" w:space="0" w:color="auto"/>
              <w:right w:val="single" w:sz="6" w:space="0" w:color="auto"/>
            </w:tcBorders>
            <w:vAlign w:val="center"/>
          </w:tcPr>
          <w:p w14:paraId="308CE7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22" w:type="pct"/>
            <w:tcBorders>
              <w:top w:val="single" w:sz="6" w:space="0" w:color="auto"/>
              <w:left w:val="single" w:sz="6" w:space="0" w:color="auto"/>
              <w:bottom w:val="single" w:sz="6" w:space="0" w:color="auto"/>
              <w:right w:val="single" w:sz="6" w:space="0" w:color="auto"/>
            </w:tcBorders>
            <w:vAlign w:val="center"/>
          </w:tcPr>
          <w:p w14:paraId="289BE5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w:t>
            </w:r>
          </w:p>
        </w:tc>
        <w:tc>
          <w:tcPr>
            <w:tcW w:w="1763" w:type="pct"/>
            <w:vMerge/>
            <w:tcBorders>
              <w:left w:val="single" w:sz="6" w:space="0" w:color="auto"/>
              <w:right w:val="single" w:sz="6" w:space="0" w:color="auto"/>
            </w:tcBorders>
            <w:vAlign w:val="center"/>
          </w:tcPr>
          <w:p w14:paraId="7FC1A663"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43191A34"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40631B7" w14:textId="77777777" w:rsidTr="003328F9">
        <w:trPr>
          <w:trHeight w:val="49"/>
        </w:trPr>
        <w:tc>
          <w:tcPr>
            <w:tcW w:w="193" w:type="pct"/>
            <w:tcBorders>
              <w:top w:val="single" w:sz="6" w:space="0" w:color="auto"/>
              <w:left w:val="single" w:sz="4" w:space="0" w:color="auto"/>
              <w:bottom w:val="single" w:sz="6" w:space="0" w:color="auto"/>
              <w:right w:val="single" w:sz="6" w:space="0" w:color="auto"/>
            </w:tcBorders>
            <w:vAlign w:val="center"/>
          </w:tcPr>
          <w:p w14:paraId="1CCB6D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122" w:type="pct"/>
            <w:tcBorders>
              <w:top w:val="single" w:sz="6" w:space="0" w:color="auto"/>
              <w:left w:val="single" w:sz="6" w:space="0" w:color="auto"/>
              <w:bottom w:val="single" w:sz="6" w:space="0" w:color="auto"/>
              <w:right w:val="single" w:sz="6" w:space="0" w:color="auto"/>
            </w:tcBorders>
            <w:vAlign w:val="center"/>
          </w:tcPr>
          <w:p w14:paraId="4344B141" w14:textId="18840CAA"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1763" w:type="pct"/>
            <w:vMerge/>
            <w:tcBorders>
              <w:left w:val="single" w:sz="6" w:space="0" w:color="auto"/>
              <w:right w:val="single" w:sz="6" w:space="0" w:color="auto"/>
            </w:tcBorders>
            <w:vAlign w:val="center"/>
          </w:tcPr>
          <w:p w14:paraId="3D50DF22"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bottom w:val="single" w:sz="6" w:space="0" w:color="auto"/>
              <w:right w:val="single" w:sz="4" w:space="0" w:color="auto"/>
            </w:tcBorders>
            <w:vAlign w:val="center"/>
          </w:tcPr>
          <w:p w14:paraId="628CF0F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0490B90" w14:textId="77777777" w:rsidTr="003328F9">
        <w:trPr>
          <w:trHeight w:val="63"/>
        </w:trPr>
        <w:tc>
          <w:tcPr>
            <w:tcW w:w="193" w:type="pct"/>
            <w:tcBorders>
              <w:top w:val="single" w:sz="6" w:space="0" w:color="auto"/>
              <w:left w:val="single" w:sz="4" w:space="0" w:color="auto"/>
              <w:bottom w:val="single" w:sz="6" w:space="0" w:color="auto"/>
              <w:right w:val="single" w:sz="6" w:space="0" w:color="auto"/>
            </w:tcBorders>
            <w:vAlign w:val="center"/>
          </w:tcPr>
          <w:p w14:paraId="0CAE137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122" w:type="pct"/>
            <w:tcBorders>
              <w:top w:val="single" w:sz="6" w:space="0" w:color="auto"/>
              <w:left w:val="single" w:sz="6" w:space="0" w:color="auto"/>
              <w:bottom w:val="single" w:sz="6" w:space="0" w:color="auto"/>
              <w:right w:val="single" w:sz="6" w:space="0" w:color="auto"/>
            </w:tcBorders>
            <w:vAlign w:val="center"/>
          </w:tcPr>
          <w:p w14:paraId="0D2DC235" w14:textId="55BDD6D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w:t>
            </w:r>
          </w:p>
          <w:p w14:paraId="2F8016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w:t>
            </w:r>
          </w:p>
        </w:tc>
        <w:tc>
          <w:tcPr>
            <w:tcW w:w="1763" w:type="pct"/>
            <w:vMerge/>
            <w:tcBorders>
              <w:left w:val="single" w:sz="6" w:space="0" w:color="auto"/>
              <w:right w:val="single" w:sz="6" w:space="0" w:color="auto"/>
            </w:tcBorders>
            <w:vAlign w:val="center"/>
          </w:tcPr>
          <w:p w14:paraId="5FDA4C9B" w14:textId="77777777" w:rsidR="003328F9" w:rsidRPr="00DD0D1F" w:rsidRDefault="003328F9" w:rsidP="003328F9">
            <w:pPr>
              <w:adjustRightInd w:val="0"/>
              <w:spacing w:line="240" w:lineRule="auto"/>
              <w:ind w:left="74" w:right="74"/>
              <w:rPr>
                <w:rFonts w:cs="Times New Roman"/>
                <w:szCs w:val="24"/>
                <w:lang w:val="tr-TR"/>
              </w:rPr>
            </w:pPr>
          </w:p>
        </w:tc>
        <w:tc>
          <w:tcPr>
            <w:tcW w:w="1922" w:type="pct"/>
            <w:tcBorders>
              <w:top w:val="single" w:sz="6" w:space="0" w:color="auto"/>
              <w:left w:val="single" w:sz="6" w:space="0" w:color="auto"/>
              <w:bottom w:val="single" w:sz="6" w:space="0" w:color="auto"/>
              <w:right w:val="single" w:sz="4" w:space="0" w:color="auto"/>
            </w:tcBorders>
            <w:vAlign w:val="center"/>
          </w:tcPr>
          <w:p w14:paraId="54B9C1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53C95B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r w:rsidR="003328F9" w:rsidRPr="00DD0D1F" w14:paraId="16CA61FD" w14:textId="77777777" w:rsidTr="003328F9">
        <w:trPr>
          <w:trHeight w:val="394"/>
        </w:trPr>
        <w:tc>
          <w:tcPr>
            <w:tcW w:w="193" w:type="pct"/>
            <w:tcBorders>
              <w:top w:val="single" w:sz="6" w:space="0" w:color="auto"/>
              <w:left w:val="single" w:sz="4" w:space="0" w:color="auto"/>
              <w:bottom w:val="single" w:sz="4" w:space="0" w:color="auto"/>
              <w:right w:val="single" w:sz="6" w:space="0" w:color="auto"/>
            </w:tcBorders>
            <w:vAlign w:val="center"/>
          </w:tcPr>
          <w:p w14:paraId="7D4D6B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122" w:type="pct"/>
            <w:tcBorders>
              <w:top w:val="single" w:sz="6" w:space="0" w:color="auto"/>
              <w:left w:val="single" w:sz="6" w:space="0" w:color="auto"/>
              <w:bottom w:val="single" w:sz="4" w:space="0" w:color="auto"/>
              <w:right w:val="single" w:sz="6" w:space="0" w:color="auto"/>
            </w:tcBorders>
            <w:vAlign w:val="center"/>
          </w:tcPr>
          <w:p w14:paraId="1E10C6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763" w:type="pct"/>
            <w:vMerge/>
            <w:tcBorders>
              <w:left w:val="single" w:sz="6" w:space="0" w:color="auto"/>
              <w:bottom w:val="single" w:sz="4" w:space="0" w:color="auto"/>
              <w:right w:val="single" w:sz="6" w:space="0" w:color="auto"/>
            </w:tcBorders>
            <w:vAlign w:val="center"/>
          </w:tcPr>
          <w:p w14:paraId="049A76B6" w14:textId="77777777" w:rsidR="003328F9" w:rsidRPr="00DD0D1F" w:rsidRDefault="003328F9" w:rsidP="003328F9">
            <w:pPr>
              <w:adjustRightInd w:val="0"/>
              <w:spacing w:line="240" w:lineRule="auto"/>
              <w:ind w:left="74" w:right="74"/>
              <w:rPr>
                <w:rFonts w:cs="Times New Roman"/>
                <w:szCs w:val="24"/>
                <w:lang w:val="tr-TR"/>
              </w:rPr>
            </w:pPr>
          </w:p>
        </w:tc>
        <w:tc>
          <w:tcPr>
            <w:tcW w:w="1922" w:type="pct"/>
            <w:tcBorders>
              <w:top w:val="single" w:sz="6" w:space="0" w:color="auto"/>
              <w:left w:val="single" w:sz="6" w:space="0" w:color="auto"/>
              <w:bottom w:val="single" w:sz="4" w:space="0" w:color="auto"/>
              <w:right w:val="single" w:sz="4" w:space="0" w:color="auto"/>
            </w:tcBorders>
            <w:vAlign w:val="center"/>
          </w:tcPr>
          <w:p w14:paraId="34C8CF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tbl>
    <w:p w14:paraId="6D1DF522" w14:textId="77777777" w:rsidR="003328F9" w:rsidRPr="00DD0D1F" w:rsidRDefault="003328F9" w:rsidP="003328F9">
      <w:pPr>
        <w:pStyle w:val="ResimYazs"/>
        <w:rPr>
          <w:rFonts w:cs="Times New Roman"/>
          <w:color w:val="auto"/>
          <w:szCs w:val="24"/>
        </w:rPr>
      </w:pPr>
    </w:p>
    <w:p w14:paraId="31520B78" w14:textId="77777777" w:rsidR="003328F9" w:rsidRPr="00DD0D1F" w:rsidRDefault="003328F9" w:rsidP="003328F9">
      <w:pPr>
        <w:pStyle w:val="ResimYazs"/>
        <w:rPr>
          <w:rFonts w:cs="Times New Roman"/>
          <w:color w:val="auto"/>
          <w:szCs w:val="24"/>
        </w:rPr>
      </w:pPr>
      <w:r w:rsidRPr="00DD0D1F">
        <w:rPr>
          <w:rFonts w:cs="Times New Roman"/>
          <w:color w:val="auto"/>
          <w:szCs w:val="24"/>
        </w:rPr>
        <w:t>Katı biyokütle ve/veya turbanın yakılmasından kaynaklanan, havaya SO2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219"/>
        <w:gridCol w:w="979"/>
        <w:gridCol w:w="1001"/>
        <w:gridCol w:w="979"/>
        <w:gridCol w:w="1082"/>
        <w:gridCol w:w="3817"/>
      </w:tblGrid>
      <w:tr w:rsidR="00EB7491" w:rsidRPr="00DD0D1F" w14:paraId="5A917475" w14:textId="5341540D" w:rsidTr="00563E96">
        <w:trPr>
          <w:trHeight w:val="53"/>
        </w:trPr>
        <w:tc>
          <w:tcPr>
            <w:tcW w:w="712" w:type="pct"/>
            <w:vMerge w:val="restart"/>
            <w:tcBorders>
              <w:top w:val="single" w:sz="4" w:space="0" w:color="auto"/>
              <w:left w:val="single" w:sz="4" w:space="0" w:color="auto"/>
              <w:right w:val="single" w:sz="6" w:space="0" w:color="auto"/>
            </w:tcBorders>
            <w:vAlign w:val="center"/>
          </w:tcPr>
          <w:p w14:paraId="338EC6A6"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w:t>
            </w:r>
          </w:p>
          <w:p w14:paraId="07678FCC"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(MW</w:t>
            </w:r>
            <w:r w:rsidRPr="00DD0D1F">
              <w:rPr>
                <w:rFonts w:cs="Times New Roman"/>
                <w:b/>
                <w:szCs w:val="24"/>
                <w:vertAlign w:val="subscript"/>
                <w:lang w:val="tr-TR"/>
              </w:rPr>
              <w:t>th</w:t>
            </w:r>
            <w:r w:rsidRPr="00DD0D1F">
              <w:rPr>
                <w:rFonts w:cs="Times New Roman"/>
                <w:b/>
                <w:szCs w:val="24"/>
                <w:lang w:val="tr-TR"/>
              </w:rPr>
              <w:t>)</w:t>
            </w:r>
          </w:p>
        </w:tc>
        <w:tc>
          <w:tcPr>
            <w:tcW w:w="4288" w:type="pct"/>
            <w:gridSpan w:val="5"/>
            <w:tcBorders>
              <w:top w:val="single" w:sz="4" w:space="0" w:color="auto"/>
              <w:left w:val="single" w:sz="6" w:space="0" w:color="auto"/>
              <w:bottom w:val="single" w:sz="6" w:space="0" w:color="auto"/>
              <w:right w:val="single" w:sz="4" w:space="0" w:color="auto"/>
            </w:tcBorders>
            <w:vAlign w:val="center"/>
          </w:tcPr>
          <w:p w14:paraId="0C424BB2" w14:textId="51D71762"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337191A9" w14:textId="665E9E63" w:rsidTr="00563E96">
        <w:trPr>
          <w:trHeight w:val="49"/>
        </w:trPr>
        <w:tc>
          <w:tcPr>
            <w:tcW w:w="712" w:type="pct"/>
            <w:vMerge/>
            <w:tcBorders>
              <w:left w:val="single" w:sz="4" w:space="0" w:color="auto"/>
              <w:right w:val="single" w:sz="6" w:space="0" w:color="auto"/>
            </w:tcBorders>
            <w:vAlign w:val="center"/>
          </w:tcPr>
          <w:p w14:paraId="192D9A6D"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1071" w:type="pct"/>
            <w:gridSpan w:val="2"/>
            <w:tcBorders>
              <w:top w:val="single" w:sz="6" w:space="0" w:color="auto"/>
              <w:left w:val="single" w:sz="6" w:space="0" w:color="auto"/>
              <w:bottom w:val="single" w:sz="6" w:space="0" w:color="auto"/>
              <w:right w:val="single" w:sz="6" w:space="0" w:color="auto"/>
            </w:tcBorders>
            <w:vAlign w:val="center"/>
          </w:tcPr>
          <w:p w14:paraId="058A0CFC"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17" w:type="pct"/>
            <w:gridSpan w:val="3"/>
            <w:tcBorders>
              <w:top w:val="single" w:sz="6" w:space="0" w:color="auto"/>
              <w:left w:val="single" w:sz="6" w:space="0" w:color="auto"/>
              <w:bottom w:val="single" w:sz="6" w:space="0" w:color="auto"/>
              <w:right w:val="single" w:sz="4" w:space="0" w:color="auto"/>
            </w:tcBorders>
            <w:vAlign w:val="center"/>
          </w:tcPr>
          <w:p w14:paraId="56EF3B0B" w14:textId="7A48BF98"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2AFF3D0E" w14:textId="32B8F13C" w:rsidTr="00563E96">
        <w:trPr>
          <w:trHeight w:val="49"/>
        </w:trPr>
        <w:tc>
          <w:tcPr>
            <w:tcW w:w="712" w:type="pct"/>
            <w:vMerge/>
            <w:tcBorders>
              <w:left w:val="single" w:sz="4" w:space="0" w:color="auto"/>
              <w:bottom w:val="single" w:sz="6" w:space="0" w:color="auto"/>
              <w:right w:val="single" w:sz="6" w:space="0" w:color="auto"/>
            </w:tcBorders>
            <w:vAlign w:val="center"/>
          </w:tcPr>
          <w:p w14:paraId="26EDDB6F"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580" w:type="pct"/>
            <w:tcBorders>
              <w:top w:val="single" w:sz="6" w:space="0" w:color="auto"/>
              <w:left w:val="single" w:sz="6" w:space="0" w:color="auto"/>
              <w:bottom w:val="single" w:sz="6" w:space="0" w:color="auto"/>
              <w:right w:val="single" w:sz="6" w:space="0" w:color="auto"/>
            </w:tcBorders>
            <w:vAlign w:val="center"/>
          </w:tcPr>
          <w:p w14:paraId="0E07FF67"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1" w:type="pct"/>
            <w:tcBorders>
              <w:top w:val="single" w:sz="6" w:space="0" w:color="auto"/>
              <w:left w:val="single" w:sz="6" w:space="0" w:color="auto"/>
              <w:bottom w:val="single" w:sz="6" w:space="0" w:color="auto"/>
              <w:right w:val="single" w:sz="6" w:space="0" w:color="auto"/>
            </w:tcBorders>
            <w:vAlign w:val="center"/>
          </w:tcPr>
          <w:p w14:paraId="63DDD03B"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80" w:type="pct"/>
            <w:tcBorders>
              <w:top w:val="single" w:sz="6" w:space="0" w:color="auto"/>
              <w:left w:val="single" w:sz="6" w:space="0" w:color="auto"/>
              <w:bottom w:val="single" w:sz="6" w:space="0" w:color="auto"/>
              <w:right w:val="single" w:sz="6" w:space="0" w:color="auto"/>
            </w:tcBorders>
            <w:vAlign w:val="center"/>
          </w:tcPr>
          <w:p w14:paraId="4F8A6204"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4" w:type="pct"/>
            <w:tcBorders>
              <w:top w:val="single" w:sz="6" w:space="0" w:color="auto"/>
              <w:left w:val="single" w:sz="6" w:space="0" w:color="auto"/>
              <w:bottom w:val="single" w:sz="6" w:space="0" w:color="auto"/>
              <w:right w:val="single" w:sz="4" w:space="0" w:color="auto"/>
            </w:tcBorders>
            <w:vAlign w:val="center"/>
          </w:tcPr>
          <w:p w14:paraId="0ADF1397" w14:textId="7E9BD8EF"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Kademe 2</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43" w:type="pct"/>
            <w:tcBorders>
              <w:top w:val="single" w:sz="6" w:space="0" w:color="auto"/>
              <w:left w:val="single" w:sz="6" w:space="0" w:color="auto"/>
              <w:bottom w:val="single" w:sz="6" w:space="0" w:color="auto"/>
              <w:right w:val="single" w:sz="4" w:space="0" w:color="auto"/>
            </w:tcBorders>
          </w:tcPr>
          <w:p w14:paraId="3C5BB67A" w14:textId="77777777" w:rsidR="00563E96"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7C0B5546" w14:textId="6A78EE52" w:rsidR="00563E96"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CFB2719" w14:textId="59D34D66" w:rsidTr="00563E96">
        <w:trPr>
          <w:trHeight w:val="49"/>
        </w:trPr>
        <w:tc>
          <w:tcPr>
            <w:tcW w:w="712" w:type="pct"/>
            <w:tcBorders>
              <w:top w:val="single" w:sz="6" w:space="0" w:color="auto"/>
              <w:left w:val="single" w:sz="4" w:space="0" w:color="auto"/>
              <w:bottom w:val="single" w:sz="6" w:space="0" w:color="auto"/>
              <w:right w:val="single" w:sz="6" w:space="0" w:color="auto"/>
            </w:tcBorders>
            <w:vAlign w:val="center"/>
          </w:tcPr>
          <w:p w14:paraId="1CD61A94"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580" w:type="pct"/>
            <w:tcBorders>
              <w:top w:val="single" w:sz="6" w:space="0" w:color="auto"/>
              <w:left w:val="single" w:sz="6" w:space="0" w:color="auto"/>
              <w:bottom w:val="single" w:sz="6" w:space="0" w:color="auto"/>
              <w:right w:val="single" w:sz="6" w:space="0" w:color="auto"/>
            </w:tcBorders>
            <w:vAlign w:val="center"/>
          </w:tcPr>
          <w:p w14:paraId="5CC6671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15-70</w:t>
            </w:r>
          </w:p>
        </w:tc>
        <w:tc>
          <w:tcPr>
            <w:tcW w:w="491" w:type="pct"/>
            <w:tcBorders>
              <w:top w:val="single" w:sz="6" w:space="0" w:color="auto"/>
              <w:left w:val="single" w:sz="6" w:space="0" w:color="auto"/>
              <w:bottom w:val="single" w:sz="6" w:space="0" w:color="auto"/>
              <w:right w:val="single" w:sz="6" w:space="0" w:color="auto"/>
            </w:tcBorders>
            <w:vAlign w:val="center"/>
          </w:tcPr>
          <w:p w14:paraId="426E00E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15-100</w:t>
            </w:r>
          </w:p>
        </w:tc>
        <w:tc>
          <w:tcPr>
            <w:tcW w:w="580" w:type="pct"/>
            <w:tcBorders>
              <w:top w:val="single" w:sz="6" w:space="0" w:color="auto"/>
              <w:left w:val="single" w:sz="6" w:space="0" w:color="auto"/>
              <w:bottom w:val="single" w:sz="6" w:space="0" w:color="auto"/>
              <w:right w:val="single" w:sz="6" w:space="0" w:color="auto"/>
            </w:tcBorders>
            <w:vAlign w:val="center"/>
          </w:tcPr>
          <w:p w14:paraId="11264B95"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30-175</w:t>
            </w:r>
          </w:p>
        </w:tc>
        <w:tc>
          <w:tcPr>
            <w:tcW w:w="494" w:type="pct"/>
            <w:tcBorders>
              <w:top w:val="single" w:sz="6" w:space="0" w:color="auto"/>
              <w:left w:val="single" w:sz="6" w:space="0" w:color="auto"/>
              <w:bottom w:val="single" w:sz="6" w:space="0" w:color="auto"/>
              <w:right w:val="single" w:sz="4" w:space="0" w:color="auto"/>
            </w:tcBorders>
            <w:vAlign w:val="center"/>
          </w:tcPr>
          <w:p w14:paraId="052E518C"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30-215</w:t>
            </w:r>
          </w:p>
        </w:tc>
        <w:tc>
          <w:tcPr>
            <w:tcW w:w="2143" w:type="pct"/>
            <w:tcBorders>
              <w:top w:val="single" w:sz="6" w:space="0" w:color="auto"/>
              <w:left w:val="single" w:sz="6" w:space="0" w:color="auto"/>
              <w:bottom w:val="single" w:sz="6" w:space="0" w:color="auto"/>
              <w:right w:val="single" w:sz="4" w:space="0" w:color="auto"/>
            </w:tcBorders>
          </w:tcPr>
          <w:p w14:paraId="1A4D1C59" w14:textId="5C1A436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r>
      <w:tr w:rsidR="00EB7491" w:rsidRPr="00DD0D1F" w14:paraId="6C3CD5C8" w14:textId="1B453117" w:rsidTr="00563E96">
        <w:trPr>
          <w:trHeight w:val="49"/>
        </w:trPr>
        <w:tc>
          <w:tcPr>
            <w:tcW w:w="712" w:type="pct"/>
            <w:tcBorders>
              <w:top w:val="single" w:sz="6" w:space="0" w:color="auto"/>
              <w:left w:val="single" w:sz="4" w:space="0" w:color="auto"/>
              <w:bottom w:val="single" w:sz="6" w:space="0" w:color="auto"/>
              <w:right w:val="single" w:sz="6" w:space="0" w:color="auto"/>
            </w:tcBorders>
            <w:vAlign w:val="center"/>
          </w:tcPr>
          <w:p w14:paraId="2A17CF9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580" w:type="pct"/>
            <w:tcBorders>
              <w:top w:val="single" w:sz="6" w:space="0" w:color="auto"/>
              <w:left w:val="single" w:sz="6" w:space="0" w:color="auto"/>
              <w:bottom w:val="single" w:sz="6" w:space="0" w:color="auto"/>
              <w:right w:val="single" w:sz="6" w:space="0" w:color="auto"/>
            </w:tcBorders>
            <w:vAlign w:val="center"/>
          </w:tcPr>
          <w:p w14:paraId="6E84723B"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&lt;10-50</w:t>
            </w:r>
          </w:p>
        </w:tc>
        <w:tc>
          <w:tcPr>
            <w:tcW w:w="491" w:type="pct"/>
            <w:tcBorders>
              <w:top w:val="single" w:sz="6" w:space="0" w:color="auto"/>
              <w:left w:val="single" w:sz="6" w:space="0" w:color="auto"/>
              <w:bottom w:val="single" w:sz="6" w:space="0" w:color="auto"/>
              <w:right w:val="single" w:sz="6" w:space="0" w:color="auto"/>
            </w:tcBorders>
            <w:vAlign w:val="center"/>
          </w:tcPr>
          <w:p w14:paraId="6A1F241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&lt;10-70 (</w:t>
            </w:r>
            <w:r w:rsidRPr="00DD0D1F">
              <w:rPr>
                <w:rFonts w:cs="Times New Roman"/>
                <w:szCs w:val="24"/>
                <w:vertAlign w:val="superscript"/>
                <w:lang w:val="tr-TR"/>
              </w:rPr>
              <w:t>3</w:t>
            </w:r>
            <w:r w:rsidRPr="00DD0D1F">
              <w:rPr>
                <w:rFonts w:cs="Times New Roman"/>
                <w:szCs w:val="24"/>
                <w:lang w:val="tr-TR"/>
              </w:rPr>
              <w:t>)</w:t>
            </w:r>
          </w:p>
        </w:tc>
        <w:tc>
          <w:tcPr>
            <w:tcW w:w="580" w:type="pct"/>
            <w:tcBorders>
              <w:top w:val="single" w:sz="6" w:space="0" w:color="auto"/>
              <w:left w:val="single" w:sz="6" w:space="0" w:color="auto"/>
              <w:bottom w:val="single" w:sz="6" w:space="0" w:color="auto"/>
              <w:right w:val="single" w:sz="6" w:space="0" w:color="auto"/>
            </w:tcBorders>
            <w:vAlign w:val="center"/>
          </w:tcPr>
          <w:p w14:paraId="47B94EEA"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&lt;20-85</w:t>
            </w:r>
          </w:p>
        </w:tc>
        <w:tc>
          <w:tcPr>
            <w:tcW w:w="494" w:type="pct"/>
            <w:tcBorders>
              <w:top w:val="single" w:sz="6" w:space="0" w:color="auto"/>
              <w:left w:val="single" w:sz="6" w:space="0" w:color="auto"/>
              <w:bottom w:val="single" w:sz="6" w:space="0" w:color="auto"/>
              <w:right w:val="single" w:sz="4" w:space="0" w:color="auto"/>
            </w:tcBorders>
            <w:vAlign w:val="center"/>
          </w:tcPr>
          <w:p w14:paraId="2B1553CE"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&lt;20-175 (</w:t>
            </w:r>
            <w:r w:rsidRPr="00DD0D1F">
              <w:rPr>
                <w:rFonts w:cs="Times New Roman"/>
                <w:szCs w:val="24"/>
                <w:vertAlign w:val="superscript"/>
                <w:lang w:val="tr-TR"/>
              </w:rPr>
              <w:t>4</w:t>
            </w:r>
            <w:r w:rsidRPr="00DD0D1F">
              <w:rPr>
                <w:rFonts w:cs="Times New Roman"/>
                <w:szCs w:val="24"/>
                <w:lang w:val="tr-TR"/>
              </w:rPr>
              <w:t>)</w:t>
            </w:r>
          </w:p>
        </w:tc>
        <w:tc>
          <w:tcPr>
            <w:tcW w:w="2143" w:type="pct"/>
            <w:tcBorders>
              <w:top w:val="single" w:sz="6" w:space="0" w:color="auto"/>
              <w:left w:val="single" w:sz="6" w:space="0" w:color="auto"/>
              <w:bottom w:val="single" w:sz="6" w:space="0" w:color="auto"/>
              <w:right w:val="single" w:sz="4" w:space="0" w:color="auto"/>
            </w:tcBorders>
          </w:tcPr>
          <w:p w14:paraId="48790005" w14:textId="3021A1CA" w:rsidR="00563E96" w:rsidRPr="00DD0D1F" w:rsidRDefault="00563E96" w:rsidP="00845F55">
            <w:pPr>
              <w:adjustRightInd w:val="0"/>
              <w:spacing w:line="240" w:lineRule="auto"/>
              <w:ind w:left="74" w:right="74"/>
              <w:jc w:val="center"/>
              <w:rPr>
                <w:rFonts w:cs="Times New Roman"/>
                <w:szCs w:val="24"/>
                <w:lang w:val="tr-TR"/>
              </w:rPr>
            </w:pPr>
            <w:r w:rsidRPr="00DD0D1F">
              <w:rPr>
                <w:rFonts w:cs="Times New Roman"/>
                <w:szCs w:val="24"/>
                <w:lang w:val="tr-TR"/>
              </w:rPr>
              <w:t>300</w:t>
            </w:r>
          </w:p>
        </w:tc>
      </w:tr>
      <w:tr w:rsidR="00EB7491" w:rsidRPr="00DD0D1F" w14:paraId="5E3D5AC4" w14:textId="6502904A" w:rsidTr="00563E96">
        <w:trPr>
          <w:trHeight w:val="49"/>
        </w:trPr>
        <w:tc>
          <w:tcPr>
            <w:tcW w:w="712" w:type="pct"/>
            <w:tcBorders>
              <w:top w:val="single" w:sz="6" w:space="0" w:color="auto"/>
              <w:left w:val="single" w:sz="4" w:space="0" w:color="auto"/>
              <w:bottom w:val="single" w:sz="6" w:space="0" w:color="auto"/>
              <w:right w:val="single" w:sz="6" w:space="0" w:color="auto"/>
            </w:tcBorders>
            <w:vAlign w:val="center"/>
          </w:tcPr>
          <w:p w14:paraId="74E25296"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w w:val="99"/>
                <w:szCs w:val="24"/>
              </w:rPr>
              <w:t>≥</w:t>
            </w:r>
            <w:r w:rsidRPr="00DD0D1F">
              <w:rPr>
                <w:rFonts w:cs="Times New Roman"/>
                <w:szCs w:val="24"/>
                <w:lang w:val="tr-TR"/>
              </w:rPr>
              <w:t>300</w:t>
            </w:r>
          </w:p>
        </w:tc>
        <w:tc>
          <w:tcPr>
            <w:tcW w:w="580" w:type="pct"/>
            <w:tcBorders>
              <w:top w:val="single" w:sz="6" w:space="0" w:color="auto"/>
              <w:left w:val="single" w:sz="6" w:space="0" w:color="auto"/>
              <w:bottom w:val="single" w:sz="6" w:space="0" w:color="auto"/>
              <w:right w:val="single" w:sz="6" w:space="0" w:color="auto"/>
            </w:tcBorders>
            <w:vAlign w:val="center"/>
          </w:tcPr>
          <w:p w14:paraId="29874B4A"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&lt;10-35</w:t>
            </w:r>
          </w:p>
        </w:tc>
        <w:tc>
          <w:tcPr>
            <w:tcW w:w="491" w:type="pct"/>
            <w:tcBorders>
              <w:top w:val="single" w:sz="6" w:space="0" w:color="auto"/>
              <w:left w:val="single" w:sz="6" w:space="0" w:color="auto"/>
              <w:bottom w:val="single" w:sz="6" w:space="0" w:color="auto"/>
              <w:right w:val="single" w:sz="6" w:space="0" w:color="auto"/>
            </w:tcBorders>
            <w:vAlign w:val="center"/>
          </w:tcPr>
          <w:p w14:paraId="46602708"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&lt;10-50 (</w:t>
            </w:r>
            <w:r w:rsidRPr="00DD0D1F">
              <w:rPr>
                <w:rFonts w:cs="Times New Roman"/>
                <w:szCs w:val="24"/>
                <w:vertAlign w:val="superscript"/>
                <w:lang w:val="tr-TR"/>
              </w:rPr>
              <w:t>3</w:t>
            </w:r>
            <w:r w:rsidRPr="00DD0D1F">
              <w:rPr>
                <w:rFonts w:cs="Times New Roman"/>
                <w:szCs w:val="24"/>
                <w:lang w:val="tr-TR"/>
              </w:rPr>
              <w:t>)</w:t>
            </w:r>
          </w:p>
        </w:tc>
        <w:tc>
          <w:tcPr>
            <w:tcW w:w="580" w:type="pct"/>
            <w:tcBorders>
              <w:top w:val="single" w:sz="6" w:space="0" w:color="auto"/>
              <w:left w:val="single" w:sz="6" w:space="0" w:color="auto"/>
              <w:bottom w:val="single" w:sz="6" w:space="0" w:color="auto"/>
              <w:right w:val="single" w:sz="6" w:space="0" w:color="auto"/>
            </w:tcBorders>
            <w:vAlign w:val="center"/>
          </w:tcPr>
          <w:p w14:paraId="71C62CE1"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&lt;20-70</w:t>
            </w:r>
          </w:p>
        </w:tc>
        <w:tc>
          <w:tcPr>
            <w:tcW w:w="494" w:type="pct"/>
            <w:tcBorders>
              <w:top w:val="single" w:sz="6" w:space="0" w:color="auto"/>
              <w:left w:val="single" w:sz="6" w:space="0" w:color="auto"/>
              <w:bottom w:val="single" w:sz="6" w:space="0" w:color="auto"/>
              <w:right w:val="single" w:sz="4" w:space="0" w:color="auto"/>
            </w:tcBorders>
            <w:vAlign w:val="center"/>
          </w:tcPr>
          <w:p w14:paraId="5AB49ECF" w14:textId="261028B6" w:rsidR="00563E96" w:rsidRPr="00DD0D1F" w:rsidRDefault="00BB75AD" w:rsidP="003328F9">
            <w:pPr>
              <w:adjustRightInd w:val="0"/>
              <w:spacing w:line="240" w:lineRule="auto"/>
              <w:ind w:left="74" w:right="74"/>
              <w:jc w:val="center"/>
              <w:rPr>
                <w:rFonts w:cs="Times New Roman"/>
                <w:szCs w:val="24"/>
                <w:lang w:val="tr-TR"/>
              </w:rPr>
            </w:pPr>
            <w:r w:rsidRPr="00DD0D1F">
              <w:rPr>
                <w:rFonts w:cs="Times New Roman"/>
                <w:szCs w:val="24"/>
                <w:lang w:val="tr-TR"/>
              </w:rPr>
              <w:t>&lt;20-8</w:t>
            </w:r>
            <w:r w:rsidR="00563E96" w:rsidRPr="00DD0D1F">
              <w:rPr>
                <w:rFonts w:cs="Times New Roman"/>
                <w:szCs w:val="24"/>
                <w:lang w:val="tr-TR"/>
              </w:rPr>
              <w:t>5 (</w:t>
            </w:r>
            <w:r w:rsidR="00563E96" w:rsidRPr="00DD0D1F">
              <w:rPr>
                <w:rFonts w:cs="Times New Roman"/>
                <w:szCs w:val="24"/>
                <w:vertAlign w:val="superscript"/>
                <w:lang w:val="tr-TR"/>
              </w:rPr>
              <w:t>5</w:t>
            </w:r>
            <w:r w:rsidR="00563E96" w:rsidRPr="00DD0D1F">
              <w:rPr>
                <w:rFonts w:cs="Times New Roman"/>
                <w:szCs w:val="24"/>
                <w:lang w:val="tr-TR"/>
              </w:rPr>
              <w:t>)</w:t>
            </w:r>
          </w:p>
        </w:tc>
        <w:tc>
          <w:tcPr>
            <w:tcW w:w="2143" w:type="pct"/>
            <w:tcBorders>
              <w:top w:val="single" w:sz="6" w:space="0" w:color="auto"/>
              <w:left w:val="single" w:sz="6" w:space="0" w:color="auto"/>
              <w:bottom w:val="single" w:sz="6" w:space="0" w:color="auto"/>
              <w:right w:val="single" w:sz="4" w:space="0" w:color="auto"/>
            </w:tcBorders>
          </w:tcPr>
          <w:p w14:paraId="2E6643DF" w14:textId="148ADFB5" w:rsidR="00563E96" w:rsidRPr="00DD0D1F" w:rsidRDefault="00BB75AD" w:rsidP="003328F9">
            <w:pPr>
              <w:adjustRightInd w:val="0"/>
              <w:spacing w:line="240" w:lineRule="auto"/>
              <w:ind w:left="74" w:right="74"/>
              <w:jc w:val="center"/>
              <w:rPr>
                <w:rFonts w:cs="Times New Roman"/>
                <w:szCs w:val="24"/>
                <w:lang w:val="tr-TR"/>
              </w:rPr>
            </w:pPr>
            <w:r w:rsidRPr="00DD0D1F">
              <w:rPr>
                <w:rFonts w:cs="Times New Roman"/>
                <w:szCs w:val="24"/>
                <w:lang w:val="tr-TR"/>
              </w:rPr>
              <w:t>2</w:t>
            </w:r>
            <w:r w:rsidR="00845F55" w:rsidRPr="00DD0D1F">
              <w:rPr>
                <w:rFonts w:cs="Times New Roman"/>
                <w:szCs w:val="24"/>
                <w:lang w:val="tr-TR"/>
              </w:rPr>
              <w:t>00</w:t>
            </w:r>
          </w:p>
        </w:tc>
      </w:tr>
      <w:tr w:rsidR="00EB7491" w:rsidRPr="00DD0D1F" w14:paraId="6EE6E337" w14:textId="24468573" w:rsidTr="00563E96">
        <w:trPr>
          <w:trHeight w:val="569"/>
        </w:trPr>
        <w:tc>
          <w:tcPr>
            <w:tcW w:w="5000" w:type="pct"/>
            <w:gridSpan w:val="6"/>
            <w:tcBorders>
              <w:top w:val="single" w:sz="6" w:space="0" w:color="auto"/>
              <w:left w:val="single" w:sz="4" w:space="0" w:color="auto"/>
              <w:bottom w:val="single" w:sz="4" w:space="0" w:color="auto"/>
              <w:right w:val="single" w:sz="4" w:space="0" w:color="auto"/>
            </w:tcBorders>
          </w:tcPr>
          <w:p w14:paraId="045EF25B"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49844448"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723C52F9"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Ortalama kükürt içeriği ağırlık olarak %0,1 (kuru) veya üzeri olan yakıt yakan mevcut yakma tesisleri için MET-İES aralığının üst sınırı 100 mg/Nm</w:t>
            </w:r>
            <w:r w:rsidRPr="00DD0D1F">
              <w:rPr>
                <w:rFonts w:cs="Times New Roman"/>
                <w:szCs w:val="24"/>
                <w:vertAlign w:val="superscript"/>
                <w:lang w:val="tr-TR"/>
              </w:rPr>
              <w:t>3</w:t>
            </w:r>
            <w:r w:rsidRPr="00DD0D1F">
              <w:rPr>
                <w:rFonts w:cs="Times New Roman"/>
                <w:szCs w:val="24"/>
                <w:lang w:val="tr-TR"/>
              </w:rPr>
              <w:t>'tür.</w:t>
            </w:r>
          </w:p>
          <w:p w14:paraId="0F480BFA"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Ortalama kükürt içeriği ağırlık olarak %0,1 (kuru) veya üzeri olan yakıt yakan mevcut yakma tesisleri için MET-İES aralığının üst sınırı 215 mg/Nm</w:t>
            </w:r>
            <w:r w:rsidRPr="00DD0D1F">
              <w:rPr>
                <w:rFonts w:cs="Times New Roman"/>
                <w:szCs w:val="24"/>
                <w:vertAlign w:val="superscript"/>
                <w:lang w:val="tr-TR"/>
              </w:rPr>
              <w:t>3</w:t>
            </w:r>
            <w:r w:rsidRPr="00DD0D1F">
              <w:rPr>
                <w:rFonts w:cs="Times New Roman"/>
                <w:szCs w:val="24"/>
                <w:lang w:val="tr-TR"/>
              </w:rPr>
              <w:t>'tür.</w:t>
            </w:r>
          </w:p>
          <w:p w14:paraId="407A5289" w14:textId="5A00307D"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Ortalama kükürt içeriği ağırlık olarak %0,1 (kuru) veya üzeri olan yakıt yakan mevcut yakma tesisleri için MET-İES aralığının üst sınırı 165 mg/Nm</w:t>
            </w:r>
            <w:r w:rsidRPr="00DD0D1F">
              <w:rPr>
                <w:rFonts w:cs="Times New Roman"/>
                <w:szCs w:val="24"/>
                <w:vertAlign w:val="superscript"/>
                <w:lang w:val="tr-TR"/>
              </w:rPr>
              <w:t>3</w:t>
            </w:r>
            <w:r w:rsidRPr="00DD0D1F">
              <w:rPr>
                <w:rFonts w:cs="Times New Roman"/>
                <w:szCs w:val="24"/>
                <w:lang w:val="tr-TR"/>
              </w:rPr>
              <w:t>'tür. Bu tesisler 1 Aralık 2025 tarihinden önce devreye alınmışsa ve/veya turba yakan FBC kazanları söz konusu ise MET-İES aralığının üst sınırı 215 mg/Nm</w:t>
            </w:r>
            <w:r w:rsidRPr="00DD0D1F">
              <w:rPr>
                <w:rFonts w:cs="Times New Roman"/>
                <w:szCs w:val="24"/>
                <w:vertAlign w:val="superscript"/>
                <w:lang w:val="tr-TR"/>
              </w:rPr>
              <w:t>3'</w:t>
            </w:r>
            <w:r w:rsidRPr="00DD0D1F">
              <w:rPr>
                <w:rFonts w:cs="Times New Roman"/>
                <w:szCs w:val="24"/>
                <w:lang w:val="tr-TR"/>
              </w:rPr>
              <w:t>tür.</w:t>
            </w:r>
          </w:p>
        </w:tc>
      </w:tr>
    </w:tbl>
    <w:p w14:paraId="2AA7A84C" w14:textId="77777777" w:rsidR="003328F9" w:rsidRPr="00DD0D1F" w:rsidRDefault="003328F9" w:rsidP="003328F9">
      <w:pPr>
        <w:spacing w:before="240"/>
        <w:rPr>
          <w:rFonts w:cs="Times New Roman"/>
          <w:b/>
          <w:szCs w:val="24"/>
          <w:lang w:val="tr-TR"/>
        </w:rPr>
      </w:pPr>
    </w:p>
    <w:p w14:paraId="7CF03410" w14:textId="77777777" w:rsidR="003328F9" w:rsidRPr="00DD0D1F" w:rsidRDefault="003328F9" w:rsidP="003328F9">
      <w:pPr>
        <w:spacing w:before="240"/>
        <w:rPr>
          <w:rFonts w:cs="Times New Roman"/>
          <w:b/>
          <w:szCs w:val="24"/>
          <w:lang w:val="tr-TR"/>
        </w:rPr>
      </w:pPr>
    </w:p>
    <w:p w14:paraId="260A3C74" w14:textId="77777777" w:rsidR="003328F9" w:rsidRPr="00DD0D1F" w:rsidRDefault="003328F9" w:rsidP="003328F9">
      <w:pPr>
        <w:pStyle w:val="ResimYazs"/>
        <w:rPr>
          <w:rFonts w:cs="Times New Roman"/>
          <w:color w:val="auto"/>
          <w:szCs w:val="24"/>
        </w:rPr>
      </w:pPr>
      <w:r w:rsidRPr="00DD0D1F">
        <w:rPr>
          <w:rFonts w:cs="Times New Roman"/>
          <w:color w:val="auto"/>
          <w:szCs w:val="24"/>
        </w:rPr>
        <w:t>Katı biyokütle ve/veya turbanın yakılmasından kaynaklanan, havaya HCI ve HF emisyonlarına yönelik MET ile ilişkili emisyon seviyeleri (MET-İES’ler)</w:t>
      </w:r>
    </w:p>
    <w:p w14:paraId="71BE04AE" w14:textId="77777777" w:rsidR="003328F9" w:rsidRPr="00DD0D1F" w:rsidRDefault="003328F9" w:rsidP="003328F9">
      <w:pPr>
        <w:rPr>
          <w:rFonts w:cs="Times New Roman"/>
          <w:szCs w:val="24"/>
        </w:rPr>
      </w:pPr>
    </w:p>
    <w:tbl>
      <w:tblPr>
        <w:tblW w:w="5000" w:type="pct"/>
        <w:tblCellMar>
          <w:left w:w="40" w:type="dxa"/>
          <w:right w:w="40" w:type="dxa"/>
        </w:tblCellMar>
        <w:tblLook w:val="0000" w:firstRow="0" w:lastRow="0" w:firstColumn="0" w:lastColumn="0" w:noHBand="0" w:noVBand="0"/>
      </w:tblPr>
      <w:tblGrid>
        <w:gridCol w:w="1250"/>
        <w:gridCol w:w="1538"/>
        <w:gridCol w:w="1794"/>
        <w:gridCol w:w="916"/>
        <w:gridCol w:w="1361"/>
        <w:gridCol w:w="1217"/>
        <w:gridCol w:w="1001"/>
      </w:tblGrid>
      <w:tr w:rsidR="003328F9" w:rsidRPr="00DD0D1F" w14:paraId="2F769F2A" w14:textId="77777777" w:rsidTr="00C25428">
        <w:trPr>
          <w:trHeight w:val="49"/>
        </w:trPr>
        <w:tc>
          <w:tcPr>
            <w:tcW w:w="700" w:type="pct"/>
            <w:vMerge w:val="restart"/>
            <w:tcBorders>
              <w:top w:val="single" w:sz="4" w:space="0" w:color="auto"/>
              <w:left w:val="single" w:sz="4" w:space="0" w:color="auto"/>
              <w:right w:val="single" w:sz="6" w:space="0" w:color="auto"/>
            </w:tcBorders>
            <w:vAlign w:val="center"/>
          </w:tcPr>
          <w:p w14:paraId="21C67F8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3136" w:type="pct"/>
            <w:gridSpan w:val="4"/>
            <w:tcBorders>
              <w:top w:val="single" w:sz="4" w:space="0" w:color="auto"/>
              <w:left w:val="single" w:sz="6" w:space="0" w:color="auto"/>
              <w:bottom w:val="single" w:sz="6" w:space="0" w:color="auto"/>
              <w:right w:val="single" w:sz="6" w:space="0" w:color="auto"/>
            </w:tcBorders>
            <w:vAlign w:val="center"/>
          </w:tcPr>
          <w:p w14:paraId="5717EC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HCl'ya ilişkin MET-İES’ler (mg/Nm</w:t>
            </w:r>
            <w:r w:rsidRPr="00DD0D1F">
              <w:rPr>
                <w:rFonts w:cs="Times New Roman"/>
                <w:b/>
                <w:szCs w:val="24"/>
                <w:vertAlign w:val="superscript"/>
                <w:lang w:val="tr-TR"/>
              </w:rPr>
              <w:t>3</w:t>
            </w: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c>
          <w:tcPr>
            <w:tcW w:w="1164" w:type="pct"/>
            <w:gridSpan w:val="2"/>
            <w:tcBorders>
              <w:top w:val="single" w:sz="4" w:space="0" w:color="auto"/>
              <w:left w:val="single" w:sz="6" w:space="0" w:color="auto"/>
              <w:bottom w:val="single" w:sz="6" w:space="0" w:color="auto"/>
              <w:right w:val="single" w:sz="4" w:space="0" w:color="auto"/>
            </w:tcBorders>
            <w:vAlign w:val="center"/>
          </w:tcPr>
          <w:p w14:paraId="4BE8725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HF'ye ilişkin 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662A151" w14:textId="77777777" w:rsidTr="00C25428">
        <w:trPr>
          <w:trHeight w:val="49"/>
        </w:trPr>
        <w:tc>
          <w:tcPr>
            <w:tcW w:w="700" w:type="pct"/>
            <w:vMerge/>
            <w:tcBorders>
              <w:left w:val="single" w:sz="4" w:space="0" w:color="auto"/>
              <w:right w:val="single" w:sz="6" w:space="0" w:color="auto"/>
            </w:tcBorders>
            <w:vAlign w:val="center"/>
          </w:tcPr>
          <w:p w14:paraId="74C4CCE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59" w:type="pct"/>
            <w:gridSpan w:val="2"/>
            <w:tcBorders>
              <w:top w:val="single" w:sz="6" w:space="0" w:color="auto"/>
              <w:left w:val="single" w:sz="6" w:space="0" w:color="auto"/>
              <w:bottom w:val="single" w:sz="6" w:space="0" w:color="auto"/>
              <w:right w:val="single" w:sz="6" w:space="0" w:color="auto"/>
            </w:tcBorders>
            <w:vAlign w:val="center"/>
          </w:tcPr>
          <w:p w14:paraId="3CF567B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veya bir yılda alınan numunelerin ortalaması</w:t>
            </w:r>
          </w:p>
        </w:tc>
        <w:tc>
          <w:tcPr>
            <w:tcW w:w="1277" w:type="pct"/>
            <w:gridSpan w:val="2"/>
            <w:tcBorders>
              <w:top w:val="single" w:sz="6" w:space="0" w:color="auto"/>
              <w:left w:val="single" w:sz="6" w:space="0" w:color="auto"/>
              <w:bottom w:val="single" w:sz="6" w:space="0" w:color="auto"/>
              <w:right w:val="single" w:sz="6" w:space="0" w:color="auto"/>
            </w:tcBorders>
            <w:vAlign w:val="center"/>
          </w:tcPr>
          <w:p w14:paraId="2D98174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3EC1725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c>
          <w:tcPr>
            <w:tcW w:w="1164" w:type="pct"/>
            <w:gridSpan w:val="2"/>
            <w:tcBorders>
              <w:top w:val="single" w:sz="6" w:space="0" w:color="auto"/>
              <w:left w:val="single" w:sz="6" w:space="0" w:color="auto"/>
              <w:bottom w:val="single" w:sz="6" w:space="0" w:color="auto"/>
              <w:right w:val="single" w:sz="4" w:space="0" w:color="auto"/>
            </w:tcBorders>
            <w:vAlign w:val="center"/>
          </w:tcPr>
          <w:p w14:paraId="1E4CE10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042D55FA" w14:textId="77777777" w:rsidTr="00C25428">
        <w:trPr>
          <w:trHeight w:val="49"/>
        </w:trPr>
        <w:tc>
          <w:tcPr>
            <w:tcW w:w="700" w:type="pct"/>
            <w:vMerge/>
            <w:tcBorders>
              <w:left w:val="single" w:sz="4" w:space="0" w:color="auto"/>
              <w:bottom w:val="single" w:sz="6" w:space="0" w:color="auto"/>
              <w:right w:val="single" w:sz="6" w:space="0" w:color="auto"/>
            </w:tcBorders>
            <w:vAlign w:val="center"/>
          </w:tcPr>
          <w:p w14:paraId="10D361F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59" w:type="pct"/>
            <w:tcBorders>
              <w:top w:val="single" w:sz="6" w:space="0" w:color="auto"/>
              <w:left w:val="single" w:sz="6" w:space="0" w:color="auto"/>
              <w:bottom w:val="single" w:sz="6" w:space="0" w:color="auto"/>
              <w:right w:val="single" w:sz="6" w:space="0" w:color="auto"/>
            </w:tcBorders>
            <w:vAlign w:val="center"/>
          </w:tcPr>
          <w:p w14:paraId="1862FE4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000" w:type="pct"/>
            <w:tcBorders>
              <w:top w:val="single" w:sz="6" w:space="0" w:color="auto"/>
              <w:left w:val="single" w:sz="6" w:space="0" w:color="auto"/>
              <w:bottom w:val="single" w:sz="6" w:space="0" w:color="auto"/>
              <w:right w:val="single" w:sz="6" w:space="0" w:color="auto"/>
            </w:tcBorders>
            <w:vAlign w:val="center"/>
          </w:tcPr>
          <w:p w14:paraId="28C1BBB1" w14:textId="4D5633EB" w:rsidR="003328F9" w:rsidRPr="00DD0D1F" w:rsidRDefault="003328F9" w:rsidP="00C25428">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p>
        </w:tc>
        <w:tc>
          <w:tcPr>
            <w:tcW w:w="516" w:type="pct"/>
            <w:tcBorders>
              <w:top w:val="single" w:sz="6" w:space="0" w:color="auto"/>
              <w:left w:val="single" w:sz="6" w:space="0" w:color="auto"/>
              <w:bottom w:val="single" w:sz="6" w:space="0" w:color="auto"/>
              <w:right w:val="single" w:sz="6" w:space="0" w:color="auto"/>
            </w:tcBorders>
            <w:vAlign w:val="center"/>
          </w:tcPr>
          <w:p w14:paraId="2B4A3D3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61" w:type="pct"/>
            <w:tcBorders>
              <w:top w:val="single" w:sz="6" w:space="0" w:color="auto"/>
              <w:left w:val="single" w:sz="6" w:space="0" w:color="auto"/>
              <w:bottom w:val="single" w:sz="6" w:space="0" w:color="auto"/>
              <w:right w:val="single" w:sz="6" w:space="0" w:color="auto"/>
            </w:tcBorders>
            <w:vAlign w:val="center"/>
          </w:tcPr>
          <w:p w14:paraId="5A1BE8A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p>
        </w:tc>
        <w:tc>
          <w:tcPr>
            <w:tcW w:w="682" w:type="pct"/>
            <w:tcBorders>
              <w:top w:val="single" w:sz="6" w:space="0" w:color="auto"/>
              <w:left w:val="single" w:sz="6" w:space="0" w:color="auto"/>
              <w:bottom w:val="single" w:sz="6" w:space="0" w:color="auto"/>
              <w:right w:val="single" w:sz="6" w:space="0" w:color="auto"/>
            </w:tcBorders>
            <w:vAlign w:val="center"/>
          </w:tcPr>
          <w:p w14:paraId="7BB9684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82" w:type="pct"/>
            <w:tcBorders>
              <w:top w:val="single" w:sz="6" w:space="0" w:color="auto"/>
              <w:left w:val="single" w:sz="6" w:space="0" w:color="auto"/>
              <w:bottom w:val="single" w:sz="6" w:space="0" w:color="auto"/>
              <w:right w:val="single" w:sz="4" w:space="0" w:color="auto"/>
            </w:tcBorders>
            <w:vAlign w:val="center"/>
          </w:tcPr>
          <w:p w14:paraId="12E206D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p>
        </w:tc>
      </w:tr>
      <w:tr w:rsidR="003328F9" w:rsidRPr="00DD0D1F" w14:paraId="43B83077" w14:textId="77777777" w:rsidTr="00C25428">
        <w:trPr>
          <w:trHeight w:val="49"/>
        </w:trPr>
        <w:tc>
          <w:tcPr>
            <w:tcW w:w="700" w:type="pct"/>
            <w:tcBorders>
              <w:top w:val="single" w:sz="6" w:space="0" w:color="auto"/>
              <w:left w:val="single" w:sz="4" w:space="0" w:color="auto"/>
              <w:bottom w:val="single" w:sz="6" w:space="0" w:color="auto"/>
              <w:right w:val="single" w:sz="6" w:space="0" w:color="auto"/>
            </w:tcBorders>
            <w:vAlign w:val="center"/>
          </w:tcPr>
          <w:p w14:paraId="5A48129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859" w:type="pct"/>
            <w:tcBorders>
              <w:top w:val="single" w:sz="6" w:space="0" w:color="auto"/>
              <w:left w:val="single" w:sz="6" w:space="0" w:color="auto"/>
              <w:bottom w:val="single" w:sz="6" w:space="0" w:color="auto"/>
              <w:right w:val="single" w:sz="6" w:space="0" w:color="auto"/>
            </w:tcBorders>
            <w:vAlign w:val="center"/>
          </w:tcPr>
          <w:p w14:paraId="19FD07B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1-7</w:t>
            </w:r>
          </w:p>
        </w:tc>
        <w:tc>
          <w:tcPr>
            <w:tcW w:w="1000" w:type="pct"/>
            <w:tcBorders>
              <w:top w:val="single" w:sz="6" w:space="0" w:color="auto"/>
              <w:left w:val="single" w:sz="6" w:space="0" w:color="auto"/>
              <w:bottom w:val="single" w:sz="6" w:space="0" w:color="auto"/>
              <w:right w:val="single" w:sz="6" w:space="0" w:color="auto"/>
            </w:tcBorders>
            <w:vAlign w:val="center"/>
          </w:tcPr>
          <w:p w14:paraId="1B1EA6F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1-15</w:t>
            </w:r>
          </w:p>
        </w:tc>
        <w:tc>
          <w:tcPr>
            <w:tcW w:w="516" w:type="pct"/>
            <w:tcBorders>
              <w:top w:val="single" w:sz="6" w:space="0" w:color="auto"/>
              <w:left w:val="single" w:sz="6" w:space="0" w:color="auto"/>
              <w:bottom w:val="single" w:sz="6" w:space="0" w:color="auto"/>
              <w:right w:val="single" w:sz="6" w:space="0" w:color="auto"/>
            </w:tcBorders>
            <w:vAlign w:val="center"/>
          </w:tcPr>
          <w:p w14:paraId="01F737C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761" w:type="pct"/>
            <w:tcBorders>
              <w:top w:val="single" w:sz="6" w:space="0" w:color="auto"/>
              <w:left w:val="single" w:sz="6" w:space="0" w:color="auto"/>
              <w:bottom w:val="single" w:sz="6" w:space="0" w:color="auto"/>
              <w:right w:val="single" w:sz="6" w:space="0" w:color="auto"/>
            </w:tcBorders>
            <w:vAlign w:val="center"/>
          </w:tcPr>
          <w:p w14:paraId="0422B68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1-35</w:t>
            </w:r>
          </w:p>
        </w:tc>
        <w:tc>
          <w:tcPr>
            <w:tcW w:w="682" w:type="pct"/>
            <w:tcBorders>
              <w:top w:val="single" w:sz="6" w:space="0" w:color="auto"/>
              <w:left w:val="single" w:sz="6" w:space="0" w:color="auto"/>
              <w:bottom w:val="single" w:sz="6" w:space="0" w:color="auto"/>
              <w:right w:val="single" w:sz="6" w:space="0" w:color="auto"/>
            </w:tcBorders>
            <w:vAlign w:val="center"/>
          </w:tcPr>
          <w:p w14:paraId="42C1944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482" w:type="pct"/>
            <w:tcBorders>
              <w:top w:val="single" w:sz="6" w:space="0" w:color="auto"/>
              <w:left w:val="single" w:sz="6" w:space="0" w:color="auto"/>
              <w:bottom w:val="single" w:sz="6" w:space="0" w:color="auto"/>
              <w:right w:val="single" w:sz="4" w:space="0" w:color="auto"/>
            </w:tcBorders>
            <w:vAlign w:val="center"/>
          </w:tcPr>
          <w:p w14:paraId="1762C8A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&lt;1,5</w:t>
            </w:r>
          </w:p>
        </w:tc>
      </w:tr>
      <w:tr w:rsidR="003328F9" w:rsidRPr="00DD0D1F" w14:paraId="1FB6691B" w14:textId="77777777" w:rsidTr="00C25428">
        <w:trPr>
          <w:trHeight w:val="65"/>
        </w:trPr>
        <w:tc>
          <w:tcPr>
            <w:tcW w:w="700" w:type="pct"/>
            <w:tcBorders>
              <w:top w:val="single" w:sz="6" w:space="0" w:color="auto"/>
              <w:left w:val="single" w:sz="4" w:space="0" w:color="auto"/>
              <w:bottom w:val="single" w:sz="6" w:space="0" w:color="auto"/>
              <w:right w:val="single" w:sz="6" w:space="0" w:color="auto"/>
            </w:tcBorders>
            <w:vAlign w:val="center"/>
          </w:tcPr>
          <w:p w14:paraId="0C282CD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859" w:type="pct"/>
            <w:tcBorders>
              <w:top w:val="single" w:sz="6" w:space="0" w:color="auto"/>
              <w:left w:val="single" w:sz="6" w:space="0" w:color="auto"/>
              <w:bottom w:val="single" w:sz="6" w:space="0" w:color="auto"/>
              <w:right w:val="single" w:sz="6" w:space="0" w:color="auto"/>
            </w:tcBorders>
            <w:vAlign w:val="center"/>
          </w:tcPr>
          <w:p w14:paraId="7C4DAF6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00" w:type="pct"/>
            <w:tcBorders>
              <w:top w:val="single" w:sz="6" w:space="0" w:color="auto"/>
              <w:left w:val="single" w:sz="6" w:space="0" w:color="auto"/>
              <w:bottom w:val="single" w:sz="6" w:space="0" w:color="auto"/>
              <w:right w:val="single" w:sz="6" w:space="0" w:color="auto"/>
            </w:tcBorders>
            <w:vAlign w:val="center"/>
          </w:tcPr>
          <w:p w14:paraId="4B4F57E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1-9</w:t>
            </w:r>
          </w:p>
        </w:tc>
        <w:tc>
          <w:tcPr>
            <w:tcW w:w="516" w:type="pct"/>
            <w:tcBorders>
              <w:top w:val="single" w:sz="6" w:space="0" w:color="auto"/>
              <w:left w:val="single" w:sz="6" w:space="0" w:color="auto"/>
              <w:bottom w:val="single" w:sz="6" w:space="0" w:color="auto"/>
              <w:right w:val="single" w:sz="6" w:space="0" w:color="auto"/>
            </w:tcBorders>
            <w:vAlign w:val="center"/>
          </w:tcPr>
          <w:p w14:paraId="3DEB8C5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761" w:type="pct"/>
            <w:tcBorders>
              <w:top w:val="single" w:sz="6" w:space="0" w:color="auto"/>
              <w:left w:val="single" w:sz="6" w:space="0" w:color="auto"/>
              <w:bottom w:val="single" w:sz="6" w:space="0" w:color="auto"/>
              <w:right w:val="single" w:sz="6" w:space="0" w:color="auto"/>
            </w:tcBorders>
            <w:vAlign w:val="center"/>
          </w:tcPr>
          <w:p w14:paraId="1073962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682" w:type="pct"/>
            <w:tcBorders>
              <w:top w:val="single" w:sz="6" w:space="0" w:color="auto"/>
              <w:left w:val="single" w:sz="6" w:space="0" w:color="auto"/>
              <w:bottom w:val="single" w:sz="6" w:space="0" w:color="auto"/>
              <w:right w:val="single" w:sz="6" w:space="0" w:color="auto"/>
            </w:tcBorders>
            <w:vAlign w:val="center"/>
          </w:tcPr>
          <w:p w14:paraId="3D54715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482" w:type="pct"/>
            <w:tcBorders>
              <w:top w:val="single" w:sz="6" w:space="0" w:color="auto"/>
              <w:left w:val="single" w:sz="6" w:space="0" w:color="auto"/>
              <w:bottom w:val="single" w:sz="6" w:space="0" w:color="auto"/>
              <w:right w:val="single" w:sz="4" w:space="0" w:color="auto"/>
            </w:tcBorders>
            <w:vAlign w:val="center"/>
          </w:tcPr>
          <w:p w14:paraId="6B8D1DA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r>
      <w:tr w:rsidR="003328F9" w:rsidRPr="00DD0D1F" w14:paraId="2EE3BBF0" w14:textId="77777777" w:rsidTr="00C25428">
        <w:trPr>
          <w:trHeight w:val="49"/>
        </w:trPr>
        <w:tc>
          <w:tcPr>
            <w:tcW w:w="700" w:type="pct"/>
            <w:tcBorders>
              <w:top w:val="single" w:sz="6" w:space="0" w:color="auto"/>
              <w:left w:val="single" w:sz="4" w:space="0" w:color="auto"/>
              <w:bottom w:val="single" w:sz="6" w:space="0" w:color="auto"/>
              <w:right w:val="single" w:sz="6" w:space="0" w:color="auto"/>
            </w:tcBorders>
            <w:vAlign w:val="center"/>
          </w:tcPr>
          <w:p w14:paraId="33EAEC8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859" w:type="pct"/>
            <w:tcBorders>
              <w:top w:val="single" w:sz="6" w:space="0" w:color="auto"/>
              <w:left w:val="single" w:sz="6" w:space="0" w:color="auto"/>
              <w:bottom w:val="single" w:sz="6" w:space="0" w:color="auto"/>
              <w:right w:val="single" w:sz="6" w:space="0" w:color="auto"/>
            </w:tcBorders>
            <w:vAlign w:val="center"/>
          </w:tcPr>
          <w:p w14:paraId="5680C7F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00" w:type="pct"/>
            <w:tcBorders>
              <w:top w:val="single" w:sz="6" w:space="0" w:color="auto"/>
              <w:left w:val="single" w:sz="6" w:space="0" w:color="auto"/>
              <w:bottom w:val="single" w:sz="6" w:space="0" w:color="auto"/>
              <w:right w:val="single" w:sz="6" w:space="0" w:color="auto"/>
            </w:tcBorders>
            <w:vAlign w:val="center"/>
          </w:tcPr>
          <w:p w14:paraId="25842F2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516" w:type="pct"/>
            <w:tcBorders>
              <w:top w:val="single" w:sz="6" w:space="0" w:color="auto"/>
              <w:left w:val="single" w:sz="6" w:space="0" w:color="auto"/>
              <w:bottom w:val="single" w:sz="6" w:space="0" w:color="auto"/>
              <w:right w:val="single" w:sz="6" w:space="0" w:color="auto"/>
            </w:tcBorders>
            <w:vAlign w:val="center"/>
          </w:tcPr>
          <w:p w14:paraId="5B122F5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761" w:type="pct"/>
            <w:tcBorders>
              <w:top w:val="single" w:sz="6" w:space="0" w:color="auto"/>
              <w:left w:val="single" w:sz="6" w:space="0" w:color="auto"/>
              <w:bottom w:val="single" w:sz="6" w:space="0" w:color="auto"/>
              <w:right w:val="single" w:sz="6" w:space="0" w:color="auto"/>
            </w:tcBorders>
            <w:vAlign w:val="center"/>
          </w:tcPr>
          <w:p w14:paraId="63AE97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682" w:type="pct"/>
            <w:tcBorders>
              <w:top w:val="single" w:sz="6" w:space="0" w:color="auto"/>
              <w:left w:val="single" w:sz="6" w:space="0" w:color="auto"/>
              <w:bottom w:val="single" w:sz="6" w:space="0" w:color="auto"/>
              <w:right w:val="single" w:sz="6" w:space="0" w:color="auto"/>
            </w:tcBorders>
            <w:vAlign w:val="center"/>
          </w:tcPr>
          <w:p w14:paraId="3C05A84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482" w:type="pct"/>
            <w:tcBorders>
              <w:top w:val="single" w:sz="6" w:space="0" w:color="auto"/>
              <w:left w:val="single" w:sz="6" w:space="0" w:color="auto"/>
              <w:bottom w:val="single" w:sz="6" w:space="0" w:color="auto"/>
              <w:right w:val="single" w:sz="4" w:space="0" w:color="auto"/>
            </w:tcBorders>
            <w:vAlign w:val="center"/>
          </w:tcPr>
          <w:p w14:paraId="4016345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r>
      <w:tr w:rsidR="003328F9" w:rsidRPr="00DD0D1F" w14:paraId="20B11D43" w14:textId="77777777" w:rsidTr="003328F9">
        <w:trPr>
          <w:trHeight w:val="1420"/>
        </w:trPr>
        <w:tc>
          <w:tcPr>
            <w:tcW w:w="5000" w:type="pct"/>
            <w:gridSpan w:val="7"/>
            <w:tcBorders>
              <w:top w:val="single" w:sz="6" w:space="0" w:color="auto"/>
              <w:left w:val="single" w:sz="4" w:space="0" w:color="auto"/>
              <w:bottom w:val="single" w:sz="4" w:space="0" w:color="auto"/>
              <w:right w:val="single" w:sz="4" w:space="0" w:color="auto"/>
            </w:tcBorders>
          </w:tcPr>
          <w:p w14:paraId="71ADAC18" w14:textId="55A3300D" w:rsidR="003328F9" w:rsidRPr="00DD0D1F" w:rsidRDefault="003328F9" w:rsidP="003328F9">
            <w:pPr>
              <w:tabs>
                <w:tab w:val="left" w:pos="244"/>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xml:space="preserve">)   Ortalama klor içeriği ağırlık olarak &gt;%0,1 (kuru) olan yakıt yakan tesislerde veya biyokütleyi kükürt açısından zengin yakıt ile birlikte yakan (örneğin turba) veya alkali klorür dönüştürücü katkı maddeleri kullanan (örneğin element kükürt) mevcut yakma tesislerinde, yeni tesislere ait yıllık ortalama için MET-İES aralığının üst </w:t>
            </w:r>
            <w:r w:rsidR="004E47CC" w:rsidRPr="00DD0D1F">
              <w:rPr>
                <w:rFonts w:cs="Times New Roman"/>
                <w:szCs w:val="24"/>
                <w:lang w:val="tr-TR"/>
              </w:rPr>
              <w:t>sınırı</w:t>
            </w:r>
            <w:r w:rsidRPr="00DD0D1F">
              <w:rPr>
                <w:rFonts w:cs="Times New Roman"/>
                <w:szCs w:val="24"/>
                <w:lang w:val="tr-TR"/>
              </w:rPr>
              <w:t xml:space="preserve"> 15 mg/Nm</w:t>
            </w:r>
            <w:r w:rsidRPr="00DD0D1F">
              <w:rPr>
                <w:rFonts w:cs="Times New Roman"/>
                <w:szCs w:val="24"/>
                <w:vertAlign w:val="superscript"/>
                <w:lang w:val="tr-TR"/>
              </w:rPr>
              <w:t>3</w:t>
            </w:r>
            <w:r w:rsidRPr="00DD0D1F">
              <w:rPr>
                <w:rFonts w:cs="Times New Roman"/>
                <w:szCs w:val="24"/>
                <w:lang w:val="tr-TR"/>
              </w:rPr>
              <w:t xml:space="preserve"> iken mevcut tesislere ait yıllık ortalama için MET-İES aralığının üst </w:t>
            </w:r>
            <w:r w:rsidR="004E47CC" w:rsidRPr="00DD0D1F">
              <w:rPr>
                <w:rFonts w:cs="Times New Roman"/>
                <w:szCs w:val="24"/>
                <w:lang w:val="tr-TR"/>
              </w:rPr>
              <w:t>sınırı</w:t>
            </w:r>
            <w:r w:rsidRPr="00DD0D1F">
              <w:rPr>
                <w:rFonts w:cs="Times New Roman"/>
                <w:szCs w:val="24"/>
                <w:lang w:val="tr-TR"/>
              </w:rPr>
              <w:t xml:space="preserve"> 25 mg/Nm</w:t>
            </w:r>
            <w:r w:rsidRPr="00DD0D1F">
              <w:rPr>
                <w:rFonts w:cs="Times New Roman"/>
                <w:szCs w:val="24"/>
                <w:vertAlign w:val="superscript"/>
                <w:lang w:val="tr-TR"/>
              </w:rPr>
              <w:t>3</w:t>
            </w:r>
            <w:r w:rsidRPr="00DD0D1F">
              <w:rPr>
                <w:rFonts w:cs="Times New Roman"/>
                <w:szCs w:val="24"/>
                <w:lang w:val="tr-TR"/>
              </w:rPr>
              <w:t>'tür. Günlük ortalama MET-İES aralığı bu tesislere uygulanmaz.</w:t>
            </w:r>
          </w:p>
          <w:p w14:paraId="2EB0009E" w14:textId="294712E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 xml:space="preserve"> (</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Günlük ortalama MET-İES, &lt;1500 saat/yıl çalıştırılan tesislere uygulanmaz. &lt;1500 saat/yıl çalıştırılan yeni tesislerde yıllık ortalamaya ait MET-İES aralığının üst </w:t>
            </w:r>
            <w:r w:rsidR="004E47CC" w:rsidRPr="00DD0D1F">
              <w:rPr>
                <w:rFonts w:cs="Times New Roman"/>
                <w:szCs w:val="24"/>
                <w:lang w:val="tr-TR"/>
              </w:rPr>
              <w:t>sınırı</w:t>
            </w:r>
            <w:r w:rsidRPr="00DD0D1F">
              <w:rPr>
                <w:rFonts w:cs="Times New Roman"/>
                <w:szCs w:val="24"/>
                <w:lang w:val="tr-TR"/>
              </w:rPr>
              <w:t xml:space="preserve"> 15 mg/Nm</w:t>
            </w:r>
            <w:r w:rsidRPr="00DD0D1F">
              <w:rPr>
                <w:rFonts w:cs="Times New Roman"/>
                <w:szCs w:val="24"/>
                <w:vertAlign w:val="superscript"/>
                <w:lang w:val="tr-TR"/>
              </w:rPr>
              <w:t>3</w:t>
            </w:r>
            <w:r w:rsidRPr="00DD0D1F">
              <w:rPr>
                <w:rFonts w:cs="Times New Roman"/>
                <w:szCs w:val="24"/>
                <w:lang w:val="tr-TR"/>
              </w:rPr>
              <w:t>'tür. (</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Bu MET-İES’ler &lt;1500 saat/yıl çalıştırılan tesislere uygulanmaz. </w:t>
            </w:r>
          </w:p>
          <w:p w14:paraId="31147674" w14:textId="0958970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Yaş FGD ve çıkışında gaz-gaz ısıtıcı bulunan tesislerde, MET-İES aralıklarının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na ulaşılması zor olabilir.</w:t>
            </w:r>
          </w:p>
          <w:p w14:paraId="79111DC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45BC5A72" w14:textId="77777777" w:rsidR="003328F9" w:rsidRPr="00DD0D1F" w:rsidRDefault="003328F9" w:rsidP="00FF111D">
      <w:pPr>
        <w:pStyle w:val="Balk3"/>
        <w:numPr>
          <w:ilvl w:val="2"/>
          <w:numId w:val="73"/>
        </w:numPr>
        <w:rPr>
          <w:rFonts w:cs="Times New Roman"/>
          <w:lang w:val="tr-TR"/>
        </w:rPr>
      </w:pPr>
      <w:bookmarkStart w:id="40" w:name="_Toc137367305"/>
      <w:r w:rsidRPr="00DD0D1F">
        <w:rPr>
          <w:rFonts w:cs="Times New Roman"/>
          <w:lang w:val="tr-TR"/>
        </w:rPr>
        <w:t>Toz ve Partiküle Bağlı Metallerin Havaya Emisyonları</w:t>
      </w:r>
      <w:bookmarkEnd w:id="40"/>
    </w:p>
    <w:p w14:paraId="65E6AFB6" w14:textId="34252580"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26: </w:t>
      </w:r>
      <w:r w:rsidRPr="00DD0D1F">
        <w:rPr>
          <w:rFonts w:cs="Times New Roman"/>
          <w:bCs/>
          <w:szCs w:val="24"/>
          <w:lang w:val="tr-TR"/>
        </w:rPr>
        <w:t>Katı biyokütle ve/veya turbanın yakılmasından kaynaklanan, toz ve partiküle bağlı metallerin havaya emisyonlarını azaltmak için, a</w:t>
      </w:r>
      <w:r w:rsidR="00C25428"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C25428" w:rsidRPr="00DD0D1F">
        <w:rPr>
          <w:rFonts w:cs="Times New Roman"/>
          <w:bCs/>
          <w:szCs w:val="24"/>
          <w:lang w:val="tr-TR"/>
        </w:rPr>
        <w:t>ılır.</w:t>
      </w:r>
    </w:p>
    <w:tbl>
      <w:tblPr>
        <w:tblW w:w="4963" w:type="pct"/>
        <w:tblInd w:w="-5" w:type="dxa"/>
        <w:tblCellMar>
          <w:left w:w="40" w:type="dxa"/>
          <w:right w:w="40" w:type="dxa"/>
        </w:tblCellMar>
        <w:tblLook w:val="0000" w:firstRow="0" w:lastRow="0" w:firstColumn="0" w:lastColumn="0" w:noHBand="0" w:noVBand="0"/>
      </w:tblPr>
      <w:tblGrid>
        <w:gridCol w:w="427"/>
        <w:gridCol w:w="2730"/>
        <w:gridCol w:w="2806"/>
        <w:gridCol w:w="3047"/>
      </w:tblGrid>
      <w:tr w:rsidR="003328F9" w:rsidRPr="00DD0D1F" w14:paraId="42916B20" w14:textId="77777777" w:rsidTr="003328F9">
        <w:trPr>
          <w:trHeight w:val="50"/>
          <w:tblHeader/>
        </w:trPr>
        <w:tc>
          <w:tcPr>
            <w:tcW w:w="237" w:type="pct"/>
            <w:tcBorders>
              <w:top w:val="single" w:sz="4" w:space="0" w:color="auto"/>
              <w:left w:val="single" w:sz="4" w:space="0" w:color="auto"/>
              <w:bottom w:val="single" w:sz="6" w:space="0" w:color="auto"/>
              <w:right w:val="single" w:sz="4" w:space="0" w:color="auto"/>
            </w:tcBorders>
          </w:tcPr>
          <w:p w14:paraId="5DEFD35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515" w:type="pct"/>
            <w:tcBorders>
              <w:top w:val="single" w:sz="4" w:space="0" w:color="auto"/>
              <w:left w:val="single" w:sz="4" w:space="0" w:color="auto"/>
              <w:bottom w:val="single" w:sz="6" w:space="0" w:color="auto"/>
              <w:right w:val="single" w:sz="6" w:space="0" w:color="auto"/>
            </w:tcBorders>
          </w:tcPr>
          <w:p w14:paraId="548AFAC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557" w:type="pct"/>
            <w:tcBorders>
              <w:top w:val="single" w:sz="4" w:space="0" w:color="auto"/>
              <w:left w:val="single" w:sz="6" w:space="0" w:color="auto"/>
              <w:bottom w:val="single" w:sz="6" w:space="0" w:color="auto"/>
              <w:right w:val="single" w:sz="6" w:space="0" w:color="auto"/>
            </w:tcBorders>
          </w:tcPr>
          <w:p w14:paraId="72C4A10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691" w:type="pct"/>
            <w:tcBorders>
              <w:top w:val="single" w:sz="4" w:space="0" w:color="auto"/>
              <w:left w:val="single" w:sz="6" w:space="0" w:color="auto"/>
              <w:bottom w:val="single" w:sz="6" w:space="0" w:color="auto"/>
              <w:right w:val="single" w:sz="4" w:space="0" w:color="auto"/>
            </w:tcBorders>
          </w:tcPr>
          <w:p w14:paraId="7C6179F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D3B2A0D" w14:textId="77777777" w:rsidTr="003328F9">
        <w:trPr>
          <w:trHeight w:val="312"/>
        </w:trPr>
        <w:tc>
          <w:tcPr>
            <w:tcW w:w="237" w:type="pct"/>
            <w:tcBorders>
              <w:top w:val="single" w:sz="6" w:space="0" w:color="auto"/>
              <w:left w:val="single" w:sz="4" w:space="0" w:color="auto"/>
              <w:bottom w:val="single" w:sz="6" w:space="0" w:color="auto"/>
              <w:right w:val="single" w:sz="4" w:space="0" w:color="auto"/>
            </w:tcBorders>
            <w:vAlign w:val="center"/>
          </w:tcPr>
          <w:p w14:paraId="5FC7757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a</w:t>
            </w:r>
          </w:p>
        </w:tc>
        <w:tc>
          <w:tcPr>
            <w:tcW w:w="1515" w:type="pct"/>
            <w:tcBorders>
              <w:top w:val="single" w:sz="6" w:space="0" w:color="auto"/>
              <w:left w:val="single" w:sz="4" w:space="0" w:color="auto"/>
              <w:bottom w:val="single" w:sz="6" w:space="0" w:color="auto"/>
              <w:right w:val="single" w:sz="6" w:space="0" w:color="auto"/>
            </w:tcBorders>
            <w:vAlign w:val="center"/>
          </w:tcPr>
          <w:p w14:paraId="01F2B4C6" w14:textId="47A9990C"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Elektrostatik </w:t>
            </w:r>
            <w:r w:rsidR="009A6605" w:rsidRPr="00DD0D1F">
              <w:rPr>
                <w:rFonts w:cs="Times New Roman"/>
                <w:szCs w:val="24"/>
                <w:lang w:val="tr-TR"/>
              </w:rPr>
              <w:t>çöktürücü</w:t>
            </w:r>
            <w:r w:rsidRPr="00DD0D1F">
              <w:rPr>
                <w:rFonts w:cs="Times New Roman"/>
                <w:bCs/>
                <w:szCs w:val="24"/>
                <w:lang w:val="tr-TR"/>
              </w:rPr>
              <w:t xml:space="preserve"> (ESP)</w:t>
            </w:r>
          </w:p>
        </w:tc>
        <w:tc>
          <w:tcPr>
            <w:tcW w:w="1557" w:type="pct"/>
            <w:tcBorders>
              <w:top w:val="single" w:sz="6" w:space="0" w:color="auto"/>
              <w:left w:val="single" w:sz="6" w:space="0" w:color="auto"/>
              <w:bottom w:val="nil"/>
              <w:right w:val="single" w:sz="6" w:space="0" w:color="auto"/>
            </w:tcBorders>
            <w:vAlign w:val="center"/>
          </w:tcPr>
          <w:p w14:paraId="570DAF2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691" w:type="pct"/>
            <w:vMerge w:val="restart"/>
            <w:tcBorders>
              <w:top w:val="single" w:sz="6" w:space="0" w:color="auto"/>
              <w:left w:val="single" w:sz="6" w:space="0" w:color="auto"/>
              <w:right w:val="single" w:sz="4" w:space="0" w:color="auto"/>
            </w:tcBorders>
            <w:vAlign w:val="center"/>
          </w:tcPr>
          <w:p w14:paraId="4306216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417827FA" w14:textId="77777777" w:rsidTr="003328F9">
        <w:trPr>
          <w:trHeight w:val="121"/>
        </w:trPr>
        <w:tc>
          <w:tcPr>
            <w:tcW w:w="237" w:type="pct"/>
            <w:tcBorders>
              <w:top w:val="single" w:sz="6" w:space="0" w:color="auto"/>
              <w:left w:val="single" w:sz="4" w:space="0" w:color="auto"/>
              <w:bottom w:val="single" w:sz="6" w:space="0" w:color="auto"/>
              <w:right w:val="single" w:sz="6" w:space="0" w:color="auto"/>
            </w:tcBorders>
            <w:vAlign w:val="center"/>
          </w:tcPr>
          <w:p w14:paraId="41C92E2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515" w:type="pct"/>
            <w:tcBorders>
              <w:top w:val="single" w:sz="6" w:space="0" w:color="auto"/>
              <w:left w:val="single" w:sz="6" w:space="0" w:color="auto"/>
              <w:bottom w:val="single" w:sz="6" w:space="0" w:color="auto"/>
              <w:right w:val="single" w:sz="6" w:space="0" w:color="auto"/>
            </w:tcBorders>
            <w:vAlign w:val="center"/>
          </w:tcPr>
          <w:p w14:paraId="5DFD856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557" w:type="pct"/>
            <w:tcBorders>
              <w:top w:val="nil"/>
              <w:left w:val="single" w:sz="6" w:space="0" w:color="auto"/>
              <w:bottom w:val="single" w:sz="6" w:space="0" w:color="auto"/>
              <w:right w:val="single" w:sz="6" w:space="0" w:color="auto"/>
            </w:tcBorders>
            <w:vAlign w:val="center"/>
          </w:tcPr>
          <w:p w14:paraId="61F3D9CB" w14:textId="77777777" w:rsidR="003328F9" w:rsidRPr="00DD0D1F" w:rsidRDefault="003328F9" w:rsidP="003328F9">
            <w:pPr>
              <w:adjustRightInd w:val="0"/>
              <w:spacing w:line="240" w:lineRule="auto"/>
              <w:ind w:right="74"/>
              <w:rPr>
                <w:rFonts w:cs="Times New Roman"/>
                <w:bCs/>
                <w:szCs w:val="24"/>
                <w:lang w:val="tr-TR"/>
              </w:rPr>
            </w:pPr>
          </w:p>
        </w:tc>
        <w:tc>
          <w:tcPr>
            <w:tcW w:w="1691" w:type="pct"/>
            <w:vMerge/>
            <w:tcBorders>
              <w:left w:val="single" w:sz="6" w:space="0" w:color="auto"/>
              <w:right w:val="single" w:sz="4" w:space="0" w:color="auto"/>
            </w:tcBorders>
            <w:vAlign w:val="center"/>
          </w:tcPr>
          <w:p w14:paraId="62F739FA"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6511AC7D" w14:textId="77777777" w:rsidTr="003328F9">
        <w:trPr>
          <w:trHeight w:val="347"/>
        </w:trPr>
        <w:tc>
          <w:tcPr>
            <w:tcW w:w="237" w:type="pct"/>
            <w:tcBorders>
              <w:top w:val="single" w:sz="6" w:space="0" w:color="auto"/>
              <w:left w:val="single" w:sz="4" w:space="0" w:color="auto"/>
              <w:bottom w:val="single" w:sz="6" w:space="0" w:color="auto"/>
              <w:right w:val="single" w:sz="6" w:space="0" w:color="auto"/>
            </w:tcBorders>
            <w:vAlign w:val="center"/>
          </w:tcPr>
          <w:p w14:paraId="39A27AD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515" w:type="pct"/>
            <w:tcBorders>
              <w:top w:val="single" w:sz="6" w:space="0" w:color="auto"/>
              <w:left w:val="single" w:sz="6" w:space="0" w:color="auto"/>
              <w:bottom w:val="single" w:sz="6" w:space="0" w:color="auto"/>
              <w:right w:val="single" w:sz="6" w:space="0" w:color="auto"/>
            </w:tcBorders>
            <w:vAlign w:val="center"/>
          </w:tcPr>
          <w:p w14:paraId="294F357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557" w:type="pct"/>
            <w:vMerge w:val="restart"/>
            <w:tcBorders>
              <w:top w:val="single" w:sz="6" w:space="0" w:color="auto"/>
              <w:left w:val="single" w:sz="6" w:space="0" w:color="auto"/>
              <w:right w:val="single" w:sz="6" w:space="0" w:color="auto"/>
            </w:tcBorders>
            <w:vAlign w:val="center"/>
          </w:tcPr>
          <w:p w14:paraId="5EC3DCC4"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açıklamalara bakınız.</w:t>
            </w:r>
          </w:p>
          <w:p w14:paraId="1AF93BA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Teknikler ağırlıklı olarak SOX, HCl ve/veya HF kontrolü için kullanılmaktadır.</w:t>
            </w:r>
          </w:p>
        </w:tc>
        <w:tc>
          <w:tcPr>
            <w:tcW w:w="1691" w:type="pct"/>
            <w:vMerge/>
            <w:tcBorders>
              <w:left w:val="single" w:sz="6" w:space="0" w:color="auto"/>
              <w:bottom w:val="single" w:sz="6" w:space="0" w:color="auto"/>
              <w:right w:val="single" w:sz="4" w:space="0" w:color="auto"/>
            </w:tcBorders>
            <w:vAlign w:val="center"/>
          </w:tcPr>
          <w:p w14:paraId="6673019C"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361304FA" w14:textId="77777777" w:rsidTr="003328F9">
        <w:trPr>
          <w:trHeight w:val="381"/>
        </w:trPr>
        <w:tc>
          <w:tcPr>
            <w:tcW w:w="237" w:type="pct"/>
            <w:tcBorders>
              <w:top w:val="single" w:sz="6" w:space="0" w:color="auto"/>
              <w:left w:val="single" w:sz="4" w:space="0" w:color="auto"/>
              <w:bottom w:val="single" w:sz="6" w:space="0" w:color="auto"/>
              <w:right w:val="single" w:sz="6" w:space="0" w:color="auto"/>
            </w:tcBorders>
            <w:vAlign w:val="center"/>
          </w:tcPr>
          <w:p w14:paraId="72132A0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515" w:type="pct"/>
            <w:tcBorders>
              <w:top w:val="single" w:sz="6" w:space="0" w:color="auto"/>
              <w:left w:val="single" w:sz="6" w:space="0" w:color="auto"/>
              <w:bottom w:val="single" w:sz="6" w:space="0" w:color="auto"/>
              <w:right w:val="single" w:sz="6" w:space="0" w:color="auto"/>
            </w:tcBorders>
            <w:vAlign w:val="center"/>
          </w:tcPr>
          <w:p w14:paraId="64410B1D" w14:textId="627E4CF8"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Yaş baca gazı kükürt giderme (yaş FGD)</w:t>
            </w:r>
          </w:p>
        </w:tc>
        <w:tc>
          <w:tcPr>
            <w:tcW w:w="1557" w:type="pct"/>
            <w:vMerge/>
            <w:tcBorders>
              <w:left w:val="single" w:sz="6" w:space="0" w:color="auto"/>
              <w:bottom w:val="single" w:sz="6" w:space="0" w:color="auto"/>
              <w:right w:val="single" w:sz="6" w:space="0" w:color="auto"/>
            </w:tcBorders>
            <w:vAlign w:val="center"/>
          </w:tcPr>
          <w:p w14:paraId="2E544202" w14:textId="77777777" w:rsidR="003328F9" w:rsidRPr="00DD0D1F" w:rsidRDefault="003328F9" w:rsidP="003328F9">
            <w:pPr>
              <w:adjustRightInd w:val="0"/>
              <w:spacing w:line="240" w:lineRule="auto"/>
              <w:ind w:left="74" w:right="74"/>
              <w:rPr>
                <w:rFonts w:cs="Times New Roman"/>
                <w:bCs/>
                <w:szCs w:val="24"/>
                <w:lang w:val="tr-TR"/>
              </w:rPr>
            </w:pPr>
          </w:p>
        </w:tc>
        <w:tc>
          <w:tcPr>
            <w:tcW w:w="1691" w:type="pct"/>
            <w:tcBorders>
              <w:top w:val="single" w:sz="6" w:space="0" w:color="auto"/>
              <w:left w:val="single" w:sz="6" w:space="0" w:color="auto"/>
              <w:bottom w:val="single" w:sz="6" w:space="0" w:color="auto"/>
              <w:right w:val="single" w:sz="4" w:space="0" w:color="auto"/>
            </w:tcBorders>
            <w:vAlign w:val="center"/>
          </w:tcPr>
          <w:p w14:paraId="717524D5"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Bkz. MET 25’'teki uygulanabilirlik bölümü.</w:t>
            </w:r>
          </w:p>
        </w:tc>
      </w:tr>
      <w:tr w:rsidR="003328F9" w:rsidRPr="00DD0D1F" w14:paraId="50508673" w14:textId="77777777" w:rsidTr="003328F9">
        <w:trPr>
          <w:trHeight w:val="120"/>
        </w:trPr>
        <w:tc>
          <w:tcPr>
            <w:tcW w:w="237" w:type="pct"/>
            <w:tcBorders>
              <w:top w:val="single" w:sz="6" w:space="0" w:color="auto"/>
              <w:left w:val="single" w:sz="4" w:space="0" w:color="auto"/>
              <w:bottom w:val="single" w:sz="4" w:space="0" w:color="auto"/>
              <w:right w:val="single" w:sz="6" w:space="0" w:color="auto"/>
            </w:tcBorders>
            <w:vAlign w:val="center"/>
          </w:tcPr>
          <w:p w14:paraId="12B2BF9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e</w:t>
            </w:r>
          </w:p>
        </w:tc>
        <w:tc>
          <w:tcPr>
            <w:tcW w:w="1515" w:type="pct"/>
            <w:tcBorders>
              <w:top w:val="single" w:sz="6" w:space="0" w:color="auto"/>
              <w:left w:val="single" w:sz="6" w:space="0" w:color="auto"/>
              <w:bottom w:val="single" w:sz="4" w:space="0" w:color="auto"/>
              <w:right w:val="single" w:sz="6" w:space="0" w:color="auto"/>
            </w:tcBorders>
            <w:vAlign w:val="center"/>
          </w:tcPr>
          <w:p w14:paraId="6E6BE1D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Yakıt seçimi</w:t>
            </w:r>
          </w:p>
        </w:tc>
        <w:tc>
          <w:tcPr>
            <w:tcW w:w="1557" w:type="pct"/>
            <w:tcBorders>
              <w:top w:val="single" w:sz="6" w:space="0" w:color="auto"/>
              <w:left w:val="single" w:sz="6" w:space="0" w:color="auto"/>
              <w:bottom w:val="single" w:sz="4" w:space="0" w:color="auto"/>
              <w:right w:val="single" w:sz="6" w:space="0" w:color="auto"/>
            </w:tcBorders>
            <w:vAlign w:val="center"/>
          </w:tcPr>
          <w:p w14:paraId="3BC49A0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691" w:type="pct"/>
            <w:tcBorders>
              <w:top w:val="single" w:sz="6" w:space="0" w:color="auto"/>
              <w:left w:val="single" w:sz="6" w:space="0" w:color="auto"/>
              <w:bottom w:val="single" w:sz="4" w:space="0" w:color="auto"/>
              <w:right w:val="single" w:sz="4" w:space="0" w:color="auto"/>
            </w:tcBorders>
            <w:vAlign w:val="center"/>
          </w:tcPr>
          <w:p w14:paraId="0054CD31" w14:textId="01265E79" w:rsidR="003328F9" w:rsidRPr="00DD0D1F" w:rsidRDefault="00EA6536" w:rsidP="003328F9">
            <w:pPr>
              <w:adjustRightInd w:val="0"/>
              <w:spacing w:line="240" w:lineRule="auto"/>
              <w:ind w:left="74" w:right="74"/>
              <w:rPr>
                <w:rFonts w:cs="Times New Roman"/>
                <w:bCs/>
                <w:szCs w:val="24"/>
                <w:lang w:val="tr-TR"/>
              </w:rPr>
            </w:pPr>
            <w:r w:rsidRPr="00DD0D1F">
              <w:rPr>
                <w:rFonts w:cs="Times New Roman"/>
                <w:bCs/>
                <w:szCs w:val="24"/>
                <w:lang w:val="tr-TR"/>
              </w:rPr>
              <w:t>E</w:t>
            </w:r>
            <w:r w:rsidR="003328F9" w:rsidRPr="00DD0D1F">
              <w:rPr>
                <w:rFonts w:cs="Times New Roman"/>
                <w:bCs/>
                <w:szCs w:val="24"/>
                <w:lang w:val="tr-TR"/>
              </w:rPr>
              <w:t>nerji politikasının da etkili olabileceği farklı türde yakıtların kullanılabilirliği ile ilişkili kısıtlamalar dahilinde uygulanabilir.</w:t>
            </w:r>
          </w:p>
        </w:tc>
      </w:tr>
    </w:tbl>
    <w:p w14:paraId="162C74DD" w14:textId="3568406D" w:rsidR="00F366C0" w:rsidRPr="00DD0D1F" w:rsidRDefault="003328F9" w:rsidP="00F366C0">
      <w:pPr>
        <w:pStyle w:val="ResimYazs"/>
        <w:rPr>
          <w:rFonts w:cs="Times New Roman"/>
          <w:color w:val="auto"/>
          <w:szCs w:val="24"/>
        </w:rPr>
      </w:pPr>
      <w:r w:rsidRPr="00DD0D1F">
        <w:rPr>
          <w:rFonts w:cs="Times New Roman"/>
          <w:color w:val="auto"/>
          <w:szCs w:val="24"/>
        </w:rPr>
        <w:t>Katı biyokütle ve/veya turbanın yakılmasından kaynaklanan, havaya toz emisyonlarına yönelik MET ile ilişkili emisyon seviyeleri (MET-İES’ler)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07"/>
        <w:gridCol w:w="857"/>
        <w:gridCol w:w="1001"/>
        <w:gridCol w:w="935"/>
        <w:gridCol w:w="1260"/>
        <w:gridCol w:w="4017"/>
      </w:tblGrid>
      <w:tr w:rsidR="00EB7491" w:rsidRPr="00DD0D1F" w14:paraId="60B0AE5F" w14:textId="001234F8" w:rsidTr="00D21C0C">
        <w:trPr>
          <w:trHeight w:val="152"/>
        </w:trPr>
        <w:tc>
          <w:tcPr>
            <w:tcW w:w="561" w:type="pct"/>
            <w:vMerge w:val="restart"/>
            <w:vAlign w:val="center"/>
          </w:tcPr>
          <w:p w14:paraId="68A7E0D5"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439" w:type="pct"/>
            <w:gridSpan w:val="5"/>
            <w:vAlign w:val="center"/>
          </w:tcPr>
          <w:p w14:paraId="5586B847" w14:textId="13D57350"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1F7AC226" w14:textId="2C585FC0" w:rsidTr="00D21C0C">
        <w:trPr>
          <w:trHeight w:val="52"/>
        </w:trPr>
        <w:tc>
          <w:tcPr>
            <w:tcW w:w="561" w:type="pct"/>
            <w:vMerge/>
            <w:vAlign w:val="center"/>
          </w:tcPr>
          <w:p w14:paraId="751E49F3" w14:textId="77777777" w:rsidR="00D21C0C" w:rsidRPr="00DD0D1F" w:rsidRDefault="00D21C0C" w:rsidP="003328F9">
            <w:pPr>
              <w:adjustRightInd w:val="0"/>
              <w:spacing w:line="240" w:lineRule="auto"/>
              <w:ind w:left="74" w:right="74"/>
              <w:jc w:val="center"/>
              <w:rPr>
                <w:rFonts w:cs="Times New Roman"/>
                <w:b/>
                <w:szCs w:val="24"/>
                <w:lang w:val="tr-TR"/>
              </w:rPr>
            </w:pPr>
          </w:p>
        </w:tc>
        <w:tc>
          <w:tcPr>
            <w:tcW w:w="999" w:type="pct"/>
            <w:gridSpan w:val="2"/>
            <w:vAlign w:val="center"/>
          </w:tcPr>
          <w:p w14:paraId="2607EE82"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440" w:type="pct"/>
            <w:gridSpan w:val="3"/>
            <w:vAlign w:val="center"/>
          </w:tcPr>
          <w:p w14:paraId="794C0F49"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555E15B3" w14:textId="75F35269"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1E48B528" w14:textId="157362C6" w:rsidTr="00D21C0C">
        <w:trPr>
          <w:trHeight w:val="52"/>
        </w:trPr>
        <w:tc>
          <w:tcPr>
            <w:tcW w:w="561" w:type="pct"/>
            <w:vMerge/>
            <w:vAlign w:val="center"/>
          </w:tcPr>
          <w:p w14:paraId="4376FFB9" w14:textId="77777777" w:rsidR="00D21C0C" w:rsidRPr="00DD0D1F" w:rsidRDefault="00D21C0C" w:rsidP="003328F9">
            <w:pPr>
              <w:adjustRightInd w:val="0"/>
              <w:spacing w:line="240" w:lineRule="auto"/>
              <w:ind w:left="74" w:right="74"/>
              <w:jc w:val="center"/>
              <w:rPr>
                <w:rFonts w:cs="Times New Roman"/>
                <w:b/>
                <w:szCs w:val="24"/>
                <w:lang w:val="tr-TR"/>
              </w:rPr>
            </w:pPr>
          </w:p>
        </w:tc>
        <w:tc>
          <w:tcPr>
            <w:tcW w:w="478" w:type="pct"/>
            <w:vAlign w:val="center"/>
          </w:tcPr>
          <w:p w14:paraId="473D46D4"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21" w:type="pct"/>
            <w:vAlign w:val="center"/>
          </w:tcPr>
          <w:p w14:paraId="14D31F11"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21" w:type="pct"/>
            <w:vAlign w:val="center"/>
          </w:tcPr>
          <w:p w14:paraId="025B7FCF"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00" w:type="pct"/>
            <w:vAlign w:val="center"/>
          </w:tcPr>
          <w:p w14:paraId="0B42D742" w14:textId="56108E3F"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219" w:type="pct"/>
          </w:tcPr>
          <w:p w14:paraId="7F10315E"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p w14:paraId="40A59F08" w14:textId="77777777" w:rsidR="00D21C0C" w:rsidRPr="00DD0D1F" w:rsidRDefault="00D21C0C" w:rsidP="003328F9">
            <w:pPr>
              <w:adjustRightInd w:val="0"/>
              <w:spacing w:line="240" w:lineRule="auto"/>
              <w:ind w:left="74" w:right="74"/>
              <w:jc w:val="center"/>
              <w:rPr>
                <w:rFonts w:cs="Times New Roman"/>
                <w:b/>
                <w:szCs w:val="24"/>
                <w:lang w:val="tr-TR"/>
              </w:rPr>
            </w:pPr>
          </w:p>
          <w:p w14:paraId="06A10B3E" w14:textId="3434EAEB"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73297211" w14:textId="6B38FDAC" w:rsidTr="00D21C0C">
        <w:trPr>
          <w:trHeight w:val="64"/>
        </w:trPr>
        <w:tc>
          <w:tcPr>
            <w:tcW w:w="561" w:type="pct"/>
            <w:vAlign w:val="center"/>
          </w:tcPr>
          <w:p w14:paraId="665A7026"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478" w:type="pct"/>
            <w:vAlign w:val="center"/>
          </w:tcPr>
          <w:p w14:paraId="368D4E57"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21" w:type="pct"/>
            <w:vAlign w:val="center"/>
          </w:tcPr>
          <w:p w14:paraId="66032A62"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2-15</w:t>
            </w:r>
          </w:p>
        </w:tc>
        <w:tc>
          <w:tcPr>
            <w:tcW w:w="521" w:type="pct"/>
            <w:vAlign w:val="center"/>
          </w:tcPr>
          <w:p w14:paraId="227DD615"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00" w:type="pct"/>
            <w:vAlign w:val="center"/>
          </w:tcPr>
          <w:p w14:paraId="508AAD5C"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2-22</w:t>
            </w:r>
          </w:p>
        </w:tc>
        <w:tc>
          <w:tcPr>
            <w:tcW w:w="2219" w:type="pct"/>
          </w:tcPr>
          <w:p w14:paraId="04689983" w14:textId="3FCC8DE8"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30</w:t>
            </w:r>
          </w:p>
        </w:tc>
      </w:tr>
      <w:tr w:rsidR="00EB7491" w:rsidRPr="00DD0D1F" w14:paraId="3CE13485" w14:textId="3BD5EAF7" w:rsidTr="00D21C0C">
        <w:trPr>
          <w:trHeight w:val="52"/>
        </w:trPr>
        <w:tc>
          <w:tcPr>
            <w:tcW w:w="561" w:type="pct"/>
            <w:vAlign w:val="center"/>
          </w:tcPr>
          <w:p w14:paraId="1809F99A"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478" w:type="pct"/>
            <w:vAlign w:val="center"/>
          </w:tcPr>
          <w:p w14:paraId="51B95380"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21" w:type="pct"/>
            <w:vAlign w:val="center"/>
          </w:tcPr>
          <w:p w14:paraId="4DC52513"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2-12</w:t>
            </w:r>
          </w:p>
        </w:tc>
        <w:tc>
          <w:tcPr>
            <w:tcW w:w="521" w:type="pct"/>
            <w:vAlign w:val="center"/>
          </w:tcPr>
          <w:p w14:paraId="1F2C1FFF"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00" w:type="pct"/>
            <w:vAlign w:val="center"/>
          </w:tcPr>
          <w:p w14:paraId="7AD44829"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2-18</w:t>
            </w:r>
          </w:p>
        </w:tc>
        <w:tc>
          <w:tcPr>
            <w:tcW w:w="2219" w:type="pct"/>
          </w:tcPr>
          <w:p w14:paraId="18A3DE4C" w14:textId="5929ED1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3C44EFEF" w14:textId="6193D7E8" w:rsidTr="00D21C0C">
        <w:trPr>
          <w:trHeight w:val="52"/>
        </w:trPr>
        <w:tc>
          <w:tcPr>
            <w:tcW w:w="561" w:type="pct"/>
            <w:vAlign w:val="center"/>
          </w:tcPr>
          <w:p w14:paraId="26A8B440"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478" w:type="pct"/>
            <w:vAlign w:val="center"/>
          </w:tcPr>
          <w:p w14:paraId="3117BE3D"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21" w:type="pct"/>
            <w:vAlign w:val="center"/>
          </w:tcPr>
          <w:p w14:paraId="76E9EC78"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521" w:type="pct"/>
            <w:vAlign w:val="center"/>
          </w:tcPr>
          <w:p w14:paraId="0721AE49"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00" w:type="pct"/>
            <w:vAlign w:val="center"/>
          </w:tcPr>
          <w:p w14:paraId="3227CF35"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2-16</w:t>
            </w:r>
          </w:p>
        </w:tc>
        <w:tc>
          <w:tcPr>
            <w:tcW w:w="2219" w:type="pct"/>
          </w:tcPr>
          <w:p w14:paraId="7FCED85D" w14:textId="2750DCA0"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0879BBC0" w14:textId="3D4F5601" w:rsidTr="00D21C0C">
        <w:trPr>
          <w:trHeight w:val="320"/>
        </w:trPr>
        <w:tc>
          <w:tcPr>
            <w:tcW w:w="5000" w:type="pct"/>
            <w:gridSpan w:val="6"/>
          </w:tcPr>
          <w:p w14:paraId="3474DDCA" w14:textId="77777777" w:rsidR="00D21C0C" w:rsidRPr="00DD0D1F" w:rsidRDefault="00D21C0C"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27A345B2" w14:textId="026D6AC7" w:rsidR="00D21C0C" w:rsidRPr="00DD0D1F" w:rsidRDefault="00D21C0C"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4124678D" w14:textId="77777777" w:rsidR="003328F9" w:rsidRPr="00DD0D1F" w:rsidRDefault="003328F9" w:rsidP="00FF111D">
      <w:pPr>
        <w:pStyle w:val="Balk3"/>
        <w:numPr>
          <w:ilvl w:val="2"/>
          <w:numId w:val="73"/>
        </w:numPr>
        <w:rPr>
          <w:rFonts w:cs="Times New Roman"/>
        </w:rPr>
      </w:pPr>
      <w:bookmarkStart w:id="41" w:name="_Toc137367306"/>
      <w:r w:rsidRPr="00DD0D1F">
        <w:rPr>
          <w:rFonts w:cs="Times New Roman"/>
        </w:rPr>
        <w:t>Havaya Cıva Emisyonları</w:t>
      </w:r>
      <w:bookmarkEnd w:id="41"/>
    </w:p>
    <w:p w14:paraId="2CA56BE8" w14:textId="2CC720EC" w:rsidR="003328F9" w:rsidRPr="00DD0D1F" w:rsidRDefault="003328F9" w:rsidP="003328F9">
      <w:pPr>
        <w:spacing w:before="240"/>
        <w:rPr>
          <w:rFonts w:cs="Times New Roman"/>
          <w:b/>
          <w:bCs/>
          <w:szCs w:val="24"/>
        </w:rPr>
      </w:pPr>
      <w:r w:rsidRPr="00DD0D1F">
        <w:rPr>
          <w:rFonts w:cs="Times New Roman"/>
          <w:b/>
          <w:bCs/>
          <w:szCs w:val="24"/>
        </w:rPr>
        <w:t xml:space="preserve">MET 27: </w:t>
      </w:r>
      <w:r w:rsidRPr="00DD0D1F">
        <w:rPr>
          <w:rFonts w:cs="Times New Roman"/>
          <w:bCs/>
          <w:szCs w:val="24"/>
        </w:rPr>
        <w:t>Katı biyokütle ve/veya turbanın yakılmasından kaynaklanan, havaya cıva emisyonunu önlemek veya azaltmak için, a</w:t>
      </w:r>
      <w:r w:rsidR="00F366C0" w:rsidRPr="00DD0D1F">
        <w:rPr>
          <w:rFonts w:cs="Times New Roman"/>
          <w:bCs/>
          <w:szCs w:val="24"/>
        </w:rPr>
        <w:t>şağıda verilen tekniklerin biri veya bunların bir birleşimi</w:t>
      </w:r>
      <w:r w:rsidRPr="00DD0D1F">
        <w:rPr>
          <w:rFonts w:cs="Times New Roman"/>
          <w:bCs/>
          <w:szCs w:val="24"/>
        </w:rPr>
        <w:t xml:space="preserve"> kullan</w:t>
      </w:r>
      <w:r w:rsidR="00F366C0"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49"/>
        <w:gridCol w:w="2919"/>
        <w:gridCol w:w="2834"/>
        <w:gridCol w:w="2975"/>
      </w:tblGrid>
      <w:tr w:rsidR="003328F9" w:rsidRPr="00DD0D1F" w14:paraId="6E6EB08A" w14:textId="77777777" w:rsidTr="003328F9">
        <w:trPr>
          <w:trHeight w:val="358"/>
          <w:tblHeader/>
        </w:trPr>
        <w:tc>
          <w:tcPr>
            <w:tcW w:w="1800" w:type="pct"/>
            <w:gridSpan w:val="2"/>
            <w:tcBorders>
              <w:top w:val="single" w:sz="4" w:space="0" w:color="auto"/>
              <w:left w:val="single" w:sz="4" w:space="0" w:color="auto"/>
              <w:bottom w:val="single" w:sz="6" w:space="0" w:color="auto"/>
              <w:right w:val="single" w:sz="6" w:space="0" w:color="auto"/>
            </w:tcBorders>
            <w:vAlign w:val="center"/>
          </w:tcPr>
          <w:p w14:paraId="61297B65" w14:textId="77777777" w:rsidR="003328F9" w:rsidRPr="00DD0D1F" w:rsidRDefault="003328F9" w:rsidP="003328F9">
            <w:pPr>
              <w:adjustRightInd w:val="0"/>
              <w:spacing w:line="240" w:lineRule="auto"/>
              <w:ind w:left="74" w:right="74"/>
              <w:jc w:val="center"/>
              <w:rPr>
                <w:rFonts w:cs="Times New Roman"/>
                <w:b/>
                <w:szCs w:val="24"/>
                <w:lang w:val="tr-TR"/>
              </w:rPr>
            </w:pPr>
            <w:bookmarkStart w:id="42" w:name="_Hlk135148135"/>
            <w:r w:rsidRPr="00DD0D1F">
              <w:rPr>
                <w:rFonts w:cs="Times New Roman"/>
                <w:szCs w:val="24"/>
                <w:lang w:val="tr-TR"/>
              </w:rPr>
              <w:br w:type="page"/>
            </w:r>
            <w:r w:rsidRPr="00DD0D1F">
              <w:rPr>
                <w:rFonts w:cs="Times New Roman"/>
                <w:b/>
                <w:szCs w:val="24"/>
                <w:lang w:val="tr-TR"/>
              </w:rPr>
              <w:t>Teknik</w:t>
            </w:r>
          </w:p>
        </w:tc>
        <w:tc>
          <w:tcPr>
            <w:tcW w:w="1561" w:type="pct"/>
            <w:tcBorders>
              <w:top w:val="single" w:sz="4" w:space="0" w:color="auto"/>
              <w:left w:val="single" w:sz="6" w:space="0" w:color="auto"/>
              <w:bottom w:val="single" w:sz="6" w:space="0" w:color="auto"/>
              <w:right w:val="single" w:sz="6" w:space="0" w:color="auto"/>
            </w:tcBorders>
            <w:vAlign w:val="center"/>
          </w:tcPr>
          <w:p w14:paraId="0F6FC2E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639" w:type="pct"/>
            <w:tcBorders>
              <w:top w:val="single" w:sz="4" w:space="0" w:color="auto"/>
              <w:left w:val="single" w:sz="6" w:space="0" w:color="auto"/>
              <w:bottom w:val="single" w:sz="6" w:space="0" w:color="auto"/>
              <w:right w:val="single" w:sz="4" w:space="0" w:color="auto"/>
            </w:tcBorders>
            <w:vAlign w:val="center"/>
          </w:tcPr>
          <w:p w14:paraId="4D9529B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1898BDB" w14:textId="77777777" w:rsidTr="003328F9">
        <w:trPr>
          <w:trHeight w:val="152"/>
        </w:trPr>
        <w:tc>
          <w:tcPr>
            <w:tcW w:w="5000" w:type="pct"/>
            <w:gridSpan w:val="4"/>
            <w:tcBorders>
              <w:top w:val="single" w:sz="6" w:space="0" w:color="auto"/>
              <w:left w:val="single" w:sz="4" w:space="0" w:color="auto"/>
              <w:bottom w:val="single" w:sz="6" w:space="0" w:color="auto"/>
              <w:right w:val="single" w:sz="4" w:space="0" w:color="auto"/>
            </w:tcBorders>
            <w:vAlign w:val="center"/>
          </w:tcPr>
          <w:p w14:paraId="27779485"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Cıva emisyonlarını azaltmak için spesifik teknikler</w:t>
            </w:r>
          </w:p>
        </w:tc>
      </w:tr>
      <w:tr w:rsidR="003328F9" w:rsidRPr="00DD0D1F" w14:paraId="0897378A" w14:textId="77777777" w:rsidTr="003328F9">
        <w:trPr>
          <w:trHeight w:val="655"/>
        </w:trPr>
        <w:tc>
          <w:tcPr>
            <w:tcW w:w="192" w:type="pct"/>
            <w:tcBorders>
              <w:top w:val="single" w:sz="6" w:space="0" w:color="auto"/>
              <w:left w:val="single" w:sz="4" w:space="0" w:color="auto"/>
              <w:bottom w:val="single" w:sz="6" w:space="0" w:color="auto"/>
              <w:right w:val="single" w:sz="6" w:space="0" w:color="auto"/>
            </w:tcBorders>
            <w:vAlign w:val="center"/>
          </w:tcPr>
          <w:p w14:paraId="04C72CB9" w14:textId="77777777" w:rsidR="003328F9" w:rsidRPr="00DD0D1F" w:rsidRDefault="003328F9" w:rsidP="003328F9">
            <w:pPr>
              <w:adjustRightInd w:val="0"/>
              <w:spacing w:line="240" w:lineRule="auto"/>
              <w:ind w:left="74" w:right="74"/>
              <w:rPr>
                <w:rFonts w:cs="Times New Roman"/>
                <w:szCs w:val="24"/>
                <w:lang w:val="tr-TR"/>
              </w:rPr>
            </w:pPr>
          </w:p>
          <w:p w14:paraId="680B78B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608" w:type="pct"/>
            <w:tcBorders>
              <w:top w:val="single" w:sz="6" w:space="0" w:color="auto"/>
              <w:left w:val="single" w:sz="6" w:space="0" w:color="auto"/>
              <w:bottom w:val="single" w:sz="6" w:space="0" w:color="auto"/>
              <w:right w:val="single" w:sz="6" w:space="0" w:color="auto"/>
            </w:tcBorders>
            <w:vAlign w:val="center"/>
          </w:tcPr>
          <w:p w14:paraId="1B22F793" w14:textId="68663DC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Baca gazına karbon sorbent (örneğin aktif karbon veya halojenli aktif karbon) enjeksiyonu</w:t>
            </w:r>
          </w:p>
        </w:tc>
        <w:tc>
          <w:tcPr>
            <w:tcW w:w="1561" w:type="pct"/>
            <w:vMerge w:val="restart"/>
            <w:tcBorders>
              <w:top w:val="single" w:sz="6" w:space="0" w:color="auto"/>
              <w:left w:val="single" w:sz="6" w:space="0" w:color="auto"/>
              <w:right w:val="single" w:sz="6" w:space="0" w:color="auto"/>
            </w:tcBorders>
            <w:vAlign w:val="center"/>
          </w:tcPr>
          <w:p w14:paraId="278075E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açıklamaya bakınız.</w:t>
            </w:r>
          </w:p>
        </w:tc>
        <w:tc>
          <w:tcPr>
            <w:tcW w:w="1639" w:type="pct"/>
            <w:tcBorders>
              <w:top w:val="single" w:sz="6" w:space="0" w:color="auto"/>
              <w:left w:val="single" w:sz="6" w:space="0" w:color="auto"/>
              <w:bottom w:val="single" w:sz="6" w:space="0" w:color="auto"/>
              <w:right w:val="single" w:sz="4" w:space="0" w:color="auto"/>
            </w:tcBorders>
            <w:vAlign w:val="center"/>
          </w:tcPr>
          <w:p w14:paraId="06370A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6383BEED" w14:textId="77777777" w:rsidTr="003328F9">
        <w:trPr>
          <w:trHeight w:val="610"/>
        </w:trPr>
        <w:tc>
          <w:tcPr>
            <w:tcW w:w="192" w:type="pct"/>
            <w:tcBorders>
              <w:top w:val="single" w:sz="6" w:space="0" w:color="auto"/>
              <w:left w:val="single" w:sz="4" w:space="0" w:color="auto"/>
              <w:bottom w:val="single" w:sz="6" w:space="0" w:color="auto"/>
              <w:right w:val="single" w:sz="6" w:space="0" w:color="auto"/>
            </w:tcBorders>
            <w:vAlign w:val="center"/>
          </w:tcPr>
          <w:p w14:paraId="2C3A50FF" w14:textId="77777777" w:rsidR="003328F9" w:rsidRPr="00DD0D1F" w:rsidRDefault="003328F9" w:rsidP="003328F9">
            <w:pPr>
              <w:adjustRightInd w:val="0"/>
              <w:spacing w:line="240" w:lineRule="auto"/>
              <w:ind w:left="74" w:right="74"/>
              <w:rPr>
                <w:rFonts w:cs="Times New Roman"/>
                <w:szCs w:val="24"/>
                <w:lang w:val="tr-TR"/>
              </w:rPr>
            </w:pPr>
          </w:p>
          <w:p w14:paraId="5442126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608" w:type="pct"/>
            <w:tcBorders>
              <w:top w:val="single" w:sz="6" w:space="0" w:color="auto"/>
              <w:left w:val="single" w:sz="6" w:space="0" w:color="auto"/>
              <w:bottom w:val="single" w:sz="6" w:space="0" w:color="auto"/>
              <w:right w:val="single" w:sz="6" w:space="0" w:color="auto"/>
            </w:tcBorders>
            <w:vAlign w:val="center"/>
          </w:tcPr>
          <w:p w14:paraId="05C8524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Yakıtta veya fırına enjekte edilen halojenli katkı maddelerinin kullanılması</w:t>
            </w:r>
          </w:p>
        </w:tc>
        <w:tc>
          <w:tcPr>
            <w:tcW w:w="1561" w:type="pct"/>
            <w:vMerge/>
            <w:tcBorders>
              <w:left w:val="single" w:sz="6" w:space="0" w:color="auto"/>
              <w:right w:val="single" w:sz="6" w:space="0" w:color="auto"/>
            </w:tcBorders>
            <w:vAlign w:val="center"/>
          </w:tcPr>
          <w:p w14:paraId="710A5B37" w14:textId="77777777" w:rsidR="003328F9" w:rsidRPr="00DD0D1F" w:rsidRDefault="003328F9" w:rsidP="003328F9">
            <w:pPr>
              <w:adjustRightInd w:val="0"/>
              <w:spacing w:line="240" w:lineRule="auto"/>
              <w:ind w:left="74" w:right="74"/>
              <w:rPr>
                <w:rFonts w:cs="Times New Roman"/>
                <w:szCs w:val="24"/>
                <w:lang w:val="tr-TR"/>
              </w:rPr>
            </w:pPr>
          </w:p>
        </w:tc>
        <w:tc>
          <w:tcPr>
            <w:tcW w:w="1639" w:type="pct"/>
            <w:tcBorders>
              <w:top w:val="single" w:sz="6" w:space="0" w:color="auto"/>
              <w:left w:val="single" w:sz="6" w:space="0" w:color="auto"/>
              <w:bottom w:val="single" w:sz="6" w:space="0" w:color="auto"/>
              <w:right w:val="single" w:sz="4" w:space="0" w:color="auto"/>
            </w:tcBorders>
            <w:vAlign w:val="center"/>
          </w:tcPr>
          <w:p w14:paraId="355A47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yakıtta düşük halojen içeriği söz konusu olduğunda uygulanabilir.</w:t>
            </w:r>
          </w:p>
        </w:tc>
      </w:tr>
      <w:tr w:rsidR="003328F9" w:rsidRPr="00DD0D1F" w14:paraId="65510DB8" w14:textId="77777777" w:rsidTr="003328F9">
        <w:trPr>
          <w:trHeight w:val="53"/>
        </w:trPr>
        <w:tc>
          <w:tcPr>
            <w:tcW w:w="192" w:type="pct"/>
            <w:tcBorders>
              <w:top w:val="single" w:sz="6" w:space="0" w:color="auto"/>
              <w:left w:val="single" w:sz="4" w:space="0" w:color="auto"/>
              <w:bottom w:val="single" w:sz="6" w:space="0" w:color="auto"/>
              <w:right w:val="single" w:sz="6" w:space="0" w:color="auto"/>
            </w:tcBorders>
            <w:vAlign w:val="center"/>
          </w:tcPr>
          <w:p w14:paraId="50407B8A" w14:textId="77777777" w:rsidR="003328F9" w:rsidRPr="00DD0D1F" w:rsidRDefault="003328F9" w:rsidP="003328F9">
            <w:pPr>
              <w:adjustRightInd w:val="0"/>
              <w:spacing w:line="240" w:lineRule="auto"/>
              <w:ind w:left="74" w:right="74"/>
              <w:rPr>
                <w:rFonts w:cs="Times New Roman"/>
                <w:szCs w:val="24"/>
                <w:lang w:val="tr-TR"/>
              </w:rPr>
            </w:pPr>
          </w:p>
          <w:p w14:paraId="54D037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608" w:type="pct"/>
            <w:tcBorders>
              <w:top w:val="single" w:sz="6" w:space="0" w:color="auto"/>
              <w:left w:val="single" w:sz="6" w:space="0" w:color="auto"/>
              <w:bottom w:val="single" w:sz="6" w:space="0" w:color="auto"/>
              <w:right w:val="single" w:sz="6" w:space="0" w:color="auto"/>
            </w:tcBorders>
            <w:vAlign w:val="center"/>
          </w:tcPr>
          <w:p w14:paraId="52DF7F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561" w:type="pct"/>
            <w:vMerge/>
            <w:tcBorders>
              <w:left w:val="single" w:sz="6" w:space="0" w:color="auto"/>
              <w:bottom w:val="single" w:sz="6" w:space="0" w:color="auto"/>
              <w:right w:val="single" w:sz="6" w:space="0" w:color="auto"/>
            </w:tcBorders>
            <w:vAlign w:val="center"/>
          </w:tcPr>
          <w:p w14:paraId="63395F28" w14:textId="77777777" w:rsidR="003328F9" w:rsidRPr="00DD0D1F" w:rsidRDefault="003328F9" w:rsidP="003328F9">
            <w:pPr>
              <w:adjustRightInd w:val="0"/>
              <w:spacing w:line="240" w:lineRule="auto"/>
              <w:ind w:left="74" w:right="74"/>
              <w:rPr>
                <w:rFonts w:cs="Times New Roman"/>
                <w:szCs w:val="24"/>
                <w:lang w:val="tr-TR"/>
              </w:rPr>
            </w:pPr>
          </w:p>
        </w:tc>
        <w:tc>
          <w:tcPr>
            <w:tcW w:w="1639" w:type="pct"/>
            <w:tcBorders>
              <w:top w:val="single" w:sz="6" w:space="0" w:color="auto"/>
              <w:left w:val="single" w:sz="6" w:space="0" w:color="auto"/>
              <w:bottom w:val="single" w:sz="6" w:space="0" w:color="auto"/>
              <w:right w:val="single" w:sz="4" w:space="0" w:color="auto"/>
            </w:tcBorders>
            <w:vAlign w:val="center"/>
          </w:tcPr>
          <w:p w14:paraId="2B0476DF" w14:textId="3D3C7B1C" w:rsidR="003328F9" w:rsidRPr="00DD0D1F" w:rsidRDefault="00EA6536" w:rsidP="00EA6536">
            <w:pPr>
              <w:adjustRightInd w:val="0"/>
              <w:spacing w:line="240" w:lineRule="auto"/>
              <w:ind w:left="74" w:right="74"/>
              <w:rPr>
                <w:rFonts w:cs="Times New Roman"/>
                <w:szCs w:val="24"/>
                <w:lang w:val="tr-TR"/>
              </w:rPr>
            </w:pPr>
            <w:r w:rsidRPr="00DD0D1F">
              <w:rPr>
                <w:rFonts w:cs="Times New Roman"/>
                <w:szCs w:val="24"/>
                <w:lang w:val="tr-TR"/>
              </w:rPr>
              <w:t>E</w:t>
            </w:r>
            <w:r w:rsidR="003328F9" w:rsidRPr="00DD0D1F">
              <w:rPr>
                <w:rFonts w:cs="Times New Roman"/>
                <w:szCs w:val="24"/>
                <w:lang w:val="tr-TR"/>
              </w:rPr>
              <w:t>nerji politikasının da etkili olabileceği farklı türde yakıtların kullanılabilirliği ile ilişkili kısıtlamalar dahilinde uygulanabilir.</w:t>
            </w:r>
          </w:p>
        </w:tc>
      </w:tr>
      <w:tr w:rsidR="003328F9" w:rsidRPr="00DD0D1F" w14:paraId="125936E0" w14:textId="77777777" w:rsidTr="003328F9">
        <w:trPr>
          <w:trHeight w:val="130"/>
        </w:trPr>
        <w:tc>
          <w:tcPr>
            <w:tcW w:w="5000" w:type="pct"/>
            <w:gridSpan w:val="4"/>
            <w:tcBorders>
              <w:top w:val="single" w:sz="6" w:space="0" w:color="auto"/>
              <w:left w:val="single" w:sz="4" w:space="0" w:color="auto"/>
              <w:bottom w:val="single" w:sz="6" w:space="0" w:color="auto"/>
              <w:right w:val="single" w:sz="4" w:space="0" w:color="auto"/>
            </w:tcBorders>
            <w:vAlign w:val="center"/>
          </w:tcPr>
          <w:p w14:paraId="71883B56"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Öncelikli olarak diğer kirletici emisyonlarını azaltmak için kullanılan tekniklerin uygulanması ile ortak fayda sağlanması</w:t>
            </w:r>
          </w:p>
        </w:tc>
      </w:tr>
      <w:tr w:rsidR="003328F9" w:rsidRPr="00DD0D1F" w14:paraId="12EF2572" w14:textId="77777777" w:rsidTr="003328F9">
        <w:trPr>
          <w:trHeight w:val="116"/>
        </w:trPr>
        <w:tc>
          <w:tcPr>
            <w:tcW w:w="192" w:type="pct"/>
            <w:tcBorders>
              <w:top w:val="single" w:sz="6" w:space="0" w:color="auto"/>
              <w:left w:val="single" w:sz="4" w:space="0" w:color="auto"/>
              <w:bottom w:val="single" w:sz="6" w:space="0" w:color="auto"/>
              <w:right w:val="single" w:sz="6" w:space="0" w:color="auto"/>
            </w:tcBorders>
            <w:vAlign w:val="center"/>
          </w:tcPr>
          <w:p w14:paraId="039AE0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608" w:type="pct"/>
            <w:tcBorders>
              <w:top w:val="single" w:sz="6" w:space="0" w:color="auto"/>
              <w:left w:val="single" w:sz="6" w:space="0" w:color="auto"/>
              <w:bottom w:val="single" w:sz="6" w:space="0" w:color="auto"/>
              <w:right w:val="single" w:sz="6" w:space="0" w:color="auto"/>
            </w:tcBorders>
            <w:vAlign w:val="center"/>
          </w:tcPr>
          <w:p w14:paraId="67AD1A7C" w14:textId="3F426D0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Elektrostatik </w:t>
            </w:r>
            <w:r w:rsidR="009A6605" w:rsidRPr="00DD0D1F">
              <w:rPr>
                <w:rFonts w:cs="Times New Roman"/>
                <w:szCs w:val="24"/>
                <w:lang w:val="tr-TR"/>
              </w:rPr>
              <w:t>çöktürücü</w:t>
            </w:r>
          </w:p>
          <w:p w14:paraId="76DE07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(ESP)</w:t>
            </w:r>
          </w:p>
        </w:tc>
        <w:tc>
          <w:tcPr>
            <w:tcW w:w="1561" w:type="pct"/>
            <w:vMerge w:val="restart"/>
            <w:tcBorders>
              <w:top w:val="single" w:sz="6" w:space="0" w:color="auto"/>
              <w:left w:val="single" w:sz="6" w:space="0" w:color="auto"/>
              <w:right w:val="single" w:sz="6" w:space="0" w:color="auto"/>
            </w:tcBorders>
            <w:vAlign w:val="center"/>
          </w:tcPr>
          <w:p w14:paraId="3EC3342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p w14:paraId="61B5AA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Teknikler ağırlıklı olarak toz kontrolü için kullanılır.</w:t>
            </w:r>
          </w:p>
        </w:tc>
        <w:tc>
          <w:tcPr>
            <w:tcW w:w="1639" w:type="pct"/>
            <w:vMerge w:val="restart"/>
            <w:tcBorders>
              <w:top w:val="single" w:sz="6" w:space="0" w:color="auto"/>
              <w:left w:val="single" w:sz="6" w:space="0" w:color="auto"/>
              <w:right w:val="single" w:sz="4" w:space="0" w:color="auto"/>
            </w:tcBorders>
            <w:vAlign w:val="center"/>
          </w:tcPr>
          <w:p w14:paraId="1154BF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7B414B35"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ABC25DA" w14:textId="77777777" w:rsidTr="003328F9">
        <w:trPr>
          <w:trHeight w:val="328"/>
        </w:trPr>
        <w:tc>
          <w:tcPr>
            <w:tcW w:w="192" w:type="pct"/>
            <w:tcBorders>
              <w:top w:val="single" w:sz="6" w:space="0" w:color="auto"/>
              <w:left w:val="single" w:sz="4" w:space="0" w:color="auto"/>
              <w:bottom w:val="single" w:sz="6" w:space="0" w:color="auto"/>
              <w:right w:val="single" w:sz="6" w:space="0" w:color="auto"/>
            </w:tcBorders>
            <w:vAlign w:val="center"/>
          </w:tcPr>
          <w:p w14:paraId="7B7C3D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608" w:type="pct"/>
            <w:tcBorders>
              <w:top w:val="single" w:sz="6" w:space="0" w:color="auto"/>
              <w:left w:val="single" w:sz="6" w:space="0" w:color="auto"/>
              <w:bottom w:val="single" w:sz="6" w:space="0" w:color="auto"/>
              <w:right w:val="single" w:sz="6" w:space="0" w:color="auto"/>
            </w:tcBorders>
            <w:vAlign w:val="center"/>
          </w:tcPr>
          <w:p w14:paraId="68442B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561" w:type="pct"/>
            <w:vMerge/>
            <w:tcBorders>
              <w:left w:val="single" w:sz="6" w:space="0" w:color="auto"/>
              <w:bottom w:val="single" w:sz="4" w:space="0" w:color="auto"/>
              <w:right w:val="single" w:sz="6" w:space="0" w:color="auto"/>
            </w:tcBorders>
            <w:vAlign w:val="center"/>
          </w:tcPr>
          <w:p w14:paraId="1A51883B" w14:textId="77777777" w:rsidR="003328F9" w:rsidRPr="00DD0D1F" w:rsidRDefault="003328F9" w:rsidP="003328F9">
            <w:pPr>
              <w:adjustRightInd w:val="0"/>
              <w:spacing w:line="240" w:lineRule="auto"/>
              <w:ind w:left="74" w:right="74"/>
              <w:rPr>
                <w:rFonts w:cs="Times New Roman"/>
                <w:szCs w:val="24"/>
                <w:lang w:val="tr-TR"/>
              </w:rPr>
            </w:pPr>
          </w:p>
        </w:tc>
        <w:tc>
          <w:tcPr>
            <w:tcW w:w="1639" w:type="pct"/>
            <w:vMerge/>
            <w:tcBorders>
              <w:left w:val="single" w:sz="6" w:space="0" w:color="auto"/>
              <w:right w:val="single" w:sz="4" w:space="0" w:color="auto"/>
            </w:tcBorders>
            <w:vAlign w:val="center"/>
          </w:tcPr>
          <w:p w14:paraId="44E405B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6778D38" w14:textId="77777777" w:rsidTr="003328F9">
        <w:trPr>
          <w:trHeight w:val="110"/>
        </w:trPr>
        <w:tc>
          <w:tcPr>
            <w:tcW w:w="192" w:type="pct"/>
            <w:tcBorders>
              <w:top w:val="single" w:sz="6" w:space="0" w:color="auto"/>
              <w:left w:val="single" w:sz="4" w:space="0" w:color="auto"/>
              <w:bottom w:val="single" w:sz="6" w:space="0" w:color="auto"/>
              <w:right w:val="single" w:sz="6" w:space="0" w:color="auto"/>
            </w:tcBorders>
            <w:vAlign w:val="center"/>
          </w:tcPr>
          <w:p w14:paraId="1F051D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608" w:type="pct"/>
            <w:tcBorders>
              <w:top w:val="single" w:sz="6" w:space="0" w:color="auto"/>
              <w:left w:val="single" w:sz="6" w:space="0" w:color="auto"/>
              <w:bottom w:val="single" w:sz="6" w:space="0" w:color="auto"/>
              <w:right w:val="single" w:sz="4" w:space="0" w:color="auto"/>
            </w:tcBorders>
            <w:vAlign w:val="center"/>
          </w:tcPr>
          <w:p w14:paraId="2244A5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veya yarı kuru FGD sistemi</w:t>
            </w:r>
          </w:p>
        </w:tc>
        <w:tc>
          <w:tcPr>
            <w:tcW w:w="1561" w:type="pct"/>
            <w:vMerge w:val="restart"/>
            <w:tcBorders>
              <w:top w:val="single" w:sz="4" w:space="0" w:color="auto"/>
              <w:left w:val="single" w:sz="4" w:space="0" w:color="auto"/>
              <w:bottom w:val="single" w:sz="4" w:space="0" w:color="auto"/>
              <w:right w:val="single" w:sz="4" w:space="0" w:color="auto"/>
            </w:tcBorders>
            <w:vAlign w:val="center"/>
          </w:tcPr>
          <w:p w14:paraId="3E7C87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p w14:paraId="4A688C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Teknikler ağırlıklı olarak SO</w:t>
            </w:r>
            <w:r w:rsidRPr="00DD0D1F">
              <w:rPr>
                <w:rFonts w:cs="Times New Roman"/>
                <w:szCs w:val="24"/>
                <w:vertAlign w:val="subscript"/>
                <w:lang w:val="tr-TR"/>
              </w:rPr>
              <w:t>X</w:t>
            </w:r>
            <w:r w:rsidRPr="00DD0D1F">
              <w:rPr>
                <w:rFonts w:cs="Times New Roman"/>
                <w:szCs w:val="24"/>
                <w:lang w:val="tr-TR"/>
              </w:rPr>
              <w:t>, HCl ve/veya HF kontrolü için kullanılır.</w:t>
            </w:r>
          </w:p>
        </w:tc>
        <w:tc>
          <w:tcPr>
            <w:tcW w:w="1639" w:type="pct"/>
            <w:vMerge/>
            <w:tcBorders>
              <w:left w:val="single" w:sz="4" w:space="0" w:color="auto"/>
              <w:bottom w:val="single" w:sz="6" w:space="0" w:color="auto"/>
              <w:right w:val="single" w:sz="4" w:space="0" w:color="auto"/>
            </w:tcBorders>
            <w:vAlign w:val="center"/>
          </w:tcPr>
          <w:p w14:paraId="27D877C5"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3DC47C1" w14:textId="77777777" w:rsidTr="003328F9">
        <w:trPr>
          <w:trHeight w:val="336"/>
        </w:trPr>
        <w:tc>
          <w:tcPr>
            <w:tcW w:w="192" w:type="pct"/>
            <w:tcBorders>
              <w:top w:val="single" w:sz="6" w:space="0" w:color="auto"/>
              <w:left w:val="single" w:sz="4" w:space="0" w:color="auto"/>
              <w:bottom w:val="single" w:sz="4" w:space="0" w:color="auto"/>
              <w:right w:val="single" w:sz="6" w:space="0" w:color="auto"/>
            </w:tcBorders>
            <w:vAlign w:val="center"/>
          </w:tcPr>
          <w:p w14:paraId="2371703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608" w:type="pct"/>
            <w:tcBorders>
              <w:top w:val="single" w:sz="6" w:space="0" w:color="auto"/>
              <w:left w:val="single" w:sz="6" w:space="0" w:color="auto"/>
              <w:bottom w:val="single" w:sz="4" w:space="0" w:color="auto"/>
              <w:right w:val="single" w:sz="4" w:space="0" w:color="auto"/>
            </w:tcBorders>
            <w:vAlign w:val="center"/>
          </w:tcPr>
          <w:p w14:paraId="51EAC3C6" w14:textId="4D22244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1561" w:type="pct"/>
            <w:vMerge/>
            <w:tcBorders>
              <w:top w:val="single" w:sz="4" w:space="0" w:color="auto"/>
              <w:left w:val="single" w:sz="4" w:space="0" w:color="auto"/>
              <w:bottom w:val="single" w:sz="4" w:space="0" w:color="auto"/>
              <w:right w:val="single" w:sz="4" w:space="0" w:color="auto"/>
            </w:tcBorders>
            <w:vAlign w:val="center"/>
          </w:tcPr>
          <w:p w14:paraId="36655BF2" w14:textId="77777777" w:rsidR="003328F9" w:rsidRPr="00DD0D1F" w:rsidRDefault="003328F9" w:rsidP="003328F9">
            <w:pPr>
              <w:adjustRightInd w:val="0"/>
              <w:spacing w:line="240" w:lineRule="auto"/>
              <w:ind w:left="74" w:right="74"/>
              <w:rPr>
                <w:rFonts w:cs="Times New Roman"/>
                <w:szCs w:val="24"/>
                <w:lang w:val="tr-TR"/>
              </w:rPr>
            </w:pPr>
          </w:p>
        </w:tc>
        <w:tc>
          <w:tcPr>
            <w:tcW w:w="1639" w:type="pct"/>
            <w:tcBorders>
              <w:top w:val="single" w:sz="6" w:space="0" w:color="auto"/>
              <w:left w:val="single" w:sz="4" w:space="0" w:color="auto"/>
              <w:bottom w:val="single" w:sz="4" w:space="0" w:color="auto"/>
              <w:right w:val="single" w:sz="4" w:space="0" w:color="auto"/>
            </w:tcBorders>
            <w:vAlign w:val="center"/>
          </w:tcPr>
          <w:p w14:paraId="698524A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 25'teki uygulanabilirlik bölümüne bakınız.</w:t>
            </w:r>
          </w:p>
        </w:tc>
      </w:tr>
    </w:tbl>
    <w:bookmarkEnd w:id="42"/>
    <w:p w14:paraId="24B98138" w14:textId="77777777" w:rsidR="003328F9" w:rsidRPr="00DD0D1F" w:rsidRDefault="003328F9" w:rsidP="003328F9">
      <w:pPr>
        <w:spacing w:before="240"/>
        <w:rPr>
          <w:rFonts w:cs="Times New Roman"/>
          <w:szCs w:val="24"/>
          <w:lang w:val="tr-TR"/>
        </w:rPr>
      </w:pPr>
      <w:r w:rsidRPr="00DD0D1F">
        <w:rPr>
          <w:rFonts w:cs="Times New Roman"/>
          <w:szCs w:val="24"/>
          <w:lang w:val="tr-TR"/>
        </w:rPr>
        <w:t>Katı biyokütle ve/veya turbanın yanması sonucu oluşan cıva emisyonuna yönelik MET ile ilişkili emisyon seviyesi (MET-İES), numune alma periyodu ortalaması olarak &lt;1-5 µg/Nm</w:t>
      </w:r>
      <w:r w:rsidRPr="00DD0D1F">
        <w:rPr>
          <w:rFonts w:cs="Times New Roman"/>
          <w:szCs w:val="24"/>
          <w:vertAlign w:val="superscript"/>
          <w:lang w:val="tr-TR"/>
        </w:rPr>
        <w:t>3</w:t>
      </w:r>
      <w:r w:rsidRPr="00DD0D1F">
        <w:rPr>
          <w:rFonts w:cs="Times New Roman"/>
          <w:szCs w:val="24"/>
          <w:lang w:val="tr-TR"/>
        </w:rPr>
        <w:t>'tür.</w:t>
      </w:r>
    </w:p>
    <w:p w14:paraId="7B9F0D78" w14:textId="77777777" w:rsidR="003328F9" w:rsidRPr="00DD0D1F" w:rsidRDefault="003328F9" w:rsidP="00FF111D">
      <w:pPr>
        <w:pStyle w:val="Balk1"/>
        <w:numPr>
          <w:ilvl w:val="0"/>
          <w:numId w:val="73"/>
        </w:numPr>
        <w:spacing w:before="240"/>
        <w:rPr>
          <w:rFonts w:cs="Times New Roman"/>
          <w:szCs w:val="24"/>
          <w:lang w:val="fi-FI"/>
        </w:rPr>
      </w:pPr>
      <w:bookmarkStart w:id="43" w:name="_Toc137367307"/>
      <w:r w:rsidRPr="00DD0D1F">
        <w:rPr>
          <w:rFonts w:cs="Times New Roman"/>
          <w:szCs w:val="24"/>
          <w:lang w:val="fi-FI"/>
        </w:rPr>
        <w:t>SIVI YAKITLARIN YAKILMASINA İLİŞKİN MET’LER</w:t>
      </w:r>
      <w:bookmarkEnd w:id="43"/>
    </w:p>
    <w:p w14:paraId="1FD4A36A" w14:textId="77777777" w:rsidR="003328F9" w:rsidRPr="00DD0D1F" w:rsidRDefault="003328F9" w:rsidP="003328F9">
      <w:pPr>
        <w:spacing w:before="240"/>
        <w:rPr>
          <w:rFonts w:cs="Times New Roman"/>
          <w:szCs w:val="24"/>
          <w:lang w:val="fi-FI"/>
        </w:rPr>
      </w:pPr>
      <w:r w:rsidRPr="00DD0D1F">
        <w:rPr>
          <w:rFonts w:cs="Times New Roman"/>
          <w:szCs w:val="24"/>
          <w:lang w:val="fi-FI"/>
        </w:rPr>
        <w:t xml:space="preserve">Bu bölümde yer alan MET sonuçları açık deniz platformlarında bulunan yakma tesislerine uygulanmaz; </w:t>
      </w:r>
      <w:bookmarkStart w:id="44" w:name="_Toc137367308"/>
    </w:p>
    <w:p w14:paraId="3B8DE5DC" w14:textId="57300615" w:rsidR="003328F9" w:rsidRPr="00DD0D1F" w:rsidRDefault="003328F9" w:rsidP="003328F9">
      <w:pPr>
        <w:spacing w:before="240"/>
        <w:rPr>
          <w:rFonts w:cs="Times New Roman"/>
          <w:szCs w:val="24"/>
          <w:lang w:val="fi-FI"/>
        </w:rPr>
      </w:pPr>
      <w:r w:rsidRPr="00DD0D1F">
        <w:rPr>
          <w:rFonts w:cs="Times New Roman"/>
          <w:szCs w:val="24"/>
          <w:lang w:val="fi-FI"/>
        </w:rPr>
        <w:t>HFO</w:t>
      </w:r>
      <w:r w:rsidR="00EE3E1C" w:rsidRPr="00DD0D1F">
        <w:rPr>
          <w:rFonts w:cs="Times New Roman"/>
          <w:szCs w:val="24"/>
          <w:lang w:val="fi-FI"/>
        </w:rPr>
        <w:t>(Ağır Fuel Oil)</w:t>
      </w:r>
      <w:r w:rsidRPr="00DD0D1F">
        <w:rPr>
          <w:rFonts w:cs="Times New Roman"/>
          <w:szCs w:val="24"/>
          <w:lang w:val="fi-FI"/>
        </w:rPr>
        <w:t xml:space="preserve"> ve/veya Gaz Yağı ile Çalışan Kazanlar</w:t>
      </w:r>
      <w:bookmarkEnd w:id="44"/>
    </w:p>
    <w:p w14:paraId="4DB80648" w14:textId="6AE1A293" w:rsidR="003328F9" w:rsidRPr="00DD0D1F" w:rsidRDefault="00A13BD5" w:rsidP="003328F9">
      <w:pPr>
        <w:spacing w:before="240"/>
        <w:rPr>
          <w:rFonts w:cs="Times New Roman"/>
          <w:szCs w:val="24"/>
          <w:lang w:val="nl-NL"/>
        </w:rPr>
      </w:pPr>
      <w:r>
        <w:rPr>
          <w:rFonts w:cs="Times New Roman"/>
          <w:szCs w:val="24"/>
          <w:lang w:val="fi-FI"/>
        </w:rPr>
        <w:t>Bu</w:t>
      </w:r>
      <w:r w:rsidR="003328F9" w:rsidRPr="00DD0D1F">
        <w:rPr>
          <w:rFonts w:cs="Times New Roman"/>
          <w:szCs w:val="24"/>
          <w:lang w:val="fi-FI"/>
        </w:rPr>
        <w:t xml:space="preserve"> </w:t>
      </w:r>
      <w:r>
        <w:rPr>
          <w:rFonts w:cs="Times New Roman"/>
          <w:szCs w:val="24"/>
          <w:lang w:val="fi-FI"/>
        </w:rPr>
        <w:t>bölüm</w:t>
      </w:r>
      <w:r w:rsidR="003328F9" w:rsidRPr="00DD0D1F">
        <w:rPr>
          <w:rFonts w:cs="Times New Roman"/>
          <w:szCs w:val="24"/>
          <w:lang w:val="fi-FI"/>
        </w:rPr>
        <w:t xml:space="preserve">de yer alan MET sonuçları genel olarak HFO ve/veya gaz yağının kazanlarda yakılması ile ilgilidir. </w:t>
      </w:r>
      <w:r w:rsidR="003328F9" w:rsidRPr="00DD0D1F">
        <w:rPr>
          <w:rFonts w:cs="Times New Roman"/>
          <w:szCs w:val="24"/>
          <w:lang w:val="nl-NL"/>
        </w:rPr>
        <w:t>Bu MET sonuçları, Başlık  1’de belirtilen genel MET sonuçlarına ek olarak geçerlidir.</w:t>
      </w:r>
    </w:p>
    <w:p w14:paraId="27D5DE6F" w14:textId="77777777" w:rsidR="003328F9" w:rsidRPr="00DD0D1F" w:rsidRDefault="003328F9" w:rsidP="00FF111D">
      <w:pPr>
        <w:pStyle w:val="Balk3"/>
        <w:numPr>
          <w:ilvl w:val="2"/>
          <w:numId w:val="73"/>
        </w:numPr>
        <w:rPr>
          <w:rFonts w:cs="Times New Roman"/>
        </w:rPr>
      </w:pPr>
      <w:bookmarkStart w:id="45" w:name="_Toc137367309"/>
      <w:r w:rsidRPr="00DD0D1F">
        <w:rPr>
          <w:rFonts w:cs="Times New Roman"/>
        </w:rPr>
        <w:t>Enerji Verimliliği</w:t>
      </w:r>
      <w:bookmarkEnd w:id="45"/>
    </w:p>
    <w:p w14:paraId="52C31FD7" w14:textId="77777777" w:rsidR="003328F9" w:rsidRPr="00DD0D1F" w:rsidRDefault="003328F9" w:rsidP="003328F9">
      <w:pPr>
        <w:pStyle w:val="ResimYazs"/>
        <w:rPr>
          <w:rFonts w:cs="Times New Roman"/>
          <w:color w:val="auto"/>
          <w:szCs w:val="24"/>
        </w:rPr>
      </w:pPr>
      <w:r w:rsidRPr="00DD0D1F">
        <w:rPr>
          <w:rFonts w:cs="Times New Roman"/>
          <w:color w:val="auto"/>
          <w:szCs w:val="24"/>
        </w:rPr>
        <w:t>HFO ve/veya gaz yağının kazanlarda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2576"/>
        <w:gridCol w:w="1476"/>
        <w:gridCol w:w="1625"/>
        <w:gridCol w:w="1677"/>
        <w:gridCol w:w="1723"/>
      </w:tblGrid>
      <w:tr w:rsidR="003328F9" w:rsidRPr="00DD0D1F" w14:paraId="210E0023" w14:textId="77777777" w:rsidTr="003328F9">
        <w:trPr>
          <w:trHeight w:val="57"/>
          <w:tblHeader/>
        </w:trPr>
        <w:tc>
          <w:tcPr>
            <w:tcW w:w="1419" w:type="pct"/>
            <w:vMerge w:val="restart"/>
            <w:tcBorders>
              <w:top w:val="single" w:sz="4" w:space="0" w:color="auto"/>
              <w:left w:val="single" w:sz="4" w:space="0" w:color="auto"/>
              <w:right w:val="single" w:sz="6" w:space="0" w:color="auto"/>
            </w:tcBorders>
            <w:vAlign w:val="center"/>
          </w:tcPr>
          <w:p w14:paraId="22A95AF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581" w:type="pct"/>
            <w:gridSpan w:val="4"/>
            <w:tcBorders>
              <w:top w:val="single" w:sz="4" w:space="0" w:color="auto"/>
              <w:left w:val="single" w:sz="6" w:space="0" w:color="auto"/>
              <w:bottom w:val="single" w:sz="6" w:space="0" w:color="auto"/>
              <w:right w:val="single" w:sz="4" w:space="0" w:color="auto"/>
            </w:tcBorders>
            <w:vAlign w:val="center"/>
          </w:tcPr>
          <w:p w14:paraId="56128F3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1397003D" w14:textId="77777777" w:rsidTr="003328F9">
        <w:trPr>
          <w:trHeight w:val="57"/>
          <w:tblHeader/>
        </w:trPr>
        <w:tc>
          <w:tcPr>
            <w:tcW w:w="1419" w:type="pct"/>
            <w:vMerge/>
            <w:tcBorders>
              <w:left w:val="single" w:sz="4" w:space="0" w:color="auto"/>
              <w:right w:val="single" w:sz="6" w:space="0" w:color="auto"/>
            </w:tcBorders>
            <w:vAlign w:val="center"/>
          </w:tcPr>
          <w:p w14:paraId="3128048D"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08" w:type="pct"/>
            <w:gridSpan w:val="2"/>
            <w:tcBorders>
              <w:top w:val="single" w:sz="6" w:space="0" w:color="auto"/>
              <w:left w:val="single" w:sz="6" w:space="0" w:color="auto"/>
              <w:bottom w:val="single" w:sz="6" w:space="0" w:color="auto"/>
              <w:right w:val="single" w:sz="6" w:space="0" w:color="auto"/>
            </w:tcBorders>
            <w:vAlign w:val="center"/>
          </w:tcPr>
          <w:p w14:paraId="674353C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873" w:type="pct"/>
            <w:gridSpan w:val="2"/>
            <w:tcBorders>
              <w:top w:val="single" w:sz="6" w:space="0" w:color="auto"/>
              <w:left w:val="single" w:sz="6" w:space="0" w:color="auto"/>
              <w:bottom w:val="single" w:sz="6" w:space="0" w:color="auto"/>
              <w:right w:val="single" w:sz="4" w:space="0" w:color="auto"/>
            </w:tcBorders>
            <w:vAlign w:val="center"/>
          </w:tcPr>
          <w:p w14:paraId="1CF2399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r>
      <w:tr w:rsidR="003328F9" w:rsidRPr="00DD0D1F" w14:paraId="2DA25F14" w14:textId="77777777" w:rsidTr="003328F9">
        <w:trPr>
          <w:trHeight w:val="72"/>
          <w:tblHeader/>
        </w:trPr>
        <w:tc>
          <w:tcPr>
            <w:tcW w:w="1419" w:type="pct"/>
            <w:vMerge/>
            <w:tcBorders>
              <w:left w:val="single" w:sz="4" w:space="0" w:color="auto"/>
              <w:bottom w:val="single" w:sz="6" w:space="0" w:color="auto"/>
              <w:right w:val="single" w:sz="6" w:space="0" w:color="auto"/>
            </w:tcBorders>
            <w:vAlign w:val="center"/>
          </w:tcPr>
          <w:p w14:paraId="22F0DD1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13" w:type="pct"/>
            <w:tcBorders>
              <w:top w:val="single" w:sz="6" w:space="0" w:color="auto"/>
              <w:left w:val="single" w:sz="6" w:space="0" w:color="auto"/>
              <w:bottom w:val="single" w:sz="6" w:space="0" w:color="auto"/>
              <w:right w:val="single" w:sz="6" w:space="0" w:color="auto"/>
            </w:tcBorders>
            <w:vAlign w:val="center"/>
          </w:tcPr>
          <w:p w14:paraId="0D5F307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895" w:type="pct"/>
            <w:tcBorders>
              <w:top w:val="single" w:sz="6" w:space="0" w:color="auto"/>
              <w:left w:val="single" w:sz="6" w:space="0" w:color="auto"/>
              <w:bottom w:val="single" w:sz="6" w:space="0" w:color="auto"/>
              <w:right w:val="single" w:sz="6" w:space="0" w:color="auto"/>
            </w:tcBorders>
            <w:vAlign w:val="center"/>
          </w:tcPr>
          <w:p w14:paraId="17D264E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924" w:type="pct"/>
            <w:tcBorders>
              <w:top w:val="single" w:sz="6" w:space="0" w:color="auto"/>
              <w:left w:val="single" w:sz="6" w:space="0" w:color="auto"/>
              <w:bottom w:val="single" w:sz="6" w:space="0" w:color="auto"/>
              <w:right w:val="single" w:sz="6" w:space="0" w:color="auto"/>
            </w:tcBorders>
            <w:vAlign w:val="center"/>
          </w:tcPr>
          <w:p w14:paraId="7D74A89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949" w:type="pct"/>
            <w:tcBorders>
              <w:top w:val="single" w:sz="6" w:space="0" w:color="auto"/>
              <w:left w:val="single" w:sz="6" w:space="0" w:color="auto"/>
              <w:bottom w:val="single" w:sz="6" w:space="0" w:color="auto"/>
              <w:right w:val="single" w:sz="4" w:space="0" w:color="auto"/>
            </w:tcBorders>
            <w:vAlign w:val="center"/>
          </w:tcPr>
          <w:p w14:paraId="7F7459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03BB99FB" w14:textId="77777777" w:rsidTr="003328F9">
        <w:trPr>
          <w:trHeight w:val="490"/>
        </w:trPr>
        <w:tc>
          <w:tcPr>
            <w:tcW w:w="1419" w:type="pct"/>
            <w:tcBorders>
              <w:top w:val="single" w:sz="6" w:space="0" w:color="auto"/>
              <w:left w:val="single" w:sz="4" w:space="0" w:color="auto"/>
              <w:bottom w:val="single" w:sz="6" w:space="0" w:color="auto"/>
              <w:right w:val="single" w:sz="6" w:space="0" w:color="auto"/>
            </w:tcBorders>
            <w:vAlign w:val="center"/>
          </w:tcPr>
          <w:p w14:paraId="4926528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HFO ve/veya gaz yağı ile çalışan kazan</w:t>
            </w:r>
          </w:p>
        </w:tc>
        <w:tc>
          <w:tcPr>
            <w:tcW w:w="813" w:type="pct"/>
            <w:tcBorders>
              <w:top w:val="single" w:sz="6" w:space="0" w:color="auto"/>
              <w:left w:val="single" w:sz="6" w:space="0" w:color="auto"/>
              <w:bottom w:val="single" w:sz="6" w:space="0" w:color="auto"/>
              <w:right w:val="single" w:sz="6" w:space="0" w:color="auto"/>
            </w:tcBorders>
            <w:vAlign w:val="center"/>
          </w:tcPr>
          <w:p w14:paraId="5E385A0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&gt;36,4</w:t>
            </w:r>
          </w:p>
        </w:tc>
        <w:tc>
          <w:tcPr>
            <w:tcW w:w="895" w:type="pct"/>
            <w:tcBorders>
              <w:top w:val="single" w:sz="6" w:space="0" w:color="auto"/>
              <w:left w:val="single" w:sz="6" w:space="0" w:color="auto"/>
              <w:bottom w:val="single" w:sz="6" w:space="0" w:color="auto"/>
              <w:right w:val="single" w:sz="6" w:space="0" w:color="auto"/>
            </w:tcBorders>
            <w:vAlign w:val="center"/>
          </w:tcPr>
          <w:p w14:paraId="32E2DB1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35,6-37,4</w:t>
            </w:r>
          </w:p>
        </w:tc>
        <w:tc>
          <w:tcPr>
            <w:tcW w:w="924" w:type="pct"/>
            <w:tcBorders>
              <w:top w:val="single" w:sz="6" w:space="0" w:color="auto"/>
              <w:left w:val="single" w:sz="6" w:space="0" w:color="auto"/>
              <w:bottom w:val="single" w:sz="6" w:space="0" w:color="auto"/>
              <w:right w:val="single" w:sz="6" w:space="0" w:color="auto"/>
            </w:tcBorders>
            <w:vAlign w:val="center"/>
          </w:tcPr>
          <w:p w14:paraId="43FB06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c>
          <w:tcPr>
            <w:tcW w:w="949" w:type="pct"/>
            <w:tcBorders>
              <w:top w:val="single" w:sz="6" w:space="0" w:color="auto"/>
              <w:left w:val="single" w:sz="6" w:space="0" w:color="auto"/>
              <w:bottom w:val="single" w:sz="6" w:space="0" w:color="auto"/>
              <w:right w:val="single" w:sz="4" w:space="0" w:color="auto"/>
            </w:tcBorders>
            <w:vAlign w:val="center"/>
          </w:tcPr>
          <w:p w14:paraId="1028AE8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r>
      <w:tr w:rsidR="003328F9" w:rsidRPr="00DD0D1F" w14:paraId="4B0C1902" w14:textId="77777777" w:rsidTr="003328F9">
        <w:trPr>
          <w:trHeight w:val="578"/>
        </w:trPr>
        <w:tc>
          <w:tcPr>
            <w:tcW w:w="5000" w:type="pct"/>
            <w:gridSpan w:val="5"/>
            <w:tcBorders>
              <w:top w:val="single" w:sz="6" w:space="0" w:color="auto"/>
              <w:left w:val="single" w:sz="4" w:space="0" w:color="auto"/>
              <w:bottom w:val="single" w:sz="4" w:space="0" w:color="auto"/>
              <w:right w:val="single" w:sz="4" w:space="0" w:color="auto"/>
            </w:tcBorders>
          </w:tcPr>
          <w:p w14:paraId="4F0EE31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i/>
                <w:szCs w:val="24"/>
                <w:lang w:val="tr-TR"/>
              </w:rPr>
              <w:tab/>
            </w:r>
            <w:r w:rsidRPr="00DD0D1F">
              <w:rPr>
                <w:rFonts w:cs="Times New Roman"/>
                <w:szCs w:val="24"/>
                <w:lang w:val="tr-TR"/>
              </w:rPr>
              <w:t xml:space="preserve">Bu MET-İEVS'ler &lt;1500 saat/yıl çalıştırılan ünitelere uygulanmaz. </w:t>
            </w:r>
          </w:p>
          <w:p w14:paraId="092B9A7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w:t>
            </w:r>
          </w:p>
          <w:p w14:paraId="68D1934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seviyeler, potansiyel ısı talebi çok düşükse elde edilemez.</w:t>
            </w:r>
          </w:p>
        </w:tc>
      </w:tr>
    </w:tbl>
    <w:p w14:paraId="2A283220" w14:textId="77777777" w:rsidR="003328F9" w:rsidRPr="00DD0D1F" w:rsidRDefault="003328F9" w:rsidP="00FF111D">
      <w:pPr>
        <w:pStyle w:val="Balk3"/>
        <w:numPr>
          <w:ilvl w:val="2"/>
          <w:numId w:val="73"/>
        </w:numPr>
        <w:rPr>
          <w:rFonts w:cs="Times New Roman"/>
        </w:rPr>
      </w:pPr>
      <w:bookmarkStart w:id="46" w:name="_Toc137367310"/>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46"/>
    </w:p>
    <w:p w14:paraId="6317CBA4" w14:textId="1B9C0EA7" w:rsidR="003328F9" w:rsidRPr="00DD0D1F" w:rsidRDefault="003328F9" w:rsidP="003328F9">
      <w:pPr>
        <w:spacing w:before="240"/>
        <w:rPr>
          <w:rFonts w:cs="Times New Roman"/>
          <w:b/>
          <w:bCs/>
          <w:szCs w:val="24"/>
        </w:rPr>
      </w:pPr>
      <w:r w:rsidRPr="00DD0D1F">
        <w:rPr>
          <w:rFonts w:cs="Times New Roman"/>
          <w:b/>
          <w:bCs/>
          <w:szCs w:val="24"/>
        </w:rPr>
        <w:t xml:space="preserve">MET 28: </w:t>
      </w:r>
      <w:bookmarkStart w:id="47" w:name="_Hlk137395063"/>
      <w:r w:rsidRPr="00DD0D1F">
        <w:rPr>
          <w:rFonts w:cs="Times New Roman"/>
          <w:bCs/>
          <w:szCs w:val="24"/>
        </w:rPr>
        <w:t>MET, HFO ve/veya gaz yağının kazanlarda yakılmasından kaynaklanan, havaya CO emisyonlarını sınırlarken havaya NO</w:t>
      </w:r>
      <w:r w:rsidRPr="00DD0D1F">
        <w:rPr>
          <w:rFonts w:cs="Times New Roman"/>
          <w:bCs/>
          <w:szCs w:val="24"/>
          <w:vertAlign w:val="subscript"/>
        </w:rPr>
        <w:t>X</w:t>
      </w:r>
      <w:r w:rsidRPr="00DD0D1F">
        <w:rPr>
          <w:rFonts w:cs="Times New Roman"/>
          <w:bCs/>
          <w:szCs w:val="24"/>
        </w:rPr>
        <w:t xml:space="preserve"> emisyonunu önlemek veya azal</w:t>
      </w:r>
      <w:r w:rsidR="00F366C0" w:rsidRPr="00DD0D1F">
        <w:rPr>
          <w:rFonts w:cs="Times New Roman"/>
          <w:bCs/>
          <w:szCs w:val="24"/>
        </w:rPr>
        <w:t>t</w:t>
      </w:r>
      <w:r w:rsidRPr="00DD0D1F">
        <w:rPr>
          <w:rFonts w:cs="Times New Roman"/>
          <w:bCs/>
          <w:szCs w:val="24"/>
        </w:rPr>
        <w:t>mak için aşağıda verilen tekniklerin b</w:t>
      </w:r>
      <w:r w:rsidR="00BE7E64" w:rsidRPr="00DD0D1F">
        <w:rPr>
          <w:rFonts w:cs="Times New Roman"/>
          <w:bCs/>
          <w:szCs w:val="24"/>
        </w:rPr>
        <w:t>iri veya bunların bir birleşimi kullanılır</w:t>
      </w:r>
      <w:r w:rsidRPr="00DD0D1F">
        <w:rPr>
          <w:rFonts w:cs="Times New Roman"/>
          <w:bCs/>
          <w:szCs w:val="24"/>
        </w:rPr>
        <w:t>.</w:t>
      </w:r>
      <w:bookmarkEnd w:id="47"/>
    </w:p>
    <w:tbl>
      <w:tblPr>
        <w:tblW w:w="5000" w:type="pct"/>
        <w:tblCellMar>
          <w:left w:w="40" w:type="dxa"/>
          <w:right w:w="40" w:type="dxa"/>
        </w:tblCellMar>
        <w:tblLook w:val="0000" w:firstRow="0" w:lastRow="0" w:firstColumn="0" w:lastColumn="0" w:noHBand="0" w:noVBand="0"/>
      </w:tblPr>
      <w:tblGrid>
        <w:gridCol w:w="348"/>
        <w:gridCol w:w="2858"/>
        <w:gridCol w:w="2226"/>
        <w:gridCol w:w="3645"/>
      </w:tblGrid>
      <w:tr w:rsidR="003328F9" w:rsidRPr="00DD0D1F" w14:paraId="644515F1" w14:textId="77777777" w:rsidTr="00F366C0">
        <w:trPr>
          <w:trHeight w:val="55"/>
          <w:tblHeader/>
        </w:trPr>
        <w:tc>
          <w:tcPr>
            <w:tcW w:w="181" w:type="pct"/>
            <w:tcBorders>
              <w:top w:val="single" w:sz="4" w:space="0" w:color="auto"/>
              <w:left w:val="single" w:sz="4" w:space="0" w:color="auto"/>
              <w:bottom w:val="single" w:sz="6" w:space="0" w:color="auto"/>
              <w:right w:val="single" w:sz="4" w:space="0" w:color="auto"/>
            </w:tcBorders>
          </w:tcPr>
          <w:p w14:paraId="22EC4080" w14:textId="77777777" w:rsidR="003328F9" w:rsidRPr="00DD0D1F" w:rsidRDefault="003328F9" w:rsidP="003328F9">
            <w:pPr>
              <w:adjustRightInd w:val="0"/>
              <w:spacing w:line="240" w:lineRule="auto"/>
              <w:ind w:left="74" w:right="74"/>
              <w:rPr>
                <w:rFonts w:cs="Times New Roman"/>
                <w:b/>
                <w:szCs w:val="24"/>
                <w:lang w:val="tr-TR"/>
              </w:rPr>
            </w:pPr>
          </w:p>
        </w:tc>
        <w:tc>
          <w:tcPr>
            <w:tcW w:w="1578" w:type="pct"/>
            <w:tcBorders>
              <w:top w:val="single" w:sz="4" w:space="0" w:color="auto"/>
              <w:left w:val="single" w:sz="4" w:space="0" w:color="auto"/>
              <w:bottom w:val="single" w:sz="4" w:space="0" w:color="auto"/>
              <w:right w:val="single" w:sz="6" w:space="0" w:color="auto"/>
            </w:tcBorders>
            <w:vAlign w:val="center"/>
          </w:tcPr>
          <w:p w14:paraId="5C7333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230" w:type="pct"/>
            <w:tcBorders>
              <w:top w:val="single" w:sz="4" w:space="0" w:color="auto"/>
              <w:left w:val="single" w:sz="6" w:space="0" w:color="auto"/>
              <w:bottom w:val="single" w:sz="4" w:space="0" w:color="auto"/>
              <w:right w:val="single" w:sz="6" w:space="0" w:color="auto"/>
            </w:tcBorders>
            <w:vAlign w:val="center"/>
          </w:tcPr>
          <w:p w14:paraId="4A9A469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011" w:type="pct"/>
            <w:tcBorders>
              <w:top w:val="single" w:sz="4" w:space="0" w:color="auto"/>
              <w:left w:val="single" w:sz="6" w:space="0" w:color="auto"/>
              <w:bottom w:val="single" w:sz="6" w:space="0" w:color="auto"/>
              <w:right w:val="single" w:sz="4" w:space="0" w:color="auto"/>
            </w:tcBorders>
            <w:vAlign w:val="center"/>
          </w:tcPr>
          <w:p w14:paraId="1B92A8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F366C0" w:rsidRPr="00DD0D1F" w14:paraId="0BC29C56"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4967B2FD" w14:textId="77777777" w:rsidR="00F366C0" w:rsidRPr="00DD0D1F" w:rsidRDefault="00F366C0" w:rsidP="003328F9">
            <w:pPr>
              <w:adjustRightInd w:val="0"/>
              <w:spacing w:line="240" w:lineRule="auto"/>
              <w:ind w:left="74" w:right="74"/>
              <w:rPr>
                <w:rFonts w:cs="Times New Roman"/>
                <w:szCs w:val="24"/>
                <w:lang w:val="tr-TR"/>
              </w:rPr>
            </w:pPr>
            <w:bookmarkStart w:id="48" w:name="_Hlk137395088"/>
            <w:r w:rsidRPr="00DD0D1F">
              <w:rPr>
                <w:rFonts w:cs="Times New Roman"/>
                <w:szCs w:val="24"/>
                <w:lang w:val="tr-TR"/>
              </w:rPr>
              <w:t>a</w:t>
            </w:r>
          </w:p>
        </w:tc>
        <w:tc>
          <w:tcPr>
            <w:tcW w:w="1578" w:type="pct"/>
            <w:tcBorders>
              <w:top w:val="single" w:sz="6" w:space="0" w:color="auto"/>
              <w:left w:val="single" w:sz="6" w:space="0" w:color="auto"/>
              <w:bottom w:val="single" w:sz="6" w:space="0" w:color="auto"/>
              <w:right w:val="single" w:sz="6" w:space="0" w:color="auto"/>
            </w:tcBorders>
            <w:vAlign w:val="center"/>
          </w:tcPr>
          <w:p w14:paraId="2A4A7817"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230" w:type="pct"/>
            <w:vMerge w:val="restart"/>
            <w:tcBorders>
              <w:top w:val="single" w:sz="6" w:space="0" w:color="auto"/>
              <w:left w:val="single" w:sz="6" w:space="0" w:color="auto"/>
              <w:right w:val="single" w:sz="6" w:space="0" w:color="auto"/>
            </w:tcBorders>
            <w:vAlign w:val="center"/>
          </w:tcPr>
          <w:p w14:paraId="05EDDE94" w14:textId="18A83F8D"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011" w:type="pct"/>
            <w:vMerge w:val="restart"/>
            <w:tcBorders>
              <w:top w:val="single" w:sz="6" w:space="0" w:color="auto"/>
              <w:left w:val="single" w:sz="6" w:space="0" w:color="auto"/>
              <w:right w:val="single" w:sz="4" w:space="0" w:color="auto"/>
            </w:tcBorders>
            <w:vAlign w:val="center"/>
          </w:tcPr>
          <w:p w14:paraId="11808D8A"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F366C0" w:rsidRPr="00DD0D1F" w14:paraId="5D47AA46"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43F4415F"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78" w:type="pct"/>
            <w:tcBorders>
              <w:top w:val="single" w:sz="6" w:space="0" w:color="auto"/>
              <w:left w:val="single" w:sz="6" w:space="0" w:color="auto"/>
              <w:bottom w:val="single" w:sz="6" w:space="0" w:color="auto"/>
              <w:right w:val="single" w:sz="6" w:space="0" w:color="auto"/>
            </w:tcBorders>
            <w:vAlign w:val="center"/>
          </w:tcPr>
          <w:p w14:paraId="0C7CA0D9"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230" w:type="pct"/>
            <w:vMerge/>
            <w:tcBorders>
              <w:left w:val="single" w:sz="6" w:space="0" w:color="auto"/>
              <w:right w:val="single" w:sz="6" w:space="0" w:color="auto"/>
            </w:tcBorders>
            <w:vAlign w:val="center"/>
          </w:tcPr>
          <w:p w14:paraId="24335550" w14:textId="792EEF88" w:rsidR="00F366C0" w:rsidRPr="00DD0D1F" w:rsidRDefault="00F366C0" w:rsidP="003328F9">
            <w:pPr>
              <w:adjustRightInd w:val="0"/>
              <w:spacing w:line="240" w:lineRule="auto"/>
              <w:ind w:left="74" w:right="74"/>
              <w:rPr>
                <w:rFonts w:cs="Times New Roman"/>
                <w:szCs w:val="24"/>
                <w:lang w:val="tr-TR"/>
              </w:rPr>
            </w:pPr>
          </w:p>
        </w:tc>
        <w:tc>
          <w:tcPr>
            <w:tcW w:w="2011" w:type="pct"/>
            <w:vMerge/>
            <w:tcBorders>
              <w:left w:val="single" w:sz="6" w:space="0" w:color="auto"/>
              <w:right w:val="single" w:sz="4" w:space="0" w:color="auto"/>
            </w:tcBorders>
            <w:vAlign w:val="center"/>
          </w:tcPr>
          <w:p w14:paraId="605CA58B" w14:textId="77777777" w:rsidR="00F366C0" w:rsidRPr="00DD0D1F" w:rsidRDefault="00F366C0" w:rsidP="003328F9">
            <w:pPr>
              <w:adjustRightInd w:val="0"/>
              <w:spacing w:line="240" w:lineRule="auto"/>
              <w:ind w:left="74" w:right="74"/>
              <w:rPr>
                <w:rFonts w:cs="Times New Roman"/>
                <w:szCs w:val="24"/>
                <w:lang w:val="tr-TR"/>
              </w:rPr>
            </w:pPr>
          </w:p>
        </w:tc>
      </w:tr>
      <w:tr w:rsidR="00F366C0" w:rsidRPr="00DD0D1F" w14:paraId="3E73C7F6"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215C2509"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78" w:type="pct"/>
            <w:tcBorders>
              <w:top w:val="single" w:sz="6" w:space="0" w:color="auto"/>
              <w:left w:val="single" w:sz="6" w:space="0" w:color="auto"/>
              <w:bottom w:val="single" w:sz="6" w:space="0" w:color="auto"/>
              <w:right w:val="single" w:sz="6" w:space="0" w:color="auto"/>
            </w:tcBorders>
            <w:vAlign w:val="center"/>
          </w:tcPr>
          <w:p w14:paraId="6705896F" w14:textId="53A5BACA" w:rsidR="00F366C0"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F366C0" w:rsidRPr="00DD0D1F">
              <w:rPr>
                <w:rFonts w:cs="Times New Roman"/>
                <w:szCs w:val="24"/>
                <w:lang w:val="tr-TR"/>
              </w:rPr>
              <w:t xml:space="preserve"> gazı geri besleme</w:t>
            </w:r>
          </w:p>
        </w:tc>
        <w:tc>
          <w:tcPr>
            <w:tcW w:w="1230" w:type="pct"/>
            <w:vMerge/>
            <w:tcBorders>
              <w:left w:val="single" w:sz="6" w:space="0" w:color="auto"/>
              <w:right w:val="single" w:sz="6" w:space="0" w:color="auto"/>
            </w:tcBorders>
            <w:vAlign w:val="center"/>
          </w:tcPr>
          <w:p w14:paraId="5A7645E2" w14:textId="03A4C888" w:rsidR="00F366C0" w:rsidRPr="00DD0D1F" w:rsidRDefault="00F366C0" w:rsidP="003328F9">
            <w:pPr>
              <w:adjustRightInd w:val="0"/>
              <w:spacing w:line="240" w:lineRule="auto"/>
              <w:ind w:left="74" w:right="74"/>
              <w:rPr>
                <w:rFonts w:cs="Times New Roman"/>
                <w:szCs w:val="24"/>
                <w:lang w:val="tr-TR"/>
              </w:rPr>
            </w:pPr>
          </w:p>
        </w:tc>
        <w:tc>
          <w:tcPr>
            <w:tcW w:w="2011" w:type="pct"/>
            <w:vMerge/>
            <w:tcBorders>
              <w:left w:val="single" w:sz="6" w:space="0" w:color="auto"/>
              <w:right w:val="single" w:sz="4" w:space="0" w:color="auto"/>
            </w:tcBorders>
            <w:vAlign w:val="center"/>
          </w:tcPr>
          <w:p w14:paraId="0663D1C9" w14:textId="77777777" w:rsidR="00F366C0" w:rsidRPr="00DD0D1F" w:rsidRDefault="00F366C0" w:rsidP="003328F9">
            <w:pPr>
              <w:adjustRightInd w:val="0"/>
              <w:spacing w:line="240" w:lineRule="auto"/>
              <w:ind w:left="74" w:right="74"/>
              <w:rPr>
                <w:rFonts w:cs="Times New Roman"/>
                <w:szCs w:val="24"/>
                <w:lang w:val="tr-TR"/>
              </w:rPr>
            </w:pPr>
          </w:p>
        </w:tc>
      </w:tr>
      <w:tr w:rsidR="00F366C0" w:rsidRPr="00DD0D1F" w14:paraId="6827DDC9"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7ACB0E3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78" w:type="pct"/>
            <w:tcBorders>
              <w:top w:val="single" w:sz="6" w:space="0" w:color="auto"/>
              <w:left w:val="single" w:sz="6" w:space="0" w:color="auto"/>
              <w:bottom w:val="single" w:sz="6" w:space="0" w:color="auto"/>
              <w:right w:val="single" w:sz="6" w:space="0" w:color="auto"/>
            </w:tcBorders>
            <w:vAlign w:val="center"/>
          </w:tcPr>
          <w:p w14:paraId="5AEC683B"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230" w:type="pct"/>
            <w:vMerge/>
            <w:tcBorders>
              <w:left w:val="single" w:sz="6" w:space="0" w:color="auto"/>
              <w:right w:val="single" w:sz="6" w:space="0" w:color="auto"/>
            </w:tcBorders>
            <w:vAlign w:val="center"/>
          </w:tcPr>
          <w:p w14:paraId="3A679825" w14:textId="0EA3B57B" w:rsidR="00F366C0" w:rsidRPr="00DD0D1F" w:rsidRDefault="00F366C0" w:rsidP="003328F9">
            <w:pPr>
              <w:adjustRightInd w:val="0"/>
              <w:spacing w:line="240" w:lineRule="auto"/>
              <w:ind w:left="74" w:right="74"/>
              <w:rPr>
                <w:rFonts w:cs="Times New Roman"/>
                <w:szCs w:val="24"/>
                <w:lang w:val="tr-TR"/>
              </w:rPr>
            </w:pPr>
          </w:p>
        </w:tc>
        <w:tc>
          <w:tcPr>
            <w:tcW w:w="2011" w:type="pct"/>
            <w:vMerge/>
            <w:tcBorders>
              <w:left w:val="single" w:sz="6" w:space="0" w:color="auto"/>
              <w:bottom w:val="single" w:sz="6" w:space="0" w:color="auto"/>
              <w:right w:val="single" w:sz="4" w:space="0" w:color="auto"/>
            </w:tcBorders>
            <w:vAlign w:val="center"/>
          </w:tcPr>
          <w:p w14:paraId="33448ED2" w14:textId="77777777" w:rsidR="00F366C0" w:rsidRPr="00DD0D1F" w:rsidRDefault="00F366C0" w:rsidP="003328F9">
            <w:pPr>
              <w:adjustRightInd w:val="0"/>
              <w:spacing w:line="240" w:lineRule="auto"/>
              <w:ind w:left="74" w:right="74"/>
              <w:rPr>
                <w:rFonts w:cs="Times New Roman"/>
                <w:szCs w:val="24"/>
                <w:lang w:val="tr-TR"/>
              </w:rPr>
            </w:pPr>
          </w:p>
        </w:tc>
      </w:tr>
      <w:tr w:rsidR="00F366C0" w:rsidRPr="00DD0D1F" w14:paraId="3919C635"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5C745D8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578" w:type="pct"/>
            <w:tcBorders>
              <w:top w:val="single" w:sz="6" w:space="0" w:color="auto"/>
              <w:left w:val="single" w:sz="6" w:space="0" w:color="auto"/>
              <w:bottom w:val="single" w:sz="6" w:space="0" w:color="auto"/>
              <w:right w:val="single" w:sz="6" w:space="0" w:color="auto"/>
            </w:tcBorders>
            <w:vAlign w:val="center"/>
          </w:tcPr>
          <w:p w14:paraId="773416DF"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230" w:type="pct"/>
            <w:vMerge/>
            <w:tcBorders>
              <w:left w:val="single" w:sz="6" w:space="0" w:color="auto"/>
              <w:right w:val="single" w:sz="6" w:space="0" w:color="auto"/>
            </w:tcBorders>
            <w:vAlign w:val="center"/>
          </w:tcPr>
          <w:p w14:paraId="245E5044" w14:textId="3DCEFC5D"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6" w:space="0" w:color="auto"/>
              <w:right w:val="single" w:sz="4" w:space="0" w:color="auto"/>
            </w:tcBorders>
            <w:vAlign w:val="center"/>
          </w:tcPr>
          <w:p w14:paraId="5139FFDE"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Su bulunması ile ilişkili olarak uygulanabilirliği kısıtlıdır.</w:t>
            </w:r>
          </w:p>
        </w:tc>
      </w:tr>
      <w:tr w:rsidR="00F366C0" w:rsidRPr="00DD0D1F" w14:paraId="381E2DD1" w14:textId="77777777" w:rsidTr="00F366C0">
        <w:trPr>
          <w:trHeight w:val="826"/>
        </w:trPr>
        <w:tc>
          <w:tcPr>
            <w:tcW w:w="181" w:type="pct"/>
            <w:tcBorders>
              <w:top w:val="single" w:sz="6" w:space="0" w:color="auto"/>
              <w:left w:val="single" w:sz="4" w:space="0" w:color="auto"/>
              <w:bottom w:val="single" w:sz="6" w:space="0" w:color="auto"/>
              <w:right w:val="single" w:sz="6" w:space="0" w:color="auto"/>
            </w:tcBorders>
            <w:vAlign w:val="center"/>
          </w:tcPr>
          <w:p w14:paraId="2CD5C1F0"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578" w:type="pct"/>
            <w:tcBorders>
              <w:top w:val="single" w:sz="6" w:space="0" w:color="auto"/>
              <w:left w:val="single" w:sz="6" w:space="0" w:color="auto"/>
              <w:bottom w:val="single" w:sz="6" w:space="0" w:color="auto"/>
              <w:right w:val="single" w:sz="6" w:space="0" w:color="auto"/>
            </w:tcBorders>
            <w:vAlign w:val="center"/>
          </w:tcPr>
          <w:p w14:paraId="1F7DD022" w14:textId="77777777" w:rsidR="00F366C0" w:rsidRPr="00DD0D1F" w:rsidRDefault="00F366C0" w:rsidP="003328F9">
            <w:pPr>
              <w:adjustRightInd w:val="0"/>
              <w:spacing w:line="240" w:lineRule="auto"/>
              <w:ind w:left="74" w:right="74"/>
              <w:rPr>
                <w:rFonts w:cs="Times New Roman"/>
                <w:szCs w:val="24"/>
                <w:lang w:val="tr-TR"/>
              </w:rPr>
            </w:pPr>
          </w:p>
          <w:p w14:paraId="38A667D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230" w:type="pct"/>
            <w:vMerge/>
            <w:tcBorders>
              <w:left w:val="single" w:sz="6" w:space="0" w:color="auto"/>
              <w:right w:val="single" w:sz="6" w:space="0" w:color="auto"/>
            </w:tcBorders>
            <w:vAlign w:val="center"/>
          </w:tcPr>
          <w:p w14:paraId="62E990FE" w14:textId="53B897A4"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6" w:space="0" w:color="auto"/>
              <w:right w:val="single" w:sz="4" w:space="0" w:color="auto"/>
            </w:tcBorders>
            <w:vAlign w:val="center"/>
          </w:tcPr>
          <w:p w14:paraId="356C58D6"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&lt;500 saat/yıl çalıştırılan yakma tesislerine uygulanmaz.</w:t>
            </w:r>
          </w:p>
          <w:p w14:paraId="1898C730"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500 saat/yıl ila &lt;1500 saat/yıl çalıştırılan yakma tesislerinde uygulanabilirliği sınırlıdır.</w:t>
            </w:r>
          </w:p>
        </w:tc>
      </w:tr>
      <w:tr w:rsidR="00F366C0" w:rsidRPr="00DD0D1F" w14:paraId="08698F68" w14:textId="77777777" w:rsidTr="00F366C0">
        <w:trPr>
          <w:trHeight w:val="608"/>
        </w:trPr>
        <w:tc>
          <w:tcPr>
            <w:tcW w:w="181" w:type="pct"/>
            <w:tcBorders>
              <w:top w:val="single" w:sz="6" w:space="0" w:color="auto"/>
              <w:left w:val="single" w:sz="4" w:space="0" w:color="auto"/>
              <w:bottom w:val="nil"/>
              <w:right w:val="single" w:sz="6" w:space="0" w:color="auto"/>
            </w:tcBorders>
            <w:vAlign w:val="center"/>
          </w:tcPr>
          <w:p w14:paraId="78D0794C"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578" w:type="pct"/>
            <w:tcBorders>
              <w:top w:val="single" w:sz="6" w:space="0" w:color="auto"/>
              <w:left w:val="single" w:sz="6" w:space="0" w:color="auto"/>
              <w:bottom w:val="nil"/>
              <w:right w:val="single" w:sz="6" w:space="0" w:color="auto"/>
            </w:tcBorders>
            <w:vAlign w:val="center"/>
          </w:tcPr>
          <w:p w14:paraId="70CA58A9"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230" w:type="pct"/>
            <w:vMerge/>
            <w:tcBorders>
              <w:left w:val="single" w:sz="6" w:space="0" w:color="auto"/>
              <w:right w:val="single" w:sz="6" w:space="0" w:color="auto"/>
            </w:tcBorders>
            <w:vAlign w:val="center"/>
          </w:tcPr>
          <w:p w14:paraId="1DB83592" w14:textId="7048012C"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nil"/>
              <w:right w:val="single" w:sz="4" w:space="0" w:color="auto"/>
            </w:tcBorders>
            <w:vAlign w:val="center"/>
          </w:tcPr>
          <w:p w14:paraId="3EEBE45A"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AA42104"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05938BDF" w14:textId="77777777" w:rsidR="00F366C0" w:rsidRPr="00DD0D1F" w:rsidRDefault="00F366C0" w:rsidP="003328F9">
            <w:pPr>
              <w:adjustRightInd w:val="0"/>
              <w:spacing w:line="240" w:lineRule="auto"/>
              <w:ind w:left="74" w:right="74"/>
              <w:rPr>
                <w:rFonts w:cs="Times New Roman"/>
                <w:szCs w:val="24"/>
                <w:vertAlign w:val="subscript"/>
                <w:lang w:val="tr-TR"/>
              </w:rPr>
            </w:pPr>
            <w:r w:rsidRPr="00DD0D1F">
              <w:rPr>
                <w:rFonts w:cs="Times New Roman"/>
                <w:szCs w:val="24"/>
                <w:lang w:val="tr-TR"/>
              </w:rPr>
              <w:t>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genel olarak uygulanmaz.</w:t>
            </w:r>
          </w:p>
        </w:tc>
      </w:tr>
      <w:tr w:rsidR="00F366C0" w:rsidRPr="00DD0D1F" w14:paraId="58CCDC6A" w14:textId="77777777" w:rsidTr="00F366C0">
        <w:trPr>
          <w:trHeight w:val="667"/>
        </w:trPr>
        <w:tc>
          <w:tcPr>
            <w:tcW w:w="181" w:type="pct"/>
            <w:tcBorders>
              <w:top w:val="single" w:sz="6" w:space="0" w:color="auto"/>
              <w:left w:val="single" w:sz="4" w:space="0" w:color="auto"/>
              <w:bottom w:val="single" w:sz="6" w:space="0" w:color="auto"/>
              <w:right w:val="single" w:sz="6" w:space="0" w:color="auto"/>
            </w:tcBorders>
            <w:vAlign w:val="center"/>
          </w:tcPr>
          <w:p w14:paraId="54AF2E65" w14:textId="77777777" w:rsidR="00F366C0" w:rsidRPr="00DD0D1F" w:rsidRDefault="00F366C0" w:rsidP="003328F9">
            <w:pPr>
              <w:adjustRightInd w:val="0"/>
              <w:spacing w:line="240" w:lineRule="auto"/>
              <w:ind w:left="74" w:right="74"/>
              <w:rPr>
                <w:rFonts w:cs="Times New Roman"/>
                <w:szCs w:val="24"/>
                <w:lang w:val="tr-TR"/>
              </w:rPr>
            </w:pPr>
          </w:p>
          <w:p w14:paraId="5F93B992"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578" w:type="pct"/>
            <w:tcBorders>
              <w:top w:val="single" w:sz="6" w:space="0" w:color="auto"/>
              <w:left w:val="single" w:sz="6" w:space="0" w:color="auto"/>
              <w:bottom w:val="single" w:sz="6" w:space="0" w:color="auto"/>
              <w:right w:val="single" w:sz="6" w:space="0" w:color="auto"/>
            </w:tcBorders>
            <w:vAlign w:val="center"/>
          </w:tcPr>
          <w:p w14:paraId="414310EC"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230" w:type="pct"/>
            <w:vMerge/>
            <w:tcBorders>
              <w:left w:val="single" w:sz="6" w:space="0" w:color="auto"/>
              <w:right w:val="single" w:sz="6" w:space="0" w:color="auto"/>
            </w:tcBorders>
            <w:vAlign w:val="center"/>
          </w:tcPr>
          <w:p w14:paraId="44ED0361" w14:textId="77777777"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6" w:space="0" w:color="auto"/>
              <w:right w:val="single" w:sz="4" w:space="0" w:color="auto"/>
            </w:tcBorders>
            <w:vAlign w:val="center"/>
          </w:tcPr>
          <w:p w14:paraId="53A76B5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Genel olarak yeni yakma tesislerine uygulanabilir. Eski yakma tesislerine uygulanabilirliği, yakma sistemini ve/veya kontrol kumanda sistemini yenileme ihtiyacı nedeniyle kısıtlanabilir.</w:t>
            </w:r>
          </w:p>
        </w:tc>
      </w:tr>
      <w:tr w:rsidR="00F366C0" w:rsidRPr="00DD0D1F" w14:paraId="0FCA55C6" w14:textId="77777777" w:rsidTr="00F366C0">
        <w:trPr>
          <w:trHeight w:val="216"/>
        </w:trPr>
        <w:tc>
          <w:tcPr>
            <w:tcW w:w="181" w:type="pct"/>
            <w:tcBorders>
              <w:top w:val="single" w:sz="6" w:space="0" w:color="auto"/>
              <w:left w:val="single" w:sz="4" w:space="0" w:color="auto"/>
              <w:bottom w:val="single" w:sz="4" w:space="0" w:color="auto"/>
              <w:right w:val="single" w:sz="6" w:space="0" w:color="auto"/>
            </w:tcBorders>
            <w:vAlign w:val="center"/>
          </w:tcPr>
          <w:p w14:paraId="4630AE1E"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578" w:type="pct"/>
            <w:tcBorders>
              <w:top w:val="single" w:sz="6" w:space="0" w:color="auto"/>
              <w:left w:val="single" w:sz="6" w:space="0" w:color="auto"/>
              <w:bottom w:val="single" w:sz="4" w:space="0" w:color="auto"/>
              <w:right w:val="single" w:sz="6" w:space="0" w:color="auto"/>
            </w:tcBorders>
            <w:vAlign w:val="center"/>
          </w:tcPr>
          <w:p w14:paraId="5494860B"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230" w:type="pct"/>
            <w:vMerge/>
            <w:tcBorders>
              <w:left w:val="single" w:sz="6" w:space="0" w:color="auto"/>
              <w:bottom w:val="single" w:sz="4" w:space="0" w:color="auto"/>
              <w:right w:val="single" w:sz="6" w:space="0" w:color="auto"/>
            </w:tcBorders>
            <w:vAlign w:val="center"/>
          </w:tcPr>
          <w:p w14:paraId="60E74955" w14:textId="77777777"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4" w:space="0" w:color="auto"/>
              <w:right w:val="single" w:sz="4" w:space="0" w:color="auto"/>
            </w:tcBorders>
            <w:vAlign w:val="center"/>
          </w:tcPr>
          <w:p w14:paraId="23F52CF4" w14:textId="402A5D98" w:rsidR="00F366C0" w:rsidRPr="00DD0D1F" w:rsidRDefault="00EA6536" w:rsidP="003328F9">
            <w:pPr>
              <w:adjustRightInd w:val="0"/>
              <w:spacing w:line="240" w:lineRule="auto"/>
              <w:ind w:left="74" w:right="74"/>
              <w:rPr>
                <w:rFonts w:cs="Times New Roman"/>
                <w:szCs w:val="24"/>
                <w:lang w:val="tr-TR"/>
              </w:rPr>
            </w:pPr>
            <w:r w:rsidRPr="00DD0D1F">
              <w:rPr>
                <w:rFonts w:cs="Times New Roman"/>
                <w:szCs w:val="24"/>
                <w:lang w:val="tr-TR"/>
              </w:rPr>
              <w:t>E</w:t>
            </w:r>
            <w:r w:rsidR="00F366C0" w:rsidRPr="00DD0D1F">
              <w:rPr>
                <w:rFonts w:cs="Times New Roman"/>
                <w:szCs w:val="24"/>
                <w:lang w:val="tr-TR"/>
              </w:rPr>
              <w:t>nerji politikasının da etkili olabileceği farklı türde yakıtların kullanılabilirliği ile ilişkili kısıtlamalar dahilinde uygulanabilir.</w:t>
            </w:r>
          </w:p>
        </w:tc>
      </w:tr>
      <w:bookmarkEnd w:id="48"/>
    </w:tbl>
    <w:p w14:paraId="60494B32" w14:textId="77777777" w:rsidR="003328F9" w:rsidRPr="00DD0D1F" w:rsidRDefault="003328F9" w:rsidP="003328F9">
      <w:pPr>
        <w:spacing w:before="240"/>
        <w:rPr>
          <w:rFonts w:cs="Times New Roman"/>
          <w:b/>
          <w:szCs w:val="24"/>
          <w:lang w:val="tr-TR"/>
        </w:rPr>
      </w:pPr>
    </w:p>
    <w:p w14:paraId="76D694D4" w14:textId="77777777" w:rsidR="003328F9" w:rsidRPr="00DD0D1F" w:rsidRDefault="003328F9" w:rsidP="003328F9">
      <w:pPr>
        <w:pStyle w:val="ResimYazs"/>
        <w:rPr>
          <w:rFonts w:cs="Times New Roman"/>
          <w:color w:val="auto"/>
          <w:szCs w:val="24"/>
        </w:rPr>
      </w:pPr>
      <w:r w:rsidRPr="00DD0D1F">
        <w:rPr>
          <w:rFonts w:cs="Times New Roman"/>
          <w:color w:val="auto"/>
          <w:szCs w:val="24"/>
        </w:rPr>
        <w:t>HFO ve/veya gaz yağının kazanlarda yakılmasından kaynaklanan, havaya NOX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632"/>
        <w:gridCol w:w="861"/>
        <w:gridCol w:w="1001"/>
        <w:gridCol w:w="862"/>
        <w:gridCol w:w="1082"/>
        <w:gridCol w:w="3639"/>
      </w:tblGrid>
      <w:tr w:rsidR="00EB7491" w:rsidRPr="00DD0D1F" w14:paraId="7087C09C" w14:textId="1A0D6ABE" w:rsidTr="00033CBD">
        <w:trPr>
          <w:trHeight w:val="55"/>
        </w:trPr>
        <w:tc>
          <w:tcPr>
            <w:tcW w:w="930" w:type="pct"/>
            <w:vMerge w:val="restart"/>
            <w:tcBorders>
              <w:top w:val="single" w:sz="4" w:space="0" w:color="auto"/>
              <w:left w:val="single" w:sz="4" w:space="0" w:color="auto"/>
              <w:right w:val="single" w:sz="6" w:space="0" w:color="auto"/>
            </w:tcBorders>
            <w:vAlign w:val="center"/>
          </w:tcPr>
          <w:p w14:paraId="211876CA"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070" w:type="pct"/>
            <w:gridSpan w:val="5"/>
            <w:tcBorders>
              <w:top w:val="single" w:sz="4" w:space="0" w:color="auto"/>
              <w:left w:val="single" w:sz="6" w:space="0" w:color="auto"/>
              <w:bottom w:val="single" w:sz="6" w:space="0" w:color="auto"/>
              <w:right w:val="single" w:sz="4" w:space="0" w:color="auto"/>
            </w:tcBorders>
            <w:vAlign w:val="center"/>
          </w:tcPr>
          <w:p w14:paraId="0FC4C102" w14:textId="6B7BA129"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149C9C5A" w14:textId="0A2D363B" w:rsidTr="00BF1B17">
        <w:trPr>
          <w:trHeight w:val="55"/>
        </w:trPr>
        <w:tc>
          <w:tcPr>
            <w:tcW w:w="930" w:type="pct"/>
            <w:vMerge/>
            <w:tcBorders>
              <w:left w:val="single" w:sz="4" w:space="0" w:color="auto"/>
              <w:right w:val="single" w:sz="6" w:space="0" w:color="auto"/>
            </w:tcBorders>
            <w:vAlign w:val="center"/>
          </w:tcPr>
          <w:p w14:paraId="22F501B5" w14:textId="77777777" w:rsidR="00AF28AA" w:rsidRPr="00DD0D1F" w:rsidRDefault="00AF28AA" w:rsidP="003328F9">
            <w:pPr>
              <w:adjustRightInd w:val="0"/>
              <w:spacing w:line="240" w:lineRule="auto"/>
              <w:ind w:left="74" w:right="74"/>
              <w:jc w:val="center"/>
              <w:rPr>
                <w:rFonts w:cs="Times New Roman"/>
                <w:b/>
                <w:szCs w:val="24"/>
                <w:lang w:val="tr-TR"/>
              </w:rPr>
            </w:pPr>
          </w:p>
        </w:tc>
        <w:tc>
          <w:tcPr>
            <w:tcW w:w="1011" w:type="pct"/>
            <w:gridSpan w:val="2"/>
            <w:tcBorders>
              <w:top w:val="single" w:sz="6" w:space="0" w:color="auto"/>
              <w:left w:val="single" w:sz="6" w:space="0" w:color="auto"/>
              <w:bottom w:val="single" w:sz="6" w:space="0" w:color="auto"/>
              <w:right w:val="single" w:sz="6" w:space="0" w:color="auto"/>
            </w:tcBorders>
            <w:vAlign w:val="center"/>
          </w:tcPr>
          <w:p w14:paraId="2C4F38EC"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 w:type="pct"/>
            <w:gridSpan w:val="3"/>
            <w:tcBorders>
              <w:top w:val="single" w:sz="6" w:space="0" w:color="auto"/>
              <w:left w:val="single" w:sz="6" w:space="0" w:color="auto"/>
              <w:bottom w:val="single" w:sz="6" w:space="0" w:color="auto"/>
              <w:right w:val="single" w:sz="4" w:space="0" w:color="auto"/>
            </w:tcBorders>
            <w:vAlign w:val="center"/>
          </w:tcPr>
          <w:p w14:paraId="7A68113C"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Günlük ortalama veya </w:t>
            </w:r>
          </w:p>
          <w:p w14:paraId="03863A5F" w14:textId="056A1A4B"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71E250C9" w14:textId="4F7A062F" w:rsidTr="00AF28AA">
        <w:trPr>
          <w:trHeight w:val="55"/>
        </w:trPr>
        <w:tc>
          <w:tcPr>
            <w:tcW w:w="930" w:type="pct"/>
            <w:vMerge/>
            <w:tcBorders>
              <w:left w:val="single" w:sz="4" w:space="0" w:color="auto"/>
              <w:bottom w:val="single" w:sz="6" w:space="0" w:color="auto"/>
              <w:right w:val="single" w:sz="6" w:space="0" w:color="auto"/>
            </w:tcBorders>
            <w:vAlign w:val="center"/>
          </w:tcPr>
          <w:p w14:paraId="5726E28A" w14:textId="77777777" w:rsidR="00033CBD" w:rsidRPr="00DD0D1F" w:rsidRDefault="00033CBD" w:rsidP="003328F9">
            <w:pPr>
              <w:adjustRightInd w:val="0"/>
              <w:spacing w:line="240" w:lineRule="auto"/>
              <w:ind w:left="74" w:right="74"/>
              <w:jc w:val="center"/>
              <w:rPr>
                <w:rFonts w:cs="Times New Roman"/>
                <w:b/>
                <w:szCs w:val="24"/>
                <w:lang w:val="tr-TR"/>
              </w:rPr>
            </w:pPr>
          </w:p>
        </w:tc>
        <w:tc>
          <w:tcPr>
            <w:tcW w:w="505" w:type="pct"/>
            <w:tcBorders>
              <w:top w:val="single" w:sz="6" w:space="0" w:color="auto"/>
              <w:left w:val="single" w:sz="6" w:space="0" w:color="auto"/>
              <w:bottom w:val="single" w:sz="6" w:space="0" w:color="auto"/>
              <w:right w:val="single" w:sz="6" w:space="0" w:color="auto"/>
            </w:tcBorders>
            <w:vAlign w:val="center"/>
          </w:tcPr>
          <w:p w14:paraId="09CDAAAB"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06" w:type="pct"/>
            <w:tcBorders>
              <w:top w:val="single" w:sz="6" w:space="0" w:color="auto"/>
              <w:left w:val="single" w:sz="6" w:space="0" w:color="auto"/>
              <w:bottom w:val="single" w:sz="6" w:space="0" w:color="auto"/>
              <w:right w:val="single" w:sz="6" w:space="0" w:color="auto"/>
            </w:tcBorders>
            <w:vAlign w:val="center"/>
          </w:tcPr>
          <w:p w14:paraId="32191021"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05" w:type="pct"/>
            <w:tcBorders>
              <w:top w:val="single" w:sz="6" w:space="0" w:color="auto"/>
              <w:left w:val="single" w:sz="6" w:space="0" w:color="auto"/>
              <w:bottom w:val="single" w:sz="6" w:space="0" w:color="auto"/>
              <w:right w:val="single" w:sz="6" w:space="0" w:color="auto"/>
            </w:tcBorders>
            <w:vAlign w:val="center"/>
          </w:tcPr>
          <w:p w14:paraId="068C89B3"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19" w:type="pct"/>
            <w:tcBorders>
              <w:top w:val="single" w:sz="6" w:space="0" w:color="auto"/>
              <w:left w:val="single" w:sz="6" w:space="0" w:color="auto"/>
              <w:bottom w:val="single" w:sz="6" w:space="0" w:color="auto"/>
              <w:right w:val="single" w:sz="4" w:space="0" w:color="auto"/>
            </w:tcBorders>
            <w:vAlign w:val="center"/>
          </w:tcPr>
          <w:p w14:paraId="588B44FC" w14:textId="09C65E15"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00AF28AA" w:rsidRPr="00DD0D1F">
              <w:rPr>
                <w:rFonts w:cs="Times New Roman"/>
                <w:b/>
                <w:szCs w:val="24"/>
                <w:lang w:val="tr-TR"/>
              </w:rPr>
              <w:t xml:space="preserve">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035" w:type="pct"/>
            <w:tcBorders>
              <w:top w:val="single" w:sz="6" w:space="0" w:color="auto"/>
              <w:left w:val="single" w:sz="6" w:space="0" w:color="auto"/>
              <w:bottom w:val="single" w:sz="6" w:space="0" w:color="auto"/>
              <w:right w:val="single" w:sz="4" w:space="0" w:color="auto"/>
            </w:tcBorders>
          </w:tcPr>
          <w:p w14:paraId="174C1158" w14:textId="24D9097D" w:rsidR="00033CBD" w:rsidRPr="00DD0D1F" w:rsidRDefault="00AF28AA" w:rsidP="00AF28AA">
            <w:pPr>
              <w:adjustRightInd w:val="0"/>
              <w:spacing w:line="240" w:lineRule="auto"/>
              <w:ind w:left="74" w:right="74"/>
              <w:jc w:val="center"/>
              <w:rPr>
                <w:rFonts w:cs="Times New Roman"/>
                <w:b/>
                <w:szCs w:val="24"/>
                <w:lang w:val="tr-TR"/>
              </w:rPr>
            </w:pPr>
            <w:r w:rsidRPr="00DD0D1F">
              <w:rPr>
                <w:rFonts w:cs="Times New Roman"/>
                <w:b/>
                <w:szCs w:val="24"/>
                <w:lang w:val="tr-TR"/>
              </w:rPr>
              <w:t>Mevcut tesis Kademe 1</w:t>
            </w:r>
          </w:p>
        </w:tc>
      </w:tr>
      <w:tr w:rsidR="00EB7491" w:rsidRPr="00DD0D1F" w14:paraId="0E1AF85D" w14:textId="5C420F65" w:rsidTr="00AF28AA">
        <w:trPr>
          <w:trHeight w:val="223"/>
        </w:trPr>
        <w:tc>
          <w:tcPr>
            <w:tcW w:w="930" w:type="pct"/>
            <w:tcBorders>
              <w:top w:val="single" w:sz="6" w:space="0" w:color="auto"/>
              <w:left w:val="single" w:sz="4" w:space="0" w:color="auto"/>
              <w:bottom w:val="single" w:sz="6" w:space="0" w:color="auto"/>
              <w:right w:val="single" w:sz="6" w:space="0" w:color="auto"/>
            </w:tcBorders>
            <w:vAlign w:val="center"/>
          </w:tcPr>
          <w:p w14:paraId="124215AD"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505" w:type="pct"/>
            <w:tcBorders>
              <w:top w:val="single" w:sz="6" w:space="0" w:color="auto"/>
              <w:left w:val="single" w:sz="6" w:space="0" w:color="auto"/>
              <w:bottom w:val="single" w:sz="6" w:space="0" w:color="auto"/>
              <w:right w:val="single" w:sz="6" w:space="0" w:color="auto"/>
            </w:tcBorders>
            <w:vAlign w:val="center"/>
          </w:tcPr>
          <w:p w14:paraId="0C463BA2"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75-200</w:t>
            </w:r>
          </w:p>
        </w:tc>
        <w:tc>
          <w:tcPr>
            <w:tcW w:w="506" w:type="pct"/>
            <w:tcBorders>
              <w:top w:val="single" w:sz="6" w:space="0" w:color="auto"/>
              <w:left w:val="single" w:sz="6" w:space="0" w:color="auto"/>
              <w:bottom w:val="single" w:sz="6" w:space="0" w:color="auto"/>
              <w:right w:val="single" w:sz="6" w:space="0" w:color="auto"/>
            </w:tcBorders>
            <w:vAlign w:val="center"/>
          </w:tcPr>
          <w:p w14:paraId="7D6A68A6"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150-270</w:t>
            </w:r>
          </w:p>
        </w:tc>
        <w:tc>
          <w:tcPr>
            <w:tcW w:w="505" w:type="pct"/>
            <w:tcBorders>
              <w:top w:val="single" w:sz="6" w:space="0" w:color="auto"/>
              <w:left w:val="single" w:sz="6" w:space="0" w:color="auto"/>
              <w:bottom w:val="single" w:sz="6" w:space="0" w:color="auto"/>
              <w:right w:val="single" w:sz="6" w:space="0" w:color="auto"/>
            </w:tcBorders>
            <w:vAlign w:val="center"/>
          </w:tcPr>
          <w:p w14:paraId="763DAE59"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100-215</w:t>
            </w:r>
          </w:p>
        </w:tc>
        <w:tc>
          <w:tcPr>
            <w:tcW w:w="519" w:type="pct"/>
            <w:tcBorders>
              <w:top w:val="single" w:sz="6" w:space="0" w:color="auto"/>
              <w:left w:val="single" w:sz="6" w:space="0" w:color="auto"/>
              <w:bottom w:val="single" w:sz="6" w:space="0" w:color="auto"/>
              <w:right w:val="single" w:sz="4" w:space="0" w:color="auto"/>
            </w:tcBorders>
            <w:vAlign w:val="center"/>
          </w:tcPr>
          <w:p w14:paraId="37568AE3"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210-330 (</w:t>
            </w:r>
            <w:r w:rsidRPr="00DD0D1F">
              <w:rPr>
                <w:rFonts w:cs="Times New Roman"/>
                <w:szCs w:val="24"/>
                <w:vertAlign w:val="superscript"/>
                <w:lang w:val="tr-TR"/>
              </w:rPr>
              <w:t>3</w:t>
            </w:r>
            <w:r w:rsidRPr="00DD0D1F">
              <w:rPr>
                <w:rFonts w:cs="Times New Roman"/>
                <w:szCs w:val="24"/>
                <w:lang w:val="tr-TR"/>
              </w:rPr>
              <w:t>)</w:t>
            </w:r>
          </w:p>
        </w:tc>
        <w:tc>
          <w:tcPr>
            <w:tcW w:w="2035" w:type="pct"/>
            <w:tcBorders>
              <w:top w:val="single" w:sz="6" w:space="0" w:color="auto"/>
              <w:left w:val="single" w:sz="6" w:space="0" w:color="auto"/>
              <w:bottom w:val="single" w:sz="6" w:space="0" w:color="auto"/>
              <w:right w:val="single" w:sz="4" w:space="0" w:color="auto"/>
            </w:tcBorders>
          </w:tcPr>
          <w:p w14:paraId="6D5578E5" w14:textId="6B6BFF36"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450</w:t>
            </w:r>
          </w:p>
        </w:tc>
      </w:tr>
      <w:tr w:rsidR="00EB7491" w:rsidRPr="00DD0D1F" w14:paraId="3330B346" w14:textId="030BD5EB" w:rsidTr="00AF28AA">
        <w:trPr>
          <w:trHeight w:val="127"/>
        </w:trPr>
        <w:tc>
          <w:tcPr>
            <w:tcW w:w="930" w:type="pct"/>
            <w:tcBorders>
              <w:top w:val="single" w:sz="6" w:space="0" w:color="auto"/>
              <w:left w:val="single" w:sz="4" w:space="0" w:color="auto"/>
              <w:bottom w:val="single" w:sz="6" w:space="0" w:color="auto"/>
              <w:right w:val="single" w:sz="6" w:space="0" w:color="auto"/>
            </w:tcBorders>
            <w:vAlign w:val="center"/>
          </w:tcPr>
          <w:p w14:paraId="3BB6CFB8"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505" w:type="pct"/>
            <w:tcBorders>
              <w:top w:val="single" w:sz="6" w:space="0" w:color="auto"/>
              <w:left w:val="single" w:sz="6" w:space="0" w:color="auto"/>
              <w:bottom w:val="single" w:sz="6" w:space="0" w:color="auto"/>
              <w:right w:val="single" w:sz="6" w:space="0" w:color="auto"/>
            </w:tcBorders>
            <w:vAlign w:val="center"/>
          </w:tcPr>
          <w:p w14:paraId="6F4B87B4"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45-75</w:t>
            </w:r>
          </w:p>
        </w:tc>
        <w:tc>
          <w:tcPr>
            <w:tcW w:w="506" w:type="pct"/>
            <w:tcBorders>
              <w:top w:val="single" w:sz="6" w:space="0" w:color="auto"/>
              <w:left w:val="single" w:sz="6" w:space="0" w:color="auto"/>
              <w:bottom w:val="single" w:sz="6" w:space="0" w:color="auto"/>
              <w:right w:val="single" w:sz="6" w:space="0" w:color="auto"/>
            </w:tcBorders>
            <w:vAlign w:val="center"/>
          </w:tcPr>
          <w:p w14:paraId="3FA1F7A1"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45-100 (</w:t>
            </w:r>
            <w:r w:rsidRPr="00DD0D1F">
              <w:rPr>
                <w:rFonts w:cs="Times New Roman"/>
                <w:szCs w:val="24"/>
                <w:vertAlign w:val="superscript"/>
                <w:lang w:val="tr-TR"/>
              </w:rPr>
              <w:t>4</w:t>
            </w:r>
            <w:r w:rsidRPr="00DD0D1F">
              <w:rPr>
                <w:rFonts w:cs="Times New Roman"/>
                <w:szCs w:val="24"/>
                <w:lang w:val="tr-TR"/>
              </w:rPr>
              <w:t>)</w:t>
            </w:r>
          </w:p>
        </w:tc>
        <w:tc>
          <w:tcPr>
            <w:tcW w:w="505" w:type="pct"/>
            <w:tcBorders>
              <w:top w:val="single" w:sz="6" w:space="0" w:color="auto"/>
              <w:left w:val="single" w:sz="6" w:space="0" w:color="auto"/>
              <w:bottom w:val="single" w:sz="6" w:space="0" w:color="auto"/>
              <w:right w:val="single" w:sz="6" w:space="0" w:color="auto"/>
            </w:tcBorders>
            <w:vAlign w:val="center"/>
          </w:tcPr>
          <w:p w14:paraId="43A5C36A"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85-100</w:t>
            </w:r>
          </w:p>
        </w:tc>
        <w:tc>
          <w:tcPr>
            <w:tcW w:w="519" w:type="pct"/>
            <w:tcBorders>
              <w:top w:val="single" w:sz="6" w:space="0" w:color="auto"/>
              <w:left w:val="single" w:sz="6" w:space="0" w:color="auto"/>
              <w:bottom w:val="single" w:sz="6" w:space="0" w:color="auto"/>
              <w:right w:val="single" w:sz="4" w:space="0" w:color="auto"/>
            </w:tcBorders>
            <w:vAlign w:val="center"/>
          </w:tcPr>
          <w:p w14:paraId="494690E0"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85-110 (</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6</w:t>
            </w:r>
            <w:r w:rsidRPr="00DD0D1F">
              <w:rPr>
                <w:rFonts w:cs="Times New Roman"/>
                <w:szCs w:val="24"/>
                <w:lang w:val="tr-TR"/>
              </w:rPr>
              <w:t>)</w:t>
            </w:r>
          </w:p>
        </w:tc>
        <w:tc>
          <w:tcPr>
            <w:tcW w:w="2035" w:type="pct"/>
            <w:tcBorders>
              <w:top w:val="single" w:sz="6" w:space="0" w:color="auto"/>
              <w:left w:val="single" w:sz="6" w:space="0" w:color="auto"/>
              <w:bottom w:val="single" w:sz="6" w:space="0" w:color="auto"/>
              <w:right w:val="single" w:sz="4" w:space="0" w:color="auto"/>
            </w:tcBorders>
          </w:tcPr>
          <w:p w14:paraId="781A3B0F" w14:textId="12256EAB"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4FE87317" w14:textId="2158B27A" w:rsidTr="00033CBD">
        <w:trPr>
          <w:trHeight w:val="1348"/>
        </w:trPr>
        <w:tc>
          <w:tcPr>
            <w:tcW w:w="5000" w:type="pct"/>
            <w:gridSpan w:val="6"/>
            <w:tcBorders>
              <w:top w:val="single" w:sz="6" w:space="0" w:color="auto"/>
              <w:left w:val="single" w:sz="4" w:space="0" w:color="auto"/>
              <w:bottom w:val="single" w:sz="4" w:space="0" w:color="auto"/>
              <w:right w:val="single" w:sz="4" w:space="0" w:color="auto"/>
            </w:tcBorders>
          </w:tcPr>
          <w:p w14:paraId="6C518D9D" w14:textId="77777777"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0FB2ACC2" w14:textId="77777777"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49A5788" w14:textId="2A9F814F"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&lt;1500 saat/yıl çalıştırılan ve SCR ve/veya SNCR'nin uygulanmadığı, 27 Kasım 2003 tarihinden önce devreye alınan endüstriyel kazanlar ve bölgesel merkezi ısıtma tesisleri için, MET-İES aralığının üst </w:t>
            </w:r>
            <w:r w:rsidR="004E47CC" w:rsidRPr="00DD0D1F">
              <w:rPr>
                <w:rFonts w:cs="Times New Roman"/>
                <w:szCs w:val="24"/>
                <w:lang w:val="tr-TR"/>
              </w:rPr>
              <w:t>sınırı</w:t>
            </w:r>
            <w:r w:rsidRPr="00DD0D1F">
              <w:rPr>
                <w:rFonts w:cs="Times New Roman"/>
                <w:szCs w:val="24"/>
                <w:lang w:val="tr-TR"/>
              </w:rPr>
              <w:t xml:space="preserve"> 450 mg/Nm</w:t>
            </w:r>
            <w:r w:rsidRPr="00DD0D1F">
              <w:rPr>
                <w:rFonts w:cs="Times New Roman"/>
                <w:szCs w:val="24"/>
                <w:vertAlign w:val="superscript"/>
                <w:lang w:val="tr-TR"/>
              </w:rPr>
              <w:t>3</w:t>
            </w:r>
            <w:r w:rsidRPr="00DD0D1F">
              <w:rPr>
                <w:rFonts w:cs="Times New Roman"/>
                <w:szCs w:val="24"/>
                <w:lang w:val="tr-TR"/>
              </w:rPr>
              <w:t>'tür.</w:t>
            </w:r>
          </w:p>
          <w:p w14:paraId="401CDA11" w14:textId="2001FC3B"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MET-İES aralığının üst </w:t>
            </w:r>
            <w:r w:rsidR="00EA6536" w:rsidRPr="00DD0D1F">
              <w:rPr>
                <w:rFonts w:cs="Times New Roman"/>
                <w:szCs w:val="24"/>
                <w:lang w:val="tr-TR"/>
              </w:rPr>
              <w:t>sınırı</w:t>
            </w:r>
            <w:r w:rsidRPr="00DD0D1F">
              <w:rPr>
                <w:rFonts w:cs="Times New Roman"/>
                <w:szCs w:val="24"/>
                <w:lang w:val="tr-TR"/>
              </w:rPr>
              <w:t xml:space="preserve">, </w:t>
            </w:r>
            <w:r w:rsidR="00EA6536" w:rsidRPr="00DD0D1F">
              <w:rPr>
                <w:rFonts w:cs="Times New Roman"/>
                <w:b/>
                <w:bCs/>
                <w:szCs w:val="24"/>
                <w:lang w:val="tr-TR"/>
              </w:rPr>
              <w:t xml:space="preserve">1 Aralık 2025 </w:t>
            </w:r>
            <w:r w:rsidRPr="00DD0D1F">
              <w:rPr>
                <w:rFonts w:cs="Times New Roman"/>
                <w:szCs w:val="24"/>
                <w:lang w:val="tr-TR"/>
              </w:rPr>
              <w:t>tarihinden önce devreye alınan, 100-300 MW</w:t>
            </w:r>
            <w:r w:rsidRPr="00DD0D1F">
              <w:rPr>
                <w:rFonts w:cs="Times New Roman"/>
                <w:szCs w:val="24"/>
                <w:vertAlign w:val="subscript"/>
                <w:lang w:val="tr-TR"/>
              </w:rPr>
              <w:t>th</w:t>
            </w:r>
            <w:r w:rsidRPr="00DD0D1F">
              <w:rPr>
                <w:rFonts w:cs="Times New Roman"/>
                <w:szCs w:val="24"/>
                <w:lang w:val="tr-TR"/>
              </w:rPr>
              <w:t>'lik tesisler ile ≥300 MW</w:t>
            </w:r>
            <w:r w:rsidRPr="00DD0D1F">
              <w:rPr>
                <w:rFonts w:cs="Times New Roman"/>
                <w:szCs w:val="24"/>
                <w:vertAlign w:val="subscript"/>
                <w:lang w:val="tr-TR"/>
              </w:rPr>
              <w:t>th</w:t>
            </w:r>
            <w:r w:rsidRPr="00DD0D1F">
              <w:rPr>
                <w:rFonts w:cs="Times New Roman"/>
                <w:szCs w:val="24"/>
                <w:lang w:val="tr-TR"/>
              </w:rPr>
              <w:t>'lik tesisler için 110 mg/Nm</w:t>
            </w:r>
            <w:r w:rsidRPr="00DD0D1F">
              <w:rPr>
                <w:rFonts w:cs="Times New Roman"/>
                <w:szCs w:val="24"/>
                <w:vertAlign w:val="superscript"/>
                <w:lang w:val="tr-TR"/>
              </w:rPr>
              <w:t>3</w:t>
            </w:r>
            <w:r w:rsidRPr="00DD0D1F">
              <w:rPr>
                <w:rFonts w:cs="Times New Roman"/>
                <w:szCs w:val="24"/>
                <w:lang w:val="tr-TR"/>
              </w:rPr>
              <w:t>'tür.</w:t>
            </w:r>
          </w:p>
          <w:p w14:paraId="2DE699F7" w14:textId="34415837"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MET-İES aralığının üst </w:t>
            </w:r>
            <w:r w:rsidR="00EA6536" w:rsidRPr="00DD0D1F">
              <w:rPr>
                <w:rFonts w:cs="Times New Roman"/>
                <w:szCs w:val="24"/>
                <w:lang w:val="tr-TR"/>
              </w:rPr>
              <w:t>sınırı</w:t>
            </w:r>
            <w:r w:rsidRPr="00DD0D1F">
              <w:rPr>
                <w:rFonts w:cs="Times New Roman"/>
                <w:szCs w:val="24"/>
                <w:lang w:val="tr-TR"/>
              </w:rPr>
              <w:t xml:space="preserve">, </w:t>
            </w:r>
            <w:r w:rsidR="00EA6536" w:rsidRPr="00DD0D1F">
              <w:rPr>
                <w:rFonts w:cs="Times New Roman"/>
                <w:b/>
                <w:bCs/>
                <w:szCs w:val="24"/>
                <w:lang w:val="tr-TR"/>
              </w:rPr>
              <w:t xml:space="preserve">1 Aralık 2025 </w:t>
            </w:r>
            <w:r w:rsidRPr="00DD0D1F">
              <w:rPr>
                <w:rFonts w:cs="Times New Roman"/>
                <w:szCs w:val="24"/>
                <w:lang w:val="tr-TR"/>
              </w:rPr>
              <w:t>tarihinden önce devreye alınan, 100-300 MW</w:t>
            </w:r>
            <w:r w:rsidRPr="00DD0D1F">
              <w:rPr>
                <w:rFonts w:cs="Times New Roman"/>
                <w:szCs w:val="24"/>
                <w:vertAlign w:val="subscript"/>
                <w:lang w:val="tr-TR"/>
              </w:rPr>
              <w:t>th</w:t>
            </w:r>
            <w:r w:rsidRPr="00DD0D1F">
              <w:rPr>
                <w:rFonts w:cs="Times New Roman"/>
                <w:szCs w:val="24"/>
                <w:lang w:val="tr-TR"/>
              </w:rPr>
              <w:t>'lik tesisler ile ≥300 MW</w:t>
            </w:r>
            <w:r w:rsidRPr="00DD0D1F">
              <w:rPr>
                <w:rFonts w:cs="Times New Roman"/>
                <w:szCs w:val="24"/>
                <w:vertAlign w:val="subscript"/>
                <w:lang w:val="tr-TR"/>
              </w:rPr>
              <w:t>th</w:t>
            </w:r>
            <w:r w:rsidRPr="00DD0D1F">
              <w:rPr>
                <w:rFonts w:cs="Times New Roman"/>
                <w:szCs w:val="24"/>
                <w:lang w:val="tr-TR"/>
              </w:rPr>
              <w:t>'lik tesisler için 145 mg/Nm</w:t>
            </w:r>
            <w:r w:rsidRPr="00DD0D1F">
              <w:rPr>
                <w:rFonts w:cs="Times New Roman"/>
                <w:szCs w:val="24"/>
                <w:vertAlign w:val="superscript"/>
                <w:lang w:val="tr-TR"/>
              </w:rPr>
              <w:t>3</w:t>
            </w:r>
            <w:r w:rsidRPr="00DD0D1F">
              <w:rPr>
                <w:rFonts w:cs="Times New Roman"/>
                <w:szCs w:val="24"/>
                <w:lang w:val="tr-TR"/>
              </w:rPr>
              <w:t>'tür.</w:t>
            </w:r>
          </w:p>
          <w:p w14:paraId="62C3BED2" w14:textId="2B63AEF3"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&lt;1500 saat/yıl çalıştırılan ve SCR ve/veya SNCR'nin uygulanmadığı 27 Kasım 2003 tarihinden önce devreye alınan &gt; 100 MW</w:t>
            </w:r>
            <w:r w:rsidRPr="00DD0D1F">
              <w:rPr>
                <w:rFonts w:cs="Times New Roman"/>
                <w:szCs w:val="24"/>
                <w:vertAlign w:val="subscript"/>
                <w:lang w:val="tr-TR"/>
              </w:rPr>
              <w:t>th</w:t>
            </w:r>
            <w:r w:rsidRPr="00DD0D1F">
              <w:rPr>
                <w:rFonts w:cs="Times New Roman"/>
                <w:szCs w:val="24"/>
                <w:lang w:val="tr-TR"/>
              </w:rPr>
              <w:t xml:space="preserve">'lik endüstriyel kazanlar ve bölgesel merkezi ısıtma tesisleri için, MET-İES aralığının üst </w:t>
            </w:r>
            <w:r w:rsidR="00EA6536" w:rsidRPr="00DD0D1F">
              <w:rPr>
                <w:rFonts w:cs="Times New Roman"/>
                <w:szCs w:val="24"/>
                <w:lang w:val="tr-TR"/>
              </w:rPr>
              <w:t xml:space="preserve">sınırı </w:t>
            </w:r>
            <w:r w:rsidRPr="00DD0D1F">
              <w:rPr>
                <w:rFonts w:cs="Times New Roman"/>
                <w:szCs w:val="24"/>
                <w:lang w:val="tr-TR"/>
              </w:rPr>
              <w:t>365 mg/Nm</w:t>
            </w:r>
            <w:r w:rsidRPr="00DD0D1F">
              <w:rPr>
                <w:rFonts w:cs="Times New Roman"/>
                <w:szCs w:val="24"/>
                <w:vertAlign w:val="superscript"/>
                <w:lang w:val="tr-TR"/>
              </w:rPr>
              <w:t>3</w:t>
            </w:r>
            <w:r w:rsidRPr="00DD0D1F">
              <w:rPr>
                <w:rFonts w:cs="Times New Roman"/>
                <w:szCs w:val="24"/>
                <w:lang w:val="tr-TR"/>
              </w:rPr>
              <w:t>'tür.</w:t>
            </w:r>
          </w:p>
        </w:tc>
      </w:tr>
    </w:tbl>
    <w:p w14:paraId="239410A6"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024F7B3D"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&lt;100 MWth’lik mevcut yakma tesisleri için veya &lt;100 MWth’lik yeni yakma tesisleri için 10-30 mg/ Nm</w:t>
      </w:r>
      <w:r w:rsidRPr="00DD0D1F">
        <w:rPr>
          <w:rFonts w:cs="Times New Roman"/>
          <w:szCs w:val="24"/>
          <w:vertAlign w:val="superscript"/>
          <w:lang w:val="tr-TR"/>
        </w:rPr>
        <w:t>3</w:t>
      </w:r>
      <w:r w:rsidRPr="00DD0D1F">
        <w:rPr>
          <w:rFonts w:cs="Times New Roman"/>
          <w:szCs w:val="24"/>
          <w:lang w:val="tr-TR"/>
        </w:rPr>
        <w:t>'tür.</w:t>
      </w:r>
    </w:p>
    <w:p w14:paraId="3E3778D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≥100 MWth’lik mevcut yakma tesisleri için veya &gt;100 MWth’lik yeni yakma tesisleri için 10-20mg/ Nm</w:t>
      </w:r>
      <w:r w:rsidRPr="00DD0D1F">
        <w:rPr>
          <w:rFonts w:cs="Times New Roman"/>
          <w:szCs w:val="24"/>
          <w:vertAlign w:val="superscript"/>
          <w:lang w:val="tr-TR"/>
        </w:rPr>
        <w:t>3</w:t>
      </w:r>
      <w:r w:rsidRPr="00DD0D1F">
        <w:rPr>
          <w:rFonts w:cs="Times New Roman"/>
          <w:szCs w:val="24"/>
          <w:lang w:val="tr-TR"/>
        </w:rPr>
        <w:t>'tür.</w:t>
      </w:r>
    </w:p>
    <w:p w14:paraId="712404AF" w14:textId="77777777" w:rsidR="003328F9" w:rsidRPr="00DD0D1F" w:rsidRDefault="003328F9" w:rsidP="00FF111D">
      <w:pPr>
        <w:pStyle w:val="Balk3"/>
        <w:numPr>
          <w:ilvl w:val="2"/>
          <w:numId w:val="73"/>
        </w:numPr>
        <w:rPr>
          <w:rFonts w:cs="Times New Roman"/>
          <w:lang w:val="tr-TR"/>
        </w:rPr>
      </w:pPr>
      <w:bookmarkStart w:id="49" w:name="_Toc137367311"/>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49"/>
    </w:p>
    <w:p w14:paraId="0DD494FB" w14:textId="54E1A38F" w:rsidR="003328F9" w:rsidRPr="00DD0D1F" w:rsidRDefault="003328F9" w:rsidP="003328F9">
      <w:pPr>
        <w:spacing w:before="240"/>
        <w:rPr>
          <w:rFonts w:cs="Times New Roman"/>
          <w:b/>
          <w:bCs/>
          <w:szCs w:val="24"/>
          <w:lang w:val="tr-TR"/>
        </w:rPr>
      </w:pPr>
      <w:r w:rsidRPr="00DD0D1F">
        <w:rPr>
          <w:rFonts w:cs="Times New Roman"/>
          <w:b/>
          <w:bCs/>
          <w:szCs w:val="24"/>
          <w:lang w:val="tr-TR"/>
        </w:rPr>
        <w:t>MET 29</w:t>
      </w:r>
      <w:bookmarkStart w:id="50" w:name="_Hlk137395141"/>
      <w:r w:rsidRPr="00DD0D1F">
        <w:rPr>
          <w:rFonts w:cs="Times New Roman"/>
          <w:b/>
          <w:bCs/>
          <w:szCs w:val="24"/>
          <w:lang w:val="tr-TR"/>
        </w:rPr>
        <w:t xml:space="preserve">: </w:t>
      </w:r>
      <w:r w:rsidRPr="00DD0D1F">
        <w:rPr>
          <w:rFonts w:cs="Times New Roman"/>
          <w:bCs/>
          <w:szCs w:val="24"/>
          <w:lang w:val="tr-TR"/>
        </w:rPr>
        <w:t>HFO ve/veya gaz yağının kazanlarda yakılmasından kaynaklanan, havaya SO</w:t>
      </w:r>
      <w:r w:rsidRPr="00DD0D1F">
        <w:rPr>
          <w:rFonts w:cs="Times New Roman"/>
          <w:bCs/>
          <w:szCs w:val="24"/>
          <w:vertAlign w:val="subscript"/>
          <w:lang w:val="tr-TR"/>
        </w:rPr>
        <w:t>X</w:t>
      </w:r>
      <w:r w:rsidRPr="00DD0D1F">
        <w:rPr>
          <w:rFonts w:cs="Times New Roman"/>
          <w:bCs/>
          <w:szCs w:val="24"/>
          <w:lang w:val="tr-TR"/>
        </w:rPr>
        <w:t>, HCl ve HF emisyonlarını önlemek veya azaltmak için, aşa</w:t>
      </w:r>
      <w:r w:rsidR="00BC038E" w:rsidRPr="00DD0D1F">
        <w:rPr>
          <w:rFonts w:cs="Times New Roman"/>
          <w:bCs/>
          <w:szCs w:val="24"/>
          <w:lang w:val="tr-TR"/>
        </w:rPr>
        <w:t>ğıda verilen tekniklerin biri veya bunların bir birleşimi</w:t>
      </w:r>
      <w:r w:rsidRPr="00DD0D1F">
        <w:rPr>
          <w:rFonts w:cs="Times New Roman"/>
          <w:bCs/>
          <w:szCs w:val="24"/>
          <w:lang w:val="tr-TR"/>
        </w:rPr>
        <w:t xml:space="preserve"> kullan</w:t>
      </w:r>
      <w:r w:rsidR="00BC038E" w:rsidRPr="00DD0D1F">
        <w:rPr>
          <w:rFonts w:cs="Times New Roman"/>
          <w:bCs/>
          <w:szCs w:val="24"/>
          <w:lang w:val="tr-TR"/>
        </w:rPr>
        <w:t>ılır.</w:t>
      </w:r>
      <w:bookmarkEnd w:id="50"/>
    </w:p>
    <w:tbl>
      <w:tblPr>
        <w:tblpPr w:leftFromText="141" w:rightFromText="141" w:vertAnchor="text" w:horzAnchor="margin" w:tblpX="35" w:tblpY="90"/>
        <w:tblW w:w="5081" w:type="pct"/>
        <w:tblCellMar>
          <w:left w:w="40" w:type="dxa"/>
          <w:right w:w="40" w:type="dxa"/>
        </w:tblCellMar>
        <w:tblLook w:val="0000" w:firstRow="0" w:lastRow="0" w:firstColumn="0" w:lastColumn="0" w:noHBand="0" w:noVBand="0"/>
      </w:tblPr>
      <w:tblGrid>
        <w:gridCol w:w="471"/>
        <w:gridCol w:w="3073"/>
        <w:gridCol w:w="1420"/>
        <w:gridCol w:w="4260"/>
      </w:tblGrid>
      <w:tr w:rsidR="003328F9" w:rsidRPr="00DD0D1F" w14:paraId="62E87834" w14:textId="77777777" w:rsidTr="003328F9">
        <w:trPr>
          <w:trHeight w:val="87"/>
          <w:tblHeader/>
        </w:trPr>
        <w:tc>
          <w:tcPr>
            <w:tcW w:w="255" w:type="pct"/>
            <w:tcBorders>
              <w:top w:val="single" w:sz="4" w:space="0" w:color="auto"/>
              <w:left w:val="single" w:sz="4" w:space="0" w:color="auto"/>
              <w:bottom w:val="single" w:sz="6" w:space="0" w:color="auto"/>
              <w:right w:val="single" w:sz="4" w:space="0" w:color="auto"/>
            </w:tcBorders>
          </w:tcPr>
          <w:p w14:paraId="2F6407C6" w14:textId="77777777" w:rsidR="003328F9" w:rsidRPr="00DD0D1F" w:rsidRDefault="003328F9" w:rsidP="003328F9">
            <w:pPr>
              <w:tabs>
                <w:tab w:val="left" w:pos="915"/>
                <w:tab w:val="center" w:pos="1459"/>
              </w:tabs>
              <w:adjustRightInd w:val="0"/>
              <w:spacing w:line="240" w:lineRule="auto"/>
              <w:ind w:left="74" w:right="74"/>
              <w:jc w:val="left"/>
              <w:rPr>
                <w:rFonts w:cs="Times New Roman"/>
                <w:b/>
                <w:szCs w:val="24"/>
                <w:lang w:val="tr-TR"/>
              </w:rPr>
            </w:pPr>
          </w:p>
        </w:tc>
        <w:tc>
          <w:tcPr>
            <w:tcW w:w="1666" w:type="pct"/>
            <w:tcBorders>
              <w:top w:val="single" w:sz="4" w:space="0" w:color="auto"/>
              <w:left w:val="single" w:sz="4" w:space="0" w:color="auto"/>
              <w:bottom w:val="single" w:sz="6" w:space="0" w:color="auto"/>
              <w:right w:val="single" w:sz="4" w:space="0" w:color="auto"/>
            </w:tcBorders>
          </w:tcPr>
          <w:p w14:paraId="2B8AFF50" w14:textId="77777777" w:rsidR="003328F9" w:rsidRPr="00DD0D1F" w:rsidRDefault="003328F9" w:rsidP="003328F9">
            <w:pPr>
              <w:tabs>
                <w:tab w:val="left" w:pos="915"/>
                <w:tab w:val="center" w:pos="1459"/>
              </w:tabs>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770" w:type="pct"/>
            <w:tcBorders>
              <w:top w:val="single" w:sz="4" w:space="0" w:color="auto"/>
              <w:left w:val="single" w:sz="4" w:space="0" w:color="auto"/>
              <w:bottom w:val="single" w:sz="6" w:space="0" w:color="auto"/>
              <w:right w:val="single" w:sz="6" w:space="0" w:color="auto"/>
            </w:tcBorders>
          </w:tcPr>
          <w:p w14:paraId="0E71656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309" w:type="pct"/>
            <w:tcBorders>
              <w:top w:val="single" w:sz="4" w:space="0" w:color="auto"/>
              <w:left w:val="single" w:sz="6" w:space="0" w:color="auto"/>
              <w:bottom w:val="single" w:sz="6" w:space="0" w:color="auto"/>
              <w:right w:val="single" w:sz="4" w:space="0" w:color="auto"/>
            </w:tcBorders>
          </w:tcPr>
          <w:p w14:paraId="2F4AC80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996616D" w14:textId="77777777" w:rsidTr="003328F9">
        <w:trPr>
          <w:trHeight w:val="97"/>
        </w:trPr>
        <w:tc>
          <w:tcPr>
            <w:tcW w:w="255" w:type="pct"/>
            <w:tcBorders>
              <w:top w:val="single" w:sz="6" w:space="0" w:color="auto"/>
              <w:left w:val="single" w:sz="4" w:space="0" w:color="auto"/>
              <w:bottom w:val="single" w:sz="6" w:space="0" w:color="auto"/>
              <w:right w:val="single" w:sz="6" w:space="0" w:color="auto"/>
            </w:tcBorders>
            <w:vAlign w:val="center"/>
          </w:tcPr>
          <w:p w14:paraId="0B583D8F" w14:textId="77777777" w:rsidR="003328F9" w:rsidRPr="00DD0D1F" w:rsidRDefault="003328F9" w:rsidP="003328F9">
            <w:pPr>
              <w:adjustRightInd w:val="0"/>
              <w:spacing w:line="240" w:lineRule="auto"/>
              <w:ind w:left="74" w:right="74"/>
              <w:rPr>
                <w:rFonts w:cs="Times New Roman"/>
                <w:szCs w:val="24"/>
                <w:lang w:val="tr-TR"/>
              </w:rPr>
            </w:pPr>
            <w:bookmarkStart w:id="51" w:name="_Hlk137395171"/>
            <w:r w:rsidRPr="00DD0D1F">
              <w:rPr>
                <w:rFonts w:cs="Times New Roman"/>
                <w:szCs w:val="24"/>
                <w:lang w:val="tr-TR"/>
              </w:rPr>
              <w:t>a</w:t>
            </w:r>
          </w:p>
        </w:tc>
        <w:tc>
          <w:tcPr>
            <w:tcW w:w="1666" w:type="pct"/>
            <w:tcBorders>
              <w:top w:val="single" w:sz="6" w:space="0" w:color="auto"/>
              <w:left w:val="single" w:sz="6" w:space="0" w:color="auto"/>
              <w:bottom w:val="single" w:sz="6" w:space="0" w:color="auto"/>
              <w:right w:val="single" w:sz="6" w:space="0" w:color="auto"/>
            </w:tcBorders>
            <w:vAlign w:val="center"/>
          </w:tcPr>
          <w:p w14:paraId="533E42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770" w:type="pct"/>
            <w:vMerge w:val="restart"/>
            <w:tcBorders>
              <w:top w:val="single" w:sz="6" w:space="0" w:color="auto"/>
              <w:left w:val="single" w:sz="6" w:space="0" w:color="auto"/>
              <w:right w:val="single" w:sz="6" w:space="0" w:color="auto"/>
            </w:tcBorders>
            <w:vAlign w:val="center"/>
          </w:tcPr>
          <w:p w14:paraId="167DD78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açıklamaya bakınız.</w:t>
            </w:r>
          </w:p>
        </w:tc>
        <w:tc>
          <w:tcPr>
            <w:tcW w:w="2309" w:type="pct"/>
            <w:vMerge w:val="restart"/>
            <w:tcBorders>
              <w:top w:val="single" w:sz="6" w:space="0" w:color="auto"/>
              <w:left w:val="single" w:sz="6" w:space="0" w:color="auto"/>
              <w:right w:val="single" w:sz="4" w:space="0" w:color="auto"/>
            </w:tcBorders>
            <w:vAlign w:val="center"/>
          </w:tcPr>
          <w:p w14:paraId="74C0F5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1830D6B" w14:textId="77777777" w:rsidTr="003328F9">
        <w:trPr>
          <w:trHeight w:val="62"/>
        </w:trPr>
        <w:tc>
          <w:tcPr>
            <w:tcW w:w="255" w:type="pct"/>
            <w:tcBorders>
              <w:top w:val="single" w:sz="6" w:space="0" w:color="auto"/>
              <w:left w:val="single" w:sz="4" w:space="0" w:color="auto"/>
              <w:bottom w:val="single" w:sz="6" w:space="0" w:color="auto"/>
              <w:right w:val="single" w:sz="6" w:space="0" w:color="auto"/>
            </w:tcBorders>
            <w:vAlign w:val="center"/>
          </w:tcPr>
          <w:p w14:paraId="092462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666" w:type="pct"/>
            <w:tcBorders>
              <w:top w:val="single" w:sz="6" w:space="0" w:color="auto"/>
              <w:left w:val="single" w:sz="6" w:space="0" w:color="auto"/>
              <w:bottom w:val="single" w:sz="6" w:space="0" w:color="auto"/>
              <w:right w:val="single" w:sz="6" w:space="0" w:color="auto"/>
            </w:tcBorders>
            <w:vAlign w:val="center"/>
          </w:tcPr>
          <w:p w14:paraId="53D9E7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w:t>
            </w:r>
          </w:p>
          <w:p w14:paraId="69A41F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(SDA)</w:t>
            </w:r>
          </w:p>
        </w:tc>
        <w:tc>
          <w:tcPr>
            <w:tcW w:w="770" w:type="pct"/>
            <w:vMerge/>
            <w:tcBorders>
              <w:left w:val="single" w:sz="6" w:space="0" w:color="auto"/>
              <w:right w:val="single" w:sz="6" w:space="0" w:color="auto"/>
            </w:tcBorders>
            <w:vAlign w:val="center"/>
          </w:tcPr>
          <w:p w14:paraId="58603E36" w14:textId="77777777" w:rsidR="003328F9" w:rsidRPr="00DD0D1F" w:rsidRDefault="003328F9" w:rsidP="003328F9">
            <w:pPr>
              <w:adjustRightInd w:val="0"/>
              <w:spacing w:line="240" w:lineRule="auto"/>
              <w:ind w:left="74" w:right="74"/>
              <w:rPr>
                <w:rFonts w:cs="Times New Roman"/>
                <w:szCs w:val="24"/>
                <w:lang w:val="tr-TR"/>
              </w:rPr>
            </w:pPr>
          </w:p>
        </w:tc>
        <w:tc>
          <w:tcPr>
            <w:tcW w:w="2309" w:type="pct"/>
            <w:vMerge/>
            <w:tcBorders>
              <w:left w:val="single" w:sz="6" w:space="0" w:color="auto"/>
              <w:right w:val="single" w:sz="4" w:space="0" w:color="auto"/>
            </w:tcBorders>
            <w:vAlign w:val="center"/>
          </w:tcPr>
          <w:p w14:paraId="7F3F7BF3"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BFC7AAD" w14:textId="77777777" w:rsidTr="003328F9">
        <w:trPr>
          <w:trHeight w:val="122"/>
        </w:trPr>
        <w:tc>
          <w:tcPr>
            <w:tcW w:w="255" w:type="pct"/>
            <w:tcBorders>
              <w:top w:val="single" w:sz="6" w:space="0" w:color="auto"/>
              <w:left w:val="single" w:sz="4" w:space="0" w:color="auto"/>
              <w:bottom w:val="single" w:sz="6" w:space="0" w:color="auto"/>
              <w:right w:val="single" w:sz="6" w:space="0" w:color="auto"/>
            </w:tcBorders>
            <w:vAlign w:val="center"/>
          </w:tcPr>
          <w:p w14:paraId="5BA68A5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666" w:type="pct"/>
            <w:tcBorders>
              <w:top w:val="single" w:sz="6" w:space="0" w:color="auto"/>
              <w:left w:val="single" w:sz="6" w:space="0" w:color="auto"/>
              <w:bottom w:val="single" w:sz="6" w:space="0" w:color="auto"/>
              <w:right w:val="single" w:sz="6" w:space="0" w:color="auto"/>
            </w:tcBorders>
            <w:vAlign w:val="center"/>
          </w:tcPr>
          <w:p w14:paraId="1F1584CC" w14:textId="0C20BD49"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770" w:type="pct"/>
            <w:vMerge/>
            <w:tcBorders>
              <w:left w:val="single" w:sz="6" w:space="0" w:color="auto"/>
              <w:right w:val="single" w:sz="6" w:space="0" w:color="auto"/>
            </w:tcBorders>
            <w:vAlign w:val="center"/>
          </w:tcPr>
          <w:p w14:paraId="17943624" w14:textId="77777777" w:rsidR="003328F9" w:rsidRPr="00DD0D1F" w:rsidRDefault="003328F9" w:rsidP="003328F9">
            <w:pPr>
              <w:adjustRightInd w:val="0"/>
              <w:spacing w:line="240" w:lineRule="auto"/>
              <w:ind w:left="74" w:right="74"/>
              <w:rPr>
                <w:rFonts w:cs="Times New Roman"/>
                <w:szCs w:val="24"/>
                <w:lang w:val="tr-TR"/>
              </w:rPr>
            </w:pPr>
          </w:p>
        </w:tc>
        <w:tc>
          <w:tcPr>
            <w:tcW w:w="2309" w:type="pct"/>
            <w:vMerge/>
            <w:tcBorders>
              <w:left w:val="single" w:sz="6" w:space="0" w:color="auto"/>
              <w:bottom w:val="single" w:sz="6" w:space="0" w:color="auto"/>
              <w:right w:val="single" w:sz="4" w:space="0" w:color="auto"/>
            </w:tcBorders>
            <w:vAlign w:val="center"/>
          </w:tcPr>
          <w:p w14:paraId="2BEDC71D"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8C39C6B" w14:textId="77777777" w:rsidTr="003328F9">
        <w:trPr>
          <w:trHeight w:val="838"/>
        </w:trPr>
        <w:tc>
          <w:tcPr>
            <w:tcW w:w="255" w:type="pct"/>
            <w:tcBorders>
              <w:top w:val="single" w:sz="6" w:space="0" w:color="auto"/>
              <w:left w:val="single" w:sz="4" w:space="0" w:color="auto"/>
              <w:bottom w:val="single" w:sz="6" w:space="0" w:color="auto"/>
              <w:right w:val="single" w:sz="6" w:space="0" w:color="auto"/>
            </w:tcBorders>
            <w:vAlign w:val="center"/>
          </w:tcPr>
          <w:p w14:paraId="7FFB22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666" w:type="pct"/>
            <w:tcBorders>
              <w:top w:val="single" w:sz="6" w:space="0" w:color="auto"/>
              <w:left w:val="single" w:sz="6" w:space="0" w:color="auto"/>
              <w:bottom w:val="single" w:sz="6" w:space="0" w:color="auto"/>
              <w:right w:val="single" w:sz="6" w:space="0" w:color="auto"/>
            </w:tcBorders>
            <w:vAlign w:val="center"/>
          </w:tcPr>
          <w:p w14:paraId="605BF92F" w14:textId="2A3E388B"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770" w:type="pct"/>
            <w:vMerge/>
            <w:tcBorders>
              <w:left w:val="single" w:sz="6" w:space="0" w:color="auto"/>
              <w:right w:val="single" w:sz="6" w:space="0" w:color="auto"/>
            </w:tcBorders>
            <w:vAlign w:val="center"/>
          </w:tcPr>
          <w:p w14:paraId="43736740" w14:textId="77777777" w:rsidR="003328F9" w:rsidRPr="00DD0D1F" w:rsidRDefault="003328F9" w:rsidP="003328F9">
            <w:pPr>
              <w:adjustRightInd w:val="0"/>
              <w:spacing w:line="240" w:lineRule="auto"/>
              <w:ind w:left="74" w:right="74"/>
              <w:rPr>
                <w:rFonts w:cs="Times New Roman"/>
                <w:szCs w:val="24"/>
                <w:lang w:val="tr-TR"/>
              </w:rPr>
            </w:pPr>
          </w:p>
        </w:tc>
        <w:tc>
          <w:tcPr>
            <w:tcW w:w="2309" w:type="pct"/>
            <w:tcBorders>
              <w:top w:val="single" w:sz="6" w:space="0" w:color="auto"/>
              <w:left w:val="single" w:sz="6" w:space="0" w:color="auto"/>
              <w:bottom w:val="single" w:sz="6" w:space="0" w:color="auto"/>
              <w:right w:val="single" w:sz="4" w:space="0" w:color="auto"/>
            </w:tcBorders>
            <w:vAlign w:val="center"/>
          </w:tcPr>
          <w:p w14:paraId="3D4CE0A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teknik ve ekonomik kısıtlamalar bulunabilir.</w:t>
            </w:r>
          </w:p>
          <w:p w14:paraId="4953882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49A914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r w:rsidR="003328F9" w:rsidRPr="00DD0D1F" w14:paraId="6BF79AB8" w14:textId="77777777" w:rsidTr="003328F9">
        <w:trPr>
          <w:trHeight w:val="991"/>
        </w:trPr>
        <w:tc>
          <w:tcPr>
            <w:tcW w:w="255" w:type="pct"/>
            <w:tcBorders>
              <w:top w:val="single" w:sz="6" w:space="0" w:color="auto"/>
              <w:left w:val="single" w:sz="4" w:space="0" w:color="auto"/>
              <w:bottom w:val="single" w:sz="6" w:space="0" w:color="auto"/>
              <w:right w:val="single" w:sz="6" w:space="0" w:color="auto"/>
            </w:tcBorders>
            <w:vAlign w:val="center"/>
          </w:tcPr>
          <w:p w14:paraId="63548F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666" w:type="pct"/>
            <w:tcBorders>
              <w:top w:val="single" w:sz="6" w:space="0" w:color="auto"/>
              <w:left w:val="single" w:sz="6" w:space="0" w:color="auto"/>
              <w:bottom w:val="single" w:sz="6" w:space="0" w:color="auto"/>
              <w:right w:val="single" w:sz="6" w:space="0" w:color="auto"/>
            </w:tcBorders>
            <w:vAlign w:val="center"/>
          </w:tcPr>
          <w:p w14:paraId="3E248B9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w:t>
            </w:r>
          </w:p>
        </w:tc>
        <w:tc>
          <w:tcPr>
            <w:tcW w:w="770" w:type="pct"/>
            <w:vMerge/>
            <w:tcBorders>
              <w:left w:val="single" w:sz="6" w:space="0" w:color="auto"/>
              <w:right w:val="single" w:sz="6" w:space="0" w:color="auto"/>
            </w:tcBorders>
            <w:vAlign w:val="center"/>
          </w:tcPr>
          <w:p w14:paraId="1B0BFFEB" w14:textId="77777777" w:rsidR="003328F9" w:rsidRPr="00DD0D1F" w:rsidRDefault="003328F9" w:rsidP="003328F9">
            <w:pPr>
              <w:rPr>
                <w:rFonts w:cs="Times New Roman"/>
                <w:szCs w:val="24"/>
                <w:lang w:val="tr-TR"/>
              </w:rPr>
            </w:pPr>
          </w:p>
        </w:tc>
        <w:tc>
          <w:tcPr>
            <w:tcW w:w="2309" w:type="pct"/>
            <w:tcBorders>
              <w:top w:val="single" w:sz="6" w:space="0" w:color="auto"/>
              <w:left w:val="single" w:sz="6" w:space="0" w:color="auto"/>
              <w:bottom w:val="single" w:sz="6" w:space="0" w:color="auto"/>
              <w:right w:val="single" w:sz="4" w:space="0" w:color="auto"/>
            </w:tcBorders>
            <w:vAlign w:val="center"/>
          </w:tcPr>
          <w:p w14:paraId="366588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teknik ve ekonomik kısıtlamalar bulunabilir.</w:t>
            </w:r>
          </w:p>
          <w:p w14:paraId="703658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6FF02C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r w:rsidR="003328F9" w:rsidRPr="00DD0D1F" w14:paraId="13FB6646" w14:textId="77777777" w:rsidTr="003328F9">
        <w:trPr>
          <w:trHeight w:val="543"/>
        </w:trPr>
        <w:tc>
          <w:tcPr>
            <w:tcW w:w="255" w:type="pct"/>
            <w:tcBorders>
              <w:top w:val="single" w:sz="6" w:space="0" w:color="auto"/>
              <w:left w:val="single" w:sz="4" w:space="0" w:color="auto"/>
              <w:bottom w:val="single" w:sz="4" w:space="0" w:color="auto"/>
              <w:right w:val="single" w:sz="6" w:space="0" w:color="auto"/>
            </w:tcBorders>
            <w:vAlign w:val="center"/>
          </w:tcPr>
          <w:p w14:paraId="14F767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666" w:type="pct"/>
            <w:tcBorders>
              <w:top w:val="single" w:sz="6" w:space="0" w:color="auto"/>
              <w:left w:val="single" w:sz="6" w:space="0" w:color="auto"/>
              <w:bottom w:val="single" w:sz="4" w:space="0" w:color="auto"/>
              <w:right w:val="single" w:sz="6" w:space="0" w:color="auto"/>
            </w:tcBorders>
            <w:vAlign w:val="center"/>
          </w:tcPr>
          <w:p w14:paraId="725CA14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770" w:type="pct"/>
            <w:vMerge/>
            <w:tcBorders>
              <w:left w:val="single" w:sz="6" w:space="0" w:color="auto"/>
              <w:bottom w:val="single" w:sz="4" w:space="0" w:color="auto"/>
              <w:right w:val="single" w:sz="6" w:space="0" w:color="auto"/>
            </w:tcBorders>
            <w:vAlign w:val="center"/>
          </w:tcPr>
          <w:p w14:paraId="66A44196" w14:textId="77777777" w:rsidR="003328F9" w:rsidRPr="00DD0D1F" w:rsidRDefault="003328F9" w:rsidP="003328F9">
            <w:pPr>
              <w:adjustRightInd w:val="0"/>
              <w:spacing w:line="240" w:lineRule="auto"/>
              <w:ind w:right="74"/>
              <w:rPr>
                <w:rFonts w:cs="Times New Roman"/>
                <w:szCs w:val="24"/>
                <w:lang w:val="tr-TR"/>
              </w:rPr>
            </w:pPr>
          </w:p>
        </w:tc>
        <w:tc>
          <w:tcPr>
            <w:tcW w:w="2309" w:type="pct"/>
            <w:tcBorders>
              <w:top w:val="single" w:sz="6" w:space="0" w:color="auto"/>
              <w:left w:val="single" w:sz="6" w:space="0" w:color="auto"/>
              <w:bottom w:val="single" w:sz="4" w:space="0" w:color="auto"/>
              <w:right w:val="single" w:sz="4" w:space="0" w:color="auto"/>
            </w:tcBorders>
            <w:vAlign w:val="center"/>
          </w:tcPr>
          <w:p w14:paraId="467510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bookmarkEnd w:id="51"/>
    </w:tbl>
    <w:p w14:paraId="2E8F3491" w14:textId="77777777" w:rsidR="003328F9" w:rsidRPr="00DD0D1F" w:rsidRDefault="003328F9" w:rsidP="003328F9">
      <w:pPr>
        <w:pStyle w:val="ResimYazs"/>
        <w:rPr>
          <w:rFonts w:cs="Times New Roman"/>
          <w:color w:val="auto"/>
          <w:szCs w:val="24"/>
        </w:rPr>
      </w:pPr>
    </w:p>
    <w:p w14:paraId="46E06DCD" w14:textId="77777777" w:rsidR="003328F9" w:rsidRPr="00DD0D1F" w:rsidRDefault="003328F9" w:rsidP="003328F9">
      <w:pPr>
        <w:pStyle w:val="ResimYazs"/>
        <w:rPr>
          <w:rFonts w:cs="Times New Roman"/>
          <w:color w:val="auto"/>
          <w:szCs w:val="24"/>
        </w:rPr>
      </w:pPr>
      <w:r w:rsidRPr="00DD0D1F">
        <w:rPr>
          <w:rFonts w:cs="Times New Roman"/>
          <w:color w:val="auto"/>
          <w:szCs w:val="24"/>
        </w:rPr>
        <w:t>HFO ve/veya gaz yağının kazanlarda yakılmasından kaynaklanan, havaya SO</w:t>
      </w:r>
      <w:r w:rsidRPr="00DD0D1F">
        <w:rPr>
          <w:rFonts w:cs="Times New Roman"/>
          <w:color w:val="auto"/>
          <w:szCs w:val="24"/>
          <w:vertAlign w:val="subscript"/>
        </w:rPr>
        <w:t>2</w:t>
      </w:r>
      <w:r w:rsidRPr="00DD0D1F">
        <w:rPr>
          <w:rFonts w:cs="Times New Roman"/>
          <w:color w:val="auto"/>
          <w:szCs w:val="24"/>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180"/>
        <w:gridCol w:w="1054"/>
        <w:gridCol w:w="1001"/>
        <w:gridCol w:w="894"/>
        <w:gridCol w:w="1082"/>
        <w:gridCol w:w="3866"/>
      </w:tblGrid>
      <w:tr w:rsidR="00EB7491" w:rsidRPr="00DD0D1F" w14:paraId="4CBB80B2" w14:textId="3B2CA1E9" w:rsidTr="00AF28AA">
        <w:trPr>
          <w:trHeight w:val="53"/>
        </w:trPr>
        <w:tc>
          <w:tcPr>
            <w:tcW w:w="678" w:type="pct"/>
            <w:vMerge w:val="restart"/>
            <w:tcBorders>
              <w:top w:val="single" w:sz="4" w:space="0" w:color="auto"/>
              <w:left w:val="single" w:sz="4" w:space="0" w:color="auto"/>
              <w:right w:val="single" w:sz="6" w:space="0" w:color="auto"/>
            </w:tcBorders>
            <w:vAlign w:val="center"/>
          </w:tcPr>
          <w:p w14:paraId="2AE1241F"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w:t>
            </w:r>
          </w:p>
          <w:p w14:paraId="1A337A27"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(MW</w:t>
            </w:r>
            <w:r w:rsidRPr="00DD0D1F">
              <w:rPr>
                <w:rFonts w:cs="Times New Roman"/>
                <w:b/>
                <w:szCs w:val="24"/>
                <w:vertAlign w:val="subscript"/>
                <w:lang w:val="tr-TR"/>
              </w:rPr>
              <w:t>th</w:t>
            </w:r>
            <w:r w:rsidRPr="00DD0D1F">
              <w:rPr>
                <w:rFonts w:cs="Times New Roman"/>
                <w:b/>
                <w:szCs w:val="24"/>
                <w:lang w:val="tr-TR"/>
              </w:rPr>
              <w:t>)</w:t>
            </w:r>
          </w:p>
        </w:tc>
        <w:tc>
          <w:tcPr>
            <w:tcW w:w="4322" w:type="pct"/>
            <w:gridSpan w:val="5"/>
            <w:tcBorders>
              <w:top w:val="single" w:sz="4" w:space="0" w:color="auto"/>
              <w:left w:val="single" w:sz="6" w:space="0" w:color="auto"/>
              <w:bottom w:val="single" w:sz="6" w:space="0" w:color="auto"/>
              <w:right w:val="single" w:sz="4" w:space="0" w:color="auto"/>
            </w:tcBorders>
            <w:vAlign w:val="center"/>
          </w:tcPr>
          <w:p w14:paraId="3A4C313A" w14:textId="39EE3FB8"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7E2C5524" w14:textId="18093FC9" w:rsidTr="00AF28AA">
        <w:trPr>
          <w:trHeight w:val="53"/>
        </w:trPr>
        <w:tc>
          <w:tcPr>
            <w:tcW w:w="678" w:type="pct"/>
            <w:vMerge/>
            <w:tcBorders>
              <w:left w:val="single" w:sz="4" w:space="0" w:color="auto"/>
              <w:right w:val="single" w:sz="6" w:space="0" w:color="auto"/>
            </w:tcBorders>
            <w:vAlign w:val="center"/>
          </w:tcPr>
          <w:p w14:paraId="50451796" w14:textId="77777777" w:rsidR="00AF28AA" w:rsidRPr="00DD0D1F" w:rsidRDefault="00AF28AA" w:rsidP="003328F9">
            <w:pPr>
              <w:adjustRightInd w:val="0"/>
              <w:spacing w:line="240" w:lineRule="auto"/>
              <w:ind w:left="74" w:right="74"/>
              <w:jc w:val="center"/>
              <w:rPr>
                <w:rFonts w:cs="Times New Roman"/>
                <w:b/>
                <w:szCs w:val="24"/>
                <w:lang w:val="tr-TR"/>
              </w:rPr>
            </w:pP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05A6B70D"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33" w:type="pct"/>
            <w:gridSpan w:val="3"/>
            <w:tcBorders>
              <w:top w:val="single" w:sz="6" w:space="0" w:color="auto"/>
              <w:left w:val="single" w:sz="6" w:space="0" w:color="auto"/>
              <w:bottom w:val="single" w:sz="6" w:space="0" w:color="auto"/>
              <w:right w:val="single" w:sz="4" w:space="0" w:color="auto"/>
            </w:tcBorders>
            <w:vAlign w:val="center"/>
          </w:tcPr>
          <w:p w14:paraId="5F770F19"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35E0C0F6" w14:textId="758B1DC0"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58B46A8A" w14:textId="0A576706" w:rsidTr="00AF28AA">
        <w:trPr>
          <w:trHeight w:val="482"/>
        </w:trPr>
        <w:tc>
          <w:tcPr>
            <w:tcW w:w="678" w:type="pct"/>
            <w:vMerge/>
            <w:tcBorders>
              <w:left w:val="single" w:sz="4" w:space="0" w:color="auto"/>
              <w:bottom w:val="single" w:sz="6" w:space="0" w:color="auto"/>
              <w:right w:val="single" w:sz="6" w:space="0" w:color="auto"/>
            </w:tcBorders>
            <w:vAlign w:val="center"/>
          </w:tcPr>
          <w:p w14:paraId="05CB4D1A" w14:textId="77777777" w:rsidR="00AF28AA" w:rsidRPr="00DD0D1F" w:rsidRDefault="00AF28AA" w:rsidP="003328F9">
            <w:pPr>
              <w:adjustRightInd w:val="0"/>
              <w:spacing w:line="240" w:lineRule="auto"/>
              <w:ind w:left="74" w:right="74"/>
              <w:jc w:val="center"/>
              <w:rPr>
                <w:rFonts w:cs="Times New Roman"/>
                <w:b/>
                <w:szCs w:val="24"/>
                <w:lang w:val="tr-TR"/>
              </w:rPr>
            </w:pPr>
          </w:p>
        </w:tc>
        <w:tc>
          <w:tcPr>
            <w:tcW w:w="608" w:type="pct"/>
            <w:tcBorders>
              <w:top w:val="single" w:sz="6" w:space="0" w:color="auto"/>
              <w:left w:val="single" w:sz="6" w:space="0" w:color="auto"/>
              <w:bottom w:val="single" w:sz="6" w:space="0" w:color="auto"/>
              <w:right w:val="single" w:sz="6" w:space="0" w:color="auto"/>
            </w:tcBorders>
            <w:vAlign w:val="center"/>
          </w:tcPr>
          <w:p w14:paraId="63599E35"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81" w:type="pct"/>
            <w:tcBorders>
              <w:top w:val="single" w:sz="6" w:space="0" w:color="auto"/>
              <w:left w:val="single" w:sz="6" w:space="0" w:color="auto"/>
              <w:bottom w:val="single" w:sz="6" w:space="0" w:color="auto"/>
              <w:right w:val="single" w:sz="6" w:space="0" w:color="auto"/>
            </w:tcBorders>
            <w:vAlign w:val="center"/>
          </w:tcPr>
          <w:p w14:paraId="00174733"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20" w:type="pct"/>
            <w:tcBorders>
              <w:top w:val="single" w:sz="6" w:space="0" w:color="auto"/>
              <w:left w:val="single" w:sz="6" w:space="0" w:color="auto"/>
              <w:bottom w:val="single" w:sz="6" w:space="0" w:color="auto"/>
              <w:right w:val="single" w:sz="6" w:space="0" w:color="auto"/>
            </w:tcBorders>
            <w:vAlign w:val="center"/>
          </w:tcPr>
          <w:p w14:paraId="1813313E"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56" w:type="pct"/>
            <w:tcBorders>
              <w:top w:val="single" w:sz="6" w:space="0" w:color="auto"/>
              <w:left w:val="single" w:sz="6" w:space="0" w:color="auto"/>
              <w:bottom w:val="single" w:sz="6" w:space="0" w:color="auto"/>
              <w:right w:val="single" w:sz="4" w:space="0" w:color="auto"/>
            </w:tcBorders>
            <w:vAlign w:val="center"/>
          </w:tcPr>
          <w:p w14:paraId="3354D677" w14:textId="73A8205C"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57" w:type="pct"/>
            <w:tcBorders>
              <w:top w:val="single" w:sz="6" w:space="0" w:color="auto"/>
              <w:left w:val="single" w:sz="6" w:space="0" w:color="auto"/>
              <w:bottom w:val="single" w:sz="6" w:space="0" w:color="auto"/>
              <w:right w:val="single" w:sz="4" w:space="0" w:color="auto"/>
            </w:tcBorders>
          </w:tcPr>
          <w:p w14:paraId="7C5F722D" w14:textId="77777777" w:rsidR="00AF28AA" w:rsidRPr="00DD0D1F" w:rsidRDefault="00AF28AA" w:rsidP="00AF28AA">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561819DC" w14:textId="5CBDE74E" w:rsidR="00AF28AA" w:rsidRPr="00DD0D1F" w:rsidRDefault="00AF28AA" w:rsidP="00AF28AA">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64546910" w14:textId="75A4EE1A" w:rsidTr="00AF28AA">
        <w:trPr>
          <w:trHeight w:val="53"/>
        </w:trPr>
        <w:tc>
          <w:tcPr>
            <w:tcW w:w="678" w:type="pct"/>
            <w:tcBorders>
              <w:top w:val="single" w:sz="6" w:space="0" w:color="auto"/>
              <w:left w:val="single" w:sz="4" w:space="0" w:color="auto"/>
              <w:bottom w:val="single" w:sz="6" w:space="0" w:color="auto"/>
              <w:right w:val="single" w:sz="6" w:space="0" w:color="auto"/>
            </w:tcBorders>
            <w:vAlign w:val="center"/>
          </w:tcPr>
          <w:p w14:paraId="1C68198F"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608" w:type="pct"/>
            <w:tcBorders>
              <w:top w:val="single" w:sz="6" w:space="0" w:color="auto"/>
              <w:left w:val="single" w:sz="6" w:space="0" w:color="auto"/>
              <w:bottom w:val="single" w:sz="6" w:space="0" w:color="auto"/>
              <w:right w:val="single" w:sz="6" w:space="0" w:color="auto"/>
            </w:tcBorders>
            <w:vAlign w:val="center"/>
          </w:tcPr>
          <w:p w14:paraId="60A94C3A"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50-175</w:t>
            </w:r>
          </w:p>
        </w:tc>
        <w:tc>
          <w:tcPr>
            <w:tcW w:w="481" w:type="pct"/>
            <w:tcBorders>
              <w:top w:val="single" w:sz="6" w:space="0" w:color="auto"/>
              <w:left w:val="single" w:sz="6" w:space="0" w:color="auto"/>
              <w:bottom w:val="single" w:sz="6" w:space="0" w:color="auto"/>
              <w:right w:val="single" w:sz="6" w:space="0" w:color="auto"/>
            </w:tcBorders>
            <w:vAlign w:val="center"/>
          </w:tcPr>
          <w:p w14:paraId="59DE3FA2"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50-175</w:t>
            </w:r>
          </w:p>
        </w:tc>
        <w:tc>
          <w:tcPr>
            <w:tcW w:w="520" w:type="pct"/>
            <w:tcBorders>
              <w:top w:val="single" w:sz="6" w:space="0" w:color="auto"/>
              <w:left w:val="single" w:sz="6" w:space="0" w:color="auto"/>
              <w:bottom w:val="single" w:sz="6" w:space="0" w:color="auto"/>
              <w:right w:val="single" w:sz="6" w:space="0" w:color="auto"/>
            </w:tcBorders>
            <w:vAlign w:val="center"/>
          </w:tcPr>
          <w:p w14:paraId="3E3C1FA4"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150-200</w:t>
            </w:r>
          </w:p>
        </w:tc>
        <w:tc>
          <w:tcPr>
            <w:tcW w:w="556" w:type="pct"/>
            <w:tcBorders>
              <w:top w:val="single" w:sz="6" w:space="0" w:color="auto"/>
              <w:left w:val="single" w:sz="6" w:space="0" w:color="auto"/>
              <w:bottom w:val="single" w:sz="6" w:space="0" w:color="auto"/>
              <w:right w:val="single" w:sz="4" w:space="0" w:color="auto"/>
            </w:tcBorders>
            <w:vAlign w:val="center"/>
          </w:tcPr>
          <w:p w14:paraId="23969EBC"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150-200 (</w:t>
            </w:r>
            <w:r w:rsidRPr="00DD0D1F">
              <w:rPr>
                <w:rFonts w:cs="Times New Roman"/>
                <w:szCs w:val="24"/>
                <w:vertAlign w:val="superscript"/>
                <w:lang w:val="tr-TR"/>
              </w:rPr>
              <w:t>3</w:t>
            </w:r>
            <w:r w:rsidRPr="00DD0D1F">
              <w:rPr>
                <w:rFonts w:cs="Times New Roman"/>
                <w:szCs w:val="24"/>
                <w:lang w:val="tr-TR"/>
              </w:rPr>
              <w:t>)</w:t>
            </w:r>
          </w:p>
        </w:tc>
        <w:tc>
          <w:tcPr>
            <w:tcW w:w="2157" w:type="pct"/>
            <w:tcBorders>
              <w:top w:val="single" w:sz="6" w:space="0" w:color="auto"/>
              <w:left w:val="single" w:sz="6" w:space="0" w:color="auto"/>
              <w:bottom w:val="single" w:sz="6" w:space="0" w:color="auto"/>
              <w:right w:val="single" w:sz="4" w:space="0" w:color="auto"/>
            </w:tcBorders>
          </w:tcPr>
          <w:p w14:paraId="534F4BD6" w14:textId="4CF83CAD" w:rsidR="00AF28AA" w:rsidRPr="00DD0D1F" w:rsidRDefault="00052958" w:rsidP="003328F9">
            <w:pPr>
              <w:adjustRightInd w:val="0"/>
              <w:spacing w:line="240" w:lineRule="auto"/>
              <w:ind w:left="74" w:right="74"/>
              <w:jc w:val="center"/>
              <w:rPr>
                <w:rFonts w:cs="Times New Roman"/>
                <w:szCs w:val="24"/>
                <w:lang w:val="tr-TR"/>
              </w:rPr>
            </w:pPr>
            <w:r w:rsidRPr="00DD0D1F">
              <w:rPr>
                <w:rFonts w:cs="Times New Roman"/>
                <w:szCs w:val="24"/>
                <w:lang w:val="tr-TR"/>
              </w:rPr>
              <w:t>201-350</w:t>
            </w:r>
          </w:p>
        </w:tc>
      </w:tr>
      <w:tr w:rsidR="00EB7491" w:rsidRPr="00DD0D1F" w14:paraId="6BD00112" w14:textId="241D3C44" w:rsidTr="00AF28AA">
        <w:trPr>
          <w:trHeight w:val="53"/>
        </w:trPr>
        <w:tc>
          <w:tcPr>
            <w:tcW w:w="678" w:type="pct"/>
            <w:tcBorders>
              <w:top w:val="single" w:sz="6" w:space="0" w:color="auto"/>
              <w:left w:val="single" w:sz="4" w:space="0" w:color="auto"/>
              <w:bottom w:val="single" w:sz="6" w:space="0" w:color="auto"/>
              <w:right w:val="single" w:sz="6" w:space="0" w:color="auto"/>
            </w:tcBorders>
            <w:vAlign w:val="center"/>
          </w:tcPr>
          <w:p w14:paraId="154F71B1"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608" w:type="pct"/>
            <w:tcBorders>
              <w:top w:val="single" w:sz="6" w:space="0" w:color="auto"/>
              <w:left w:val="single" w:sz="6" w:space="0" w:color="auto"/>
              <w:bottom w:val="single" w:sz="6" w:space="0" w:color="auto"/>
              <w:right w:val="single" w:sz="6" w:space="0" w:color="auto"/>
            </w:tcBorders>
            <w:vAlign w:val="center"/>
          </w:tcPr>
          <w:p w14:paraId="23C955D7"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35-50</w:t>
            </w:r>
          </w:p>
        </w:tc>
        <w:tc>
          <w:tcPr>
            <w:tcW w:w="481" w:type="pct"/>
            <w:tcBorders>
              <w:top w:val="single" w:sz="6" w:space="0" w:color="auto"/>
              <w:left w:val="single" w:sz="6" w:space="0" w:color="auto"/>
              <w:bottom w:val="single" w:sz="6" w:space="0" w:color="auto"/>
              <w:right w:val="single" w:sz="6" w:space="0" w:color="auto"/>
            </w:tcBorders>
            <w:vAlign w:val="center"/>
          </w:tcPr>
          <w:p w14:paraId="7DEED7F8"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50-110</w:t>
            </w:r>
          </w:p>
        </w:tc>
        <w:tc>
          <w:tcPr>
            <w:tcW w:w="520" w:type="pct"/>
            <w:tcBorders>
              <w:top w:val="single" w:sz="6" w:space="0" w:color="auto"/>
              <w:left w:val="single" w:sz="6" w:space="0" w:color="auto"/>
              <w:bottom w:val="single" w:sz="6" w:space="0" w:color="auto"/>
              <w:right w:val="single" w:sz="6" w:space="0" w:color="auto"/>
            </w:tcBorders>
            <w:vAlign w:val="center"/>
          </w:tcPr>
          <w:p w14:paraId="4EE02E25"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50-120</w:t>
            </w:r>
          </w:p>
        </w:tc>
        <w:tc>
          <w:tcPr>
            <w:tcW w:w="556" w:type="pct"/>
            <w:tcBorders>
              <w:top w:val="single" w:sz="6" w:space="0" w:color="auto"/>
              <w:left w:val="single" w:sz="6" w:space="0" w:color="auto"/>
              <w:bottom w:val="single" w:sz="6" w:space="0" w:color="auto"/>
              <w:right w:val="single" w:sz="4" w:space="0" w:color="auto"/>
            </w:tcBorders>
            <w:vAlign w:val="center"/>
          </w:tcPr>
          <w:p w14:paraId="09570E65"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150-165 (</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c>
          <w:tcPr>
            <w:tcW w:w="2157" w:type="pct"/>
            <w:tcBorders>
              <w:top w:val="single" w:sz="6" w:space="0" w:color="auto"/>
              <w:left w:val="single" w:sz="6" w:space="0" w:color="auto"/>
              <w:bottom w:val="single" w:sz="6" w:space="0" w:color="auto"/>
              <w:right w:val="single" w:sz="4" w:space="0" w:color="auto"/>
            </w:tcBorders>
          </w:tcPr>
          <w:p w14:paraId="109DC948" w14:textId="05843706" w:rsidR="00AF28AA" w:rsidRPr="00DD0D1F" w:rsidRDefault="00052958"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43994AE8" w14:textId="103F9B10" w:rsidTr="00AF28AA">
        <w:trPr>
          <w:trHeight w:val="484"/>
        </w:trPr>
        <w:tc>
          <w:tcPr>
            <w:tcW w:w="5000" w:type="pct"/>
            <w:gridSpan w:val="6"/>
            <w:tcBorders>
              <w:top w:val="single" w:sz="6" w:space="0" w:color="auto"/>
              <w:left w:val="single" w:sz="4" w:space="0" w:color="auto"/>
              <w:bottom w:val="single" w:sz="4" w:space="0" w:color="auto"/>
              <w:right w:val="single" w:sz="4" w:space="0" w:color="auto"/>
            </w:tcBorders>
          </w:tcPr>
          <w:p w14:paraId="120D6CA0"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280CEEFF"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1339814F"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&lt;1500 saat/yıl çalıştırılan ve 1 Aralık 2025  tarihinden önce devreye alınan endüstriyel kazanlar ve bölgesel merkezi ısıtma tesisleri için, MET-İES aralığının üst sınırı 400 mg/Nm</w:t>
            </w:r>
            <w:r w:rsidRPr="00DD0D1F">
              <w:rPr>
                <w:rFonts w:cs="Times New Roman"/>
                <w:szCs w:val="24"/>
                <w:vertAlign w:val="superscript"/>
                <w:lang w:val="tr-TR"/>
              </w:rPr>
              <w:t>3</w:t>
            </w:r>
            <w:r w:rsidRPr="00DD0D1F">
              <w:rPr>
                <w:rFonts w:cs="Times New Roman"/>
                <w:szCs w:val="24"/>
                <w:lang w:val="tr-TR"/>
              </w:rPr>
              <w:t>'tür.</w:t>
            </w:r>
          </w:p>
          <w:p w14:paraId="202270EB"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175 mg/Nm</w:t>
            </w:r>
            <w:r w:rsidRPr="00DD0D1F">
              <w:rPr>
                <w:rFonts w:cs="Times New Roman"/>
                <w:szCs w:val="24"/>
                <w:vertAlign w:val="superscript"/>
                <w:lang w:val="tr-TR"/>
              </w:rPr>
              <w:t>3</w:t>
            </w:r>
            <w:r w:rsidRPr="00DD0D1F">
              <w:rPr>
                <w:rFonts w:cs="Times New Roman"/>
                <w:szCs w:val="24"/>
                <w:lang w:val="tr-TR"/>
              </w:rPr>
              <w:t>'tür.</w:t>
            </w:r>
          </w:p>
          <w:p w14:paraId="732C685C" w14:textId="6452AA35"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&lt;1500 saat/yıl çalıştırılan ve yaş FGD'nin uygulanmadığı, 27 Kasım 2003 tarihinden önce devreye alınan endüstriyel kazanlar ve bölgesel merkezi ısıtma tesisleri için, MET-İES aralığının üst sınırı 200 mg/Nm</w:t>
            </w:r>
            <w:r w:rsidRPr="00DD0D1F">
              <w:rPr>
                <w:rFonts w:cs="Times New Roman"/>
                <w:szCs w:val="24"/>
                <w:vertAlign w:val="superscript"/>
                <w:lang w:val="tr-TR"/>
              </w:rPr>
              <w:t>3</w:t>
            </w:r>
            <w:r w:rsidRPr="00DD0D1F">
              <w:rPr>
                <w:rFonts w:cs="Times New Roman"/>
                <w:szCs w:val="24"/>
                <w:lang w:val="tr-TR"/>
              </w:rPr>
              <w:t>'tür</w:t>
            </w:r>
            <w:r w:rsidRPr="00DD0D1F">
              <w:rPr>
                <w:rFonts w:cs="Times New Roman"/>
                <w:i/>
                <w:szCs w:val="24"/>
                <w:lang w:val="tr-TR"/>
              </w:rPr>
              <w:t>.</w:t>
            </w:r>
          </w:p>
        </w:tc>
      </w:tr>
    </w:tbl>
    <w:p w14:paraId="6ADB8A62" w14:textId="77777777" w:rsidR="003328F9" w:rsidRPr="00DD0D1F" w:rsidRDefault="003328F9" w:rsidP="00FF111D">
      <w:pPr>
        <w:pStyle w:val="Balk3"/>
        <w:numPr>
          <w:ilvl w:val="2"/>
          <w:numId w:val="73"/>
        </w:numPr>
        <w:rPr>
          <w:rFonts w:cs="Times New Roman"/>
          <w:lang w:val="tr-TR"/>
        </w:rPr>
      </w:pPr>
      <w:bookmarkStart w:id="52" w:name="_Toc137367312"/>
      <w:r w:rsidRPr="00DD0D1F">
        <w:rPr>
          <w:rFonts w:cs="Times New Roman"/>
          <w:lang w:val="tr-TR"/>
        </w:rPr>
        <w:t>Toz Partiküle Bağlı Metallerin Havaya Emisyonları</w:t>
      </w:r>
      <w:bookmarkEnd w:id="52"/>
    </w:p>
    <w:p w14:paraId="0358C538" w14:textId="02A25ADE" w:rsidR="003328F9" w:rsidRPr="00DD0D1F" w:rsidRDefault="003328F9" w:rsidP="003328F9">
      <w:pPr>
        <w:spacing w:before="240"/>
        <w:rPr>
          <w:rFonts w:cs="Times New Roman"/>
          <w:b/>
          <w:bCs/>
          <w:szCs w:val="24"/>
          <w:lang w:val="tr-TR"/>
        </w:rPr>
      </w:pPr>
      <w:r w:rsidRPr="00DD0D1F">
        <w:rPr>
          <w:rFonts w:cs="Times New Roman"/>
          <w:b/>
          <w:bCs/>
          <w:szCs w:val="24"/>
          <w:lang w:val="tr-TR"/>
        </w:rPr>
        <w:t>MET 30</w:t>
      </w:r>
      <w:bookmarkStart w:id="53" w:name="_Hlk137395197"/>
      <w:r w:rsidRPr="00DD0D1F">
        <w:rPr>
          <w:rFonts w:cs="Times New Roman"/>
          <w:b/>
          <w:bCs/>
          <w:szCs w:val="24"/>
          <w:lang w:val="tr-TR"/>
        </w:rPr>
        <w:t xml:space="preserve">: </w:t>
      </w:r>
      <w:r w:rsidRPr="00DD0D1F">
        <w:rPr>
          <w:rFonts w:cs="Times New Roman"/>
          <w:bCs/>
          <w:szCs w:val="24"/>
          <w:lang w:val="tr-TR"/>
        </w:rPr>
        <w:t>HFO ve/veya gaz yağının kazanlarda yakılmasından kaynaklanan, toz ve partiküle bağlı metallerin havaya emisyonlarını azaltmak için, aşağıda verilen tekniklerin biri</w:t>
      </w:r>
      <w:r w:rsidR="00BC038E" w:rsidRPr="00DD0D1F">
        <w:rPr>
          <w:rFonts w:cs="Times New Roman"/>
          <w:bCs/>
          <w:szCs w:val="24"/>
          <w:lang w:val="tr-TR"/>
        </w:rPr>
        <w:t xml:space="preserve"> veya bunların bir birleşimi</w:t>
      </w:r>
      <w:r w:rsidRPr="00DD0D1F">
        <w:rPr>
          <w:rFonts w:cs="Times New Roman"/>
          <w:bCs/>
          <w:szCs w:val="24"/>
          <w:lang w:val="tr-TR"/>
        </w:rPr>
        <w:t xml:space="preserve"> kullan</w:t>
      </w:r>
      <w:r w:rsidR="00BC038E" w:rsidRPr="00DD0D1F">
        <w:rPr>
          <w:rFonts w:cs="Times New Roman"/>
          <w:bCs/>
          <w:szCs w:val="24"/>
          <w:lang w:val="tr-TR"/>
        </w:rPr>
        <w:t>ılır.</w:t>
      </w:r>
    </w:p>
    <w:bookmarkEnd w:id="53"/>
    <w:tbl>
      <w:tblPr>
        <w:tblpPr w:leftFromText="141" w:rightFromText="141" w:vertAnchor="text" w:horzAnchor="margin" w:tblpXSpec="right" w:tblpY="180"/>
        <w:tblW w:w="5000" w:type="pct"/>
        <w:tblCellMar>
          <w:left w:w="40" w:type="dxa"/>
          <w:right w:w="40" w:type="dxa"/>
        </w:tblCellMar>
        <w:tblLook w:val="0000" w:firstRow="0" w:lastRow="0" w:firstColumn="0" w:lastColumn="0" w:noHBand="0" w:noVBand="0"/>
      </w:tblPr>
      <w:tblGrid>
        <w:gridCol w:w="422"/>
        <w:gridCol w:w="3628"/>
        <w:gridCol w:w="2654"/>
        <w:gridCol w:w="2373"/>
      </w:tblGrid>
      <w:tr w:rsidR="003328F9" w:rsidRPr="00DD0D1F" w14:paraId="78BF3B95" w14:textId="77777777" w:rsidTr="003328F9">
        <w:trPr>
          <w:trHeight w:val="367"/>
        </w:trPr>
        <w:tc>
          <w:tcPr>
            <w:tcW w:w="232" w:type="pct"/>
            <w:tcBorders>
              <w:top w:val="single" w:sz="4" w:space="0" w:color="auto"/>
              <w:left w:val="single" w:sz="4" w:space="0" w:color="auto"/>
              <w:bottom w:val="single" w:sz="6" w:space="0" w:color="auto"/>
              <w:right w:val="single" w:sz="4" w:space="0" w:color="auto"/>
            </w:tcBorders>
            <w:vAlign w:val="center"/>
          </w:tcPr>
          <w:p w14:paraId="7F92B34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998" w:type="pct"/>
            <w:tcBorders>
              <w:top w:val="single" w:sz="4" w:space="0" w:color="auto"/>
              <w:left w:val="single" w:sz="4" w:space="0" w:color="auto"/>
              <w:bottom w:val="single" w:sz="6" w:space="0" w:color="auto"/>
              <w:right w:val="single" w:sz="4" w:space="0" w:color="auto"/>
            </w:tcBorders>
            <w:vAlign w:val="center"/>
          </w:tcPr>
          <w:p w14:paraId="39F5BFD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62" w:type="pct"/>
            <w:tcBorders>
              <w:top w:val="single" w:sz="4" w:space="0" w:color="auto"/>
              <w:left w:val="single" w:sz="4" w:space="0" w:color="auto"/>
              <w:bottom w:val="single" w:sz="6" w:space="0" w:color="auto"/>
              <w:right w:val="single" w:sz="6" w:space="0" w:color="auto"/>
            </w:tcBorders>
            <w:vAlign w:val="center"/>
          </w:tcPr>
          <w:p w14:paraId="23CE0C9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307" w:type="pct"/>
            <w:tcBorders>
              <w:top w:val="single" w:sz="4" w:space="0" w:color="auto"/>
              <w:left w:val="single" w:sz="6" w:space="0" w:color="auto"/>
              <w:bottom w:val="single" w:sz="6" w:space="0" w:color="auto"/>
              <w:right w:val="single" w:sz="4" w:space="0" w:color="auto"/>
            </w:tcBorders>
            <w:vAlign w:val="center"/>
          </w:tcPr>
          <w:p w14:paraId="32C633D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FD09F9E" w14:textId="77777777" w:rsidTr="003328F9">
        <w:trPr>
          <w:trHeight w:val="52"/>
        </w:trPr>
        <w:tc>
          <w:tcPr>
            <w:tcW w:w="232" w:type="pct"/>
            <w:tcBorders>
              <w:top w:val="single" w:sz="6" w:space="0" w:color="auto"/>
              <w:left w:val="single" w:sz="4" w:space="0" w:color="auto"/>
              <w:bottom w:val="single" w:sz="6" w:space="0" w:color="auto"/>
              <w:right w:val="single" w:sz="6" w:space="0" w:color="auto"/>
            </w:tcBorders>
            <w:vAlign w:val="center"/>
          </w:tcPr>
          <w:p w14:paraId="5B5DAEB9" w14:textId="77777777" w:rsidR="003328F9" w:rsidRPr="00DD0D1F" w:rsidRDefault="003328F9" w:rsidP="003328F9">
            <w:pPr>
              <w:adjustRightInd w:val="0"/>
              <w:spacing w:line="240" w:lineRule="auto"/>
              <w:ind w:left="74" w:right="74"/>
              <w:rPr>
                <w:rFonts w:cs="Times New Roman"/>
                <w:bCs/>
                <w:szCs w:val="24"/>
                <w:lang w:val="tr-TR"/>
              </w:rPr>
            </w:pPr>
            <w:bookmarkStart w:id="54" w:name="_Hlk137395210"/>
            <w:r w:rsidRPr="00DD0D1F">
              <w:rPr>
                <w:rFonts w:cs="Times New Roman"/>
                <w:bCs/>
                <w:szCs w:val="24"/>
                <w:lang w:val="tr-TR"/>
              </w:rPr>
              <w:t>a</w:t>
            </w:r>
          </w:p>
        </w:tc>
        <w:tc>
          <w:tcPr>
            <w:tcW w:w="1998" w:type="pct"/>
            <w:tcBorders>
              <w:top w:val="single" w:sz="6" w:space="0" w:color="auto"/>
              <w:left w:val="single" w:sz="6" w:space="0" w:color="auto"/>
              <w:bottom w:val="single" w:sz="6" w:space="0" w:color="auto"/>
              <w:right w:val="single" w:sz="6" w:space="0" w:color="auto"/>
            </w:tcBorders>
            <w:vAlign w:val="center"/>
          </w:tcPr>
          <w:p w14:paraId="3404E91E" w14:textId="098D9693" w:rsidR="003328F9" w:rsidRPr="00DD0D1F" w:rsidRDefault="009A6605"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Elektrostatik çöktürücü </w:t>
            </w:r>
            <w:r w:rsidR="003328F9" w:rsidRPr="00DD0D1F">
              <w:rPr>
                <w:rFonts w:cs="Times New Roman"/>
                <w:bCs/>
                <w:szCs w:val="24"/>
                <w:lang w:val="tr-TR"/>
              </w:rPr>
              <w:t>(ESP)</w:t>
            </w:r>
          </w:p>
        </w:tc>
        <w:tc>
          <w:tcPr>
            <w:tcW w:w="1462" w:type="pct"/>
            <w:vMerge w:val="restart"/>
            <w:tcBorders>
              <w:top w:val="single" w:sz="6" w:space="0" w:color="auto"/>
              <w:left w:val="single" w:sz="6" w:space="0" w:color="auto"/>
              <w:right w:val="single" w:sz="6" w:space="0" w:color="auto"/>
            </w:tcBorders>
            <w:vAlign w:val="center"/>
          </w:tcPr>
          <w:p w14:paraId="3B6FEBA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307" w:type="pct"/>
            <w:vMerge w:val="restart"/>
            <w:tcBorders>
              <w:top w:val="single" w:sz="6" w:space="0" w:color="auto"/>
              <w:left w:val="single" w:sz="6" w:space="0" w:color="auto"/>
              <w:right w:val="single" w:sz="4" w:space="0" w:color="auto"/>
            </w:tcBorders>
            <w:vAlign w:val="center"/>
          </w:tcPr>
          <w:p w14:paraId="4FB14C8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432B8671" w14:textId="77777777" w:rsidTr="003328F9">
        <w:trPr>
          <w:trHeight w:val="50"/>
        </w:trPr>
        <w:tc>
          <w:tcPr>
            <w:tcW w:w="232" w:type="pct"/>
            <w:tcBorders>
              <w:top w:val="single" w:sz="6" w:space="0" w:color="auto"/>
              <w:left w:val="single" w:sz="4" w:space="0" w:color="auto"/>
              <w:bottom w:val="single" w:sz="6" w:space="0" w:color="auto"/>
              <w:right w:val="single" w:sz="6" w:space="0" w:color="auto"/>
            </w:tcBorders>
            <w:vAlign w:val="center"/>
          </w:tcPr>
          <w:p w14:paraId="6188576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998" w:type="pct"/>
            <w:tcBorders>
              <w:top w:val="single" w:sz="6" w:space="0" w:color="auto"/>
              <w:left w:val="single" w:sz="6" w:space="0" w:color="auto"/>
              <w:bottom w:val="single" w:sz="6" w:space="0" w:color="auto"/>
              <w:right w:val="single" w:sz="6" w:space="0" w:color="auto"/>
            </w:tcBorders>
            <w:vAlign w:val="center"/>
          </w:tcPr>
          <w:p w14:paraId="468EC112"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462" w:type="pct"/>
            <w:vMerge/>
            <w:tcBorders>
              <w:left w:val="single" w:sz="6" w:space="0" w:color="auto"/>
              <w:bottom w:val="single" w:sz="6" w:space="0" w:color="auto"/>
              <w:right w:val="single" w:sz="6" w:space="0" w:color="auto"/>
            </w:tcBorders>
            <w:vAlign w:val="center"/>
          </w:tcPr>
          <w:p w14:paraId="6D91AC86" w14:textId="77777777" w:rsidR="003328F9" w:rsidRPr="00DD0D1F" w:rsidRDefault="003328F9" w:rsidP="003328F9">
            <w:pPr>
              <w:adjustRightInd w:val="0"/>
              <w:spacing w:line="240" w:lineRule="auto"/>
              <w:ind w:left="74" w:right="74"/>
              <w:rPr>
                <w:rFonts w:cs="Times New Roman"/>
                <w:bCs/>
                <w:szCs w:val="24"/>
                <w:lang w:val="tr-TR"/>
              </w:rPr>
            </w:pPr>
          </w:p>
        </w:tc>
        <w:tc>
          <w:tcPr>
            <w:tcW w:w="1307" w:type="pct"/>
            <w:vMerge/>
            <w:tcBorders>
              <w:left w:val="single" w:sz="6" w:space="0" w:color="auto"/>
              <w:right w:val="single" w:sz="4" w:space="0" w:color="auto"/>
            </w:tcBorders>
            <w:vAlign w:val="center"/>
          </w:tcPr>
          <w:p w14:paraId="08947A7B"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61D32623" w14:textId="77777777" w:rsidTr="003328F9">
        <w:trPr>
          <w:trHeight w:val="494"/>
        </w:trPr>
        <w:tc>
          <w:tcPr>
            <w:tcW w:w="232" w:type="pct"/>
            <w:tcBorders>
              <w:top w:val="single" w:sz="6" w:space="0" w:color="auto"/>
              <w:left w:val="single" w:sz="4" w:space="0" w:color="auto"/>
              <w:bottom w:val="single" w:sz="6" w:space="0" w:color="auto"/>
              <w:right w:val="single" w:sz="6" w:space="0" w:color="auto"/>
            </w:tcBorders>
            <w:vAlign w:val="center"/>
          </w:tcPr>
          <w:p w14:paraId="77D17B02"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998" w:type="pct"/>
            <w:tcBorders>
              <w:top w:val="single" w:sz="6" w:space="0" w:color="auto"/>
              <w:left w:val="single" w:sz="6" w:space="0" w:color="auto"/>
              <w:bottom w:val="single" w:sz="6" w:space="0" w:color="auto"/>
              <w:right w:val="single" w:sz="6" w:space="0" w:color="auto"/>
            </w:tcBorders>
            <w:vAlign w:val="center"/>
          </w:tcPr>
          <w:p w14:paraId="3A68F36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Çoklu siklonlar</w:t>
            </w:r>
          </w:p>
        </w:tc>
        <w:tc>
          <w:tcPr>
            <w:tcW w:w="1462" w:type="pct"/>
            <w:tcBorders>
              <w:top w:val="single" w:sz="6" w:space="0" w:color="auto"/>
              <w:left w:val="single" w:sz="6" w:space="0" w:color="auto"/>
              <w:bottom w:val="single" w:sz="6" w:space="0" w:color="auto"/>
              <w:right w:val="single" w:sz="6" w:space="0" w:color="auto"/>
            </w:tcBorders>
            <w:vAlign w:val="center"/>
          </w:tcPr>
          <w:p w14:paraId="674DF9F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357AC914"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Çoklu siklonlar, genel olarak diğer toz giderme teknikleri ile birlikte kullanılabilir.</w:t>
            </w:r>
          </w:p>
        </w:tc>
        <w:tc>
          <w:tcPr>
            <w:tcW w:w="1307" w:type="pct"/>
            <w:vMerge/>
            <w:tcBorders>
              <w:left w:val="single" w:sz="6" w:space="0" w:color="auto"/>
              <w:right w:val="single" w:sz="4" w:space="0" w:color="auto"/>
            </w:tcBorders>
            <w:vAlign w:val="center"/>
          </w:tcPr>
          <w:p w14:paraId="4280CA06"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5F23B33A" w14:textId="77777777" w:rsidTr="003328F9">
        <w:trPr>
          <w:trHeight w:val="488"/>
        </w:trPr>
        <w:tc>
          <w:tcPr>
            <w:tcW w:w="232" w:type="pct"/>
            <w:tcBorders>
              <w:top w:val="single" w:sz="6" w:space="0" w:color="auto"/>
              <w:left w:val="single" w:sz="4" w:space="0" w:color="auto"/>
              <w:bottom w:val="single" w:sz="6" w:space="0" w:color="auto"/>
              <w:right w:val="single" w:sz="6" w:space="0" w:color="auto"/>
            </w:tcBorders>
            <w:vAlign w:val="center"/>
          </w:tcPr>
          <w:p w14:paraId="7C6B045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998" w:type="pct"/>
            <w:tcBorders>
              <w:top w:val="single" w:sz="6" w:space="0" w:color="auto"/>
              <w:left w:val="single" w:sz="6" w:space="0" w:color="auto"/>
              <w:bottom w:val="single" w:sz="6" w:space="0" w:color="auto"/>
              <w:right w:val="single" w:sz="6" w:space="0" w:color="auto"/>
            </w:tcBorders>
            <w:vAlign w:val="center"/>
          </w:tcPr>
          <w:p w14:paraId="3093B3C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462" w:type="pct"/>
            <w:tcBorders>
              <w:top w:val="single" w:sz="6" w:space="0" w:color="auto"/>
              <w:left w:val="single" w:sz="6" w:space="0" w:color="auto"/>
              <w:bottom w:val="single" w:sz="6" w:space="0" w:color="auto"/>
              <w:right w:val="single" w:sz="6" w:space="0" w:color="auto"/>
            </w:tcBorders>
            <w:vAlign w:val="center"/>
          </w:tcPr>
          <w:p w14:paraId="2D6508D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18115D14"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kullanılır.</w:t>
            </w:r>
          </w:p>
        </w:tc>
        <w:tc>
          <w:tcPr>
            <w:tcW w:w="1307" w:type="pct"/>
            <w:vMerge/>
            <w:tcBorders>
              <w:left w:val="single" w:sz="6" w:space="0" w:color="auto"/>
              <w:bottom w:val="single" w:sz="6" w:space="0" w:color="auto"/>
              <w:right w:val="single" w:sz="4" w:space="0" w:color="auto"/>
            </w:tcBorders>
            <w:vAlign w:val="center"/>
          </w:tcPr>
          <w:p w14:paraId="6D2C7F7C"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75E1778B" w14:textId="77777777" w:rsidTr="003328F9">
        <w:trPr>
          <w:trHeight w:val="73"/>
        </w:trPr>
        <w:tc>
          <w:tcPr>
            <w:tcW w:w="232" w:type="pct"/>
            <w:tcBorders>
              <w:top w:val="single" w:sz="6" w:space="0" w:color="auto"/>
              <w:left w:val="single" w:sz="4" w:space="0" w:color="auto"/>
              <w:bottom w:val="single" w:sz="6" w:space="0" w:color="auto"/>
              <w:right w:val="single" w:sz="6" w:space="0" w:color="auto"/>
            </w:tcBorders>
            <w:vAlign w:val="center"/>
          </w:tcPr>
          <w:p w14:paraId="779FA995" w14:textId="77777777" w:rsidR="003328F9" w:rsidRPr="00DD0D1F" w:rsidRDefault="003328F9" w:rsidP="003328F9">
            <w:pPr>
              <w:adjustRightInd w:val="0"/>
              <w:spacing w:line="240" w:lineRule="auto"/>
              <w:ind w:left="74" w:right="74"/>
              <w:rPr>
                <w:rFonts w:cs="Times New Roman"/>
                <w:bCs/>
                <w:szCs w:val="24"/>
                <w:lang w:val="tr-TR"/>
              </w:rPr>
            </w:pPr>
            <w:bookmarkStart w:id="55" w:name="_Hlk137395227"/>
            <w:bookmarkEnd w:id="54"/>
            <w:r w:rsidRPr="00DD0D1F">
              <w:rPr>
                <w:rFonts w:cs="Times New Roman"/>
                <w:bCs/>
                <w:szCs w:val="24"/>
                <w:lang w:val="tr-TR"/>
              </w:rPr>
              <w:t>e</w:t>
            </w:r>
          </w:p>
        </w:tc>
        <w:tc>
          <w:tcPr>
            <w:tcW w:w="1998" w:type="pct"/>
            <w:tcBorders>
              <w:top w:val="single" w:sz="6" w:space="0" w:color="auto"/>
              <w:left w:val="single" w:sz="6" w:space="0" w:color="auto"/>
              <w:bottom w:val="single" w:sz="6" w:space="0" w:color="auto"/>
              <w:right w:val="single" w:sz="6" w:space="0" w:color="auto"/>
            </w:tcBorders>
            <w:vAlign w:val="center"/>
          </w:tcPr>
          <w:p w14:paraId="4339C073" w14:textId="77777777" w:rsidR="003328F9" w:rsidRPr="00DD0D1F" w:rsidRDefault="003328F9" w:rsidP="003328F9">
            <w:pPr>
              <w:adjustRightInd w:val="0"/>
              <w:spacing w:line="240" w:lineRule="auto"/>
              <w:ind w:left="74" w:right="74"/>
              <w:rPr>
                <w:rFonts w:cs="Times New Roman"/>
                <w:bCs/>
                <w:szCs w:val="24"/>
                <w:lang w:val="tr-TR"/>
              </w:rPr>
            </w:pPr>
          </w:p>
          <w:p w14:paraId="1998D76B" w14:textId="589DA753"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Yaş </w:t>
            </w:r>
            <w:r w:rsidR="00E00B0A" w:rsidRPr="00DD0D1F">
              <w:rPr>
                <w:rFonts w:cs="Times New Roman"/>
                <w:bCs/>
                <w:szCs w:val="24"/>
                <w:lang w:val="tr-TR"/>
              </w:rPr>
              <w:t>baca</w:t>
            </w:r>
            <w:r w:rsidRPr="00DD0D1F">
              <w:rPr>
                <w:rFonts w:cs="Times New Roman"/>
                <w:bCs/>
                <w:szCs w:val="24"/>
                <w:lang w:val="tr-TR"/>
              </w:rPr>
              <w:t xml:space="preserve"> gazı kükürt giderme (yaş FGD)</w:t>
            </w:r>
          </w:p>
        </w:tc>
        <w:tc>
          <w:tcPr>
            <w:tcW w:w="1462" w:type="pct"/>
            <w:tcBorders>
              <w:top w:val="single" w:sz="6" w:space="0" w:color="auto"/>
              <w:left w:val="single" w:sz="6" w:space="0" w:color="auto"/>
              <w:bottom w:val="single" w:sz="6" w:space="0" w:color="auto"/>
              <w:right w:val="single" w:sz="6" w:space="0" w:color="auto"/>
            </w:tcBorders>
            <w:vAlign w:val="center"/>
          </w:tcPr>
          <w:p w14:paraId="178CDCF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1205D94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kullanılır.</w:t>
            </w:r>
          </w:p>
        </w:tc>
        <w:tc>
          <w:tcPr>
            <w:tcW w:w="1307" w:type="pct"/>
            <w:tcBorders>
              <w:top w:val="single" w:sz="6" w:space="0" w:color="auto"/>
              <w:left w:val="single" w:sz="6" w:space="0" w:color="auto"/>
              <w:bottom w:val="single" w:sz="6" w:space="0" w:color="auto"/>
              <w:right w:val="single" w:sz="4" w:space="0" w:color="auto"/>
            </w:tcBorders>
            <w:vAlign w:val="center"/>
          </w:tcPr>
          <w:p w14:paraId="056E5C8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MET 29'daki uygulanabilirlik bölümüne bakınız.</w:t>
            </w:r>
          </w:p>
        </w:tc>
      </w:tr>
      <w:tr w:rsidR="003328F9" w:rsidRPr="00DD0D1F" w14:paraId="70F9E986" w14:textId="77777777" w:rsidTr="003328F9">
        <w:trPr>
          <w:trHeight w:val="303"/>
        </w:trPr>
        <w:tc>
          <w:tcPr>
            <w:tcW w:w="232" w:type="pct"/>
            <w:tcBorders>
              <w:top w:val="single" w:sz="6" w:space="0" w:color="auto"/>
              <w:left w:val="single" w:sz="4" w:space="0" w:color="auto"/>
              <w:bottom w:val="single" w:sz="4" w:space="0" w:color="auto"/>
              <w:right w:val="single" w:sz="6" w:space="0" w:color="auto"/>
            </w:tcBorders>
            <w:vAlign w:val="center"/>
          </w:tcPr>
          <w:p w14:paraId="65B4060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f</w:t>
            </w:r>
          </w:p>
        </w:tc>
        <w:tc>
          <w:tcPr>
            <w:tcW w:w="1998" w:type="pct"/>
            <w:tcBorders>
              <w:top w:val="single" w:sz="6" w:space="0" w:color="auto"/>
              <w:left w:val="single" w:sz="6" w:space="0" w:color="auto"/>
              <w:bottom w:val="single" w:sz="4" w:space="0" w:color="auto"/>
              <w:right w:val="single" w:sz="6" w:space="0" w:color="auto"/>
            </w:tcBorders>
            <w:vAlign w:val="center"/>
          </w:tcPr>
          <w:p w14:paraId="4658488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Yakıt seçimi</w:t>
            </w:r>
          </w:p>
        </w:tc>
        <w:tc>
          <w:tcPr>
            <w:tcW w:w="1462" w:type="pct"/>
            <w:tcBorders>
              <w:top w:val="single" w:sz="6" w:space="0" w:color="auto"/>
              <w:left w:val="single" w:sz="6" w:space="0" w:color="auto"/>
              <w:bottom w:val="single" w:sz="4" w:space="0" w:color="auto"/>
              <w:right w:val="single" w:sz="6" w:space="0" w:color="auto"/>
            </w:tcBorders>
            <w:vAlign w:val="center"/>
          </w:tcPr>
          <w:p w14:paraId="43E36B4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0696CBB9" w14:textId="77777777" w:rsidR="003328F9" w:rsidRPr="00DD0D1F" w:rsidRDefault="003328F9" w:rsidP="003328F9">
            <w:pPr>
              <w:adjustRightInd w:val="0"/>
              <w:spacing w:line="240" w:lineRule="auto"/>
              <w:ind w:left="74" w:right="74"/>
              <w:rPr>
                <w:rFonts w:cs="Times New Roman"/>
                <w:bCs/>
                <w:szCs w:val="24"/>
                <w:lang w:val="tr-TR"/>
              </w:rPr>
            </w:pPr>
          </w:p>
        </w:tc>
        <w:tc>
          <w:tcPr>
            <w:tcW w:w="1307" w:type="pct"/>
            <w:tcBorders>
              <w:top w:val="single" w:sz="6" w:space="0" w:color="auto"/>
              <w:left w:val="single" w:sz="6" w:space="0" w:color="auto"/>
              <w:bottom w:val="single" w:sz="4" w:space="0" w:color="auto"/>
              <w:right w:val="single" w:sz="4" w:space="0" w:color="auto"/>
            </w:tcBorders>
            <w:vAlign w:val="center"/>
          </w:tcPr>
          <w:p w14:paraId="62123EA3" w14:textId="0BB6367C" w:rsidR="003328F9" w:rsidRPr="00DD0D1F" w:rsidRDefault="00A504E5" w:rsidP="003328F9">
            <w:pPr>
              <w:adjustRightInd w:val="0"/>
              <w:spacing w:line="240" w:lineRule="auto"/>
              <w:ind w:left="74" w:right="74"/>
              <w:rPr>
                <w:rFonts w:cs="Times New Roman"/>
                <w:bCs/>
                <w:szCs w:val="24"/>
                <w:lang w:val="tr-TR"/>
              </w:rPr>
            </w:pPr>
            <w:r w:rsidRPr="00DD0D1F">
              <w:rPr>
                <w:rFonts w:cs="Times New Roman"/>
                <w:bCs/>
                <w:szCs w:val="24"/>
                <w:lang w:val="tr-TR"/>
              </w:rPr>
              <w:t>E</w:t>
            </w:r>
            <w:r w:rsidR="003328F9" w:rsidRPr="00DD0D1F">
              <w:rPr>
                <w:rFonts w:cs="Times New Roman"/>
                <w:bCs/>
                <w:szCs w:val="24"/>
                <w:lang w:val="tr-TR"/>
              </w:rPr>
              <w:t>nerji politikasının da etkili olabileceği farklı türde yakıtların kullanılabilirliği ile ilişkili kısıtlamalar dahilinde uygulanabilir.</w:t>
            </w:r>
          </w:p>
        </w:tc>
      </w:tr>
    </w:tbl>
    <w:bookmarkEnd w:id="55"/>
    <w:p w14:paraId="3E80B29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kazanlarda yakılmasından kaynaklanan,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062"/>
        <w:gridCol w:w="708"/>
        <w:gridCol w:w="1001"/>
        <w:gridCol w:w="1314"/>
        <w:gridCol w:w="1082"/>
        <w:gridCol w:w="3910"/>
      </w:tblGrid>
      <w:tr w:rsidR="00EB7491" w:rsidRPr="00DD0D1F" w14:paraId="09D1DD21" w14:textId="6B253254" w:rsidTr="007702F5">
        <w:trPr>
          <w:trHeight w:val="49"/>
        </w:trPr>
        <w:tc>
          <w:tcPr>
            <w:tcW w:w="621" w:type="pct"/>
            <w:vMerge w:val="restart"/>
            <w:tcBorders>
              <w:top w:val="single" w:sz="4" w:space="0" w:color="auto"/>
              <w:left w:val="single" w:sz="4" w:space="0" w:color="auto"/>
              <w:right w:val="single" w:sz="6" w:space="0" w:color="auto"/>
            </w:tcBorders>
            <w:vAlign w:val="center"/>
          </w:tcPr>
          <w:p w14:paraId="6A511177"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379" w:type="pct"/>
            <w:gridSpan w:val="5"/>
            <w:tcBorders>
              <w:top w:val="single" w:sz="4" w:space="0" w:color="auto"/>
              <w:left w:val="single" w:sz="6" w:space="0" w:color="auto"/>
              <w:bottom w:val="single" w:sz="6" w:space="0" w:color="auto"/>
              <w:right w:val="single" w:sz="4" w:space="0" w:color="auto"/>
            </w:tcBorders>
            <w:vAlign w:val="center"/>
          </w:tcPr>
          <w:p w14:paraId="0D08B3D5" w14:textId="1AFB8F7E"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5C1525B6" w14:textId="21E7BAD6" w:rsidTr="007702F5">
        <w:trPr>
          <w:trHeight w:val="70"/>
        </w:trPr>
        <w:tc>
          <w:tcPr>
            <w:tcW w:w="621" w:type="pct"/>
            <w:vMerge/>
            <w:tcBorders>
              <w:left w:val="single" w:sz="4" w:space="0" w:color="auto"/>
              <w:right w:val="single" w:sz="6" w:space="0" w:color="auto"/>
            </w:tcBorders>
            <w:vAlign w:val="center"/>
          </w:tcPr>
          <w:p w14:paraId="531D03D1" w14:textId="77777777" w:rsidR="007702F5" w:rsidRPr="00DD0D1F" w:rsidRDefault="007702F5" w:rsidP="003328F9">
            <w:pPr>
              <w:adjustRightInd w:val="0"/>
              <w:spacing w:line="240" w:lineRule="auto"/>
              <w:ind w:left="74" w:right="74"/>
              <w:jc w:val="center"/>
              <w:rPr>
                <w:rFonts w:cs="Times New Roman"/>
                <w:b/>
                <w:szCs w:val="24"/>
                <w:lang w:val="tr-TR"/>
              </w:rPr>
            </w:pPr>
          </w:p>
        </w:tc>
        <w:tc>
          <w:tcPr>
            <w:tcW w:w="921" w:type="pct"/>
            <w:gridSpan w:val="2"/>
            <w:tcBorders>
              <w:top w:val="single" w:sz="6" w:space="0" w:color="auto"/>
              <w:left w:val="single" w:sz="6" w:space="0" w:color="auto"/>
              <w:bottom w:val="single" w:sz="6" w:space="0" w:color="auto"/>
              <w:right w:val="single" w:sz="6" w:space="0" w:color="auto"/>
            </w:tcBorders>
            <w:vAlign w:val="center"/>
          </w:tcPr>
          <w:p w14:paraId="1B28580C"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458" w:type="pct"/>
            <w:gridSpan w:val="3"/>
            <w:tcBorders>
              <w:top w:val="single" w:sz="6" w:space="0" w:color="auto"/>
              <w:left w:val="single" w:sz="6" w:space="0" w:color="auto"/>
              <w:bottom w:val="single" w:sz="6" w:space="0" w:color="auto"/>
              <w:right w:val="single" w:sz="4" w:space="0" w:color="auto"/>
            </w:tcBorders>
            <w:vAlign w:val="center"/>
          </w:tcPr>
          <w:p w14:paraId="51F77005" w14:textId="4C77DE02"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2A949D05" w14:textId="1C914636" w:rsidTr="007702F5">
        <w:trPr>
          <w:trHeight w:val="411"/>
        </w:trPr>
        <w:tc>
          <w:tcPr>
            <w:tcW w:w="621" w:type="pct"/>
            <w:vMerge/>
            <w:tcBorders>
              <w:left w:val="single" w:sz="4" w:space="0" w:color="auto"/>
              <w:bottom w:val="single" w:sz="6" w:space="0" w:color="auto"/>
              <w:right w:val="single" w:sz="6" w:space="0" w:color="auto"/>
            </w:tcBorders>
            <w:vAlign w:val="center"/>
          </w:tcPr>
          <w:p w14:paraId="3254A317" w14:textId="77777777" w:rsidR="007702F5" w:rsidRPr="00DD0D1F" w:rsidRDefault="007702F5" w:rsidP="003328F9">
            <w:pPr>
              <w:adjustRightInd w:val="0"/>
              <w:spacing w:line="240" w:lineRule="auto"/>
              <w:ind w:left="74" w:right="74"/>
              <w:jc w:val="center"/>
              <w:rPr>
                <w:rFonts w:cs="Times New Roman"/>
                <w:b/>
                <w:szCs w:val="24"/>
                <w:lang w:val="tr-TR"/>
              </w:rPr>
            </w:pPr>
          </w:p>
        </w:tc>
        <w:tc>
          <w:tcPr>
            <w:tcW w:w="379" w:type="pct"/>
            <w:tcBorders>
              <w:top w:val="single" w:sz="6" w:space="0" w:color="auto"/>
              <w:left w:val="single" w:sz="6" w:space="0" w:color="auto"/>
              <w:bottom w:val="single" w:sz="6" w:space="0" w:color="auto"/>
              <w:right w:val="single" w:sz="6" w:space="0" w:color="auto"/>
            </w:tcBorders>
            <w:vAlign w:val="center"/>
          </w:tcPr>
          <w:p w14:paraId="74017960"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42" w:type="pct"/>
            <w:tcBorders>
              <w:top w:val="single" w:sz="6" w:space="0" w:color="auto"/>
              <w:left w:val="single" w:sz="6" w:space="0" w:color="auto"/>
              <w:bottom w:val="single" w:sz="6" w:space="0" w:color="auto"/>
              <w:right w:val="single" w:sz="6" w:space="0" w:color="auto"/>
            </w:tcBorders>
            <w:vAlign w:val="center"/>
          </w:tcPr>
          <w:p w14:paraId="779A57C6"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759" w:type="pct"/>
            <w:tcBorders>
              <w:top w:val="single" w:sz="6" w:space="0" w:color="auto"/>
              <w:left w:val="single" w:sz="6" w:space="0" w:color="auto"/>
              <w:bottom w:val="single" w:sz="6" w:space="0" w:color="auto"/>
              <w:right w:val="single" w:sz="6" w:space="0" w:color="auto"/>
            </w:tcBorders>
            <w:vAlign w:val="center"/>
          </w:tcPr>
          <w:p w14:paraId="77264987"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10" w:type="pct"/>
            <w:tcBorders>
              <w:top w:val="single" w:sz="6" w:space="0" w:color="auto"/>
              <w:left w:val="single" w:sz="6" w:space="0" w:color="auto"/>
              <w:bottom w:val="single" w:sz="6" w:space="0" w:color="auto"/>
              <w:right w:val="single" w:sz="4" w:space="0" w:color="auto"/>
            </w:tcBorders>
            <w:vAlign w:val="center"/>
          </w:tcPr>
          <w:p w14:paraId="12DFB0F7" w14:textId="3BB2434F"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89" w:type="pct"/>
            <w:tcBorders>
              <w:top w:val="single" w:sz="6" w:space="0" w:color="auto"/>
              <w:left w:val="single" w:sz="6" w:space="0" w:color="auto"/>
              <w:bottom w:val="single" w:sz="6" w:space="0" w:color="auto"/>
              <w:right w:val="single" w:sz="4" w:space="0" w:color="auto"/>
            </w:tcBorders>
          </w:tcPr>
          <w:p w14:paraId="20CE519D"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0C3F49A8" w14:textId="5FF7217A" w:rsidR="007702F5" w:rsidRPr="00DD0D1F" w:rsidRDefault="007702F5" w:rsidP="007702F5">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3B5576A" w14:textId="72F962CF" w:rsidTr="007702F5">
        <w:trPr>
          <w:trHeight w:val="233"/>
        </w:trPr>
        <w:tc>
          <w:tcPr>
            <w:tcW w:w="621" w:type="pct"/>
            <w:tcBorders>
              <w:top w:val="single" w:sz="6" w:space="0" w:color="auto"/>
              <w:left w:val="single" w:sz="4" w:space="0" w:color="auto"/>
              <w:bottom w:val="single" w:sz="6" w:space="0" w:color="auto"/>
              <w:right w:val="single" w:sz="6" w:space="0" w:color="auto"/>
            </w:tcBorders>
            <w:vAlign w:val="center"/>
          </w:tcPr>
          <w:p w14:paraId="22587F84"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379" w:type="pct"/>
            <w:tcBorders>
              <w:top w:val="single" w:sz="6" w:space="0" w:color="auto"/>
              <w:left w:val="single" w:sz="6" w:space="0" w:color="auto"/>
              <w:bottom w:val="single" w:sz="6" w:space="0" w:color="auto"/>
              <w:right w:val="single" w:sz="6" w:space="0" w:color="auto"/>
            </w:tcBorders>
            <w:vAlign w:val="center"/>
          </w:tcPr>
          <w:p w14:paraId="3820B55C"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542" w:type="pct"/>
            <w:tcBorders>
              <w:top w:val="single" w:sz="6" w:space="0" w:color="auto"/>
              <w:left w:val="single" w:sz="6" w:space="0" w:color="auto"/>
              <w:bottom w:val="single" w:sz="6" w:space="0" w:color="auto"/>
              <w:right w:val="single" w:sz="6" w:space="0" w:color="auto"/>
            </w:tcBorders>
            <w:vAlign w:val="center"/>
          </w:tcPr>
          <w:p w14:paraId="59DA4C0F"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2-20</w:t>
            </w:r>
          </w:p>
        </w:tc>
        <w:tc>
          <w:tcPr>
            <w:tcW w:w="759" w:type="pct"/>
            <w:tcBorders>
              <w:top w:val="single" w:sz="6" w:space="0" w:color="auto"/>
              <w:left w:val="single" w:sz="6" w:space="0" w:color="auto"/>
              <w:bottom w:val="single" w:sz="6" w:space="0" w:color="auto"/>
              <w:right w:val="single" w:sz="6" w:space="0" w:color="auto"/>
            </w:tcBorders>
            <w:vAlign w:val="center"/>
          </w:tcPr>
          <w:p w14:paraId="26A4B9C9"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7-18</w:t>
            </w:r>
          </w:p>
        </w:tc>
        <w:tc>
          <w:tcPr>
            <w:tcW w:w="510" w:type="pct"/>
            <w:tcBorders>
              <w:top w:val="single" w:sz="6" w:space="0" w:color="auto"/>
              <w:left w:val="single" w:sz="6" w:space="0" w:color="auto"/>
              <w:bottom w:val="single" w:sz="6" w:space="0" w:color="auto"/>
              <w:right w:val="single" w:sz="4" w:space="0" w:color="auto"/>
            </w:tcBorders>
            <w:vAlign w:val="center"/>
          </w:tcPr>
          <w:p w14:paraId="187821CC"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7-22 (</w:t>
            </w:r>
            <w:r w:rsidRPr="00DD0D1F">
              <w:rPr>
                <w:rFonts w:cs="Times New Roman"/>
                <w:szCs w:val="24"/>
                <w:vertAlign w:val="superscript"/>
                <w:lang w:val="tr-TR"/>
              </w:rPr>
              <w:t>3</w:t>
            </w:r>
            <w:r w:rsidRPr="00DD0D1F">
              <w:rPr>
                <w:rFonts w:cs="Times New Roman"/>
                <w:szCs w:val="24"/>
                <w:lang w:val="tr-TR"/>
              </w:rPr>
              <w:t>)</w:t>
            </w:r>
          </w:p>
        </w:tc>
        <w:tc>
          <w:tcPr>
            <w:tcW w:w="2189" w:type="pct"/>
            <w:tcBorders>
              <w:top w:val="single" w:sz="6" w:space="0" w:color="auto"/>
              <w:left w:val="single" w:sz="6" w:space="0" w:color="auto"/>
              <w:bottom w:val="single" w:sz="6" w:space="0" w:color="auto"/>
              <w:right w:val="single" w:sz="4" w:space="0" w:color="auto"/>
            </w:tcBorders>
          </w:tcPr>
          <w:p w14:paraId="6450828D" w14:textId="7C7B66A5"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30</w:t>
            </w:r>
          </w:p>
        </w:tc>
      </w:tr>
      <w:tr w:rsidR="00EB7491" w:rsidRPr="00DD0D1F" w14:paraId="6A636409" w14:textId="7FAD5607" w:rsidTr="007702F5">
        <w:trPr>
          <w:trHeight w:val="278"/>
        </w:trPr>
        <w:tc>
          <w:tcPr>
            <w:tcW w:w="621" w:type="pct"/>
            <w:tcBorders>
              <w:top w:val="single" w:sz="6" w:space="0" w:color="auto"/>
              <w:left w:val="single" w:sz="4" w:space="0" w:color="auto"/>
              <w:bottom w:val="single" w:sz="6" w:space="0" w:color="auto"/>
              <w:right w:val="single" w:sz="6" w:space="0" w:color="auto"/>
            </w:tcBorders>
            <w:vAlign w:val="center"/>
          </w:tcPr>
          <w:p w14:paraId="6EE76235"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379" w:type="pct"/>
            <w:tcBorders>
              <w:top w:val="single" w:sz="6" w:space="0" w:color="auto"/>
              <w:left w:val="single" w:sz="6" w:space="0" w:color="auto"/>
              <w:bottom w:val="single" w:sz="6" w:space="0" w:color="auto"/>
              <w:right w:val="single" w:sz="6" w:space="0" w:color="auto"/>
            </w:tcBorders>
            <w:vAlign w:val="center"/>
          </w:tcPr>
          <w:p w14:paraId="3DAF9041"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42" w:type="pct"/>
            <w:tcBorders>
              <w:top w:val="single" w:sz="6" w:space="0" w:color="auto"/>
              <w:left w:val="single" w:sz="6" w:space="0" w:color="auto"/>
              <w:bottom w:val="single" w:sz="6" w:space="0" w:color="auto"/>
              <w:right w:val="single" w:sz="6" w:space="0" w:color="auto"/>
            </w:tcBorders>
            <w:vAlign w:val="center"/>
          </w:tcPr>
          <w:p w14:paraId="133DD0FA"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59" w:type="pct"/>
            <w:tcBorders>
              <w:top w:val="single" w:sz="6" w:space="0" w:color="auto"/>
              <w:left w:val="single" w:sz="6" w:space="0" w:color="auto"/>
              <w:bottom w:val="single" w:sz="6" w:space="0" w:color="auto"/>
              <w:right w:val="single" w:sz="6" w:space="0" w:color="auto"/>
            </w:tcBorders>
            <w:vAlign w:val="center"/>
          </w:tcPr>
          <w:p w14:paraId="4586C59C"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7-10</w:t>
            </w:r>
          </w:p>
        </w:tc>
        <w:tc>
          <w:tcPr>
            <w:tcW w:w="510" w:type="pct"/>
            <w:tcBorders>
              <w:top w:val="single" w:sz="6" w:space="0" w:color="auto"/>
              <w:left w:val="single" w:sz="6" w:space="0" w:color="auto"/>
              <w:bottom w:val="single" w:sz="6" w:space="0" w:color="auto"/>
              <w:right w:val="single" w:sz="4" w:space="0" w:color="auto"/>
            </w:tcBorders>
            <w:vAlign w:val="center"/>
          </w:tcPr>
          <w:p w14:paraId="5E57D3C0"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7-11 (</w:t>
            </w:r>
            <w:r w:rsidRPr="00DD0D1F">
              <w:rPr>
                <w:rFonts w:cs="Times New Roman"/>
                <w:szCs w:val="24"/>
                <w:vertAlign w:val="superscript"/>
                <w:lang w:val="tr-TR"/>
              </w:rPr>
              <w:t>4</w:t>
            </w:r>
            <w:r w:rsidRPr="00DD0D1F">
              <w:rPr>
                <w:rFonts w:cs="Times New Roman"/>
                <w:szCs w:val="24"/>
                <w:lang w:val="tr-TR"/>
              </w:rPr>
              <w:t>)</w:t>
            </w:r>
          </w:p>
        </w:tc>
        <w:tc>
          <w:tcPr>
            <w:tcW w:w="2189" w:type="pct"/>
            <w:tcBorders>
              <w:top w:val="single" w:sz="6" w:space="0" w:color="auto"/>
              <w:left w:val="single" w:sz="6" w:space="0" w:color="auto"/>
              <w:bottom w:val="single" w:sz="6" w:space="0" w:color="auto"/>
              <w:right w:val="single" w:sz="4" w:space="0" w:color="auto"/>
            </w:tcBorders>
          </w:tcPr>
          <w:p w14:paraId="37CA3F95" w14:textId="4F2FEBF1"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3D2C6154" w14:textId="64F6067A" w:rsidTr="007702F5">
        <w:trPr>
          <w:trHeight w:val="608"/>
        </w:trPr>
        <w:tc>
          <w:tcPr>
            <w:tcW w:w="5000" w:type="pct"/>
            <w:gridSpan w:val="6"/>
            <w:tcBorders>
              <w:top w:val="single" w:sz="6" w:space="0" w:color="auto"/>
              <w:left w:val="single" w:sz="4" w:space="0" w:color="auto"/>
              <w:bottom w:val="single" w:sz="4" w:space="0" w:color="auto"/>
              <w:right w:val="single" w:sz="4" w:space="0" w:color="auto"/>
            </w:tcBorders>
          </w:tcPr>
          <w:p w14:paraId="17231AD8" w14:textId="77777777"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38C98897" w14:textId="77777777"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2689E492" w14:textId="77777777"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25 mg/Nm</w:t>
            </w:r>
            <w:r w:rsidRPr="00DD0D1F">
              <w:rPr>
                <w:rFonts w:cs="Times New Roman"/>
                <w:szCs w:val="24"/>
                <w:vertAlign w:val="superscript"/>
                <w:lang w:val="tr-TR"/>
              </w:rPr>
              <w:t>3</w:t>
            </w:r>
            <w:r w:rsidRPr="00DD0D1F">
              <w:rPr>
                <w:rFonts w:cs="Times New Roman"/>
                <w:szCs w:val="24"/>
                <w:lang w:val="tr-TR"/>
              </w:rPr>
              <w:t>'tür.</w:t>
            </w:r>
          </w:p>
          <w:p w14:paraId="4D635DDF" w14:textId="1312751B"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15 mg/Nm</w:t>
            </w:r>
            <w:r w:rsidRPr="00DD0D1F">
              <w:rPr>
                <w:rFonts w:cs="Times New Roman"/>
                <w:szCs w:val="24"/>
                <w:vertAlign w:val="superscript"/>
                <w:lang w:val="tr-TR"/>
              </w:rPr>
              <w:t>3</w:t>
            </w:r>
            <w:r w:rsidRPr="00DD0D1F">
              <w:rPr>
                <w:rFonts w:cs="Times New Roman"/>
                <w:szCs w:val="24"/>
                <w:lang w:val="tr-TR"/>
              </w:rPr>
              <w:t>'tür.</w:t>
            </w:r>
          </w:p>
        </w:tc>
      </w:tr>
    </w:tbl>
    <w:p w14:paraId="6A9E9620" w14:textId="77777777" w:rsidR="003328F9" w:rsidRPr="00DD0D1F" w:rsidRDefault="003328F9" w:rsidP="00FF111D">
      <w:pPr>
        <w:pStyle w:val="Balk2"/>
        <w:numPr>
          <w:ilvl w:val="1"/>
          <w:numId w:val="73"/>
        </w:numPr>
        <w:rPr>
          <w:rFonts w:cs="Times New Roman"/>
          <w:szCs w:val="24"/>
          <w:lang w:val="tr-TR"/>
        </w:rPr>
      </w:pPr>
      <w:bookmarkStart w:id="56" w:name="_Toc137367313"/>
      <w:r w:rsidRPr="00DD0D1F">
        <w:rPr>
          <w:rFonts w:cs="Times New Roman"/>
          <w:szCs w:val="24"/>
          <w:lang w:val="tr-TR"/>
        </w:rPr>
        <w:t>HFO ve/veya Gaz Yağı ile Çalışan Motorlar</w:t>
      </w:r>
      <w:bookmarkEnd w:id="56"/>
    </w:p>
    <w:p w14:paraId="60F235D2" w14:textId="27E472DB" w:rsidR="003328F9" w:rsidRPr="00DD0D1F" w:rsidRDefault="00A13BD5" w:rsidP="003328F9">
      <w:pPr>
        <w:spacing w:before="240"/>
        <w:rPr>
          <w:rFonts w:cs="Times New Roman"/>
          <w:szCs w:val="24"/>
          <w:lang w:val="nl-NL"/>
        </w:rPr>
      </w:pPr>
      <w:r>
        <w:rPr>
          <w:rFonts w:cs="Times New Roman"/>
          <w:szCs w:val="24"/>
          <w:lang w:val="tr-TR"/>
        </w:rPr>
        <w:t>Bu bölüm</w:t>
      </w:r>
      <w:r w:rsidR="003328F9" w:rsidRPr="00DD0D1F">
        <w:rPr>
          <w:rFonts w:cs="Times New Roman"/>
          <w:szCs w:val="24"/>
          <w:lang w:val="tr-TR"/>
        </w:rPr>
        <w:t xml:space="preserve">de yer alan MET sonuçları genel olarak HFO ve/veya gaz yağının pistonlu motorlarda yakılması ile ilgilidir. </w:t>
      </w:r>
      <w:r w:rsidR="003328F9" w:rsidRPr="00DD0D1F">
        <w:rPr>
          <w:rFonts w:cs="Times New Roman"/>
          <w:szCs w:val="24"/>
          <w:lang w:val="nl-NL"/>
        </w:rPr>
        <w:t>Bu MET sonuçları, Başlık  1’de belirtilen genel MET sonuçlarına ek olarak geçerlidir.</w:t>
      </w:r>
    </w:p>
    <w:p w14:paraId="47079E38" w14:textId="39802513" w:rsidR="003328F9" w:rsidRPr="00DD0D1F" w:rsidRDefault="003328F9" w:rsidP="003328F9">
      <w:pPr>
        <w:spacing w:before="240"/>
        <w:rPr>
          <w:rFonts w:cs="Times New Roman"/>
          <w:szCs w:val="24"/>
          <w:lang w:val="nl-NL"/>
        </w:rPr>
      </w:pPr>
      <w:r w:rsidRPr="00DD0D1F">
        <w:rPr>
          <w:rFonts w:cs="Times New Roman"/>
          <w:szCs w:val="24"/>
          <w:lang w:val="nl-NL"/>
        </w:rPr>
        <w:t>HFO ve/veya gaz yağı ile çalışan motorlarla ilgili olarak, NO</w:t>
      </w:r>
      <w:r w:rsidRPr="00DD0D1F">
        <w:rPr>
          <w:rFonts w:cs="Times New Roman"/>
          <w:szCs w:val="24"/>
          <w:vertAlign w:val="subscript"/>
          <w:lang w:val="nl-NL"/>
        </w:rPr>
        <w:t>X</w:t>
      </w:r>
      <w:r w:rsidRPr="00DD0D1F">
        <w:rPr>
          <w:rFonts w:cs="Times New Roman"/>
          <w:szCs w:val="24"/>
          <w:lang w:val="nl-NL"/>
        </w:rPr>
        <w:t>, SO</w:t>
      </w:r>
      <w:r w:rsidRPr="00DD0D1F">
        <w:rPr>
          <w:rFonts w:cs="Times New Roman"/>
          <w:szCs w:val="24"/>
          <w:vertAlign w:val="subscript"/>
          <w:lang w:val="nl-NL"/>
        </w:rPr>
        <w:t>2</w:t>
      </w:r>
      <w:r w:rsidRPr="00DD0D1F">
        <w:rPr>
          <w:rFonts w:cs="Times New Roman"/>
          <w:szCs w:val="24"/>
          <w:lang w:val="nl-NL"/>
        </w:rPr>
        <w:t xml:space="preserve"> ve toza yönelik ikincil azaltma teknikleri, teknik, ekonomik ve lojistik/altyapısal kısıtlamalar nedeniyle </w:t>
      </w:r>
      <w:r w:rsidR="00017130" w:rsidRPr="00DD0D1F">
        <w:rPr>
          <w:rFonts w:cs="Times New Roman"/>
          <w:szCs w:val="24"/>
          <w:lang w:val="nl-NL"/>
        </w:rPr>
        <w:t>küçük izole sistemin</w:t>
      </w:r>
      <w:r w:rsidRPr="00DD0D1F">
        <w:rPr>
          <w:rFonts w:cs="Times New Roman"/>
          <w:szCs w:val="24"/>
          <w:lang w:val="nl-NL"/>
        </w:rPr>
        <w:t xml:space="preserve">(1) veya mikro bir yalıtılmış sistemin (2) parçası olan adalardaki motorlara, ana kara elektrik şebekesine veya bir doğalgaz kaynağına bağlanmalarına kadar uygulanmayabilir. Bu motorlara ilişkin MET-İES’ler dolayısıyla küçük </w:t>
      </w:r>
      <w:r w:rsidR="00017130" w:rsidRPr="00DD0D1F">
        <w:rPr>
          <w:rFonts w:cs="Times New Roman"/>
          <w:szCs w:val="24"/>
          <w:lang w:val="nl-NL"/>
        </w:rPr>
        <w:t>izole</w:t>
      </w:r>
      <w:r w:rsidRPr="00DD0D1F">
        <w:rPr>
          <w:rFonts w:cs="Times New Roman"/>
          <w:szCs w:val="24"/>
          <w:lang w:val="nl-NL"/>
        </w:rPr>
        <w:t xml:space="preserve"> sistem ve mikro </w:t>
      </w:r>
      <w:r w:rsidR="00017130" w:rsidRPr="00DD0D1F">
        <w:rPr>
          <w:rFonts w:cs="Times New Roman"/>
          <w:szCs w:val="24"/>
          <w:lang w:val="nl-NL"/>
        </w:rPr>
        <w:t>izole</w:t>
      </w:r>
      <w:r w:rsidRPr="00DD0D1F">
        <w:rPr>
          <w:rFonts w:cs="Times New Roman"/>
          <w:szCs w:val="24"/>
          <w:lang w:val="nl-NL"/>
        </w:rPr>
        <w:t xml:space="preserve"> sistemde yeni motorlar için </w:t>
      </w:r>
      <w:r w:rsidR="00FF3ACE" w:rsidRPr="00DD0D1F">
        <w:rPr>
          <w:rFonts w:cs="Times New Roman"/>
          <w:szCs w:val="24"/>
          <w:lang w:val="nl-NL"/>
        </w:rPr>
        <w:t xml:space="preserve">1 </w:t>
      </w:r>
      <w:r w:rsidR="00017130" w:rsidRPr="00DD0D1F">
        <w:rPr>
          <w:rFonts w:cs="Times New Roman"/>
          <w:szCs w:val="24"/>
          <w:lang w:val="nl-NL"/>
        </w:rPr>
        <w:t>Ocak 2030 tarihinden itibaren</w:t>
      </w:r>
      <w:r w:rsidRPr="00DD0D1F">
        <w:rPr>
          <w:rFonts w:cs="Times New Roman"/>
          <w:szCs w:val="24"/>
          <w:lang w:val="nl-NL"/>
        </w:rPr>
        <w:t xml:space="preserve"> geçerli olacaktır.</w:t>
      </w:r>
    </w:p>
    <w:p w14:paraId="0A4D9786" w14:textId="77777777" w:rsidR="003328F9" w:rsidRPr="00DD0D1F" w:rsidRDefault="003328F9" w:rsidP="00FF111D">
      <w:pPr>
        <w:pStyle w:val="Balk3"/>
        <w:numPr>
          <w:ilvl w:val="2"/>
          <w:numId w:val="73"/>
        </w:numPr>
        <w:rPr>
          <w:rFonts w:cs="Times New Roman"/>
        </w:rPr>
      </w:pPr>
      <w:bookmarkStart w:id="57" w:name="_Toc137367314"/>
      <w:r w:rsidRPr="00DD0D1F">
        <w:rPr>
          <w:rFonts w:cs="Times New Roman"/>
        </w:rPr>
        <w:t>Enerji Verimliliği</w:t>
      </w:r>
      <w:bookmarkEnd w:id="57"/>
    </w:p>
    <w:p w14:paraId="5DBAA69A" w14:textId="4C19B481" w:rsidR="003328F9" w:rsidRPr="00DD0D1F" w:rsidRDefault="003328F9" w:rsidP="003328F9">
      <w:pPr>
        <w:spacing w:before="240"/>
        <w:rPr>
          <w:rFonts w:cs="Times New Roman"/>
          <w:b/>
          <w:bCs/>
          <w:szCs w:val="24"/>
        </w:rPr>
      </w:pPr>
      <w:bookmarkStart w:id="58" w:name="_Hlk137395286"/>
      <w:r w:rsidRPr="00DD0D1F">
        <w:rPr>
          <w:rFonts w:cs="Times New Roman"/>
          <w:b/>
          <w:bCs/>
          <w:szCs w:val="24"/>
        </w:rPr>
        <w:t xml:space="preserve">MET 31: </w:t>
      </w:r>
      <w:r w:rsidRPr="00DD0D1F">
        <w:rPr>
          <w:rFonts w:cs="Times New Roman"/>
          <w:bCs/>
          <w:szCs w:val="24"/>
        </w:rPr>
        <w:t>HFO ve/veya gaz yağının pistonlu motorlarda yakılmasına ilişkin enerji verimliliğini arttırmak için, MET 12'de ve aşağıda verilen tekniklerin uygun bir birleşimi kullan</w:t>
      </w:r>
      <w:r w:rsidR="00BC038E" w:rsidRPr="00DD0D1F">
        <w:rPr>
          <w:rFonts w:cs="Times New Roman"/>
          <w:bCs/>
          <w:szCs w:val="24"/>
        </w:rPr>
        <w:t>ılır.</w:t>
      </w:r>
    </w:p>
    <w:bookmarkEnd w:id="58"/>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
        <w:gridCol w:w="1798"/>
        <w:gridCol w:w="2993"/>
        <w:gridCol w:w="4016"/>
      </w:tblGrid>
      <w:tr w:rsidR="003328F9" w:rsidRPr="00DD0D1F" w14:paraId="428666CF" w14:textId="77777777" w:rsidTr="003328F9">
        <w:trPr>
          <w:trHeight w:val="230"/>
        </w:trPr>
        <w:tc>
          <w:tcPr>
            <w:tcW w:w="147" w:type="pct"/>
            <w:tcBorders>
              <w:left w:val="single" w:sz="6" w:space="0" w:color="000000"/>
              <w:right w:val="single" w:sz="4" w:space="0" w:color="auto"/>
            </w:tcBorders>
            <w:vAlign w:val="center"/>
          </w:tcPr>
          <w:p w14:paraId="5C964141" w14:textId="77777777" w:rsidR="003328F9" w:rsidRPr="00DD0D1F" w:rsidRDefault="003328F9" w:rsidP="003328F9">
            <w:pPr>
              <w:pStyle w:val="TableParagraph"/>
              <w:ind w:right="74"/>
              <w:jc w:val="center"/>
              <w:rPr>
                <w:b/>
                <w:szCs w:val="24"/>
              </w:rPr>
            </w:pPr>
          </w:p>
        </w:tc>
        <w:tc>
          <w:tcPr>
            <w:tcW w:w="991" w:type="pct"/>
            <w:tcBorders>
              <w:left w:val="single" w:sz="4" w:space="0" w:color="auto"/>
            </w:tcBorders>
            <w:vAlign w:val="center"/>
          </w:tcPr>
          <w:p w14:paraId="0B523641" w14:textId="77777777" w:rsidR="003328F9" w:rsidRPr="00DD0D1F" w:rsidRDefault="003328F9" w:rsidP="003328F9">
            <w:pPr>
              <w:pStyle w:val="TableParagraph"/>
              <w:ind w:left="74" w:right="74"/>
              <w:jc w:val="center"/>
              <w:rPr>
                <w:b/>
                <w:szCs w:val="24"/>
              </w:rPr>
            </w:pPr>
            <w:r w:rsidRPr="00DD0D1F">
              <w:rPr>
                <w:b/>
                <w:szCs w:val="24"/>
              </w:rPr>
              <w:t>Teknik</w:t>
            </w:r>
          </w:p>
        </w:tc>
        <w:tc>
          <w:tcPr>
            <w:tcW w:w="1649" w:type="pct"/>
            <w:tcBorders>
              <w:right w:val="single" w:sz="6" w:space="0" w:color="000000"/>
            </w:tcBorders>
            <w:vAlign w:val="center"/>
          </w:tcPr>
          <w:p w14:paraId="6BF814B5" w14:textId="77777777" w:rsidR="003328F9" w:rsidRPr="00DD0D1F" w:rsidRDefault="003328F9" w:rsidP="003328F9">
            <w:pPr>
              <w:pStyle w:val="TableParagraph"/>
              <w:ind w:left="74" w:right="74"/>
              <w:jc w:val="center"/>
              <w:rPr>
                <w:b/>
                <w:szCs w:val="24"/>
              </w:rPr>
            </w:pPr>
            <w:r w:rsidRPr="00DD0D1F">
              <w:rPr>
                <w:b/>
                <w:szCs w:val="24"/>
              </w:rPr>
              <w:t>Açıklama</w:t>
            </w:r>
          </w:p>
        </w:tc>
        <w:tc>
          <w:tcPr>
            <w:tcW w:w="2213" w:type="pct"/>
            <w:tcBorders>
              <w:left w:val="single" w:sz="6" w:space="0" w:color="000000"/>
            </w:tcBorders>
            <w:vAlign w:val="center"/>
          </w:tcPr>
          <w:p w14:paraId="273F4D54"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11E4EF7D" w14:textId="77777777" w:rsidTr="003328F9">
        <w:trPr>
          <w:trHeight w:val="1612"/>
        </w:trPr>
        <w:tc>
          <w:tcPr>
            <w:tcW w:w="147" w:type="pct"/>
            <w:tcBorders>
              <w:right w:val="single" w:sz="4" w:space="0" w:color="auto"/>
            </w:tcBorders>
            <w:vAlign w:val="center"/>
          </w:tcPr>
          <w:p w14:paraId="3922DE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991" w:type="pct"/>
            <w:tcBorders>
              <w:left w:val="single" w:sz="4" w:space="0" w:color="auto"/>
            </w:tcBorders>
            <w:vAlign w:val="center"/>
          </w:tcPr>
          <w:p w14:paraId="09B0640B" w14:textId="77777777" w:rsidR="003328F9" w:rsidRPr="00DD0D1F" w:rsidRDefault="003328F9" w:rsidP="003328F9">
            <w:pPr>
              <w:adjustRightInd w:val="0"/>
              <w:spacing w:line="240" w:lineRule="auto"/>
              <w:ind w:left="74" w:right="74"/>
              <w:rPr>
                <w:rFonts w:cs="Times New Roman"/>
                <w:szCs w:val="24"/>
                <w:lang w:val="tr-TR"/>
              </w:rPr>
            </w:pPr>
            <w:bookmarkStart w:id="59" w:name="_Hlk137395295"/>
            <w:r w:rsidRPr="00DD0D1F">
              <w:rPr>
                <w:rFonts w:cs="Times New Roman"/>
                <w:szCs w:val="24"/>
                <w:lang w:val="tr-TR"/>
              </w:rPr>
              <w:t>Kombine çevrim</w:t>
            </w:r>
            <w:bookmarkEnd w:id="59"/>
          </w:p>
        </w:tc>
        <w:tc>
          <w:tcPr>
            <w:tcW w:w="1649" w:type="pct"/>
            <w:vAlign w:val="center"/>
          </w:tcPr>
          <w:p w14:paraId="4EFABB7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2213" w:type="pct"/>
            <w:vAlign w:val="center"/>
          </w:tcPr>
          <w:p w14:paraId="03F754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≥1500 saat/yıl çalıştırılan yeni ünitelere genel olarak uygulanabilir.</w:t>
            </w:r>
          </w:p>
          <w:p w14:paraId="426F6F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 tasarımı ve alan müsaitliği ile ilişkili kısıtlamalar dahilinde mevcut ünitelere uygulanabilir.</w:t>
            </w:r>
          </w:p>
          <w:p w14:paraId="4A79A4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&lt;1500 saat/yıl çalıştırılan mevcut ünitelere uygulanmaz.</w:t>
            </w:r>
          </w:p>
          <w:p w14:paraId="4812BCE1" w14:textId="26B009EE" w:rsidR="00BC038E" w:rsidRPr="00DD0D1F" w:rsidRDefault="00BC038E" w:rsidP="003328F9">
            <w:pPr>
              <w:adjustRightInd w:val="0"/>
              <w:spacing w:line="240" w:lineRule="auto"/>
              <w:ind w:left="74" w:right="74"/>
              <w:rPr>
                <w:rFonts w:cs="Times New Roman"/>
                <w:szCs w:val="24"/>
                <w:lang w:val="tr-TR"/>
              </w:rPr>
            </w:pPr>
          </w:p>
        </w:tc>
      </w:tr>
    </w:tbl>
    <w:p w14:paraId="16C44988" w14:textId="71023D81"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140"/>
        <w:gridCol w:w="3054"/>
        <w:gridCol w:w="2883"/>
      </w:tblGrid>
      <w:tr w:rsidR="003328F9" w:rsidRPr="00DD0D1F" w14:paraId="5DFCD1B7" w14:textId="77777777" w:rsidTr="003328F9">
        <w:trPr>
          <w:trHeight w:val="50"/>
        </w:trPr>
        <w:tc>
          <w:tcPr>
            <w:tcW w:w="1730" w:type="pct"/>
            <w:vMerge w:val="restart"/>
            <w:tcBorders>
              <w:top w:val="single" w:sz="4" w:space="0" w:color="auto"/>
              <w:left w:val="single" w:sz="4" w:space="0" w:color="auto"/>
              <w:right w:val="single" w:sz="6" w:space="0" w:color="auto"/>
            </w:tcBorders>
            <w:vAlign w:val="center"/>
          </w:tcPr>
          <w:p w14:paraId="0345A5F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270" w:type="pct"/>
            <w:gridSpan w:val="2"/>
            <w:tcBorders>
              <w:top w:val="single" w:sz="4" w:space="0" w:color="auto"/>
              <w:left w:val="single" w:sz="6" w:space="0" w:color="auto"/>
              <w:bottom w:val="single" w:sz="6" w:space="0" w:color="auto"/>
              <w:right w:val="single" w:sz="4" w:space="0" w:color="auto"/>
            </w:tcBorders>
            <w:vAlign w:val="center"/>
          </w:tcPr>
          <w:p w14:paraId="21FC0FF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422A739A" w14:textId="77777777" w:rsidTr="003328F9">
        <w:trPr>
          <w:trHeight w:val="50"/>
        </w:trPr>
        <w:tc>
          <w:tcPr>
            <w:tcW w:w="1730" w:type="pct"/>
            <w:vMerge/>
            <w:tcBorders>
              <w:left w:val="single" w:sz="4" w:space="0" w:color="auto"/>
              <w:right w:val="single" w:sz="6" w:space="0" w:color="auto"/>
            </w:tcBorders>
            <w:vAlign w:val="center"/>
          </w:tcPr>
          <w:p w14:paraId="470654AA"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3270" w:type="pct"/>
            <w:gridSpan w:val="2"/>
            <w:tcBorders>
              <w:top w:val="single" w:sz="6" w:space="0" w:color="auto"/>
              <w:left w:val="single" w:sz="6" w:space="0" w:color="auto"/>
              <w:bottom w:val="single" w:sz="6" w:space="0" w:color="auto"/>
              <w:right w:val="single" w:sz="4" w:space="0" w:color="auto"/>
            </w:tcBorders>
            <w:vAlign w:val="center"/>
          </w:tcPr>
          <w:p w14:paraId="58EAC8E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verimi (%)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19CCAFFD" w14:textId="77777777" w:rsidTr="003328F9">
        <w:trPr>
          <w:trHeight w:val="50"/>
        </w:trPr>
        <w:tc>
          <w:tcPr>
            <w:tcW w:w="1730" w:type="pct"/>
            <w:vMerge/>
            <w:tcBorders>
              <w:left w:val="single" w:sz="4" w:space="0" w:color="auto"/>
              <w:bottom w:val="single" w:sz="6" w:space="0" w:color="auto"/>
              <w:right w:val="single" w:sz="6" w:space="0" w:color="auto"/>
            </w:tcBorders>
            <w:vAlign w:val="center"/>
          </w:tcPr>
          <w:p w14:paraId="71A1B66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82" w:type="pct"/>
            <w:tcBorders>
              <w:top w:val="single" w:sz="6" w:space="0" w:color="auto"/>
              <w:left w:val="single" w:sz="6" w:space="0" w:color="auto"/>
              <w:bottom w:val="single" w:sz="6" w:space="0" w:color="auto"/>
              <w:right w:val="single" w:sz="6" w:space="0" w:color="auto"/>
            </w:tcBorders>
            <w:vAlign w:val="center"/>
          </w:tcPr>
          <w:p w14:paraId="63E091D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1588" w:type="pct"/>
            <w:tcBorders>
              <w:top w:val="single" w:sz="6" w:space="0" w:color="auto"/>
              <w:left w:val="single" w:sz="6" w:space="0" w:color="auto"/>
              <w:bottom w:val="single" w:sz="6" w:space="0" w:color="auto"/>
              <w:right w:val="single" w:sz="4" w:space="0" w:color="auto"/>
            </w:tcBorders>
            <w:vAlign w:val="center"/>
          </w:tcPr>
          <w:p w14:paraId="3947FD4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1BD6E548" w14:textId="77777777" w:rsidTr="003328F9">
        <w:trPr>
          <w:trHeight w:val="44"/>
        </w:trPr>
        <w:tc>
          <w:tcPr>
            <w:tcW w:w="1730" w:type="pct"/>
            <w:tcBorders>
              <w:top w:val="single" w:sz="6" w:space="0" w:color="auto"/>
              <w:left w:val="single" w:sz="4" w:space="0" w:color="auto"/>
              <w:bottom w:val="single" w:sz="6" w:space="0" w:color="auto"/>
              <w:right w:val="single" w:sz="6" w:space="0" w:color="auto"/>
            </w:tcBorders>
            <w:vAlign w:val="center"/>
          </w:tcPr>
          <w:p w14:paraId="5C8847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HFO ve/veya gaz yağı ile çalışan pistonlu motor— tek çevrimli</w:t>
            </w:r>
          </w:p>
        </w:tc>
        <w:tc>
          <w:tcPr>
            <w:tcW w:w="1682" w:type="pct"/>
            <w:tcBorders>
              <w:top w:val="single" w:sz="6" w:space="0" w:color="auto"/>
              <w:left w:val="single" w:sz="6" w:space="0" w:color="auto"/>
              <w:bottom w:val="single" w:sz="6" w:space="0" w:color="auto"/>
              <w:right w:val="single" w:sz="6" w:space="0" w:color="auto"/>
            </w:tcBorders>
            <w:vAlign w:val="center"/>
          </w:tcPr>
          <w:p w14:paraId="733BAF0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41,5-44,5 (</w:t>
            </w:r>
            <w:r w:rsidRPr="00DD0D1F">
              <w:rPr>
                <w:rFonts w:cs="Times New Roman"/>
                <w:szCs w:val="24"/>
                <w:vertAlign w:val="superscript"/>
                <w:lang w:val="tr-TR"/>
              </w:rPr>
              <w:t>3</w:t>
            </w:r>
            <w:r w:rsidRPr="00DD0D1F">
              <w:rPr>
                <w:rFonts w:cs="Times New Roman"/>
                <w:szCs w:val="24"/>
                <w:lang w:val="tr-TR"/>
              </w:rPr>
              <w:t>)</w:t>
            </w:r>
          </w:p>
        </w:tc>
        <w:tc>
          <w:tcPr>
            <w:tcW w:w="1588" w:type="pct"/>
            <w:tcBorders>
              <w:top w:val="single" w:sz="6" w:space="0" w:color="auto"/>
              <w:left w:val="single" w:sz="6" w:space="0" w:color="auto"/>
              <w:bottom w:val="single" w:sz="6" w:space="0" w:color="auto"/>
              <w:right w:val="single" w:sz="4" w:space="0" w:color="auto"/>
            </w:tcBorders>
            <w:vAlign w:val="center"/>
          </w:tcPr>
          <w:p w14:paraId="53B6834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38,3-44,5 (</w:t>
            </w:r>
            <w:r w:rsidRPr="00DD0D1F">
              <w:rPr>
                <w:rFonts w:cs="Times New Roman"/>
                <w:szCs w:val="24"/>
                <w:vertAlign w:val="superscript"/>
                <w:lang w:val="tr-TR"/>
              </w:rPr>
              <w:t>3</w:t>
            </w:r>
            <w:r w:rsidRPr="00DD0D1F">
              <w:rPr>
                <w:rFonts w:cs="Times New Roman"/>
                <w:szCs w:val="24"/>
                <w:lang w:val="tr-TR"/>
              </w:rPr>
              <w:t>)</w:t>
            </w:r>
          </w:p>
        </w:tc>
      </w:tr>
      <w:tr w:rsidR="003328F9" w:rsidRPr="00DD0D1F" w14:paraId="1C65A3C1" w14:textId="77777777" w:rsidTr="003328F9">
        <w:trPr>
          <w:trHeight w:val="152"/>
        </w:trPr>
        <w:tc>
          <w:tcPr>
            <w:tcW w:w="1730" w:type="pct"/>
            <w:tcBorders>
              <w:top w:val="single" w:sz="6" w:space="0" w:color="auto"/>
              <w:left w:val="single" w:sz="4" w:space="0" w:color="auto"/>
              <w:bottom w:val="single" w:sz="6" w:space="0" w:color="auto"/>
              <w:right w:val="single" w:sz="6" w:space="0" w:color="auto"/>
            </w:tcBorders>
            <w:vAlign w:val="center"/>
          </w:tcPr>
          <w:p w14:paraId="1E26AE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HFO ve/veya gaz yağı ile çalışan pistonlu motor— kombine çevrimli</w:t>
            </w:r>
          </w:p>
        </w:tc>
        <w:tc>
          <w:tcPr>
            <w:tcW w:w="1682" w:type="pct"/>
            <w:tcBorders>
              <w:top w:val="single" w:sz="6" w:space="0" w:color="auto"/>
              <w:left w:val="single" w:sz="6" w:space="0" w:color="auto"/>
              <w:bottom w:val="single" w:sz="6" w:space="0" w:color="auto"/>
              <w:right w:val="single" w:sz="6" w:space="0" w:color="auto"/>
            </w:tcBorders>
            <w:vAlign w:val="center"/>
          </w:tcPr>
          <w:p w14:paraId="4CF7EF2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 48 (</w:t>
            </w:r>
            <w:r w:rsidRPr="00DD0D1F">
              <w:rPr>
                <w:rFonts w:cs="Times New Roman"/>
                <w:szCs w:val="24"/>
                <w:vertAlign w:val="superscript"/>
                <w:lang w:val="tr-TR"/>
              </w:rPr>
              <w:t>4</w:t>
            </w:r>
            <w:r w:rsidRPr="00DD0D1F">
              <w:rPr>
                <w:rFonts w:cs="Times New Roman"/>
                <w:szCs w:val="24"/>
                <w:lang w:val="tr-TR"/>
              </w:rPr>
              <w:t>)</w:t>
            </w:r>
          </w:p>
        </w:tc>
        <w:tc>
          <w:tcPr>
            <w:tcW w:w="1588" w:type="pct"/>
            <w:tcBorders>
              <w:top w:val="single" w:sz="6" w:space="0" w:color="auto"/>
              <w:left w:val="single" w:sz="6" w:space="0" w:color="auto"/>
              <w:bottom w:val="single" w:sz="6" w:space="0" w:color="auto"/>
              <w:right w:val="single" w:sz="4" w:space="0" w:color="auto"/>
            </w:tcBorders>
            <w:vAlign w:val="center"/>
          </w:tcPr>
          <w:p w14:paraId="5E9F329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65AB43C3" w14:textId="77777777" w:rsidTr="003328F9">
        <w:trPr>
          <w:trHeight w:val="445"/>
        </w:trPr>
        <w:tc>
          <w:tcPr>
            <w:tcW w:w="5000" w:type="pct"/>
            <w:gridSpan w:val="3"/>
            <w:tcBorders>
              <w:top w:val="single" w:sz="6" w:space="0" w:color="auto"/>
              <w:left w:val="single" w:sz="4" w:space="0" w:color="auto"/>
              <w:bottom w:val="single" w:sz="4" w:space="0" w:color="auto"/>
              <w:right w:val="single" w:sz="4" w:space="0" w:color="auto"/>
            </w:tcBorders>
          </w:tcPr>
          <w:p w14:paraId="0247DA1D"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çalıştırılan ünitelere uygulanmaz. </w:t>
            </w:r>
          </w:p>
          <w:p w14:paraId="19874A7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Net elektrik verimliliğine yönelik MET-İEVS'ler, tasarımı güç üretimine ve sadece güç üreten ünitelere yönelik olan CHP ünitelerine uygulanır. </w:t>
            </w:r>
          </w:p>
          <w:p w14:paraId="763FF54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seviyelere ulaşılması, enerji yoğun ikincil azaltma teknikleri ile donatılmış olan motorlar söz konusu olduğunda zor olabilir.</w:t>
            </w:r>
          </w:p>
          <w:p w14:paraId="0EB23516" w14:textId="77777777" w:rsidR="003328F9" w:rsidRPr="00DD0D1F" w:rsidRDefault="003328F9" w:rsidP="003328F9">
            <w:pPr>
              <w:tabs>
                <w:tab w:val="left" w:pos="359"/>
              </w:tabs>
              <w:adjustRightInd w:val="0"/>
              <w:spacing w:line="240" w:lineRule="auto"/>
              <w:ind w:left="358" w:right="74" w:hanging="284"/>
              <w:rPr>
                <w:rFonts w:cs="Times New Roman"/>
                <w:i/>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seviyeye ulaşmak, kuru, sıcak coğrafi yerlerde soğutma sistemi olarak radyatör kullanan motorlar söz konusu olduğunda zor olabilir.</w:t>
            </w:r>
          </w:p>
        </w:tc>
      </w:tr>
    </w:tbl>
    <w:p w14:paraId="76538792" w14:textId="77777777" w:rsidR="003328F9" w:rsidRPr="00DD0D1F" w:rsidRDefault="003328F9" w:rsidP="00FF111D">
      <w:pPr>
        <w:pStyle w:val="Balk3"/>
        <w:numPr>
          <w:ilvl w:val="2"/>
          <w:numId w:val="73"/>
        </w:numPr>
        <w:rPr>
          <w:rFonts w:cs="Times New Roman"/>
          <w:lang w:val="tr-TR"/>
        </w:rPr>
      </w:pPr>
      <w:bookmarkStart w:id="60" w:name="_Toc137367315"/>
      <w:r w:rsidRPr="00DD0D1F">
        <w:rPr>
          <w:rFonts w:cs="Times New Roman"/>
          <w:lang w:val="tr-TR"/>
        </w:rPr>
        <w:t>NO</w:t>
      </w:r>
      <w:r w:rsidRPr="00DD0D1F">
        <w:rPr>
          <w:rFonts w:cs="Times New Roman"/>
          <w:vertAlign w:val="subscript"/>
          <w:lang w:val="tr-TR"/>
        </w:rPr>
        <w:t>X</w:t>
      </w:r>
      <w:r w:rsidRPr="00DD0D1F">
        <w:rPr>
          <w:rFonts w:cs="Times New Roman"/>
          <w:lang w:val="tr-TR"/>
        </w:rPr>
        <w:t>, CO ve Uçucu Organik Bileşiklerin (VOC) Havaya Emisyonları</w:t>
      </w:r>
      <w:bookmarkEnd w:id="60"/>
    </w:p>
    <w:p w14:paraId="7D84F647" w14:textId="702A95F7" w:rsidR="003328F9" w:rsidRPr="00DD0D1F" w:rsidRDefault="003328F9" w:rsidP="003328F9">
      <w:pPr>
        <w:spacing w:before="240"/>
        <w:rPr>
          <w:rFonts w:cs="Times New Roman"/>
          <w:b/>
          <w:bCs/>
          <w:szCs w:val="24"/>
          <w:lang w:val="tr-TR"/>
        </w:rPr>
      </w:pPr>
      <w:r w:rsidRPr="00DD0D1F">
        <w:rPr>
          <w:rFonts w:cs="Times New Roman"/>
          <w:b/>
          <w:bCs/>
          <w:szCs w:val="24"/>
          <w:lang w:val="tr-TR"/>
        </w:rPr>
        <w:t>MET 32</w:t>
      </w:r>
      <w:bookmarkStart w:id="61" w:name="_Hlk137395314"/>
      <w:r w:rsidRPr="00DD0D1F">
        <w:rPr>
          <w:rFonts w:cs="Times New Roman"/>
          <w:b/>
          <w:bCs/>
          <w:szCs w:val="24"/>
          <w:lang w:val="tr-TR"/>
        </w:rPr>
        <w:t xml:space="preserve">: </w:t>
      </w:r>
      <w:r w:rsidRPr="00DD0D1F">
        <w:rPr>
          <w:rFonts w:cs="Times New Roman"/>
          <w:bCs/>
          <w:szCs w:val="24"/>
          <w:lang w:val="tr-TR"/>
        </w:rPr>
        <w:t>HFO ve/veya gaz yağının pistonlu motorlarda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azalmak için, aşağıda verilen tekniklerin biri veya bunların bir birleşimi kullan</w:t>
      </w:r>
      <w:r w:rsidR="00BC038E" w:rsidRPr="00DD0D1F">
        <w:rPr>
          <w:rFonts w:cs="Times New Roman"/>
          <w:bCs/>
          <w:szCs w:val="24"/>
          <w:lang w:val="tr-TR"/>
        </w:rPr>
        <w:t>ılır.</w:t>
      </w:r>
      <w:bookmarkEnd w:id="61"/>
    </w:p>
    <w:tbl>
      <w:tblPr>
        <w:tblW w:w="5000" w:type="pct"/>
        <w:tblCellMar>
          <w:left w:w="40" w:type="dxa"/>
          <w:right w:w="40" w:type="dxa"/>
        </w:tblCellMar>
        <w:tblLook w:val="0000" w:firstRow="0" w:lastRow="0" w:firstColumn="0" w:lastColumn="0" w:noHBand="0" w:noVBand="0"/>
      </w:tblPr>
      <w:tblGrid>
        <w:gridCol w:w="350"/>
        <w:gridCol w:w="2785"/>
        <w:gridCol w:w="1456"/>
        <w:gridCol w:w="4486"/>
      </w:tblGrid>
      <w:tr w:rsidR="003328F9" w:rsidRPr="00DD0D1F" w14:paraId="5CC6C954" w14:textId="77777777" w:rsidTr="003328F9">
        <w:trPr>
          <w:trHeight w:val="335"/>
        </w:trPr>
        <w:tc>
          <w:tcPr>
            <w:tcW w:w="193" w:type="pct"/>
            <w:tcBorders>
              <w:top w:val="single" w:sz="4" w:space="0" w:color="auto"/>
              <w:left w:val="single" w:sz="4" w:space="0" w:color="auto"/>
              <w:bottom w:val="single" w:sz="6" w:space="0" w:color="auto"/>
              <w:right w:val="single" w:sz="4" w:space="0" w:color="auto"/>
            </w:tcBorders>
            <w:vAlign w:val="center"/>
          </w:tcPr>
          <w:p w14:paraId="70E906F0" w14:textId="77777777" w:rsidR="003328F9" w:rsidRPr="00DD0D1F" w:rsidRDefault="003328F9" w:rsidP="003328F9">
            <w:pPr>
              <w:adjustRightInd w:val="0"/>
              <w:spacing w:line="240" w:lineRule="auto"/>
              <w:ind w:right="74"/>
              <w:jc w:val="center"/>
              <w:rPr>
                <w:rFonts w:cs="Times New Roman"/>
                <w:b/>
                <w:szCs w:val="24"/>
                <w:lang w:val="tr-TR"/>
              </w:rPr>
            </w:pPr>
          </w:p>
        </w:tc>
        <w:tc>
          <w:tcPr>
            <w:tcW w:w="1534" w:type="pct"/>
            <w:tcBorders>
              <w:top w:val="single" w:sz="4" w:space="0" w:color="auto"/>
              <w:left w:val="single" w:sz="4" w:space="0" w:color="auto"/>
              <w:bottom w:val="single" w:sz="6" w:space="0" w:color="auto"/>
              <w:right w:val="single" w:sz="6" w:space="0" w:color="auto"/>
            </w:tcBorders>
            <w:vAlign w:val="center"/>
          </w:tcPr>
          <w:p w14:paraId="36BC1CD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802" w:type="pct"/>
            <w:tcBorders>
              <w:top w:val="single" w:sz="4" w:space="0" w:color="auto"/>
              <w:left w:val="single" w:sz="6" w:space="0" w:color="auto"/>
              <w:bottom w:val="single" w:sz="6" w:space="0" w:color="auto"/>
              <w:right w:val="single" w:sz="6" w:space="0" w:color="auto"/>
            </w:tcBorders>
            <w:vAlign w:val="center"/>
          </w:tcPr>
          <w:p w14:paraId="69AB8DD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471" w:type="pct"/>
            <w:tcBorders>
              <w:top w:val="single" w:sz="4" w:space="0" w:color="auto"/>
              <w:left w:val="single" w:sz="6" w:space="0" w:color="auto"/>
              <w:bottom w:val="single" w:sz="6" w:space="0" w:color="auto"/>
              <w:right w:val="single" w:sz="4" w:space="0" w:color="auto"/>
            </w:tcBorders>
            <w:vAlign w:val="center"/>
          </w:tcPr>
          <w:p w14:paraId="756C74B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E00D7A8" w14:textId="77777777" w:rsidTr="003328F9">
        <w:trPr>
          <w:trHeight w:val="179"/>
        </w:trPr>
        <w:tc>
          <w:tcPr>
            <w:tcW w:w="193" w:type="pct"/>
            <w:tcBorders>
              <w:top w:val="single" w:sz="6" w:space="0" w:color="auto"/>
              <w:left w:val="single" w:sz="4" w:space="0" w:color="auto"/>
              <w:bottom w:val="single" w:sz="6" w:space="0" w:color="auto"/>
              <w:right w:val="single" w:sz="4" w:space="0" w:color="auto"/>
            </w:tcBorders>
            <w:vAlign w:val="center"/>
          </w:tcPr>
          <w:p w14:paraId="5126798D" w14:textId="77777777" w:rsidR="003328F9" w:rsidRPr="00DD0D1F" w:rsidRDefault="003328F9" w:rsidP="003328F9">
            <w:pPr>
              <w:adjustRightInd w:val="0"/>
              <w:spacing w:line="240" w:lineRule="auto"/>
              <w:ind w:left="74" w:right="74"/>
              <w:rPr>
                <w:rFonts w:cs="Times New Roman"/>
                <w:szCs w:val="24"/>
                <w:lang w:val="tr-TR"/>
              </w:rPr>
            </w:pPr>
            <w:bookmarkStart w:id="62" w:name="_Hlk137395332"/>
            <w:r w:rsidRPr="00DD0D1F">
              <w:rPr>
                <w:rFonts w:cs="Times New Roman"/>
                <w:szCs w:val="24"/>
                <w:lang w:val="tr-TR"/>
              </w:rPr>
              <w:t>a</w:t>
            </w:r>
          </w:p>
        </w:tc>
        <w:tc>
          <w:tcPr>
            <w:tcW w:w="1534" w:type="pct"/>
            <w:tcBorders>
              <w:top w:val="single" w:sz="6" w:space="0" w:color="auto"/>
              <w:left w:val="single" w:sz="4" w:space="0" w:color="auto"/>
              <w:bottom w:val="single" w:sz="6" w:space="0" w:color="auto"/>
              <w:right w:val="single" w:sz="6" w:space="0" w:color="auto"/>
            </w:tcBorders>
            <w:vAlign w:val="center"/>
          </w:tcPr>
          <w:p w14:paraId="4C11EE7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Dizel motorlarda düşük NO</w:t>
            </w:r>
            <w:r w:rsidRPr="00DD0D1F">
              <w:rPr>
                <w:rFonts w:cs="Times New Roman"/>
                <w:szCs w:val="24"/>
                <w:vertAlign w:val="subscript"/>
                <w:lang w:val="tr-TR"/>
              </w:rPr>
              <w:t xml:space="preserve">X </w:t>
            </w:r>
            <w:r w:rsidRPr="00DD0D1F">
              <w:rPr>
                <w:rFonts w:cs="Times New Roman"/>
                <w:szCs w:val="24"/>
                <w:lang w:val="tr-TR"/>
              </w:rPr>
              <w:t>yakma konsepti</w:t>
            </w:r>
          </w:p>
        </w:tc>
        <w:tc>
          <w:tcPr>
            <w:tcW w:w="802" w:type="pct"/>
            <w:vMerge w:val="restart"/>
            <w:tcBorders>
              <w:top w:val="single" w:sz="6" w:space="0" w:color="auto"/>
              <w:left w:val="single" w:sz="6" w:space="0" w:color="auto"/>
              <w:right w:val="single" w:sz="6" w:space="0" w:color="auto"/>
            </w:tcBorders>
            <w:vAlign w:val="center"/>
          </w:tcPr>
          <w:p w14:paraId="66F70A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471" w:type="pct"/>
            <w:tcBorders>
              <w:top w:val="single" w:sz="6" w:space="0" w:color="auto"/>
              <w:left w:val="single" w:sz="6" w:space="0" w:color="auto"/>
              <w:bottom w:val="single" w:sz="6" w:space="0" w:color="auto"/>
              <w:right w:val="single" w:sz="4" w:space="0" w:color="auto"/>
            </w:tcBorders>
            <w:vAlign w:val="center"/>
          </w:tcPr>
          <w:p w14:paraId="2E4F29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C17CEA0" w14:textId="77777777" w:rsidTr="003328F9">
        <w:trPr>
          <w:trHeight w:val="50"/>
        </w:trPr>
        <w:tc>
          <w:tcPr>
            <w:tcW w:w="193" w:type="pct"/>
            <w:tcBorders>
              <w:top w:val="single" w:sz="6" w:space="0" w:color="auto"/>
              <w:left w:val="single" w:sz="4" w:space="0" w:color="auto"/>
              <w:bottom w:val="single" w:sz="6" w:space="0" w:color="auto"/>
              <w:right w:val="single" w:sz="6" w:space="0" w:color="auto"/>
            </w:tcBorders>
            <w:vAlign w:val="center"/>
          </w:tcPr>
          <w:p w14:paraId="715E11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34" w:type="pct"/>
            <w:tcBorders>
              <w:top w:val="single" w:sz="6" w:space="0" w:color="auto"/>
              <w:left w:val="single" w:sz="6" w:space="0" w:color="auto"/>
              <w:bottom w:val="single" w:sz="6" w:space="0" w:color="auto"/>
              <w:right w:val="single" w:sz="6" w:space="0" w:color="auto"/>
            </w:tcBorders>
            <w:vAlign w:val="center"/>
          </w:tcPr>
          <w:p w14:paraId="40BF76C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Egzoz gazı devridaimi (EGR)</w:t>
            </w:r>
          </w:p>
        </w:tc>
        <w:tc>
          <w:tcPr>
            <w:tcW w:w="802" w:type="pct"/>
            <w:vMerge/>
            <w:tcBorders>
              <w:left w:val="single" w:sz="6" w:space="0" w:color="auto"/>
              <w:right w:val="single" w:sz="6" w:space="0" w:color="auto"/>
            </w:tcBorders>
            <w:vAlign w:val="center"/>
          </w:tcPr>
          <w:p w14:paraId="0C3CB6A5" w14:textId="77777777" w:rsidR="003328F9" w:rsidRPr="00DD0D1F" w:rsidRDefault="003328F9" w:rsidP="003328F9">
            <w:pPr>
              <w:adjustRightInd w:val="0"/>
              <w:spacing w:line="240" w:lineRule="auto"/>
              <w:ind w:left="74" w:right="74"/>
              <w:rPr>
                <w:rFonts w:cs="Times New Roman"/>
                <w:szCs w:val="24"/>
                <w:lang w:val="tr-TR"/>
              </w:rPr>
            </w:pPr>
          </w:p>
        </w:tc>
        <w:tc>
          <w:tcPr>
            <w:tcW w:w="2471" w:type="pct"/>
            <w:tcBorders>
              <w:top w:val="single" w:sz="6" w:space="0" w:color="auto"/>
              <w:left w:val="single" w:sz="6" w:space="0" w:color="auto"/>
              <w:bottom w:val="single" w:sz="6" w:space="0" w:color="auto"/>
              <w:right w:val="single" w:sz="4" w:space="0" w:color="auto"/>
            </w:tcBorders>
            <w:vAlign w:val="center"/>
          </w:tcPr>
          <w:p w14:paraId="10377F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Dört zamanlı motorlara uygulanmaz.</w:t>
            </w:r>
          </w:p>
        </w:tc>
      </w:tr>
      <w:tr w:rsidR="003328F9" w:rsidRPr="00DD0D1F" w14:paraId="6355D7FE" w14:textId="77777777" w:rsidTr="003328F9">
        <w:trPr>
          <w:trHeight w:val="50"/>
        </w:trPr>
        <w:tc>
          <w:tcPr>
            <w:tcW w:w="193" w:type="pct"/>
            <w:tcBorders>
              <w:top w:val="single" w:sz="6" w:space="0" w:color="auto"/>
              <w:left w:val="single" w:sz="4" w:space="0" w:color="auto"/>
              <w:bottom w:val="single" w:sz="6" w:space="0" w:color="auto"/>
              <w:right w:val="single" w:sz="6" w:space="0" w:color="auto"/>
            </w:tcBorders>
            <w:vAlign w:val="center"/>
          </w:tcPr>
          <w:p w14:paraId="785E96B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34" w:type="pct"/>
            <w:tcBorders>
              <w:top w:val="single" w:sz="6" w:space="0" w:color="auto"/>
              <w:left w:val="single" w:sz="6" w:space="0" w:color="auto"/>
              <w:bottom w:val="single" w:sz="6" w:space="0" w:color="auto"/>
              <w:right w:val="single" w:sz="6" w:space="0" w:color="auto"/>
            </w:tcBorders>
            <w:vAlign w:val="center"/>
          </w:tcPr>
          <w:p w14:paraId="5FC87B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802" w:type="pct"/>
            <w:vMerge/>
            <w:tcBorders>
              <w:left w:val="single" w:sz="6" w:space="0" w:color="auto"/>
              <w:right w:val="single" w:sz="6" w:space="0" w:color="auto"/>
            </w:tcBorders>
            <w:vAlign w:val="center"/>
          </w:tcPr>
          <w:p w14:paraId="293C0CFC" w14:textId="77777777" w:rsidR="003328F9" w:rsidRPr="00DD0D1F" w:rsidRDefault="003328F9" w:rsidP="003328F9">
            <w:pPr>
              <w:adjustRightInd w:val="0"/>
              <w:spacing w:line="240" w:lineRule="auto"/>
              <w:ind w:left="74" w:right="74"/>
              <w:rPr>
                <w:rFonts w:cs="Times New Roman"/>
                <w:szCs w:val="24"/>
                <w:lang w:val="tr-TR"/>
              </w:rPr>
            </w:pPr>
          </w:p>
        </w:tc>
        <w:tc>
          <w:tcPr>
            <w:tcW w:w="2471" w:type="pct"/>
            <w:tcBorders>
              <w:top w:val="single" w:sz="6" w:space="0" w:color="auto"/>
              <w:left w:val="single" w:sz="6" w:space="0" w:color="auto"/>
              <w:bottom w:val="single" w:sz="6" w:space="0" w:color="auto"/>
              <w:right w:val="single" w:sz="4" w:space="0" w:color="auto"/>
            </w:tcBorders>
            <w:vAlign w:val="center"/>
          </w:tcPr>
          <w:p w14:paraId="7FCAE12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bulunması ile ilişkili olarak uygulanabilirliği kısıtlıdır.</w:t>
            </w:r>
          </w:p>
          <w:p w14:paraId="252DA6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öngörülmediği durumlarda uygulanabilirliği sınırlıdır.</w:t>
            </w:r>
          </w:p>
        </w:tc>
      </w:tr>
      <w:tr w:rsidR="003328F9" w:rsidRPr="00DD0D1F" w14:paraId="782B68BF" w14:textId="77777777" w:rsidTr="003328F9">
        <w:trPr>
          <w:trHeight w:val="1734"/>
        </w:trPr>
        <w:tc>
          <w:tcPr>
            <w:tcW w:w="193" w:type="pct"/>
            <w:tcBorders>
              <w:top w:val="single" w:sz="6" w:space="0" w:color="auto"/>
              <w:left w:val="single" w:sz="4" w:space="0" w:color="auto"/>
              <w:bottom w:val="single" w:sz="4" w:space="0" w:color="auto"/>
              <w:right w:val="single" w:sz="6" w:space="0" w:color="auto"/>
            </w:tcBorders>
            <w:vAlign w:val="center"/>
          </w:tcPr>
          <w:p w14:paraId="6F4C20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34" w:type="pct"/>
            <w:tcBorders>
              <w:top w:val="single" w:sz="6" w:space="0" w:color="auto"/>
              <w:left w:val="single" w:sz="6" w:space="0" w:color="auto"/>
              <w:bottom w:val="single" w:sz="4" w:space="0" w:color="auto"/>
              <w:right w:val="single" w:sz="6" w:space="0" w:color="auto"/>
            </w:tcBorders>
            <w:vAlign w:val="center"/>
          </w:tcPr>
          <w:p w14:paraId="56976B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802" w:type="pct"/>
            <w:vMerge/>
            <w:tcBorders>
              <w:left w:val="single" w:sz="6" w:space="0" w:color="auto"/>
              <w:bottom w:val="single" w:sz="4" w:space="0" w:color="auto"/>
              <w:right w:val="single" w:sz="6" w:space="0" w:color="auto"/>
            </w:tcBorders>
            <w:vAlign w:val="center"/>
          </w:tcPr>
          <w:p w14:paraId="09F96F28" w14:textId="77777777" w:rsidR="003328F9" w:rsidRPr="00DD0D1F" w:rsidRDefault="003328F9" w:rsidP="003328F9">
            <w:pPr>
              <w:adjustRightInd w:val="0"/>
              <w:spacing w:line="240" w:lineRule="auto"/>
              <w:ind w:left="74" w:right="74"/>
              <w:rPr>
                <w:rFonts w:cs="Times New Roman"/>
                <w:szCs w:val="24"/>
                <w:lang w:val="tr-TR"/>
              </w:rPr>
            </w:pPr>
          </w:p>
        </w:tc>
        <w:tc>
          <w:tcPr>
            <w:tcW w:w="2471" w:type="pct"/>
            <w:tcBorders>
              <w:top w:val="single" w:sz="6" w:space="0" w:color="auto"/>
              <w:left w:val="single" w:sz="6" w:space="0" w:color="auto"/>
              <w:bottom w:val="single" w:sz="4" w:space="0" w:color="auto"/>
              <w:right w:val="single" w:sz="4" w:space="0" w:color="auto"/>
            </w:tcBorders>
            <w:vAlign w:val="center"/>
          </w:tcPr>
          <w:p w14:paraId="412A184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06F1AE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00B343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tc>
      </w:tr>
    </w:tbl>
    <w:bookmarkEnd w:id="62"/>
    <w:p w14:paraId="345E692A" w14:textId="593F0BC2" w:rsidR="003328F9" w:rsidRPr="00DD0D1F" w:rsidRDefault="00BC038E" w:rsidP="003328F9">
      <w:pPr>
        <w:spacing w:before="240"/>
        <w:rPr>
          <w:rFonts w:cs="Times New Roman"/>
          <w:bCs/>
          <w:szCs w:val="24"/>
          <w:lang w:val="tr-TR"/>
        </w:rPr>
      </w:pPr>
      <w:r w:rsidRPr="00DD0D1F">
        <w:rPr>
          <w:rFonts w:cs="Times New Roman"/>
          <w:b/>
          <w:bCs/>
          <w:szCs w:val="24"/>
          <w:lang w:val="tr-TR"/>
        </w:rPr>
        <w:t>MET 33:</w:t>
      </w:r>
      <w:r w:rsidR="003328F9" w:rsidRPr="00DD0D1F">
        <w:rPr>
          <w:rFonts w:cs="Times New Roman"/>
          <w:b/>
          <w:bCs/>
          <w:szCs w:val="24"/>
          <w:lang w:val="tr-TR"/>
        </w:rPr>
        <w:t xml:space="preserve"> </w:t>
      </w:r>
      <w:bookmarkStart w:id="63" w:name="_Hlk137395368"/>
      <w:r w:rsidR="003328F9" w:rsidRPr="00DD0D1F">
        <w:rPr>
          <w:rFonts w:cs="Times New Roman"/>
          <w:bCs/>
          <w:szCs w:val="24"/>
          <w:lang w:val="tr-TR"/>
        </w:rPr>
        <w:t>MET, HFO ve/veya gaz yağının pistonlu motorlarda yakılmasından kaynaklanan CO ve uçucu organik bileşiklerin (VOC) havaya emisyonlarını önlemek veya düşürmek için</w:t>
      </w:r>
      <w:bookmarkEnd w:id="63"/>
      <w:r w:rsidR="003328F9" w:rsidRPr="00DD0D1F">
        <w:rPr>
          <w:rFonts w:cs="Times New Roman"/>
          <w:bCs/>
          <w:szCs w:val="24"/>
          <w:lang w:val="tr-TR"/>
        </w:rPr>
        <w:t>, aşağıda verilen tekniklerin biri</w:t>
      </w:r>
      <w:r w:rsidRPr="00DD0D1F">
        <w:rPr>
          <w:rFonts w:cs="Times New Roman"/>
          <w:bCs/>
          <w:szCs w:val="24"/>
          <w:lang w:val="tr-TR"/>
        </w:rPr>
        <w:t xml:space="preserve"> veya her ikisi </w:t>
      </w:r>
      <w:r w:rsidR="003328F9" w:rsidRPr="00DD0D1F">
        <w:rPr>
          <w:rFonts w:cs="Times New Roman"/>
          <w:bCs/>
          <w:szCs w:val="24"/>
          <w:lang w:val="tr-TR"/>
        </w:rPr>
        <w:t>birden kullan</w:t>
      </w:r>
      <w:r w:rsidRPr="00DD0D1F">
        <w:rPr>
          <w:rFonts w:cs="Times New Roman"/>
          <w:bCs/>
          <w:szCs w:val="24"/>
          <w:lang w:val="tr-TR"/>
        </w:rPr>
        <w:t>ılır.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3"/>
        <w:gridCol w:w="2291"/>
        <w:gridCol w:w="3585"/>
        <w:gridCol w:w="2848"/>
      </w:tblGrid>
      <w:tr w:rsidR="003328F9" w:rsidRPr="00DD0D1F" w14:paraId="599EAB87" w14:textId="77777777" w:rsidTr="00BC038E">
        <w:trPr>
          <w:trHeight w:val="356"/>
        </w:trPr>
        <w:tc>
          <w:tcPr>
            <w:tcW w:w="194" w:type="pct"/>
            <w:tcBorders>
              <w:right w:val="single" w:sz="4" w:space="0" w:color="auto"/>
            </w:tcBorders>
            <w:vAlign w:val="center"/>
          </w:tcPr>
          <w:p w14:paraId="24F5465A" w14:textId="77777777" w:rsidR="003328F9" w:rsidRPr="00DD0D1F" w:rsidRDefault="003328F9" w:rsidP="003328F9">
            <w:pPr>
              <w:adjustRightInd w:val="0"/>
              <w:spacing w:line="240" w:lineRule="auto"/>
              <w:ind w:right="74"/>
              <w:jc w:val="center"/>
              <w:rPr>
                <w:rFonts w:cs="Times New Roman"/>
                <w:b/>
                <w:szCs w:val="24"/>
                <w:lang w:val="tr-TR"/>
              </w:rPr>
            </w:pPr>
          </w:p>
        </w:tc>
        <w:tc>
          <w:tcPr>
            <w:tcW w:w="1262" w:type="pct"/>
            <w:tcBorders>
              <w:left w:val="single" w:sz="4" w:space="0" w:color="auto"/>
            </w:tcBorders>
            <w:vAlign w:val="center"/>
          </w:tcPr>
          <w:p w14:paraId="7098B93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975" w:type="pct"/>
            <w:vAlign w:val="center"/>
          </w:tcPr>
          <w:p w14:paraId="2E0680F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69" w:type="pct"/>
            <w:vAlign w:val="center"/>
          </w:tcPr>
          <w:p w14:paraId="4A8E8C0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ADF0B37" w14:textId="77777777" w:rsidTr="00BC038E">
        <w:trPr>
          <w:trHeight w:val="46"/>
        </w:trPr>
        <w:tc>
          <w:tcPr>
            <w:tcW w:w="194" w:type="pct"/>
            <w:vAlign w:val="center"/>
          </w:tcPr>
          <w:p w14:paraId="372742B8" w14:textId="77777777" w:rsidR="003328F9" w:rsidRPr="00DD0D1F" w:rsidRDefault="003328F9" w:rsidP="003328F9">
            <w:pPr>
              <w:adjustRightInd w:val="0"/>
              <w:spacing w:line="240" w:lineRule="auto"/>
              <w:ind w:left="74" w:right="74"/>
              <w:rPr>
                <w:rFonts w:cs="Times New Roman"/>
                <w:szCs w:val="24"/>
                <w:lang w:val="tr-TR"/>
              </w:rPr>
            </w:pPr>
            <w:bookmarkStart w:id="64" w:name="_Hlk137395381"/>
            <w:r w:rsidRPr="00DD0D1F">
              <w:rPr>
                <w:rFonts w:cs="Times New Roman"/>
                <w:szCs w:val="24"/>
                <w:lang w:val="tr-TR"/>
              </w:rPr>
              <w:t>a</w:t>
            </w:r>
          </w:p>
        </w:tc>
        <w:tc>
          <w:tcPr>
            <w:tcW w:w="1262" w:type="pct"/>
            <w:vAlign w:val="center"/>
          </w:tcPr>
          <w:p w14:paraId="78375D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975" w:type="pct"/>
            <w:vAlign w:val="center"/>
          </w:tcPr>
          <w:p w14:paraId="7EFE09AB" w14:textId="6BB65D23" w:rsidR="003328F9" w:rsidRPr="00DD0D1F" w:rsidRDefault="003328F9" w:rsidP="003328F9">
            <w:pPr>
              <w:adjustRightInd w:val="0"/>
              <w:spacing w:line="240" w:lineRule="auto"/>
              <w:ind w:left="74" w:right="74"/>
              <w:rPr>
                <w:rFonts w:cs="Times New Roman"/>
                <w:szCs w:val="24"/>
                <w:lang w:val="tr-TR"/>
              </w:rPr>
            </w:pPr>
          </w:p>
        </w:tc>
        <w:tc>
          <w:tcPr>
            <w:tcW w:w="1569" w:type="pct"/>
            <w:vAlign w:val="center"/>
          </w:tcPr>
          <w:p w14:paraId="72C5D7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BC038E" w:rsidRPr="00DD0D1F" w14:paraId="6E689FBB" w14:textId="77777777" w:rsidTr="00BC038E">
        <w:trPr>
          <w:trHeight w:val="174"/>
        </w:trPr>
        <w:tc>
          <w:tcPr>
            <w:tcW w:w="194" w:type="pct"/>
            <w:vAlign w:val="center"/>
          </w:tcPr>
          <w:p w14:paraId="49BDFE8B"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b</w:t>
            </w:r>
          </w:p>
        </w:tc>
        <w:tc>
          <w:tcPr>
            <w:tcW w:w="1262" w:type="pct"/>
            <w:vAlign w:val="center"/>
          </w:tcPr>
          <w:p w14:paraId="18DAF1DD"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Oksidasyon katalizörleri</w:t>
            </w:r>
          </w:p>
        </w:tc>
        <w:tc>
          <w:tcPr>
            <w:tcW w:w="1975" w:type="pct"/>
            <w:vAlign w:val="center"/>
          </w:tcPr>
          <w:p w14:paraId="227D7D2F" w14:textId="27C2F815"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Başlık  8.3’deki açıklamalara bakınız.</w:t>
            </w:r>
          </w:p>
        </w:tc>
        <w:tc>
          <w:tcPr>
            <w:tcW w:w="1569" w:type="pct"/>
            <w:vAlign w:val="center"/>
          </w:tcPr>
          <w:p w14:paraId="43383C01"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5F62DA96"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Uygulanabilirlik yakıtın kükürt içeriği ile sınırlanabilir.</w:t>
            </w:r>
          </w:p>
        </w:tc>
      </w:tr>
    </w:tbl>
    <w:bookmarkEnd w:id="64"/>
    <w:p w14:paraId="3EC4B0B6"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pPr w:leftFromText="141" w:rightFromText="141" w:vertAnchor="text" w:horzAnchor="margin" w:tblpXSpec="right" w:tblpY="411"/>
        <w:tblW w:w="5000" w:type="pct"/>
        <w:tblCellMar>
          <w:left w:w="40" w:type="dxa"/>
          <w:right w:w="40" w:type="dxa"/>
        </w:tblCellMar>
        <w:tblLook w:val="0000" w:firstRow="0" w:lastRow="0" w:firstColumn="0" w:lastColumn="0" w:noHBand="0" w:noVBand="0"/>
      </w:tblPr>
      <w:tblGrid>
        <w:gridCol w:w="1462"/>
        <w:gridCol w:w="805"/>
        <w:gridCol w:w="1001"/>
        <w:gridCol w:w="887"/>
        <w:gridCol w:w="1142"/>
        <w:gridCol w:w="3780"/>
      </w:tblGrid>
      <w:tr w:rsidR="00EB7491" w:rsidRPr="00DD0D1F" w14:paraId="7419C912" w14:textId="350C8DB6" w:rsidTr="00DB3707">
        <w:trPr>
          <w:trHeight w:val="393"/>
        </w:trPr>
        <w:tc>
          <w:tcPr>
            <w:tcW w:w="816" w:type="pct"/>
            <w:vMerge w:val="restart"/>
            <w:tcBorders>
              <w:top w:val="single" w:sz="4" w:space="0" w:color="auto"/>
              <w:left w:val="single" w:sz="4" w:space="0" w:color="auto"/>
              <w:right w:val="single" w:sz="6" w:space="0" w:color="auto"/>
            </w:tcBorders>
            <w:vAlign w:val="center"/>
          </w:tcPr>
          <w:p w14:paraId="1ABBFFA0"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184" w:type="pct"/>
            <w:gridSpan w:val="5"/>
            <w:tcBorders>
              <w:top w:val="single" w:sz="4" w:space="0" w:color="auto"/>
              <w:left w:val="single" w:sz="6" w:space="0" w:color="auto"/>
              <w:bottom w:val="single" w:sz="6" w:space="0" w:color="auto"/>
              <w:right w:val="single" w:sz="4" w:space="0" w:color="auto"/>
            </w:tcBorders>
            <w:vAlign w:val="center"/>
          </w:tcPr>
          <w:p w14:paraId="3DA5549C" w14:textId="66C940A9"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2851D948" w14:textId="0AABC82E" w:rsidTr="00DB3707">
        <w:trPr>
          <w:trHeight w:val="119"/>
        </w:trPr>
        <w:tc>
          <w:tcPr>
            <w:tcW w:w="816" w:type="pct"/>
            <w:vMerge/>
            <w:tcBorders>
              <w:left w:val="single" w:sz="4" w:space="0" w:color="auto"/>
              <w:right w:val="single" w:sz="6" w:space="0" w:color="auto"/>
            </w:tcBorders>
            <w:vAlign w:val="center"/>
          </w:tcPr>
          <w:p w14:paraId="1C43A72F" w14:textId="77777777" w:rsidR="00DB3707" w:rsidRPr="00DD0D1F" w:rsidRDefault="00DB3707" w:rsidP="003328F9">
            <w:pPr>
              <w:adjustRightInd w:val="0"/>
              <w:spacing w:line="240" w:lineRule="auto"/>
              <w:ind w:left="74" w:right="74"/>
              <w:jc w:val="center"/>
              <w:rPr>
                <w:rFonts w:cs="Times New Roman"/>
                <w:b/>
                <w:szCs w:val="24"/>
                <w:lang w:val="tr-TR"/>
              </w:rPr>
            </w:pPr>
          </w:p>
        </w:tc>
        <w:tc>
          <w:tcPr>
            <w:tcW w:w="954" w:type="pct"/>
            <w:gridSpan w:val="2"/>
            <w:tcBorders>
              <w:top w:val="single" w:sz="6" w:space="0" w:color="auto"/>
              <w:left w:val="single" w:sz="6" w:space="0" w:color="auto"/>
              <w:bottom w:val="single" w:sz="6" w:space="0" w:color="auto"/>
              <w:right w:val="single" w:sz="6" w:space="0" w:color="auto"/>
            </w:tcBorders>
            <w:vAlign w:val="center"/>
          </w:tcPr>
          <w:p w14:paraId="6A71826D"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30" w:type="pct"/>
            <w:gridSpan w:val="3"/>
            <w:tcBorders>
              <w:top w:val="single" w:sz="6" w:space="0" w:color="auto"/>
              <w:left w:val="single" w:sz="6" w:space="0" w:color="auto"/>
              <w:bottom w:val="single" w:sz="6" w:space="0" w:color="auto"/>
              <w:right w:val="single" w:sz="4" w:space="0" w:color="auto"/>
            </w:tcBorders>
            <w:vAlign w:val="center"/>
          </w:tcPr>
          <w:p w14:paraId="7B2B4893" w14:textId="16EB8202"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4A78F6C3" w14:textId="468C34A0" w:rsidTr="00DB3707">
        <w:trPr>
          <w:trHeight w:val="50"/>
        </w:trPr>
        <w:tc>
          <w:tcPr>
            <w:tcW w:w="816" w:type="pct"/>
            <w:vMerge/>
            <w:tcBorders>
              <w:left w:val="single" w:sz="4" w:space="0" w:color="auto"/>
              <w:bottom w:val="single" w:sz="6" w:space="0" w:color="auto"/>
              <w:right w:val="single" w:sz="6" w:space="0" w:color="auto"/>
            </w:tcBorders>
            <w:vAlign w:val="center"/>
          </w:tcPr>
          <w:p w14:paraId="670976AC" w14:textId="77777777" w:rsidR="00DB3707" w:rsidRPr="00DD0D1F" w:rsidRDefault="00DB3707" w:rsidP="003328F9">
            <w:pPr>
              <w:adjustRightInd w:val="0"/>
              <w:spacing w:line="240" w:lineRule="auto"/>
              <w:ind w:left="74" w:right="74"/>
              <w:jc w:val="center"/>
              <w:rPr>
                <w:rFonts w:cs="Times New Roman"/>
                <w:b/>
                <w:szCs w:val="24"/>
                <w:lang w:val="tr-TR"/>
              </w:rPr>
            </w:pPr>
          </w:p>
        </w:tc>
        <w:tc>
          <w:tcPr>
            <w:tcW w:w="454" w:type="pct"/>
            <w:tcBorders>
              <w:top w:val="single" w:sz="6" w:space="0" w:color="auto"/>
              <w:left w:val="single" w:sz="6" w:space="0" w:color="auto"/>
              <w:bottom w:val="single" w:sz="6" w:space="0" w:color="auto"/>
              <w:right w:val="single" w:sz="6" w:space="0" w:color="auto"/>
            </w:tcBorders>
            <w:vAlign w:val="center"/>
          </w:tcPr>
          <w:p w14:paraId="711A8451"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00" w:type="pct"/>
            <w:tcBorders>
              <w:top w:val="single" w:sz="6" w:space="0" w:color="auto"/>
              <w:left w:val="single" w:sz="6" w:space="0" w:color="auto"/>
              <w:bottom w:val="single" w:sz="6" w:space="0" w:color="auto"/>
              <w:right w:val="single" w:sz="6" w:space="0" w:color="auto"/>
            </w:tcBorders>
            <w:vAlign w:val="center"/>
          </w:tcPr>
          <w:p w14:paraId="2152FD7B"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c>
          <w:tcPr>
            <w:tcW w:w="499" w:type="pct"/>
            <w:tcBorders>
              <w:top w:val="single" w:sz="6" w:space="0" w:color="auto"/>
              <w:left w:val="single" w:sz="6" w:space="0" w:color="auto"/>
              <w:bottom w:val="single" w:sz="6" w:space="0" w:color="auto"/>
              <w:right w:val="single" w:sz="6" w:space="0" w:color="auto"/>
            </w:tcBorders>
            <w:vAlign w:val="center"/>
          </w:tcPr>
          <w:p w14:paraId="07D31A73"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639" w:type="pct"/>
            <w:tcBorders>
              <w:top w:val="single" w:sz="6" w:space="0" w:color="auto"/>
              <w:left w:val="single" w:sz="6" w:space="0" w:color="auto"/>
              <w:bottom w:val="single" w:sz="6" w:space="0" w:color="auto"/>
              <w:right w:val="single" w:sz="4" w:space="0" w:color="auto"/>
            </w:tcBorders>
            <w:vAlign w:val="center"/>
          </w:tcPr>
          <w:p w14:paraId="48AA5B2F" w14:textId="101646F2" w:rsidR="00DB3707" w:rsidRPr="00DD0D1F" w:rsidRDefault="00DB3707" w:rsidP="00BC038E">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c>
          <w:tcPr>
            <w:tcW w:w="2092" w:type="pct"/>
            <w:tcBorders>
              <w:top w:val="single" w:sz="6" w:space="0" w:color="auto"/>
              <w:left w:val="single" w:sz="6" w:space="0" w:color="auto"/>
              <w:bottom w:val="single" w:sz="6" w:space="0" w:color="auto"/>
              <w:right w:val="single" w:sz="4" w:space="0" w:color="auto"/>
            </w:tcBorders>
          </w:tcPr>
          <w:p w14:paraId="0B146C23" w14:textId="77777777" w:rsidR="00DB3707" w:rsidRPr="00DD0D1F" w:rsidRDefault="00DB3707" w:rsidP="00DB3707">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0BCBB678" w14:textId="131AED75" w:rsidR="00DB3707" w:rsidRPr="00DD0D1F" w:rsidRDefault="00DB3707" w:rsidP="00DB3707">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2D777FF8" w14:textId="2123D2FE" w:rsidTr="00DB3707">
        <w:trPr>
          <w:trHeight w:val="405"/>
        </w:trPr>
        <w:tc>
          <w:tcPr>
            <w:tcW w:w="816" w:type="pct"/>
            <w:tcBorders>
              <w:top w:val="single" w:sz="6" w:space="0" w:color="auto"/>
              <w:left w:val="single" w:sz="4" w:space="0" w:color="auto"/>
              <w:bottom w:val="single" w:sz="6" w:space="0" w:color="auto"/>
              <w:right w:val="single" w:sz="6" w:space="0" w:color="auto"/>
            </w:tcBorders>
            <w:vAlign w:val="center"/>
          </w:tcPr>
          <w:p w14:paraId="1D9F64C5"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454" w:type="pct"/>
            <w:tcBorders>
              <w:top w:val="single" w:sz="6" w:space="0" w:color="auto"/>
              <w:left w:val="single" w:sz="6" w:space="0" w:color="auto"/>
              <w:bottom w:val="single" w:sz="6" w:space="0" w:color="auto"/>
              <w:right w:val="single" w:sz="6" w:space="0" w:color="auto"/>
            </w:tcBorders>
            <w:vAlign w:val="center"/>
          </w:tcPr>
          <w:p w14:paraId="06E98973"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115-190 (</w:t>
            </w:r>
            <w:r w:rsidRPr="00DD0D1F">
              <w:rPr>
                <w:rFonts w:cs="Times New Roman"/>
                <w:szCs w:val="24"/>
                <w:vertAlign w:val="superscript"/>
                <w:lang w:val="tr-TR"/>
              </w:rPr>
              <w:t>4</w:t>
            </w:r>
            <w:r w:rsidRPr="00DD0D1F">
              <w:rPr>
                <w:rFonts w:cs="Times New Roman"/>
                <w:szCs w:val="24"/>
                <w:lang w:val="tr-TR"/>
              </w:rPr>
              <w:t>)</w:t>
            </w:r>
          </w:p>
        </w:tc>
        <w:tc>
          <w:tcPr>
            <w:tcW w:w="500" w:type="pct"/>
            <w:tcBorders>
              <w:top w:val="single" w:sz="6" w:space="0" w:color="auto"/>
              <w:left w:val="single" w:sz="6" w:space="0" w:color="auto"/>
              <w:bottom w:val="single" w:sz="6" w:space="0" w:color="auto"/>
              <w:right w:val="single" w:sz="6" w:space="0" w:color="auto"/>
            </w:tcBorders>
            <w:vAlign w:val="center"/>
          </w:tcPr>
          <w:p w14:paraId="484AB6E0"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125-625</w:t>
            </w:r>
          </w:p>
        </w:tc>
        <w:tc>
          <w:tcPr>
            <w:tcW w:w="499" w:type="pct"/>
            <w:tcBorders>
              <w:top w:val="single" w:sz="6" w:space="0" w:color="auto"/>
              <w:left w:val="single" w:sz="6" w:space="0" w:color="auto"/>
              <w:bottom w:val="single" w:sz="6" w:space="0" w:color="auto"/>
              <w:right w:val="single" w:sz="6" w:space="0" w:color="auto"/>
            </w:tcBorders>
            <w:vAlign w:val="center"/>
          </w:tcPr>
          <w:p w14:paraId="75568EC1"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145-300</w:t>
            </w:r>
          </w:p>
        </w:tc>
        <w:tc>
          <w:tcPr>
            <w:tcW w:w="639" w:type="pct"/>
            <w:tcBorders>
              <w:top w:val="single" w:sz="6" w:space="0" w:color="auto"/>
              <w:left w:val="single" w:sz="6" w:space="0" w:color="auto"/>
              <w:bottom w:val="single" w:sz="6" w:space="0" w:color="auto"/>
              <w:right w:val="single" w:sz="4" w:space="0" w:color="auto"/>
            </w:tcBorders>
            <w:vAlign w:val="center"/>
          </w:tcPr>
          <w:p w14:paraId="14AF8B16"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150-750</w:t>
            </w:r>
          </w:p>
        </w:tc>
        <w:tc>
          <w:tcPr>
            <w:tcW w:w="2092" w:type="pct"/>
            <w:tcBorders>
              <w:top w:val="single" w:sz="6" w:space="0" w:color="auto"/>
              <w:left w:val="single" w:sz="6" w:space="0" w:color="auto"/>
              <w:bottom w:val="single" w:sz="6" w:space="0" w:color="auto"/>
              <w:right w:val="single" w:sz="4" w:space="0" w:color="auto"/>
            </w:tcBorders>
          </w:tcPr>
          <w:p w14:paraId="766212FE" w14:textId="77777777" w:rsidR="00DB3707" w:rsidRPr="00DD0D1F" w:rsidRDefault="00DB3707" w:rsidP="003328F9">
            <w:pPr>
              <w:adjustRightInd w:val="0"/>
              <w:spacing w:line="240" w:lineRule="auto"/>
              <w:ind w:left="74" w:right="74"/>
              <w:jc w:val="center"/>
              <w:rPr>
                <w:rFonts w:cs="Times New Roman"/>
                <w:szCs w:val="24"/>
                <w:lang w:val="tr-TR"/>
              </w:rPr>
            </w:pPr>
          </w:p>
        </w:tc>
      </w:tr>
      <w:tr w:rsidR="00EB7491" w:rsidRPr="00DD0D1F" w14:paraId="4B69643A" w14:textId="2B7F875F" w:rsidTr="00355AB2">
        <w:trPr>
          <w:trHeight w:val="432"/>
        </w:trPr>
        <w:tc>
          <w:tcPr>
            <w:tcW w:w="5000" w:type="pct"/>
            <w:gridSpan w:val="6"/>
            <w:tcBorders>
              <w:top w:val="single" w:sz="6" w:space="0" w:color="auto"/>
              <w:left w:val="single" w:sz="4" w:space="0" w:color="auto"/>
              <w:bottom w:val="single" w:sz="6" w:space="0" w:color="auto"/>
              <w:right w:val="single" w:sz="4" w:space="0" w:color="auto"/>
            </w:tcBorders>
          </w:tcPr>
          <w:p w14:paraId="3713D98E" w14:textId="77777777"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veya ikincil azaltma teknikleri ile donatılamayan tesislere uygulanmaz.</w:t>
            </w:r>
          </w:p>
          <w:p w14:paraId="0F8DF4A1" w14:textId="77777777"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MET-İES aralığı &lt;1500 saat/yıl çalıştırılan tesisler ve ikincil azaltma teknikleri ile donatılamayan tesisler için 1150-1900 mg/Nm</w:t>
            </w:r>
            <w:r w:rsidRPr="00DD0D1F">
              <w:rPr>
                <w:rFonts w:cs="Times New Roman"/>
                <w:szCs w:val="24"/>
                <w:vertAlign w:val="superscript"/>
                <w:lang w:val="tr-TR"/>
              </w:rPr>
              <w:t>3</w:t>
            </w:r>
            <w:r w:rsidRPr="00DD0D1F">
              <w:rPr>
                <w:rFonts w:cs="Times New Roman"/>
                <w:szCs w:val="24"/>
                <w:lang w:val="tr-TR"/>
              </w:rPr>
              <w:t>'tür.</w:t>
            </w:r>
          </w:p>
          <w:p w14:paraId="53EE885F" w14:textId="77777777"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6790CF8" w14:textId="00F29416"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&lt;20 MW</w:t>
            </w:r>
            <w:r w:rsidRPr="00DD0D1F">
              <w:rPr>
                <w:rFonts w:cs="Times New Roman"/>
                <w:szCs w:val="24"/>
                <w:vertAlign w:val="subscript"/>
                <w:lang w:val="tr-TR"/>
              </w:rPr>
              <w:t>th</w:t>
            </w:r>
            <w:r w:rsidRPr="00DD0D1F">
              <w:rPr>
                <w:rFonts w:cs="Times New Roman"/>
                <w:szCs w:val="24"/>
                <w:lang w:val="tr-TR"/>
              </w:rPr>
              <w:t>'lik HFO yakan tesisler için, o üniteler için geçerli olan MET-İES aralığının üst  sınırı  225 mg/Nm</w:t>
            </w:r>
            <w:r w:rsidRPr="00DD0D1F">
              <w:rPr>
                <w:rFonts w:cs="Times New Roman"/>
                <w:szCs w:val="24"/>
                <w:vertAlign w:val="superscript"/>
                <w:lang w:val="tr-TR"/>
              </w:rPr>
              <w:t>3</w:t>
            </w:r>
            <w:r w:rsidRPr="00DD0D1F">
              <w:rPr>
                <w:rFonts w:cs="Times New Roman"/>
                <w:szCs w:val="24"/>
                <w:lang w:val="tr-TR"/>
              </w:rPr>
              <w:t>'tür.</w:t>
            </w:r>
          </w:p>
        </w:tc>
      </w:tr>
    </w:tbl>
    <w:p w14:paraId="2536E50E" w14:textId="77777777" w:rsidR="003328F9" w:rsidRPr="00DD0D1F" w:rsidRDefault="003328F9" w:rsidP="003328F9">
      <w:pPr>
        <w:rPr>
          <w:rFonts w:cs="Times New Roman"/>
          <w:szCs w:val="24"/>
          <w:lang w:val="tr-TR"/>
        </w:rPr>
      </w:pPr>
    </w:p>
    <w:p w14:paraId="45FE17B6"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sadece HFO yakan mevcut yakma tesisleri için veya sadece HFO yakan yeni yakma tesisleri için;</w:t>
      </w:r>
    </w:p>
    <w:p w14:paraId="3FE081DA"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Yıllık ortalama CO emisyon seviyeleri genelde 50-175 mg/Nm</w:t>
      </w:r>
      <w:r w:rsidRPr="00DD0D1F">
        <w:rPr>
          <w:rFonts w:cs="Times New Roman"/>
          <w:szCs w:val="24"/>
          <w:vertAlign w:val="superscript"/>
          <w:lang w:val="tr-TR"/>
        </w:rPr>
        <w:t>3</w:t>
      </w:r>
      <w:r w:rsidRPr="00DD0D1F">
        <w:rPr>
          <w:rFonts w:cs="Times New Roman"/>
          <w:szCs w:val="24"/>
          <w:lang w:val="tr-TR"/>
        </w:rPr>
        <w:t xml:space="preserve"> olacaktır.</w:t>
      </w:r>
    </w:p>
    <w:p w14:paraId="22E24EC8"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Numune alma periyodunda ortalama TVOC emisyon seviyeleri genelde 10-40 mg/Nm</w:t>
      </w:r>
      <w:r w:rsidRPr="00DD0D1F">
        <w:rPr>
          <w:rFonts w:cs="Times New Roman"/>
          <w:szCs w:val="24"/>
          <w:vertAlign w:val="superscript"/>
          <w:lang w:val="tr-TR"/>
        </w:rPr>
        <w:t>3</w:t>
      </w:r>
      <w:r w:rsidRPr="00DD0D1F">
        <w:rPr>
          <w:rFonts w:cs="Times New Roman"/>
          <w:szCs w:val="24"/>
          <w:lang w:val="tr-TR"/>
        </w:rPr>
        <w:t xml:space="preserve"> olacaktır.</w:t>
      </w:r>
    </w:p>
    <w:p w14:paraId="5EF5062D" w14:textId="77777777" w:rsidR="003328F9" w:rsidRPr="00DD0D1F" w:rsidRDefault="003328F9" w:rsidP="00FF111D">
      <w:pPr>
        <w:pStyle w:val="Balk3"/>
        <w:numPr>
          <w:ilvl w:val="2"/>
          <w:numId w:val="73"/>
        </w:numPr>
        <w:rPr>
          <w:rFonts w:cs="Times New Roman"/>
          <w:lang w:val="tr-TR"/>
        </w:rPr>
      </w:pPr>
      <w:bookmarkStart w:id="65" w:name="_Toc137367316"/>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65"/>
    </w:p>
    <w:p w14:paraId="78FADD09" w14:textId="4882C2E2" w:rsidR="003328F9" w:rsidRPr="00DD0D1F" w:rsidRDefault="003328F9" w:rsidP="003328F9">
      <w:pPr>
        <w:rPr>
          <w:rFonts w:cs="Times New Roman"/>
          <w:bCs/>
          <w:szCs w:val="24"/>
          <w:lang w:val="tr-TR"/>
        </w:rPr>
      </w:pPr>
      <w:r w:rsidRPr="00DD0D1F">
        <w:rPr>
          <w:rFonts w:cs="Times New Roman"/>
          <w:b/>
          <w:bCs/>
          <w:szCs w:val="24"/>
          <w:lang w:val="tr-TR"/>
        </w:rPr>
        <w:t>MET 34</w:t>
      </w:r>
      <w:bookmarkStart w:id="66" w:name="_Hlk137395410"/>
      <w:r w:rsidRPr="00DD0D1F">
        <w:rPr>
          <w:rFonts w:cs="Times New Roman"/>
          <w:b/>
          <w:bCs/>
          <w:szCs w:val="24"/>
          <w:lang w:val="tr-TR"/>
        </w:rPr>
        <w:t xml:space="preserve">: </w:t>
      </w:r>
      <w:r w:rsidRPr="00DD0D1F">
        <w:rPr>
          <w:rFonts w:cs="Times New Roman"/>
          <w:bCs/>
          <w:szCs w:val="24"/>
          <w:lang w:val="tr-TR"/>
        </w:rPr>
        <w:t>HFO ve/veya gaz yağının pistonlu motorlarda yakılmasından kaynaklanan, havaya SO</w:t>
      </w:r>
      <w:r w:rsidRPr="00DD0D1F">
        <w:rPr>
          <w:rFonts w:cs="Times New Roman"/>
          <w:bCs/>
          <w:szCs w:val="24"/>
          <w:vertAlign w:val="subscript"/>
          <w:lang w:val="tr-TR"/>
        </w:rPr>
        <w:t>X</w:t>
      </w:r>
      <w:r w:rsidRPr="00DD0D1F">
        <w:rPr>
          <w:rFonts w:cs="Times New Roman"/>
          <w:bCs/>
          <w:szCs w:val="24"/>
          <w:lang w:val="tr-TR"/>
        </w:rPr>
        <w:t>, HCl ve HF emisyonlarını önlemek veya azaltmak için, aş</w:t>
      </w:r>
      <w:r w:rsidR="00651643" w:rsidRPr="00DD0D1F">
        <w:rPr>
          <w:rFonts w:cs="Times New Roman"/>
          <w:bCs/>
          <w:szCs w:val="24"/>
          <w:lang w:val="tr-TR"/>
        </w:rPr>
        <w:t>ağıda verilen tekniklerin biri veya bunların bir birleşimi</w:t>
      </w:r>
      <w:r w:rsidRPr="00DD0D1F">
        <w:rPr>
          <w:rFonts w:cs="Times New Roman"/>
          <w:bCs/>
          <w:szCs w:val="24"/>
          <w:lang w:val="tr-TR"/>
        </w:rPr>
        <w:t xml:space="preserve"> kullan</w:t>
      </w:r>
      <w:r w:rsidR="00651643" w:rsidRPr="00DD0D1F">
        <w:rPr>
          <w:rFonts w:cs="Times New Roman"/>
          <w:bCs/>
          <w:szCs w:val="24"/>
          <w:lang w:val="tr-TR"/>
        </w:rPr>
        <w:t>ılır.</w:t>
      </w:r>
    </w:p>
    <w:bookmarkEnd w:id="66"/>
    <w:tbl>
      <w:tblPr>
        <w:tblW w:w="5000" w:type="pct"/>
        <w:tblCellMar>
          <w:left w:w="40" w:type="dxa"/>
          <w:right w:w="40" w:type="dxa"/>
        </w:tblCellMar>
        <w:tblLook w:val="0000" w:firstRow="0" w:lastRow="0" w:firstColumn="0" w:lastColumn="0" w:noHBand="0" w:noVBand="0"/>
      </w:tblPr>
      <w:tblGrid>
        <w:gridCol w:w="423"/>
        <w:gridCol w:w="1794"/>
        <w:gridCol w:w="1594"/>
        <w:gridCol w:w="5266"/>
      </w:tblGrid>
      <w:tr w:rsidR="003328F9" w:rsidRPr="00DD0D1F" w14:paraId="30D2B61C" w14:textId="77777777" w:rsidTr="003328F9">
        <w:trPr>
          <w:trHeight w:val="372"/>
          <w:tblHeader/>
        </w:trPr>
        <w:tc>
          <w:tcPr>
            <w:tcW w:w="233" w:type="pct"/>
            <w:tcBorders>
              <w:top w:val="single" w:sz="4" w:space="0" w:color="auto"/>
              <w:left w:val="single" w:sz="4" w:space="0" w:color="auto"/>
              <w:bottom w:val="single" w:sz="6" w:space="0" w:color="auto"/>
              <w:right w:val="single" w:sz="4" w:space="0" w:color="auto"/>
            </w:tcBorders>
            <w:vAlign w:val="center"/>
          </w:tcPr>
          <w:p w14:paraId="4AFEA9AA" w14:textId="77777777" w:rsidR="003328F9" w:rsidRPr="00DD0D1F" w:rsidRDefault="003328F9" w:rsidP="003328F9">
            <w:pPr>
              <w:adjustRightInd w:val="0"/>
              <w:spacing w:line="240" w:lineRule="auto"/>
              <w:ind w:right="74"/>
              <w:jc w:val="center"/>
              <w:rPr>
                <w:rFonts w:cs="Times New Roman"/>
                <w:b/>
                <w:szCs w:val="24"/>
                <w:lang w:val="tr-TR"/>
              </w:rPr>
            </w:pPr>
          </w:p>
        </w:tc>
        <w:tc>
          <w:tcPr>
            <w:tcW w:w="988" w:type="pct"/>
            <w:tcBorders>
              <w:top w:val="single" w:sz="4" w:space="0" w:color="auto"/>
              <w:left w:val="single" w:sz="4" w:space="0" w:color="auto"/>
              <w:bottom w:val="single" w:sz="6" w:space="0" w:color="auto"/>
              <w:right w:val="single" w:sz="6" w:space="0" w:color="auto"/>
            </w:tcBorders>
            <w:vAlign w:val="center"/>
          </w:tcPr>
          <w:p w14:paraId="26BFC14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878" w:type="pct"/>
            <w:tcBorders>
              <w:top w:val="single" w:sz="4" w:space="0" w:color="auto"/>
              <w:left w:val="single" w:sz="6" w:space="0" w:color="auto"/>
              <w:bottom w:val="single" w:sz="6" w:space="0" w:color="auto"/>
              <w:right w:val="single" w:sz="6" w:space="0" w:color="auto"/>
            </w:tcBorders>
            <w:vAlign w:val="center"/>
          </w:tcPr>
          <w:p w14:paraId="2567084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901" w:type="pct"/>
            <w:tcBorders>
              <w:top w:val="single" w:sz="4" w:space="0" w:color="auto"/>
              <w:left w:val="single" w:sz="6" w:space="0" w:color="auto"/>
              <w:bottom w:val="single" w:sz="6" w:space="0" w:color="auto"/>
              <w:right w:val="single" w:sz="4" w:space="0" w:color="auto"/>
            </w:tcBorders>
            <w:vAlign w:val="center"/>
          </w:tcPr>
          <w:p w14:paraId="7CB46D5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4EA81532" w14:textId="77777777" w:rsidTr="003328F9">
        <w:trPr>
          <w:trHeight w:val="307"/>
        </w:trPr>
        <w:tc>
          <w:tcPr>
            <w:tcW w:w="233" w:type="pct"/>
            <w:tcBorders>
              <w:top w:val="single" w:sz="6" w:space="0" w:color="auto"/>
              <w:left w:val="single" w:sz="4" w:space="0" w:color="auto"/>
              <w:bottom w:val="single" w:sz="6" w:space="0" w:color="auto"/>
              <w:right w:val="single" w:sz="6" w:space="0" w:color="auto"/>
            </w:tcBorders>
            <w:vAlign w:val="center"/>
          </w:tcPr>
          <w:p w14:paraId="1EA1296A" w14:textId="77777777" w:rsidR="003328F9" w:rsidRPr="00DD0D1F" w:rsidRDefault="003328F9" w:rsidP="003328F9">
            <w:pPr>
              <w:adjustRightInd w:val="0"/>
              <w:spacing w:line="240" w:lineRule="auto"/>
              <w:ind w:left="74" w:right="74"/>
              <w:rPr>
                <w:rFonts w:cs="Times New Roman"/>
                <w:szCs w:val="24"/>
                <w:lang w:val="tr-TR"/>
              </w:rPr>
            </w:pPr>
            <w:bookmarkStart w:id="67" w:name="_Hlk137395421"/>
            <w:r w:rsidRPr="00DD0D1F">
              <w:rPr>
                <w:rFonts w:cs="Times New Roman"/>
                <w:szCs w:val="24"/>
                <w:lang w:val="tr-TR"/>
              </w:rPr>
              <w:t>a</w:t>
            </w:r>
          </w:p>
        </w:tc>
        <w:tc>
          <w:tcPr>
            <w:tcW w:w="988" w:type="pct"/>
            <w:tcBorders>
              <w:top w:val="single" w:sz="6" w:space="0" w:color="auto"/>
              <w:left w:val="single" w:sz="6" w:space="0" w:color="auto"/>
              <w:bottom w:val="single" w:sz="6" w:space="0" w:color="auto"/>
              <w:right w:val="single" w:sz="6" w:space="0" w:color="auto"/>
            </w:tcBorders>
            <w:vAlign w:val="center"/>
          </w:tcPr>
          <w:p w14:paraId="27BE87C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878" w:type="pct"/>
            <w:vMerge w:val="restart"/>
            <w:tcBorders>
              <w:top w:val="single" w:sz="6" w:space="0" w:color="auto"/>
              <w:left w:val="single" w:sz="6" w:space="0" w:color="auto"/>
              <w:right w:val="single" w:sz="6" w:space="0" w:color="auto"/>
            </w:tcBorders>
            <w:vAlign w:val="center"/>
          </w:tcPr>
          <w:p w14:paraId="536C71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2901" w:type="pct"/>
            <w:tcBorders>
              <w:top w:val="single" w:sz="6" w:space="0" w:color="auto"/>
              <w:left w:val="single" w:sz="6" w:space="0" w:color="auto"/>
              <w:bottom w:val="single" w:sz="6" w:space="0" w:color="auto"/>
              <w:right w:val="single" w:sz="4" w:space="0" w:color="auto"/>
            </w:tcBorders>
            <w:vAlign w:val="center"/>
          </w:tcPr>
          <w:p w14:paraId="023BE4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tr w:rsidR="003328F9" w:rsidRPr="00DD0D1F" w14:paraId="25F44731" w14:textId="77777777" w:rsidTr="003328F9">
        <w:trPr>
          <w:trHeight w:val="622"/>
        </w:trPr>
        <w:tc>
          <w:tcPr>
            <w:tcW w:w="233" w:type="pct"/>
            <w:tcBorders>
              <w:top w:val="single" w:sz="6" w:space="0" w:color="auto"/>
              <w:left w:val="single" w:sz="4" w:space="0" w:color="auto"/>
              <w:bottom w:val="single" w:sz="6" w:space="0" w:color="auto"/>
              <w:right w:val="single" w:sz="6" w:space="0" w:color="auto"/>
            </w:tcBorders>
            <w:vAlign w:val="center"/>
          </w:tcPr>
          <w:p w14:paraId="2141F6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988" w:type="pct"/>
            <w:tcBorders>
              <w:top w:val="single" w:sz="6" w:space="0" w:color="auto"/>
              <w:left w:val="single" w:sz="6" w:space="0" w:color="auto"/>
              <w:bottom w:val="single" w:sz="6" w:space="0" w:color="auto"/>
              <w:right w:val="single" w:sz="6" w:space="0" w:color="auto"/>
            </w:tcBorders>
            <w:vAlign w:val="center"/>
          </w:tcPr>
          <w:p w14:paraId="7A9BA84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878" w:type="pct"/>
            <w:vMerge/>
            <w:tcBorders>
              <w:left w:val="single" w:sz="6" w:space="0" w:color="auto"/>
              <w:right w:val="single" w:sz="6" w:space="0" w:color="auto"/>
            </w:tcBorders>
            <w:vAlign w:val="center"/>
          </w:tcPr>
          <w:p w14:paraId="40949D90" w14:textId="77777777" w:rsidR="003328F9" w:rsidRPr="00DD0D1F" w:rsidRDefault="003328F9" w:rsidP="003328F9">
            <w:pPr>
              <w:adjustRightInd w:val="0"/>
              <w:spacing w:line="240" w:lineRule="auto"/>
              <w:ind w:left="74" w:right="74"/>
              <w:rPr>
                <w:rFonts w:cs="Times New Roman"/>
                <w:szCs w:val="24"/>
                <w:lang w:val="tr-TR"/>
              </w:rPr>
            </w:pPr>
          </w:p>
        </w:tc>
        <w:tc>
          <w:tcPr>
            <w:tcW w:w="2901" w:type="pct"/>
            <w:tcBorders>
              <w:top w:val="single" w:sz="6" w:space="0" w:color="auto"/>
              <w:left w:val="single" w:sz="6" w:space="0" w:color="auto"/>
              <w:bottom w:val="single" w:sz="6" w:space="0" w:color="auto"/>
              <w:right w:val="single" w:sz="4" w:space="0" w:color="auto"/>
            </w:tcBorders>
            <w:vAlign w:val="center"/>
          </w:tcPr>
          <w:p w14:paraId="206D86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tesislerinde teknik kısıtlamalar olabilir.</w:t>
            </w:r>
          </w:p>
          <w:p w14:paraId="24CB4A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tc>
      </w:tr>
      <w:tr w:rsidR="003328F9" w:rsidRPr="00DD0D1F" w14:paraId="40649BC7" w14:textId="77777777" w:rsidTr="003328F9">
        <w:trPr>
          <w:trHeight w:val="1021"/>
        </w:trPr>
        <w:tc>
          <w:tcPr>
            <w:tcW w:w="233" w:type="pct"/>
            <w:tcBorders>
              <w:top w:val="single" w:sz="6" w:space="0" w:color="auto"/>
              <w:left w:val="single" w:sz="4" w:space="0" w:color="auto"/>
              <w:bottom w:val="single" w:sz="4" w:space="0" w:color="auto"/>
              <w:right w:val="single" w:sz="6" w:space="0" w:color="auto"/>
            </w:tcBorders>
            <w:vAlign w:val="center"/>
          </w:tcPr>
          <w:p w14:paraId="275BF0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988" w:type="pct"/>
            <w:tcBorders>
              <w:top w:val="single" w:sz="6" w:space="0" w:color="auto"/>
              <w:left w:val="single" w:sz="6" w:space="0" w:color="auto"/>
              <w:bottom w:val="single" w:sz="4" w:space="0" w:color="auto"/>
              <w:right w:val="single" w:sz="6" w:space="0" w:color="auto"/>
            </w:tcBorders>
            <w:vAlign w:val="center"/>
          </w:tcPr>
          <w:p w14:paraId="0D2EE5D1" w14:textId="104AFCE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878" w:type="pct"/>
            <w:vMerge/>
            <w:tcBorders>
              <w:left w:val="single" w:sz="6" w:space="0" w:color="auto"/>
              <w:bottom w:val="single" w:sz="4" w:space="0" w:color="auto"/>
              <w:right w:val="single" w:sz="6" w:space="0" w:color="auto"/>
            </w:tcBorders>
            <w:vAlign w:val="center"/>
          </w:tcPr>
          <w:p w14:paraId="5B333906" w14:textId="77777777" w:rsidR="003328F9" w:rsidRPr="00DD0D1F" w:rsidRDefault="003328F9" w:rsidP="003328F9">
            <w:pPr>
              <w:adjustRightInd w:val="0"/>
              <w:spacing w:line="240" w:lineRule="auto"/>
              <w:ind w:left="74" w:right="74"/>
              <w:rPr>
                <w:rFonts w:cs="Times New Roman"/>
                <w:szCs w:val="24"/>
                <w:lang w:val="tr-TR"/>
              </w:rPr>
            </w:pPr>
          </w:p>
        </w:tc>
        <w:tc>
          <w:tcPr>
            <w:tcW w:w="2901" w:type="pct"/>
            <w:tcBorders>
              <w:top w:val="single" w:sz="6" w:space="0" w:color="auto"/>
              <w:left w:val="single" w:sz="6" w:space="0" w:color="auto"/>
              <w:bottom w:val="single" w:sz="4" w:space="0" w:color="auto"/>
              <w:right w:val="single" w:sz="4" w:space="0" w:color="auto"/>
            </w:tcBorders>
            <w:vAlign w:val="center"/>
          </w:tcPr>
          <w:p w14:paraId="571F7A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teknik ve ekonomik kısıtlamalar bulunabilir.</w:t>
            </w:r>
          </w:p>
          <w:p w14:paraId="6DADC8E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3F01BAB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bl>
    <w:bookmarkEnd w:id="67"/>
    <w:p w14:paraId="6EB8FBF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yanmasından kaynaklanan, havaya SO2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362"/>
        <w:gridCol w:w="1075"/>
        <w:gridCol w:w="1001"/>
        <w:gridCol w:w="807"/>
        <w:gridCol w:w="1082"/>
        <w:gridCol w:w="3750"/>
      </w:tblGrid>
      <w:tr w:rsidR="00EB7491" w:rsidRPr="00DD0D1F" w14:paraId="3D4D055E" w14:textId="54351E56" w:rsidTr="00B140EA">
        <w:trPr>
          <w:trHeight w:val="55"/>
        </w:trPr>
        <w:tc>
          <w:tcPr>
            <w:tcW w:w="784" w:type="pct"/>
            <w:vMerge w:val="restart"/>
            <w:tcBorders>
              <w:top w:val="single" w:sz="4" w:space="0" w:color="auto"/>
              <w:left w:val="single" w:sz="4" w:space="0" w:color="auto"/>
              <w:right w:val="single" w:sz="6" w:space="0" w:color="auto"/>
            </w:tcBorders>
            <w:vAlign w:val="center"/>
          </w:tcPr>
          <w:p w14:paraId="49A6B79A" w14:textId="77777777" w:rsidR="00B140EA" w:rsidRPr="00DD0D1F" w:rsidRDefault="00B140EA" w:rsidP="003328F9">
            <w:pPr>
              <w:adjustRightInd w:val="0"/>
              <w:spacing w:line="240" w:lineRule="auto"/>
              <w:ind w:left="74" w:right="74"/>
              <w:jc w:val="center"/>
              <w:rPr>
                <w:rFonts w:cs="Times New Roman"/>
                <w:b/>
                <w:szCs w:val="24"/>
                <w:vertAlign w:val="superscript"/>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216" w:type="pct"/>
            <w:gridSpan w:val="5"/>
            <w:tcBorders>
              <w:top w:val="single" w:sz="4" w:space="0" w:color="auto"/>
              <w:left w:val="single" w:sz="6" w:space="0" w:color="auto"/>
              <w:bottom w:val="single" w:sz="6" w:space="0" w:color="auto"/>
              <w:right w:val="single" w:sz="4" w:space="0" w:color="auto"/>
            </w:tcBorders>
            <w:vAlign w:val="center"/>
          </w:tcPr>
          <w:p w14:paraId="14D99D9D" w14:textId="50CAB8E4"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09AEF642" w14:textId="7B8057BD" w:rsidTr="00B140EA">
        <w:trPr>
          <w:trHeight w:val="239"/>
        </w:trPr>
        <w:tc>
          <w:tcPr>
            <w:tcW w:w="790" w:type="pct"/>
            <w:vMerge/>
            <w:tcBorders>
              <w:left w:val="single" w:sz="4" w:space="0" w:color="auto"/>
              <w:right w:val="single" w:sz="6" w:space="0" w:color="auto"/>
            </w:tcBorders>
            <w:vAlign w:val="center"/>
          </w:tcPr>
          <w:p w14:paraId="4ED3AE68" w14:textId="77777777" w:rsidR="00B140EA" w:rsidRPr="00DD0D1F" w:rsidRDefault="00B140EA" w:rsidP="003328F9">
            <w:pPr>
              <w:adjustRightInd w:val="0"/>
              <w:spacing w:line="240" w:lineRule="auto"/>
              <w:ind w:left="74" w:right="74"/>
              <w:jc w:val="center"/>
              <w:rPr>
                <w:rFonts w:cs="Times New Roman"/>
                <w:b/>
                <w:szCs w:val="24"/>
                <w:lang w:val="tr-TR"/>
              </w:rPr>
            </w:pPr>
          </w:p>
        </w:tc>
        <w:tc>
          <w:tcPr>
            <w:tcW w:w="1130" w:type="pct"/>
            <w:gridSpan w:val="2"/>
            <w:tcBorders>
              <w:top w:val="single" w:sz="6" w:space="0" w:color="auto"/>
              <w:left w:val="single" w:sz="6" w:space="0" w:color="auto"/>
              <w:bottom w:val="single" w:sz="6" w:space="0" w:color="auto"/>
              <w:right w:val="single" w:sz="6" w:space="0" w:color="auto"/>
            </w:tcBorders>
            <w:vAlign w:val="center"/>
          </w:tcPr>
          <w:p w14:paraId="29D69BA8"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080" w:type="pct"/>
            <w:gridSpan w:val="3"/>
            <w:tcBorders>
              <w:top w:val="single" w:sz="6" w:space="0" w:color="auto"/>
              <w:left w:val="single" w:sz="6" w:space="0" w:color="auto"/>
              <w:bottom w:val="single" w:sz="6" w:space="0" w:color="auto"/>
              <w:right w:val="single" w:sz="4" w:space="0" w:color="auto"/>
            </w:tcBorders>
            <w:vAlign w:val="center"/>
          </w:tcPr>
          <w:p w14:paraId="05B2E759" w14:textId="48D33813"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06CAB263" w14:textId="3B61F435" w:rsidTr="00B140EA">
        <w:trPr>
          <w:trHeight w:val="144"/>
        </w:trPr>
        <w:tc>
          <w:tcPr>
            <w:tcW w:w="790" w:type="pct"/>
            <w:vMerge/>
            <w:tcBorders>
              <w:left w:val="single" w:sz="4" w:space="0" w:color="auto"/>
              <w:bottom w:val="single" w:sz="6" w:space="0" w:color="auto"/>
              <w:right w:val="single" w:sz="6" w:space="0" w:color="auto"/>
            </w:tcBorders>
            <w:vAlign w:val="center"/>
          </w:tcPr>
          <w:p w14:paraId="182A04BE" w14:textId="77777777" w:rsidR="00B140EA" w:rsidRPr="00DD0D1F" w:rsidRDefault="00B140EA" w:rsidP="003328F9">
            <w:pPr>
              <w:adjustRightInd w:val="0"/>
              <w:spacing w:line="240" w:lineRule="auto"/>
              <w:ind w:left="74" w:right="74"/>
              <w:jc w:val="center"/>
              <w:rPr>
                <w:rFonts w:cs="Times New Roman"/>
                <w:b/>
                <w:szCs w:val="24"/>
                <w:lang w:val="tr-TR"/>
              </w:rPr>
            </w:pPr>
          </w:p>
        </w:tc>
        <w:tc>
          <w:tcPr>
            <w:tcW w:w="632" w:type="pct"/>
            <w:tcBorders>
              <w:top w:val="single" w:sz="6" w:space="0" w:color="auto"/>
              <w:left w:val="single" w:sz="6" w:space="0" w:color="auto"/>
              <w:bottom w:val="single" w:sz="6" w:space="0" w:color="auto"/>
              <w:right w:val="single" w:sz="6" w:space="0" w:color="auto"/>
            </w:tcBorders>
            <w:vAlign w:val="center"/>
          </w:tcPr>
          <w:p w14:paraId="1F049A6F"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8" w:type="pct"/>
            <w:tcBorders>
              <w:top w:val="single" w:sz="6" w:space="0" w:color="auto"/>
              <w:left w:val="single" w:sz="6" w:space="0" w:color="auto"/>
              <w:bottom w:val="single" w:sz="6" w:space="0" w:color="auto"/>
              <w:right w:val="single" w:sz="6" w:space="0" w:color="auto"/>
            </w:tcBorders>
            <w:vAlign w:val="center"/>
          </w:tcPr>
          <w:p w14:paraId="0EA54AA7"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484" w:type="pct"/>
            <w:tcBorders>
              <w:top w:val="single" w:sz="6" w:space="0" w:color="auto"/>
              <w:left w:val="single" w:sz="6" w:space="0" w:color="auto"/>
              <w:bottom w:val="single" w:sz="6" w:space="0" w:color="auto"/>
              <w:right w:val="single" w:sz="6" w:space="0" w:color="auto"/>
            </w:tcBorders>
            <w:vAlign w:val="center"/>
          </w:tcPr>
          <w:p w14:paraId="762D903A"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1" w:type="pct"/>
            <w:tcBorders>
              <w:top w:val="single" w:sz="6" w:space="0" w:color="auto"/>
              <w:left w:val="single" w:sz="6" w:space="0" w:color="auto"/>
              <w:bottom w:val="single" w:sz="6" w:space="0" w:color="auto"/>
              <w:right w:val="single" w:sz="4" w:space="0" w:color="auto"/>
            </w:tcBorders>
            <w:vAlign w:val="center"/>
          </w:tcPr>
          <w:p w14:paraId="4D02FDAD" w14:textId="0EE11F3A"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Kademe 2</w:t>
            </w:r>
            <w:r w:rsidRPr="00DD0D1F">
              <w:rPr>
                <w:rFonts w:cs="Times New Roman"/>
                <w:szCs w:val="24"/>
                <w:lang w:val="tr-TR"/>
              </w:rPr>
              <w:t xml:space="preserve"> (</w:t>
            </w:r>
            <w:r w:rsidRPr="00DD0D1F">
              <w:rPr>
                <w:rFonts w:cs="Times New Roman"/>
                <w:szCs w:val="24"/>
                <w:vertAlign w:val="superscript"/>
                <w:lang w:val="tr-TR"/>
              </w:rPr>
              <w:t>2</w:t>
            </w:r>
            <w:r w:rsidRPr="00DD0D1F">
              <w:rPr>
                <w:rFonts w:cs="Times New Roman"/>
                <w:szCs w:val="24"/>
                <w:lang w:val="tr-TR"/>
              </w:rPr>
              <w:t>)</w:t>
            </w:r>
          </w:p>
        </w:tc>
        <w:tc>
          <w:tcPr>
            <w:tcW w:w="2105" w:type="pct"/>
            <w:tcBorders>
              <w:top w:val="single" w:sz="6" w:space="0" w:color="auto"/>
              <w:left w:val="single" w:sz="6" w:space="0" w:color="auto"/>
              <w:bottom w:val="single" w:sz="6" w:space="0" w:color="auto"/>
              <w:right w:val="single" w:sz="4" w:space="0" w:color="auto"/>
            </w:tcBorders>
          </w:tcPr>
          <w:p w14:paraId="45B2C6AB"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37E27BE8" w14:textId="1F7BE538" w:rsidR="00B140EA" w:rsidRPr="00DD0D1F" w:rsidRDefault="00B140EA" w:rsidP="00B140EA">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9B83624" w14:textId="06B84748" w:rsidTr="00B140EA">
        <w:trPr>
          <w:trHeight w:val="55"/>
        </w:trPr>
        <w:tc>
          <w:tcPr>
            <w:tcW w:w="790" w:type="pct"/>
            <w:tcBorders>
              <w:top w:val="single" w:sz="6" w:space="0" w:color="auto"/>
              <w:left w:val="single" w:sz="4" w:space="0" w:color="auto"/>
              <w:bottom w:val="single" w:sz="6" w:space="0" w:color="auto"/>
              <w:right w:val="single" w:sz="6" w:space="0" w:color="auto"/>
            </w:tcBorders>
            <w:vAlign w:val="center"/>
          </w:tcPr>
          <w:p w14:paraId="292A3FF5"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Tümü</w:t>
            </w:r>
          </w:p>
        </w:tc>
        <w:tc>
          <w:tcPr>
            <w:tcW w:w="632" w:type="pct"/>
            <w:tcBorders>
              <w:top w:val="single" w:sz="6" w:space="0" w:color="auto"/>
              <w:left w:val="single" w:sz="6" w:space="0" w:color="auto"/>
              <w:bottom w:val="single" w:sz="6" w:space="0" w:color="auto"/>
              <w:right w:val="single" w:sz="6" w:space="0" w:color="auto"/>
            </w:tcBorders>
            <w:vAlign w:val="center"/>
          </w:tcPr>
          <w:p w14:paraId="54E45220"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45-100</w:t>
            </w:r>
          </w:p>
        </w:tc>
        <w:tc>
          <w:tcPr>
            <w:tcW w:w="498" w:type="pct"/>
            <w:tcBorders>
              <w:top w:val="single" w:sz="6" w:space="0" w:color="auto"/>
              <w:left w:val="single" w:sz="6" w:space="0" w:color="auto"/>
              <w:bottom w:val="single" w:sz="6" w:space="0" w:color="auto"/>
              <w:right w:val="single" w:sz="6" w:space="0" w:color="auto"/>
            </w:tcBorders>
            <w:vAlign w:val="center"/>
          </w:tcPr>
          <w:p w14:paraId="562F7156"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100-200 (</w:t>
            </w:r>
            <w:r w:rsidRPr="00DD0D1F">
              <w:rPr>
                <w:rFonts w:cs="Times New Roman"/>
                <w:szCs w:val="24"/>
                <w:vertAlign w:val="superscript"/>
                <w:lang w:val="tr-TR"/>
              </w:rPr>
              <w:t>3</w:t>
            </w:r>
            <w:r w:rsidRPr="00DD0D1F">
              <w:rPr>
                <w:rFonts w:cs="Times New Roman"/>
                <w:szCs w:val="24"/>
                <w:lang w:val="tr-TR"/>
              </w:rPr>
              <w:t>)</w:t>
            </w:r>
          </w:p>
        </w:tc>
        <w:tc>
          <w:tcPr>
            <w:tcW w:w="484" w:type="pct"/>
            <w:tcBorders>
              <w:top w:val="single" w:sz="6" w:space="0" w:color="auto"/>
              <w:left w:val="single" w:sz="6" w:space="0" w:color="auto"/>
              <w:bottom w:val="single" w:sz="6" w:space="0" w:color="auto"/>
              <w:right w:val="single" w:sz="6" w:space="0" w:color="auto"/>
            </w:tcBorders>
            <w:vAlign w:val="center"/>
          </w:tcPr>
          <w:p w14:paraId="751BD6AB"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60-110</w:t>
            </w:r>
          </w:p>
        </w:tc>
        <w:tc>
          <w:tcPr>
            <w:tcW w:w="491" w:type="pct"/>
            <w:tcBorders>
              <w:top w:val="single" w:sz="6" w:space="0" w:color="auto"/>
              <w:left w:val="single" w:sz="6" w:space="0" w:color="auto"/>
              <w:bottom w:val="single" w:sz="6" w:space="0" w:color="auto"/>
              <w:right w:val="single" w:sz="4" w:space="0" w:color="auto"/>
            </w:tcBorders>
            <w:vAlign w:val="center"/>
          </w:tcPr>
          <w:p w14:paraId="48074393"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105-235 (</w:t>
            </w:r>
            <w:r w:rsidRPr="00DD0D1F">
              <w:rPr>
                <w:rFonts w:cs="Times New Roman"/>
                <w:szCs w:val="24"/>
                <w:vertAlign w:val="superscript"/>
                <w:lang w:val="tr-TR"/>
              </w:rPr>
              <w:t>3</w:t>
            </w:r>
            <w:r w:rsidRPr="00DD0D1F">
              <w:rPr>
                <w:rFonts w:cs="Times New Roman"/>
                <w:szCs w:val="24"/>
                <w:lang w:val="tr-TR"/>
              </w:rPr>
              <w:t>)</w:t>
            </w:r>
          </w:p>
        </w:tc>
        <w:tc>
          <w:tcPr>
            <w:tcW w:w="2105" w:type="pct"/>
            <w:tcBorders>
              <w:top w:val="single" w:sz="6" w:space="0" w:color="auto"/>
              <w:left w:val="single" w:sz="6" w:space="0" w:color="auto"/>
              <w:bottom w:val="single" w:sz="6" w:space="0" w:color="auto"/>
              <w:right w:val="single" w:sz="4" w:space="0" w:color="auto"/>
            </w:tcBorders>
          </w:tcPr>
          <w:p w14:paraId="66933A05" w14:textId="558BC4AE" w:rsidR="00B140EA"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350</w:t>
            </w:r>
          </w:p>
        </w:tc>
      </w:tr>
      <w:tr w:rsidR="00EB7491" w:rsidRPr="00DD0D1F" w14:paraId="3B839CFC" w14:textId="3925B9BE" w:rsidTr="00E615B6">
        <w:trPr>
          <w:trHeight w:val="606"/>
        </w:trPr>
        <w:tc>
          <w:tcPr>
            <w:tcW w:w="1" w:type="pct"/>
            <w:gridSpan w:val="6"/>
            <w:tcBorders>
              <w:top w:val="single" w:sz="6" w:space="0" w:color="auto"/>
              <w:left w:val="single" w:sz="4" w:space="0" w:color="auto"/>
              <w:bottom w:val="single" w:sz="4" w:space="0" w:color="auto"/>
              <w:right w:val="single" w:sz="4" w:space="0" w:color="auto"/>
            </w:tcBorders>
          </w:tcPr>
          <w:p w14:paraId="2879934A" w14:textId="77777777" w:rsidR="00B140EA" w:rsidRPr="00DD0D1F" w:rsidRDefault="00B140E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5B144284" w14:textId="77777777" w:rsidR="00B140EA" w:rsidRPr="00DD0D1F" w:rsidRDefault="00B140E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77538563" w14:textId="3348AA7B" w:rsidR="00B140EA" w:rsidRPr="00DD0D1F" w:rsidRDefault="00B140E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İkincil bir azaltma tekniği uygulanamıyorsa MET-İES aralığının üst sınırı 280 mg/Nm</w:t>
            </w:r>
            <w:r w:rsidRPr="00DD0D1F">
              <w:rPr>
                <w:rFonts w:cs="Times New Roman"/>
                <w:szCs w:val="24"/>
                <w:vertAlign w:val="superscript"/>
                <w:lang w:val="tr-TR"/>
              </w:rPr>
              <w:t>3</w:t>
            </w:r>
            <w:r w:rsidRPr="00DD0D1F">
              <w:rPr>
                <w:rFonts w:cs="Times New Roman"/>
                <w:szCs w:val="24"/>
                <w:lang w:val="tr-TR"/>
              </w:rPr>
              <w:t>'tür. Bu da yakıtın ağırlıkça %0,5'lik (kuru) kükürt içeriğine tekabül etmektedir.</w:t>
            </w:r>
          </w:p>
        </w:tc>
      </w:tr>
    </w:tbl>
    <w:p w14:paraId="432A3D06" w14:textId="77777777" w:rsidR="003328F9" w:rsidRPr="00DD0D1F" w:rsidRDefault="003328F9" w:rsidP="00FF111D">
      <w:pPr>
        <w:pStyle w:val="Balk3"/>
        <w:numPr>
          <w:ilvl w:val="2"/>
          <w:numId w:val="73"/>
        </w:numPr>
        <w:rPr>
          <w:rFonts w:cs="Times New Roman"/>
          <w:lang w:val="tr-TR"/>
        </w:rPr>
      </w:pPr>
      <w:bookmarkStart w:id="68" w:name="_Toc137367317"/>
      <w:r w:rsidRPr="00DD0D1F">
        <w:rPr>
          <w:rFonts w:cs="Times New Roman"/>
          <w:lang w:val="tr-TR"/>
        </w:rPr>
        <w:t>Toz ve Partiküle Bağlı Metallerin Havaya Emisyonları</w:t>
      </w:r>
      <w:bookmarkEnd w:id="68"/>
    </w:p>
    <w:p w14:paraId="4673E1FA" w14:textId="2C240ABB" w:rsidR="003328F9" w:rsidRPr="00DD0D1F" w:rsidRDefault="003328F9" w:rsidP="003328F9">
      <w:pPr>
        <w:rPr>
          <w:rFonts w:cs="Times New Roman"/>
          <w:b/>
          <w:bCs/>
          <w:szCs w:val="24"/>
          <w:lang w:val="tr-TR"/>
        </w:rPr>
      </w:pPr>
      <w:r w:rsidRPr="00DD0D1F">
        <w:rPr>
          <w:rFonts w:cs="Times New Roman"/>
          <w:b/>
          <w:bCs/>
          <w:szCs w:val="24"/>
          <w:lang w:val="tr-TR"/>
        </w:rPr>
        <w:t>MET 35</w:t>
      </w:r>
      <w:bookmarkStart w:id="69" w:name="_Hlk137395460"/>
      <w:r w:rsidRPr="00DD0D1F">
        <w:rPr>
          <w:rFonts w:cs="Times New Roman"/>
          <w:b/>
          <w:bCs/>
          <w:szCs w:val="24"/>
          <w:lang w:val="tr-TR"/>
        </w:rPr>
        <w:t xml:space="preserve">: </w:t>
      </w:r>
      <w:r w:rsidRPr="00DD0D1F">
        <w:rPr>
          <w:rFonts w:cs="Times New Roman"/>
          <w:bCs/>
          <w:szCs w:val="24"/>
          <w:lang w:val="tr-TR"/>
        </w:rPr>
        <w:t>HFO ve/veya gaz yağının pistonlu motorlarda yanmasından kaynaklanan, toz ve partiküle bağlı metallerin havaya emisyonlarını önlemek veya düşürmek için, aşağıda verilen tekniklerin biri</w:t>
      </w:r>
      <w:r w:rsidR="00651643" w:rsidRPr="00DD0D1F">
        <w:rPr>
          <w:rFonts w:cs="Times New Roman"/>
          <w:bCs/>
          <w:szCs w:val="24"/>
          <w:lang w:val="tr-TR"/>
        </w:rPr>
        <w:t xml:space="preserve"> veya bunların bir birleşimi</w:t>
      </w:r>
      <w:r w:rsidRPr="00DD0D1F">
        <w:rPr>
          <w:rFonts w:cs="Times New Roman"/>
          <w:bCs/>
          <w:szCs w:val="24"/>
          <w:lang w:val="tr-TR"/>
        </w:rPr>
        <w:t xml:space="preserve"> kullan</w:t>
      </w:r>
      <w:r w:rsidR="00651643" w:rsidRPr="00DD0D1F">
        <w:rPr>
          <w:rFonts w:cs="Times New Roman"/>
          <w:bCs/>
          <w:szCs w:val="24"/>
          <w:lang w:val="tr-TR"/>
        </w:rPr>
        <w:t>ılır.</w:t>
      </w:r>
      <w:bookmarkEnd w:id="69"/>
    </w:p>
    <w:tbl>
      <w:tblPr>
        <w:tblW w:w="5000" w:type="pct"/>
        <w:tblCellMar>
          <w:left w:w="40" w:type="dxa"/>
          <w:right w:w="40" w:type="dxa"/>
        </w:tblCellMar>
        <w:tblLook w:val="0000" w:firstRow="0" w:lastRow="0" w:firstColumn="0" w:lastColumn="0" w:noHBand="0" w:noVBand="0"/>
      </w:tblPr>
      <w:tblGrid>
        <w:gridCol w:w="428"/>
        <w:gridCol w:w="2427"/>
        <w:gridCol w:w="2542"/>
        <w:gridCol w:w="3680"/>
      </w:tblGrid>
      <w:tr w:rsidR="003328F9" w:rsidRPr="00DD0D1F" w14:paraId="46A3C96E" w14:textId="77777777" w:rsidTr="003328F9">
        <w:trPr>
          <w:trHeight w:val="365"/>
        </w:trPr>
        <w:tc>
          <w:tcPr>
            <w:tcW w:w="236" w:type="pct"/>
            <w:tcBorders>
              <w:top w:val="single" w:sz="4" w:space="0" w:color="auto"/>
              <w:left w:val="single" w:sz="4" w:space="0" w:color="auto"/>
              <w:bottom w:val="single" w:sz="6" w:space="0" w:color="auto"/>
              <w:right w:val="single" w:sz="4" w:space="0" w:color="auto"/>
            </w:tcBorders>
            <w:vAlign w:val="center"/>
          </w:tcPr>
          <w:p w14:paraId="66B102A5" w14:textId="77777777" w:rsidR="003328F9" w:rsidRPr="00DD0D1F" w:rsidRDefault="003328F9" w:rsidP="003328F9">
            <w:pPr>
              <w:adjustRightInd w:val="0"/>
              <w:spacing w:line="240" w:lineRule="auto"/>
              <w:ind w:right="74"/>
              <w:jc w:val="center"/>
              <w:rPr>
                <w:rFonts w:cs="Times New Roman"/>
                <w:b/>
                <w:szCs w:val="24"/>
                <w:lang w:val="tr-TR"/>
              </w:rPr>
            </w:pPr>
          </w:p>
        </w:tc>
        <w:tc>
          <w:tcPr>
            <w:tcW w:w="1337" w:type="pct"/>
            <w:tcBorders>
              <w:top w:val="single" w:sz="4" w:space="0" w:color="auto"/>
              <w:left w:val="single" w:sz="4" w:space="0" w:color="auto"/>
              <w:bottom w:val="single" w:sz="6" w:space="0" w:color="auto"/>
              <w:right w:val="single" w:sz="6" w:space="0" w:color="auto"/>
            </w:tcBorders>
            <w:vAlign w:val="center"/>
          </w:tcPr>
          <w:p w14:paraId="2FBF511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00" w:type="pct"/>
            <w:tcBorders>
              <w:top w:val="single" w:sz="4" w:space="0" w:color="auto"/>
              <w:left w:val="single" w:sz="6" w:space="0" w:color="auto"/>
              <w:bottom w:val="single" w:sz="6" w:space="0" w:color="auto"/>
              <w:right w:val="single" w:sz="6" w:space="0" w:color="auto"/>
            </w:tcBorders>
            <w:vAlign w:val="center"/>
          </w:tcPr>
          <w:p w14:paraId="59963DA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027" w:type="pct"/>
            <w:tcBorders>
              <w:top w:val="single" w:sz="4" w:space="0" w:color="auto"/>
              <w:left w:val="single" w:sz="6" w:space="0" w:color="auto"/>
              <w:bottom w:val="single" w:sz="6" w:space="0" w:color="auto"/>
              <w:right w:val="single" w:sz="4" w:space="0" w:color="auto"/>
            </w:tcBorders>
            <w:vAlign w:val="center"/>
          </w:tcPr>
          <w:p w14:paraId="73C77A1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17AEE4F" w14:textId="77777777" w:rsidTr="003328F9">
        <w:trPr>
          <w:trHeight w:val="276"/>
        </w:trPr>
        <w:tc>
          <w:tcPr>
            <w:tcW w:w="236" w:type="pct"/>
            <w:tcBorders>
              <w:top w:val="single" w:sz="6" w:space="0" w:color="auto"/>
              <w:left w:val="single" w:sz="4" w:space="0" w:color="auto"/>
              <w:bottom w:val="single" w:sz="6" w:space="0" w:color="auto"/>
              <w:right w:val="single" w:sz="6" w:space="0" w:color="auto"/>
            </w:tcBorders>
            <w:vAlign w:val="center"/>
          </w:tcPr>
          <w:p w14:paraId="14734B38" w14:textId="77777777" w:rsidR="003328F9" w:rsidRPr="00DD0D1F" w:rsidRDefault="003328F9" w:rsidP="003328F9">
            <w:pPr>
              <w:adjustRightInd w:val="0"/>
              <w:spacing w:line="240" w:lineRule="auto"/>
              <w:ind w:left="74" w:right="74"/>
              <w:rPr>
                <w:rFonts w:cs="Times New Roman"/>
                <w:szCs w:val="24"/>
                <w:lang w:val="tr-TR"/>
              </w:rPr>
            </w:pPr>
            <w:bookmarkStart w:id="70" w:name="_Hlk137395472"/>
            <w:r w:rsidRPr="00DD0D1F">
              <w:rPr>
                <w:rFonts w:cs="Times New Roman"/>
                <w:szCs w:val="24"/>
                <w:lang w:val="tr-TR"/>
              </w:rPr>
              <w:t>a</w:t>
            </w:r>
          </w:p>
        </w:tc>
        <w:tc>
          <w:tcPr>
            <w:tcW w:w="1337" w:type="pct"/>
            <w:tcBorders>
              <w:top w:val="single" w:sz="6" w:space="0" w:color="auto"/>
              <w:left w:val="single" w:sz="6" w:space="0" w:color="auto"/>
              <w:bottom w:val="single" w:sz="6" w:space="0" w:color="auto"/>
              <w:right w:val="single" w:sz="6" w:space="0" w:color="auto"/>
            </w:tcBorders>
            <w:vAlign w:val="center"/>
          </w:tcPr>
          <w:p w14:paraId="261957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400" w:type="pct"/>
            <w:vMerge w:val="restart"/>
            <w:tcBorders>
              <w:top w:val="single" w:sz="6" w:space="0" w:color="auto"/>
              <w:left w:val="single" w:sz="6" w:space="0" w:color="auto"/>
              <w:right w:val="single" w:sz="6" w:space="0" w:color="auto"/>
            </w:tcBorders>
            <w:vAlign w:val="center"/>
          </w:tcPr>
          <w:p w14:paraId="352D27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tc>
        <w:tc>
          <w:tcPr>
            <w:tcW w:w="2027" w:type="pct"/>
            <w:tcBorders>
              <w:top w:val="single" w:sz="6" w:space="0" w:color="auto"/>
              <w:left w:val="single" w:sz="6" w:space="0" w:color="auto"/>
              <w:bottom w:val="single" w:sz="6" w:space="0" w:color="auto"/>
              <w:right w:val="single" w:sz="4" w:space="0" w:color="auto"/>
            </w:tcBorders>
            <w:vAlign w:val="center"/>
          </w:tcPr>
          <w:p w14:paraId="2053FF6E" w14:textId="6104C869" w:rsidR="003328F9" w:rsidRPr="00DD0D1F" w:rsidRDefault="003328F9" w:rsidP="00017130">
            <w:pPr>
              <w:adjustRightInd w:val="0"/>
              <w:spacing w:line="240" w:lineRule="auto"/>
              <w:ind w:left="74" w:right="74"/>
              <w:rPr>
                <w:rFonts w:cs="Times New Roman"/>
                <w:szCs w:val="24"/>
                <w:lang w:val="tr-TR"/>
              </w:rPr>
            </w:pPr>
            <w:r w:rsidRPr="00DD0D1F">
              <w:rPr>
                <w:rFonts w:cs="Times New Roman"/>
                <w:szCs w:val="24"/>
                <w:lang w:val="tr-TR"/>
              </w:rPr>
              <w:t xml:space="preserve"> </w:t>
            </w:r>
            <w:r w:rsidR="00017130" w:rsidRPr="00DD0D1F">
              <w:rPr>
                <w:rFonts w:cs="Times New Roman"/>
                <w:szCs w:val="24"/>
                <w:lang w:val="tr-TR"/>
              </w:rPr>
              <w:t>E</w:t>
            </w:r>
            <w:r w:rsidRPr="00DD0D1F">
              <w:rPr>
                <w:rFonts w:cs="Times New Roman"/>
                <w:szCs w:val="24"/>
                <w:lang w:val="tr-TR"/>
              </w:rPr>
              <w:t>nerji politikasının da etkili olabileceği farklı türde yakıtların kullanılabilirliği ile ilişkili kısıtlamalar dahilinde uygulanabilir.</w:t>
            </w:r>
          </w:p>
        </w:tc>
      </w:tr>
      <w:tr w:rsidR="003328F9" w:rsidRPr="00DD0D1F" w14:paraId="199D89A7" w14:textId="77777777" w:rsidTr="003328F9">
        <w:trPr>
          <w:trHeight w:val="55"/>
        </w:trPr>
        <w:tc>
          <w:tcPr>
            <w:tcW w:w="236" w:type="pct"/>
            <w:tcBorders>
              <w:top w:val="single" w:sz="6" w:space="0" w:color="auto"/>
              <w:left w:val="single" w:sz="4" w:space="0" w:color="auto"/>
              <w:bottom w:val="single" w:sz="6" w:space="0" w:color="auto"/>
              <w:right w:val="single" w:sz="6" w:space="0" w:color="auto"/>
            </w:tcBorders>
            <w:vAlign w:val="center"/>
          </w:tcPr>
          <w:p w14:paraId="7415343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37" w:type="pct"/>
            <w:tcBorders>
              <w:top w:val="single" w:sz="6" w:space="0" w:color="auto"/>
              <w:left w:val="single" w:sz="6" w:space="0" w:color="auto"/>
              <w:bottom w:val="single" w:sz="6" w:space="0" w:color="auto"/>
              <w:right w:val="single" w:sz="6" w:space="0" w:color="auto"/>
            </w:tcBorders>
            <w:vAlign w:val="center"/>
          </w:tcPr>
          <w:p w14:paraId="6C825623" w14:textId="796DBF87" w:rsidR="003328F9" w:rsidRPr="00DD0D1F" w:rsidRDefault="009A6605" w:rsidP="003328F9">
            <w:pPr>
              <w:adjustRightInd w:val="0"/>
              <w:spacing w:line="240" w:lineRule="auto"/>
              <w:ind w:left="74" w:right="74"/>
              <w:rPr>
                <w:rFonts w:cs="Times New Roman"/>
                <w:szCs w:val="24"/>
                <w:lang w:val="tr-TR"/>
              </w:rPr>
            </w:pPr>
            <w:r w:rsidRPr="00DD0D1F">
              <w:rPr>
                <w:rFonts w:cs="Times New Roman"/>
                <w:szCs w:val="24"/>
                <w:lang w:val="tr-TR"/>
              </w:rPr>
              <w:t xml:space="preserve">Elektrostatik çöktürücü </w:t>
            </w:r>
            <w:r w:rsidR="003328F9" w:rsidRPr="00DD0D1F">
              <w:rPr>
                <w:rFonts w:cs="Times New Roman"/>
                <w:szCs w:val="24"/>
                <w:lang w:val="tr-TR"/>
              </w:rPr>
              <w:t>(ESP)</w:t>
            </w:r>
          </w:p>
        </w:tc>
        <w:tc>
          <w:tcPr>
            <w:tcW w:w="1400" w:type="pct"/>
            <w:vMerge/>
            <w:tcBorders>
              <w:left w:val="single" w:sz="6" w:space="0" w:color="auto"/>
              <w:right w:val="single" w:sz="6" w:space="0" w:color="auto"/>
            </w:tcBorders>
            <w:vAlign w:val="center"/>
          </w:tcPr>
          <w:p w14:paraId="5F2F634A" w14:textId="77777777" w:rsidR="003328F9" w:rsidRPr="00DD0D1F" w:rsidRDefault="003328F9" w:rsidP="003328F9">
            <w:pPr>
              <w:adjustRightInd w:val="0"/>
              <w:spacing w:line="240" w:lineRule="auto"/>
              <w:ind w:left="74" w:right="74"/>
              <w:rPr>
                <w:rFonts w:cs="Times New Roman"/>
                <w:szCs w:val="24"/>
                <w:lang w:val="tr-TR"/>
              </w:rPr>
            </w:pPr>
          </w:p>
        </w:tc>
        <w:tc>
          <w:tcPr>
            <w:tcW w:w="2027" w:type="pct"/>
            <w:vMerge w:val="restart"/>
            <w:tcBorders>
              <w:top w:val="single" w:sz="6" w:space="0" w:color="auto"/>
              <w:left w:val="single" w:sz="6" w:space="0" w:color="auto"/>
              <w:right w:val="single" w:sz="4" w:space="0" w:color="auto"/>
            </w:tcBorders>
            <w:vAlign w:val="center"/>
          </w:tcPr>
          <w:p w14:paraId="380101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tc>
      </w:tr>
      <w:tr w:rsidR="003328F9" w:rsidRPr="00DD0D1F" w14:paraId="1D05AE24" w14:textId="77777777" w:rsidTr="003328F9">
        <w:trPr>
          <w:trHeight w:val="114"/>
        </w:trPr>
        <w:tc>
          <w:tcPr>
            <w:tcW w:w="236" w:type="pct"/>
            <w:tcBorders>
              <w:top w:val="single" w:sz="6" w:space="0" w:color="auto"/>
              <w:left w:val="single" w:sz="4" w:space="0" w:color="auto"/>
              <w:bottom w:val="single" w:sz="4" w:space="0" w:color="auto"/>
              <w:right w:val="single" w:sz="6" w:space="0" w:color="auto"/>
            </w:tcBorders>
            <w:vAlign w:val="center"/>
          </w:tcPr>
          <w:p w14:paraId="4BB688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37" w:type="pct"/>
            <w:tcBorders>
              <w:top w:val="single" w:sz="6" w:space="0" w:color="auto"/>
              <w:left w:val="single" w:sz="6" w:space="0" w:color="auto"/>
              <w:bottom w:val="single" w:sz="4" w:space="0" w:color="auto"/>
              <w:right w:val="single" w:sz="6" w:space="0" w:color="auto"/>
            </w:tcBorders>
            <w:vAlign w:val="center"/>
          </w:tcPr>
          <w:p w14:paraId="34A86F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400" w:type="pct"/>
            <w:vMerge/>
            <w:tcBorders>
              <w:left w:val="single" w:sz="6" w:space="0" w:color="auto"/>
              <w:bottom w:val="single" w:sz="4" w:space="0" w:color="auto"/>
              <w:right w:val="single" w:sz="6" w:space="0" w:color="auto"/>
            </w:tcBorders>
          </w:tcPr>
          <w:p w14:paraId="3CCCA3EE" w14:textId="77777777" w:rsidR="003328F9" w:rsidRPr="00DD0D1F" w:rsidRDefault="003328F9" w:rsidP="003328F9">
            <w:pPr>
              <w:adjustRightInd w:val="0"/>
              <w:spacing w:line="240" w:lineRule="auto"/>
              <w:ind w:left="74" w:right="74"/>
              <w:rPr>
                <w:rFonts w:cs="Times New Roman"/>
                <w:szCs w:val="24"/>
                <w:lang w:val="tr-TR"/>
              </w:rPr>
            </w:pPr>
          </w:p>
        </w:tc>
        <w:tc>
          <w:tcPr>
            <w:tcW w:w="2027" w:type="pct"/>
            <w:vMerge/>
            <w:tcBorders>
              <w:left w:val="single" w:sz="6" w:space="0" w:color="auto"/>
              <w:bottom w:val="single" w:sz="4" w:space="0" w:color="auto"/>
              <w:right w:val="single" w:sz="4" w:space="0" w:color="auto"/>
            </w:tcBorders>
          </w:tcPr>
          <w:p w14:paraId="11B9B948" w14:textId="77777777" w:rsidR="003328F9" w:rsidRPr="00DD0D1F" w:rsidRDefault="003328F9" w:rsidP="003328F9">
            <w:pPr>
              <w:adjustRightInd w:val="0"/>
              <w:spacing w:line="240" w:lineRule="auto"/>
              <w:ind w:left="74" w:right="74"/>
              <w:rPr>
                <w:rFonts w:cs="Times New Roman"/>
                <w:szCs w:val="24"/>
                <w:lang w:val="tr-TR"/>
              </w:rPr>
            </w:pPr>
          </w:p>
        </w:tc>
      </w:tr>
      <w:bookmarkEnd w:id="70"/>
    </w:tbl>
    <w:p w14:paraId="7DF64A48" w14:textId="77777777" w:rsidR="003328F9" w:rsidRPr="00DD0D1F" w:rsidRDefault="003328F9" w:rsidP="003328F9">
      <w:pPr>
        <w:spacing w:before="240"/>
        <w:rPr>
          <w:rFonts w:cs="Times New Roman"/>
          <w:b/>
          <w:szCs w:val="24"/>
          <w:lang w:val="tr-TR"/>
        </w:rPr>
      </w:pPr>
    </w:p>
    <w:p w14:paraId="6B9EFEEA" w14:textId="77777777" w:rsidR="001F3147" w:rsidRPr="00DD0D1F" w:rsidRDefault="001F3147" w:rsidP="003328F9">
      <w:pPr>
        <w:pStyle w:val="ResimYazs"/>
        <w:spacing w:before="240"/>
        <w:rPr>
          <w:rFonts w:cs="Times New Roman"/>
          <w:color w:val="auto"/>
          <w:szCs w:val="24"/>
          <w:lang w:val="tr-TR"/>
        </w:rPr>
      </w:pPr>
    </w:p>
    <w:p w14:paraId="6C8C96A1" w14:textId="4619ECD2"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yanmasından kaynaklanan, havaya toz emisyonuna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291"/>
        <w:gridCol w:w="929"/>
        <w:gridCol w:w="1001"/>
        <w:gridCol w:w="929"/>
        <w:gridCol w:w="1082"/>
        <w:gridCol w:w="3845"/>
      </w:tblGrid>
      <w:tr w:rsidR="00EB7491" w:rsidRPr="00DD0D1F" w14:paraId="6D3EE85B" w14:textId="639F9337" w:rsidTr="001F3147">
        <w:trPr>
          <w:trHeight w:val="55"/>
          <w:tblHeader/>
        </w:trPr>
        <w:tc>
          <w:tcPr>
            <w:tcW w:w="729" w:type="pct"/>
            <w:vMerge w:val="restart"/>
            <w:tcBorders>
              <w:top w:val="single" w:sz="4" w:space="0" w:color="auto"/>
              <w:left w:val="single" w:sz="4" w:space="0" w:color="auto"/>
              <w:right w:val="single" w:sz="6" w:space="0" w:color="auto"/>
            </w:tcBorders>
            <w:vAlign w:val="center"/>
          </w:tcPr>
          <w:p w14:paraId="687B7CAC"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271" w:type="pct"/>
            <w:gridSpan w:val="5"/>
            <w:tcBorders>
              <w:top w:val="single" w:sz="4" w:space="0" w:color="auto"/>
              <w:left w:val="single" w:sz="6" w:space="0" w:color="auto"/>
              <w:bottom w:val="single" w:sz="6" w:space="0" w:color="auto"/>
              <w:right w:val="single" w:sz="4" w:space="0" w:color="auto"/>
            </w:tcBorders>
            <w:vAlign w:val="center"/>
          </w:tcPr>
          <w:p w14:paraId="7BDF7DB1" w14:textId="4B750D06"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Toza ilişkin 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3EAA3E34" w14:textId="47E5F1E7" w:rsidTr="001F3147">
        <w:trPr>
          <w:trHeight w:val="55"/>
          <w:tblHeader/>
        </w:trPr>
        <w:tc>
          <w:tcPr>
            <w:tcW w:w="729" w:type="pct"/>
            <w:vMerge/>
            <w:tcBorders>
              <w:left w:val="single" w:sz="4" w:space="0" w:color="auto"/>
              <w:right w:val="single" w:sz="6" w:space="0" w:color="auto"/>
            </w:tcBorders>
            <w:vAlign w:val="center"/>
          </w:tcPr>
          <w:p w14:paraId="2164CAE5" w14:textId="77777777" w:rsidR="001F3147" w:rsidRPr="00DD0D1F" w:rsidRDefault="001F3147" w:rsidP="003328F9">
            <w:pPr>
              <w:adjustRightInd w:val="0"/>
              <w:spacing w:line="240" w:lineRule="auto"/>
              <w:ind w:left="74" w:right="74"/>
              <w:jc w:val="center"/>
              <w:rPr>
                <w:rFonts w:cs="Times New Roman"/>
                <w:b/>
                <w:szCs w:val="24"/>
                <w:lang w:val="tr-TR"/>
              </w:rPr>
            </w:pPr>
          </w:p>
        </w:tc>
        <w:tc>
          <w:tcPr>
            <w:tcW w:w="1062" w:type="pct"/>
            <w:gridSpan w:val="2"/>
            <w:tcBorders>
              <w:top w:val="single" w:sz="6" w:space="0" w:color="auto"/>
              <w:left w:val="single" w:sz="6" w:space="0" w:color="auto"/>
              <w:bottom w:val="single" w:sz="6" w:space="0" w:color="auto"/>
              <w:right w:val="single" w:sz="6" w:space="0" w:color="auto"/>
            </w:tcBorders>
            <w:vAlign w:val="center"/>
          </w:tcPr>
          <w:p w14:paraId="32C872F5"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09" w:type="pct"/>
            <w:gridSpan w:val="3"/>
            <w:tcBorders>
              <w:top w:val="single" w:sz="6" w:space="0" w:color="auto"/>
              <w:left w:val="single" w:sz="6" w:space="0" w:color="auto"/>
              <w:bottom w:val="single" w:sz="6" w:space="0" w:color="auto"/>
              <w:right w:val="single" w:sz="4" w:space="0" w:color="auto"/>
            </w:tcBorders>
            <w:vAlign w:val="center"/>
          </w:tcPr>
          <w:p w14:paraId="5B7DF578" w14:textId="12309D29"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76A9D4CF" w14:textId="0A3EF289" w:rsidTr="001F3147">
        <w:trPr>
          <w:trHeight w:val="278"/>
          <w:tblHeader/>
        </w:trPr>
        <w:tc>
          <w:tcPr>
            <w:tcW w:w="729" w:type="pct"/>
            <w:vMerge/>
            <w:tcBorders>
              <w:left w:val="single" w:sz="4" w:space="0" w:color="auto"/>
              <w:bottom w:val="single" w:sz="6" w:space="0" w:color="auto"/>
              <w:right w:val="single" w:sz="6" w:space="0" w:color="auto"/>
            </w:tcBorders>
            <w:vAlign w:val="center"/>
          </w:tcPr>
          <w:p w14:paraId="24213632" w14:textId="77777777" w:rsidR="001F3147" w:rsidRPr="00DD0D1F" w:rsidRDefault="001F3147" w:rsidP="003328F9">
            <w:pPr>
              <w:adjustRightInd w:val="0"/>
              <w:spacing w:line="240" w:lineRule="auto"/>
              <w:ind w:left="74" w:right="74"/>
              <w:jc w:val="center"/>
              <w:rPr>
                <w:rFonts w:cs="Times New Roman"/>
                <w:b/>
                <w:szCs w:val="24"/>
                <w:lang w:val="tr-TR"/>
              </w:rPr>
            </w:pPr>
          </w:p>
        </w:tc>
        <w:tc>
          <w:tcPr>
            <w:tcW w:w="529" w:type="pct"/>
            <w:tcBorders>
              <w:top w:val="single" w:sz="6" w:space="0" w:color="auto"/>
              <w:left w:val="single" w:sz="6" w:space="0" w:color="auto"/>
              <w:bottom w:val="single" w:sz="6" w:space="0" w:color="auto"/>
              <w:right w:val="single" w:sz="6" w:space="0" w:color="auto"/>
            </w:tcBorders>
            <w:vAlign w:val="center"/>
          </w:tcPr>
          <w:p w14:paraId="2928E5D2"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33" w:type="pct"/>
            <w:tcBorders>
              <w:top w:val="single" w:sz="6" w:space="0" w:color="auto"/>
              <w:left w:val="single" w:sz="6" w:space="0" w:color="auto"/>
              <w:bottom w:val="single" w:sz="6" w:space="0" w:color="auto"/>
              <w:right w:val="single" w:sz="6" w:space="0" w:color="auto"/>
            </w:tcBorders>
            <w:vAlign w:val="center"/>
          </w:tcPr>
          <w:p w14:paraId="210571F9"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29" w:type="pct"/>
            <w:tcBorders>
              <w:top w:val="single" w:sz="6" w:space="0" w:color="auto"/>
              <w:left w:val="single" w:sz="6" w:space="0" w:color="auto"/>
              <w:bottom w:val="single" w:sz="6" w:space="0" w:color="auto"/>
              <w:right w:val="single" w:sz="6" w:space="0" w:color="auto"/>
            </w:tcBorders>
            <w:vAlign w:val="center"/>
          </w:tcPr>
          <w:p w14:paraId="68F21846"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45" w:type="pct"/>
            <w:tcBorders>
              <w:top w:val="single" w:sz="6" w:space="0" w:color="auto"/>
              <w:left w:val="single" w:sz="6" w:space="0" w:color="auto"/>
              <w:bottom w:val="single" w:sz="6" w:space="0" w:color="auto"/>
              <w:right w:val="single" w:sz="4" w:space="0" w:color="auto"/>
            </w:tcBorders>
            <w:vAlign w:val="center"/>
          </w:tcPr>
          <w:p w14:paraId="2A9A25D3" w14:textId="1E88AE34"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35" w:type="pct"/>
            <w:tcBorders>
              <w:top w:val="single" w:sz="6" w:space="0" w:color="auto"/>
              <w:left w:val="single" w:sz="6" w:space="0" w:color="auto"/>
              <w:bottom w:val="single" w:sz="6" w:space="0" w:color="auto"/>
              <w:right w:val="single" w:sz="4" w:space="0" w:color="auto"/>
            </w:tcBorders>
          </w:tcPr>
          <w:p w14:paraId="5A8B2236"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2BEB2180" w14:textId="3C5BA7B8" w:rsidR="001F3147" w:rsidRPr="00DD0D1F" w:rsidRDefault="001F3147" w:rsidP="001F3147">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64C609DC" w14:textId="7670FA06" w:rsidTr="001F3147">
        <w:trPr>
          <w:trHeight w:val="115"/>
        </w:trPr>
        <w:tc>
          <w:tcPr>
            <w:tcW w:w="729" w:type="pct"/>
            <w:tcBorders>
              <w:top w:val="single" w:sz="6" w:space="0" w:color="auto"/>
              <w:left w:val="single" w:sz="4" w:space="0" w:color="auto"/>
              <w:bottom w:val="single" w:sz="6" w:space="0" w:color="auto"/>
              <w:right w:val="single" w:sz="6" w:space="0" w:color="auto"/>
            </w:tcBorders>
            <w:vAlign w:val="center"/>
          </w:tcPr>
          <w:p w14:paraId="6C55FC23"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529" w:type="pct"/>
            <w:tcBorders>
              <w:top w:val="single" w:sz="6" w:space="0" w:color="auto"/>
              <w:left w:val="single" w:sz="6" w:space="0" w:color="auto"/>
              <w:bottom w:val="single" w:sz="6" w:space="0" w:color="auto"/>
              <w:right w:val="single" w:sz="6" w:space="0" w:color="auto"/>
            </w:tcBorders>
            <w:vAlign w:val="center"/>
          </w:tcPr>
          <w:p w14:paraId="39B6BD22"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5-10</w:t>
            </w:r>
          </w:p>
        </w:tc>
        <w:tc>
          <w:tcPr>
            <w:tcW w:w="533" w:type="pct"/>
            <w:tcBorders>
              <w:top w:val="single" w:sz="6" w:space="0" w:color="auto"/>
              <w:left w:val="single" w:sz="6" w:space="0" w:color="auto"/>
              <w:bottom w:val="single" w:sz="6" w:space="0" w:color="auto"/>
              <w:right w:val="single" w:sz="6" w:space="0" w:color="auto"/>
            </w:tcBorders>
            <w:vAlign w:val="center"/>
          </w:tcPr>
          <w:p w14:paraId="328282EA"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5-35</w:t>
            </w:r>
          </w:p>
        </w:tc>
        <w:tc>
          <w:tcPr>
            <w:tcW w:w="529" w:type="pct"/>
            <w:tcBorders>
              <w:top w:val="single" w:sz="6" w:space="0" w:color="auto"/>
              <w:left w:val="single" w:sz="6" w:space="0" w:color="auto"/>
              <w:bottom w:val="single" w:sz="6" w:space="0" w:color="auto"/>
              <w:right w:val="single" w:sz="6" w:space="0" w:color="auto"/>
            </w:tcBorders>
            <w:vAlign w:val="center"/>
          </w:tcPr>
          <w:p w14:paraId="53E52260"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10-20</w:t>
            </w:r>
          </w:p>
        </w:tc>
        <w:tc>
          <w:tcPr>
            <w:tcW w:w="545" w:type="pct"/>
            <w:tcBorders>
              <w:top w:val="single" w:sz="6" w:space="0" w:color="auto"/>
              <w:left w:val="single" w:sz="6" w:space="0" w:color="auto"/>
              <w:bottom w:val="single" w:sz="6" w:space="0" w:color="auto"/>
              <w:right w:val="single" w:sz="4" w:space="0" w:color="auto"/>
            </w:tcBorders>
            <w:vAlign w:val="center"/>
          </w:tcPr>
          <w:p w14:paraId="18648EC6"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10-45</w:t>
            </w:r>
          </w:p>
        </w:tc>
        <w:tc>
          <w:tcPr>
            <w:tcW w:w="2135" w:type="pct"/>
            <w:tcBorders>
              <w:top w:val="single" w:sz="6" w:space="0" w:color="auto"/>
              <w:left w:val="single" w:sz="6" w:space="0" w:color="auto"/>
              <w:bottom w:val="single" w:sz="6" w:space="0" w:color="auto"/>
              <w:right w:val="single" w:sz="4" w:space="0" w:color="auto"/>
            </w:tcBorders>
          </w:tcPr>
          <w:p w14:paraId="67349FCE" w14:textId="77777777" w:rsidR="001F3147" w:rsidRPr="00DD0D1F" w:rsidRDefault="001F3147" w:rsidP="003328F9">
            <w:pPr>
              <w:adjustRightInd w:val="0"/>
              <w:spacing w:line="240" w:lineRule="auto"/>
              <w:ind w:left="74" w:right="74"/>
              <w:jc w:val="center"/>
              <w:rPr>
                <w:rFonts w:cs="Times New Roman"/>
                <w:szCs w:val="24"/>
                <w:lang w:val="tr-TR"/>
              </w:rPr>
            </w:pPr>
          </w:p>
        </w:tc>
      </w:tr>
      <w:tr w:rsidR="00EB7491" w:rsidRPr="00DD0D1F" w14:paraId="1EDDCDFD" w14:textId="68E383C4" w:rsidTr="001F3147">
        <w:trPr>
          <w:trHeight w:val="260"/>
        </w:trPr>
        <w:tc>
          <w:tcPr>
            <w:tcW w:w="5000" w:type="pct"/>
            <w:gridSpan w:val="6"/>
            <w:tcBorders>
              <w:top w:val="single" w:sz="6" w:space="0" w:color="auto"/>
              <w:left w:val="single" w:sz="4" w:space="0" w:color="auto"/>
              <w:bottom w:val="single" w:sz="4" w:space="0" w:color="auto"/>
              <w:right w:val="single" w:sz="4" w:space="0" w:color="auto"/>
            </w:tcBorders>
          </w:tcPr>
          <w:p w14:paraId="47AFCB86" w14:textId="77777777" w:rsidR="001F3147" w:rsidRPr="00DD0D1F" w:rsidRDefault="001F31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7B42DF8D" w14:textId="3E1FA99F" w:rsidR="001F3147" w:rsidRPr="00DD0D1F" w:rsidRDefault="001F31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3E342C57" w14:textId="77777777" w:rsidR="003328F9" w:rsidRPr="00DD0D1F" w:rsidRDefault="003328F9" w:rsidP="00FF111D">
      <w:pPr>
        <w:pStyle w:val="Balk2"/>
        <w:numPr>
          <w:ilvl w:val="1"/>
          <w:numId w:val="73"/>
        </w:numPr>
        <w:rPr>
          <w:rFonts w:cs="Times New Roman"/>
          <w:szCs w:val="24"/>
        </w:rPr>
      </w:pPr>
      <w:bookmarkStart w:id="71" w:name="_Toc137367318"/>
      <w:r w:rsidRPr="00DD0D1F">
        <w:rPr>
          <w:rFonts w:cs="Times New Roman"/>
          <w:szCs w:val="24"/>
        </w:rPr>
        <w:t>Gaz Yağıyla Çalışan Gaz Türbinleri</w:t>
      </w:r>
      <w:bookmarkEnd w:id="71"/>
    </w:p>
    <w:p w14:paraId="7295DFBE" w14:textId="69F2E7FF" w:rsidR="003328F9" w:rsidRPr="00A13BD5" w:rsidRDefault="00A13BD5" w:rsidP="003328F9">
      <w:pPr>
        <w:spacing w:before="240"/>
        <w:rPr>
          <w:rFonts w:cs="Times New Roman"/>
          <w:szCs w:val="24"/>
        </w:rPr>
      </w:pPr>
      <w:r>
        <w:rPr>
          <w:rFonts w:cs="Times New Roman"/>
          <w:szCs w:val="24"/>
        </w:rPr>
        <w:t>B</w:t>
      </w:r>
      <w:r w:rsidR="003328F9" w:rsidRPr="00DD0D1F">
        <w:rPr>
          <w:rFonts w:cs="Times New Roman"/>
          <w:szCs w:val="24"/>
        </w:rPr>
        <w:t xml:space="preserve">u </w:t>
      </w:r>
      <w:r>
        <w:rPr>
          <w:rFonts w:cs="Times New Roman"/>
          <w:szCs w:val="24"/>
        </w:rPr>
        <w:t>bölüm</w:t>
      </w:r>
      <w:r w:rsidR="003328F9" w:rsidRPr="00DD0D1F">
        <w:rPr>
          <w:rFonts w:cs="Times New Roman"/>
          <w:szCs w:val="24"/>
        </w:rPr>
        <w:t xml:space="preserve">de yer alan MET sonuçları genel olarak gaz yağının gaz türbinlerinde yakılması ile ilgilidir. </w:t>
      </w:r>
      <w:r w:rsidR="003328F9" w:rsidRPr="00DD0D1F">
        <w:rPr>
          <w:rFonts w:cs="Times New Roman"/>
          <w:szCs w:val="24"/>
          <w:lang w:val="nl-NL"/>
        </w:rPr>
        <w:t>Bu MET sonuçları, Başlık  1’de belirtilen genel MET sonuçlarına ek olarak geçerlidir.</w:t>
      </w:r>
    </w:p>
    <w:p w14:paraId="7AB56991" w14:textId="77777777" w:rsidR="003328F9" w:rsidRPr="00DD0D1F" w:rsidRDefault="003328F9" w:rsidP="00FF111D">
      <w:pPr>
        <w:pStyle w:val="Balk3"/>
        <w:numPr>
          <w:ilvl w:val="2"/>
          <w:numId w:val="73"/>
        </w:numPr>
        <w:rPr>
          <w:rFonts w:cs="Times New Roman"/>
        </w:rPr>
      </w:pPr>
      <w:bookmarkStart w:id="72" w:name="_Toc137367319"/>
      <w:r w:rsidRPr="00DD0D1F">
        <w:rPr>
          <w:rFonts w:cs="Times New Roman"/>
        </w:rPr>
        <w:t>Enerji Verimliliği</w:t>
      </w:r>
      <w:bookmarkEnd w:id="72"/>
    </w:p>
    <w:p w14:paraId="1C9FCF19" w14:textId="0D3B35DE" w:rsidR="003328F9" w:rsidRPr="00DD0D1F" w:rsidRDefault="003328F9" w:rsidP="003328F9">
      <w:pPr>
        <w:spacing w:before="240"/>
        <w:rPr>
          <w:rFonts w:cs="Times New Roman"/>
          <w:bCs/>
          <w:szCs w:val="24"/>
        </w:rPr>
      </w:pPr>
      <w:r w:rsidRPr="00DD0D1F">
        <w:rPr>
          <w:rFonts w:cs="Times New Roman"/>
          <w:b/>
          <w:bCs/>
          <w:szCs w:val="24"/>
        </w:rPr>
        <w:t>MET 36</w:t>
      </w:r>
      <w:bookmarkStart w:id="73" w:name="_Hlk137395545"/>
      <w:r w:rsidRPr="00DD0D1F">
        <w:rPr>
          <w:rFonts w:cs="Times New Roman"/>
          <w:b/>
          <w:bCs/>
          <w:szCs w:val="24"/>
        </w:rPr>
        <w:t xml:space="preserve">: </w:t>
      </w:r>
      <w:r w:rsidRPr="00DD0D1F">
        <w:rPr>
          <w:rFonts w:cs="Times New Roman"/>
          <w:bCs/>
          <w:szCs w:val="24"/>
        </w:rPr>
        <w:t>Gaz yağının gaz türbinlerinde yanmasının enerji verimli</w:t>
      </w:r>
      <w:r w:rsidR="00D57CDE" w:rsidRPr="00DD0D1F">
        <w:rPr>
          <w:rFonts w:cs="Times New Roman"/>
          <w:bCs/>
          <w:szCs w:val="24"/>
        </w:rPr>
        <w:t>liğini arttırmak için, MET 12</w:t>
      </w:r>
      <w:r w:rsidRPr="00DD0D1F">
        <w:rPr>
          <w:rFonts w:cs="Times New Roman"/>
          <w:bCs/>
          <w:szCs w:val="24"/>
        </w:rPr>
        <w:t xml:space="preserve"> ve aşağıda verilen tekniklerin uygun bir birleşimi</w:t>
      </w:r>
      <w:r w:rsidR="00D57CDE" w:rsidRPr="00DD0D1F">
        <w:rPr>
          <w:rFonts w:cs="Times New Roman"/>
          <w:bCs/>
          <w:szCs w:val="24"/>
        </w:rPr>
        <w:t xml:space="preserve"> kullanılır.</w:t>
      </w:r>
      <w:bookmarkEnd w:id="73"/>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
        <w:gridCol w:w="1730"/>
        <w:gridCol w:w="3148"/>
        <w:gridCol w:w="3932"/>
      </w:tblGrid>
      <w:tr w:rsidR="003328F9" w:rsidRPr="00DD0D1F" w14:paraId="3EDBC0A2" w14:textId="77777777" w:rsidTr="003328F9">
        <w:trPr>
          <w:trHeight w:val="229"/>
        </w:trPr>
        <w:tc>
          <w:tcPr>
            <w:tcW w:w="147" w:type="pct"/>
            <w:tcBorders>
              <w:bottom w:val="single" w:sz="6" w:space="0" w:color="000000"/>
              <w:right w:val="single" w:sz="4" w:space="0" w:color="auto"/>
            </w:tcBorders>
          </w:tcPr>
          <w:p w14:paraId="39D8A974" w14:textId="77777777" w:rsidR="003328F9" w:rsidRPr="00DD0D1F" w:rsidRDefault="003328F9" w:rsidP="003328F9">
            <w:pPr>
              <w:pStyle w:val="TableParagraph"/>
              <w:ind w:right="74"/>
              <w:jc w:val="center"/>
              <w:rPr>
                <w:b/>
                <w:szCs w:val="24"/>
              </w:rPr>
            </w:pPr>
          </w:p>
        </w:tc>
        <w:tc>
          <w:tcPr>
            <w:tcW w:w="953" w:type="pct"/>
            <w:tcBorders>
              <w:left w:val="single" w:sz="4" w:space="0" w:color="auto"/>
              <w:bottom w:val="single" w:sz="6" w:space="0" w:color="000000"/>
            </w:tcBorders>
            <w:vAlign w:val="center"/>
          </w:tcPr>
          <w:p w14:paraId="47E9A9E5" w14:textId="77777777" w:rsidR="003328F9" w:rsidRPr="00DD0D1F" w:rsidRDefault="003328F9" w:rsidP="003328F9">
            <w:pPr>
              <w:pStyle w:val="TableParagraph"/>
              <w:ind w:left="74" w:right="74"/>
              <w:jc w:val="center"/>
              <w:rPr>
                <w:b/>
                <w:szCs w:val="24"/>
              </w:rPr>
            </w:pPr>
            <w:r w:rsidRPr="00DD0D1F">
              <w:rPr>
                <w:b/>
                <w:szCs w:val="24"/>
              </w:rPr>
              <w:t>Teknik</w:t>
            </w:r>
          </w:p>
        </w:tc>
        <w:tc>
          <w:tcPr>
            <w:tcW w:w="1734" w:type="pct"/>
            <w:tcBorders>
              <w:bottom w:val="single" w:sz="6" w:space="0" w:color="000000"/>
              <w:right w:val="single" w:sz="6" w:space="0" w:color="000000"/>
            </w:tcBorders>
            <w:vAlign w:val="center"/>
          </w:tcPr>
          <w:p w14:paraId="6A279F77" w14:textId="77777777" w:rsidR="003328F9" w:rsidRPr="00DD0D1F" w:rsidRDefault="003328F9" w:rsidP="003328F9">
            <w:pPr>
              <w:pStyle w:val="TableParagraph"/>
              <w:ind w:left="74" w:right="74"/>
              <w:jc w:val="center"/>
              <w:rPr>
                <w:b/>
                <w:szCs w:val="24"/>
              </w:rPr>
            </w:pPr>
            <w:r w:rsidRPr="00DD0D1F">
              <w:rPr>
                <w:b/>
                <w:szCs w:val="24"/>
              </w:rPr>
              <w:t>Açıklama</w:t>
            </w:r>
          </w:p>
        </w:tc>
        <w:tc>
          <w:tcPr>
            <w:tcW w:w="2166" w:type="pct"/>
            <w:tcBorders>
              <w:left w:val="single" w:sz="6" w:space="0" w:color="000000"/>
              <w:bottom w:val="single" w:sz="6" w:space="0" w:color="000000"/>
            </w:tcBorders>
            <w:vAlign w:val="center"/>
          </w:tcPr>
          <w:p w14:paraId="0D1D79F1" w14:textId="77777777" w:rsidR="003328F9" w:rsidRPr="00DD0D1F" w:rsidRDefault="003328F9" w:rsidP="003328F9">
            <w:pPr>
              <w:pStyle w:val="TableParagraph"/>
              <w:ind w:left="74" w:right="74" w:hanging="389"/>
              <w:jc w:val="center"/>
              <w:rPr>
                <w:b/>
                <w:szCs w:val="24"/>
              </w:rPr>
            </w:pPr>
            <w:r w:rsidRPr="00DD0D1F">
              <w:rPr>
                <w:b/>
                <w:szCs w:val="24"/>
              </w:rPr>
              <w:t>Uygulanabilirlik</w:t>
            </w:r>
          </w:p>
        </w:tc>
      </w:tr>
      <w:tr w:rsidR="003328F9" w:rsidRPr="00DD0D1F" w14:paraId="5A30B255" w14:textId="77777777" w:rsidTr="003328F9">
        <w:trPr>
          <w:trHeight w:val="1610"/>
        </w:trPr>
        <w:tc>
          <w:tcPr>
            <w:tcW w:w="147" w:type="pct"/>
            <w:tcBorders>
              <w:right w:val="single" w:sz="4" w:space="0" w:color="auto"/>
            </w:tcBorders>
            <w:vAlign w:val="center"/>
          </w:tcPr>
          <w:p w14:paraId="0F79D58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953" w:type="pct"/>
            <w:tcBorders>
              <w:left w:val="single" w:sz="4" w:space="0" w:color="auto"/>
            </w:tcBorders>
            <w:vAlign w:val="center"/>
          </w:tcPr>
          <w:p w14:paraId="50016B3E" w14:textId="77777777" w:rsidR="003328F9" w:rsidRPr="00DD0D1F" w:rsidRDefault="003328F9" w:rsidP="003328F9">
            <w:pPr>
              <w:adjustRightInd w:val="0"/>
              <w:spacing w:line="240" w:lineRule="auto"/>
              <w:ind w:left="74" w:right="74"/>
              <w:rPr>
                <w:rFonts w:cs="Times New Roman"/>
                <w:szCs w:val="24"/>
                <w:lang w:val="tr-TR"/>
              </w:rPr>
            </w:pPr>
            <w:bookmarkStart w:id="74" w:name="_Hlk137395567"/>
            <w:r w:rsidRPr="00DD0D1F">
              <w:rPr>
                <w:rFonts w:cs="Times New Roman"/>
                <w:szCs w:val="24"/>
                <w:lang w:val="tr-TR"/>
              </w:rPr>
              <w:t>Kombine çevrim</w:t>
            </w:r>
            <w:bookmarkEnd w:id="74"/>
          </w:p>
        </w:tc>
        <w:tc>
          <w:tcPr>
            <w:tcW w:w="1734" w:type="pct"/>
            <w:vAlign w:val="center"/>
          </w:tcPr>
          <w:p w14:paraId="617C032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2166" w:type="pct"/>
            <w:vAlign w:val="center"/>
          </w:tcPr>
          <w:p w14:paraId="6D9138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≥1500 saat/yıl çalıştırılan yeni ünitelere genel olarak uygulanabilir.</w:t>
            </w:r>
          </w:p>
          <w:p w14:paraId="773E9C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 tasarımı ve alan müsaitliği ile ilişkili kısıtlamalar içinde mevcut ünitelere uygulanabilir.</w:t>
            </w:r>
          </w:p>
          <w:p w14:paraId="37FC03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&lt;1500 saat/yıl çalıştırılan mevcut ünitelere uygulanmaz.</w:t>
            </w:r>
          </w:p>
        </w:tc>
      </w:tr>
    </w:tbl>
    <w:p w14:paraId="1936490A"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Gaz yağı ile çalışan türbinlere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928"/>
        <w:gridCol w:w="2531"/>
        <w:gridCol w:w="2618"/>
      </w:tblGrid>
      <w:tr w:rsidR="003328F9" w:rsidRPr="00DD0D1F" w14:paraId="1C8B05B4" w14:textId="77777777" w:rsidTr="003328F9">
        <w:trPr>
          <w:trHeight w:val="55"/>
        </w:trPr>
        <w:tc>
          <w:tcPr>
            <w:tcW w:w="2164" w:type="pct"/>
            <w:vMerge w:val="restart"/>
            <w:tcBorders>
              <w:top w:val="single" w:sz="4" w:space="0" w:color="auto"/>
              <w:left w:val="single" w:sz="4" w:space="0" w:color="auto"/>
              <w:right w:val="single" w:sz="6" w:space="0" w:color="auto"/>
            </w:tcBorders>
            <w:vAlign w:val="center"/>
          </w:tcPr>
          <w:p w14:paraId="529CB62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2836" w:type="pct"/>
            <w:gridSpan w:val="2"/>
            <w:tcBorders>
              <w:top w:val="single" w:sz="4" w:space="0" w:color="auto"/>
              <w:left w:val="single" w:sz="6" w:space="0" w:color="auto"/>
              <w:bottom w:val="single" w:sz="6" w:space="0" w:color="auto"/>
              <w:right w:val="single" w:sz="4" w:space="0" w:color="auto"/>
            </w:tcBorders>
            <w:vAlign w:val="center"/>
          </w:tcPr>
          <w:p w14:paraId="61051F3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r>
      <w:tr w:rsidR="003328F9" w:rsidRPr="00DD0D1F" w14:paraId="544C2B5C" w14:textId="77777777" w:rsidTr="003328F9">
        <w:trPr>
          <w:trHeight w:val="55"/>
        </w:trPr>
        <w:tc>
          <w:tcPr>
            <w:tcW w:w="2164" w:type="pct"/>
            <w:vMerge/>
            <w:tcBorders>
              <w:left w:val="single" w:sz="4" w:space="0" w:color="auto"/>
              <w:right w:val="single" w:sz="6" w:space="0" w:color="auto"/>
            </w:tcBorders>
            <w:vAlign w:val="center"/>
          </w:tcPr>
          <w:p w14:paraId="1C668EE1"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836" w:type="pct"/>
            <w:gridSpan w:val="2"/>
            <w:tcBorders>
              <w:top w:val="single" w:sz="6" w:space="0" w:color="auto"/>
              <w:left w:val="single" w:sz="6" w:space="0" w:color="auto"/>
              <w:bottom w:val="single" w:sz="6" w:space="0" w:color="auto"/>
              <w:right w:val="single" w:sz="4" w:space="0" w:color="auto"/>
            </w:tcBorders>
            <w:vAlign w:val="center"/>
          </w:tcPr>
          <w:p w14:paraId="258401F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elektrik verimliliği (%)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r>
      <w:tr w:rsidR="003328F9" w:rsidRPr="00DD0D1F" w14:paraId="27D615FD" w14:textId="77777777" w:rsidTr="003328F9">
        <w:trPr>
          <w:trHeight w:val="147"/>
        </w:trPr>
        <w:tc>
          <w:tcPr>
            <w:tcW w:w="2164" w:type="pct"/>
            <w:vMerge/>
            <w:tcBorders>
              <w:left w:val="single" w:sz="4" w:space="0" w:color="auto"/>
              <w:bottom w:val="single" w:sz="6" w:space="0" w:color="auto"/>
              <w:right w:val="single" w:sz="6" w:space="0" w:color="auto"/>
            </w:tcBorders>
            <w:vAlign w:val="center"/>
          </w:tcPr>
          <w:p w14:paraId="09283EF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4" w:type="pct"/>
            <w:tcBorders>
              <w:top w:val="single" w:sz="6" w:space="0" w:color="auto"/>
              <w:left w:val="single" w:sz="6" w:space="0" w:color="auto"/>
              <w:bottom w:val="single" w:sz="6" w:space="0" w:color="auto"/>
              <w:right w:val="single" w:sz="6" w:space="0" w:color="auto"/>
            </w:tcBorders>
            <w:vAlign w:val="center"/>
          </w:tcPr>
          <w:p w14:paraId="68045BB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1443" w:type="pct"/>
            <w:tcBorders>
              <w:top w:val="single" w:sz="6" w:space="0" w:color="auto"/>
              <w:left w:val="single" w:sz="6" w:space="0" w:color="auto"/>
              <w:bottom w:val="single" w:sz="6" w:space="0" w:color="auto"/>
              <w:right w:val="single" w:sz="4" w:space="0" w:color="auto"/>
            </w:tcBorders>
            <w:vAlign w:val="center"/>
          </w:tcPr>
          <w:p w14:paraId="0A3ED74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7C7E9149" w14:textId="77777777" w:rsidTr="003328F9">
        <w:trPr>
          <w:trHeight w:val="81"/>
        </w:trPr>
        <w:tc>
          <w:tcPr>
            <w:tcW w:w="2164" w:type="pct"/>
            <w:tcBorders>
              <w:top w:val="single" w:sz="6" w:space="0" w:color="auto"/>
              <w:left w:val="single" w:sz="4" w:space="0" w:color="auto"/>
              <w:bottom w:val="single" w:sz="6" w:space="0" w:color="auto"/>
              <w:right w:val="single" w:sz="6" w:space="0" w:color="auto"/>
            </w:tcBorders>
            <w:vAlign w:val="center"/>
          </w:tcPr>
          <w:p w14:paraId="5B1658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yağı ile çalışan açık çevrim gaz türbini</w:t>
            </w:r>
          </w:p>
        </w:tc>
        <w:tc>
          <w:tcPr>
            <w:tcW w:w="1394" w:type="pct"/>
            <w:tcBorders>
              <w:top w:val="single" w:sz="6" w:space="0" w:color="auto"/>
              <w:left w:val="single" w:sz="6" w:space="0" w:color="auto"/>
              <w:bottom w:val="single" w:sz="6" w:space="0" w:color="auto"/>
              <w:right w:val="single" w:sz="6" w:space="0" w:color="auto"/>
            </w:tcBorders>
            <w:vAlign w:val="center"/>
          </w:tcPr>
          <w:p w14:paraId="0341012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&gt;33</w:t>
            </w:r>
          </w:p>
        </w:tc>
        <w:tc>
          <w:tcPr>
            <w:tcW w:w="1443" w:type="pct"/>
            <w:tcBorders>
              <w:top w:val="single" w:sz="6" w:space="0" w:color="auto"/>
              <w:left w:val="single" w:sz="6" w:space="0" w:color="auto"/>
              <w:bottom w:val="single" w:sz="6" w:space="0" w:color="auto"/>
              <w:right w:val="single" w:sz="4" w:space="0" w:color="auto"/>
            </w:tcBorders>
            <w:vAlign w:val="center"/>
          </w:tcPr>
          <w:p w14:paraId="6FD5E9F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25-35,7</w:t>
            </w:r>
          </w:p>
        </w:tc>
      </w:tr>
      <w:tr w:rsidR="003328F9" w:rsidRPr="00DD0D1F" w14:paraId="7FAB1E6A" w14:textId="77777777" w:rsidTr="003328F9">
        <w:trPr>
          <w:trHeight w:val="55"/>
        </w:trPr>
        <w:tc>
          <w:tcPr>
            <w:tcW w:w="2164" w:type="pct"/>
            <w:tcBorders>
              <w:top w:val="single" w:sz="6" w:space="0" w:color="auto"/>
              <w:left w:val="single" w:sz="4" w:space="0" w:color="auto"/>
              <w:bottom w:val="single" w:sz="6" w:space="0" w:color="auto"/>
              <w:right w:val="single" w:sz="6" w:space="0" w:color="auto"/>
            </w:tcBorders>
            <w:vAlign w:val="center"/>
          </w:tcPr>
          <w:p w14:paraId="1E9890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yağı ile çalışan kombine çevrim gaz türbini</w:t>
            </w:r>
          </w:p>
        </w:tc>
        <w:tc>
          <w:tcPr>
            <w:tcW w:w="1394" w:type="pct"/>
            <w:tcBorders>
              <w:top w:val="single" w:sz="6" w:space="0" w:color="auto"/>
              <w:left w:val="single" w:sz="6" w:space="0" w:color="auto"/>
              <w:bottom w:val="single" w:sz="6" w:space="0" w:color="auto"/>
              <w:right w:val="single" w:sz="6" w:space="0" w:color="auto"/>
            </w:tcBorders>
            <w:vAlign w:val="center"/>
          </w:tcPr>
          <w:p w14:paraId="5DEDAA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&gt;40</w:t>
            </w:r>
          </w:p>
        </w:tc>
        <w:tc>
          <w:tcPr>
            <w:tcW w:w="1443" w:type="pct"/>
            <w:tcBorders>
              <w:top w:val="single" w:sz="6" w:space="0" w:color="auto"/>
              <w:left w:val="single" w:sz="6" w:space="0" w:color="auto"/>
              <w:bottom w:val="single" w:sz="6" w:space="0" w:color="auto"/>
              <w:right w:val="single" w:sz="4" w:space="0" w:color="auto"/>
            </w:tcBorders>
            <w:vAlign w:val="center"/>
          </w:tcPr>
          <w:p w14:paraId="01BB0B3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33-44</w:t>
            </w:r>
          </w:p>
        </w:tc>
      </w:tr>
      <w:tr w:rsidR="003328F9" w:rsidRPr="00DD0D1F" w14:paraId="33953F34" w14:textId="77777777" w:rsidTr="003328F9">
        <w:trPr>
          <w:trHeight w:val="55"/>
        </w:trPr>
        <w:tc>
          <w:tcPr>
            <w:tcW w:w="5000" w:type="pct"/>
            <w:gridSpan w:val="3"/>
            <w:tcBorders>
              <w:top w:val="single" w:sz="6" w:space="0" w:color="auto"/>
              <w:left w:val="single" w:sz="4" w:space="0" w:color="auto"/>
              <w:bottom w:val="single" w:sz="6" w:space="0" w:color="auto"/>
              <w:right w:val="single" w:sz="4" w:space="0" w:color="auto"/>
            </w:tcBorders>
          </w:tcPr>
          <w:p w14:paraId="62BAC0F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çalıştırılan ünitelere uygulanmaz. </w:t>
            </w:r>
          </w:p>
          <w:p w14:paraId="318AC43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Net elektrik verimliliğine yönelik MET-İEVS'ler, tasarımı güç üretimine ve sadece güç üreten ünitelere yönelik olan CHP üniteler için geçerlidir.</w:t>
            </w:r>
          </w:p>
        </w:tc>
      </w:tr>
    </w:tbl>
    <w:p w14:paraId="7FA67897" w14:textId="77777777" w:rsidR="003328F9" w:rsidRPr="00DD0D1F" w:rsidRDefault="003328F9" w:rsidP="00FF111D">
      <w:pPr>
        <w:pStyle w:val="Balk3"/>
        <w:numPr>
          <w:ilvl w:val="2"/>
          <w:numId w:val="73"/>
        </w:numPr>
        <w:rPr>
          <w:rFonts w:cs="Times New Roman"/>
        </w:rPr>
      </w:pPr>
      <w:bookmarkStart w:id="75" w:name="_Toc137367320"/>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75"/>
    </w:p>
    <w:p w14:paraId="306D3CBB" w14:textId="7192875A" w:rsidR="003328F9" w:rsidRPr="00DD0D1F" w:rsidRDefault="003328F9" w:rsidP="003328F9">
      <w:pPr>
        <w:spacing w:before="240"/>
        <w:rPr>
          <w:rFonts w:cs="Times New Roman"/>
          <w:b/>
          <w:bCs/>
          <w:szCs w:val="24"/>
        </w:rPr>
      </w:pPr>
      <w:r w:rsidRPr="00DD0D1F">
        <w:rPr>
          <w:rFonts w:cs="Times New Roman"/>
          <w:b/>
          <w:bCs/>
          <w:szCs w:val="24"/>
        </w:rPr>
        <w:t>MET 37</w:t>
      </w:r>
      <w:bookmarkStart w:id="76" w:name="_Hlk137395619"/>
      <w:r w:rsidRPr="00DD0D1F">
        <w:rPr>
          <w:rFonts w:cs="Times New Roman"/>
          <w:b/>
          <w:bCs/>
          <w:szCs w:val="24"/>
        </w:rPr>
        <w:t xml:space="preserve">: </w:t>
      </w:r>
      <w:r w:rsidRPr="00DD0D1F">
        <w:rPr>
          <w:rFonts w:cs="Times New Roman"/>
          <w:bCs/>
          <w:szCs w:val="24"/>
        </w:rPr>
        <w:t>Gaz yağının gaz türbinlerinde yanmasından kaynaklanan, havaya NO</w:t>
      </w:r>
      <w:r w:rsidRPr="00DD0D1F">
        <w:rPr>
          <w:rFonts w:cs="Times New Roman"/>
          <w:bCs/>
          <w:szCs w:val="24"/>
          <w:vertAlign w:val="subscript"/>
        </w:rPr>
        <w:t>X</w:t>
      </w:r>
      <w:r w:rsidRPr="00DD0D1F">
        <w:rPr>
          <w:rFonts w:cs="Times New Roman"/>
          <w:bCs/>
          <w:szCs w:val="24"/>
        </w:rPr>
        <w:t xml:space="preserve">  emisyonlarını önlemek veya düşürmek için, aşağıda verilen tekniklerin biri veya bunların bir birleşimi kullan</w:t>
      </w:r>
      <w:r w:rsidR="00D57CDE" w:rsidRPr="00DD0D1F">
        <w:rPr>
          <w:rFonts w:cs="Times New Roman"/>
          <w:bCs/>
          <w:szCs w:val="24"/>
        </w:rPr>
        <w:t>ılır.</w:t>
      </w:r>
      <w:bookmarkEnd w:id="76"/>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
        <w:gridCol w:w="1995"/>
        <w:gridCol w:w="2227"/>
        <w:gridCol w:w="4537"/>
      </w:tblGrid>
      <w:tr w:rsidR="003328F9" w:rsidRPr="00DD0D1F" w14:paraId="5B287A40" w14:textId="77777777" w:rsidTr="003328F9">
        <w:trPr>
          <w:trHeight w:val="321"/>
        </w:trPr>
        <w:tc>
          <w:tcPr>
            <w:tcW w:w="175" w:type="pct"/>
            <w:tcBorders>
              <w:right w:val="single" w:sz="4" w:space="0" w:color="auto"/>
            </w:tcBorders>
          </w:tcPr>
          <w:p w14:paraId="69BF9FC8" w14:textId="77777777" w:rsidR="003328F9" w:rsidRPr="00DD0D1F" w:rsidRDefault="003328F9" w:rsidP="003328F9">
            <w:pPr>
              <w:pStyle w:val="TableParagraph"/>
              <w:ind w:right="74"/>
              <w:jc w:val="center"/>
              <w:rPr>
                <w:b/>
                <w:szCs w:val="24"/>
              </w:rPr>
            </w:pPr>
          </w:p>
        </w:tc>
        <w:tc>
          <w:tcPr>
            <w:tcW w:w="1099" w:type="pct"/>
            <w:tcBorders>
              <w:left w:val="single" w:sz="4" w:space="0" w:color="auto"/>
            </w:tcBorders>
          </w:tcPr>
          <w:p w14:paraId="7761B14A" w14:textId="77777777" w:rsidR="003328F9" w:rsidRPr="00DD0D1F" w:rsidRDefault="003328F9" w:rsidP="003328F9">
            <w:pPr>
              <w:pStyle w:val="TableParagraph"/>
              <w:ind w:left="74" w:right="74"/>
              <w:jc w:val="center"/>
              <w:rPr>
                <w:b/>
                <w:szCs w:val="24"/>
              </w:rPr>
            </w:pPr>
            <w:r w:rsidRPr="00DD0D1F">
              <w:rPr>
                <w:b/>
                <w:szCs w:val="24"/>
              </w:rPr>
              <w:t>Teknik</w:t>
            </w:r>
          </w:p>
        </w:tc>
        <w:tc>
          <w:tcPr>
            <w:tcW w:w="1227" w:type="pct"/>
          </w:tcPr>
          <w:p w14:paraId="79DB6AD3" w14:textId="77777777" w:rsidR="003328F9" w:rsidRPr="00DD0D1F" w:rsidRDefault="003328F9" w:rsidP="003328F9">
            <w:pPr>
              <w:pStyle w:val="TableParagraph"/>
              <w:ind w:left="74" w:right="74"/>
              <w:jc w:val="center"/>
              <w:rPr>
                <w:b/>
                <w:szCs w:val="24"/>
              </w:rPr>
            </w:pPr>
            <w:r w:rsidRPr="00DD0D1F">
              <w:rPr>
                <w:b/>
                <w:szCs w:val="24"/>
              </w:rPr>
              <w:t>Açıklama</w:t>
            </w:r>
          </w:p>
        </w:tc>
        <w:tc>
          <w:tcPr>
            <w:tcW w:w="2499" w:type="pct"/>
          </w:tcPr>
          <w:p w14:paraId="719E2619"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4B70D2B8" w14:textId="77777777" w:rsidTr="003328F9">
        <w:trPr>
          <w:trHeight w:val="460"/>
        </w:trPr>
        <w:tc>
          <w:tcPr>
            <w:tcW w:w="175" w:type="pct"/>
            <w:tcBorders>
              <w:top w:val="single" w:sz="6" w:space="0" w:color="auto"/>
              <w:left w:val="single" w:sz="4" w:space="0" w:color="auto"/>
              <w:bottom w:val="single" w:sz="6" w:space="0" w:color="auto"/>
              <w:right w:val="single" w:sz="4" w:space="0" w:color="auto"/>
            </w:tcBorders>
            <w:vAlign w:val="center"/>
          </w:tcPr>
          <w:p w14:paraId="3AE6DC1E" w14:textId="77777777" w:rsidR="003328F9" w:rsidRPr="00DD0D1F" w:rsidRDefault="003328F9" w:rsidP="003328F9">
            <w:pPr>
              <w:adjustRightInd w:val="0"/>
              <w:spacing w:line="240" w:lineRule="auto"/>
              <w:ind w:left="74" w:right="74"/>
              <w:rPr>
                <w:rFonts w:cs="Times New Roman"/>
                <w:szCs w:val="24"/>
                <w:lang w:val="tr-TR"/>
              </w:rPr>
            </w:pPr>
            <w:bookmarkStart w:id="77" w:name="_Hlk137395637"/>
            <w:r w:rsidRPr="00DD0D1F">
              <w:rPr>
                <w:rFonts w:cs="Times New Roman"/>
                <w:szCs w:val="24"/>
                <w:lang w:val="tr-TR"/>
              </w:rPr>
              <w:t>a</w:t>
            </w:r>
          </w:p>
        </w:tc>
        <w:tc>
          <w:tcPr>
            <w:tcW w:w="1099" w:type="pct"/>
            <w:tcBorders>
              <w:top w:val="single" w:sz="6" w:space="0" w:color="auto"/>
              <w:left w:val="single" w:sz="4" w:space="0" w:color="auto"/>
              <w:bottom w:val="single" w:sz="6" w:space="0" w:color="auto"/>
              <w:right w:val="single" w:sz="6" w:space="0" w:color="auto"/>
            </w:tcBorders>
            <w:vAlign w:val="center"/>
          </w:tcPr>
          <w:p w14:paraId="45972F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227" w:type="pct"/>
            <w:vMerge w:val="restart"/>
            <w:tcBorders>
              <w:top w:val="single" w:sz="6" w:space="0" w:color="auto"/>
              <w:left w:val="single" w:sz="6" w:space="0" w:color="auto"/>
              <w:right w:val="single" w:sz="6" w:space="0" w:color="auto"/>
            </w:tcBorders>
            <w:vAlign w:val="center"/>
          </w:tcPr>
          <w:p w14:paraId="5412DC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2499" w:type="pct"/>
            <w:tcBorders>
              <w:top w:val="single" w:sz="6" w:space="0" w:color="auto"/>
              <w:left w:val="single" w:sz="6" w:space="0" w:color="auto"/>
              <w:bottom w:val="single" w:sz="6" w:space="0" w:color="auto"/>
              <w:right w:val="single" w:sz="4" w:space="0" w:color="auto"/>
            </w:tcBorders>
            <w:vAlign w:val="center"/>
          </w:tcPr>
          <w:p w14:paraId="729EA6C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1643DD37" w14:textId="77777777" w:rsidTr="003328F9">
        <w:trPr>
          <w:trHeight w:val="580"/>
        </w:trPr>
        <w:tc>
          <w:tcPr>
            <w:tcW w:w="175" w:type="pct"/>
            <w:tcBorders>
              <w:top w:val="single" w:sz="6" w:space="0" w:color="auto"/>
              <w:left w:val="single" w:sz="4" w:space="0" w:color="auto"/>
              <w:bottom w:val="single" w:sz="6" w:space="0" w:color="auto"/>
              <w:right w:val="single" w:sz="6" w:space="0" w:color="auto"/>
            </w:tcBorders>
            <w:vAlign w:val="center"/>
          </w:tcPr>
          <w:p w14:paraId="4250C020" w14:textId="77777777" w:rsidR="003328F9" w:rsidRPr="00DD0D1F" w:rsidRDefault="003328F9" w:rsidP="003328F9">
            <w:pPr>
              <w:pStyle w:val="TableParagraph"/>
              <w:ind w:left="74" w:right="74"/>
              <w:jc w:val="both"/>
              <w:rPr>
                <w:szCs w:val="24"/>
              </w:rPr>
            </w:pPr>
            <w:r w:rsidRPr="00DD0D1F">
              <w:rPr>
                <w:szCs w:val="24"/>
              </w:rPr>
              <w:t>b</w:t>
            </w:r>
          </w:p>
        </w:tc>
        <w:tc>
          <w:tcPr>
            <w:tcW w:w="1099" w:type="pct"/>
            <w:tcBorders>
              <w:top w:val="single" w:sz="6" w:space="0" w:color="auto"/>
              <w:left w:val="single" w:sz="6" w:space="0" w:color="auto"/>
              <w:bottom w:val="single" w:sz="6" w:space="0" w:color="auto"/>
              <w:right w:val="single" w:sz="6" w:space="0" w:color="auto"/>
            </w:tcBorders>
            <w:vAlign w:val="center"/>
          </w:tcPr>
          <w:p w14:paraId="2EE758F4" w14:textId="77777777" w:rsidR="003328F9" w:rsidRPr="00DD0D1F" w:rsidRDefault="003328F9" w:rsidP="003328F9">
            <w:pPr>
              <w:pStyle w:val="TableParagraph"/>
              <w:ind w:left="74" w:right="74"/>
              <w:jc w:val="both"/>
              <w:rPr>
                <w:szCs w:val="24"/>
              </w:rPr>
            </w:pPr>
            <w:r w:rsidRPr="00DD0D1F">
              <w:rPr>
                <w:szCs w:val="24"/>
              </w:rPr>
              <w:t>Düşük NO</w:t>
            </w:r>
            <w:r w:rsidRPr="00DD0D1F">
              <w:rPr>
                <w:szCs w:val="24"/>
                <w:vertAlign w:val="subscript"/>
              </w:rPr>
              <w:t>X</w:t>
            </w:r>
            <w:r w:rsidRPr="00DD0D1F">
              <w:rPr>
                <w:szCs w:val="24"/>
              </w:rPr>
              <w:t xml:space="preserve"> brülörler (LNB)</w:t>
            </w:r>
          </w:p>
        </w:tc>
        <w:tc>
          <w:tcPr>
            <w:tcW w:w="1227" w:type="pct"/>
            <w:vMerge/>
            <w:tcBorders>
              <w:left w:val="single" w:sz="6" w:space="0" w:color="auto"/>
              <w:right w:val="single" w:sz="6" w:space="0" w:color="auto"/>
            </w:tcBorders>
            <w:vAlign w:val="center"/>
          </w:tcPr>
          <w:p w14:paraId="7C4C4D7F" w14:textId="77777777" w:rsidR="003328F9" w:rsidRPr="00DD0D1F" w:rsidRDefault="003328F9" w:rsidP="003328F9">
            <w:pPr>
              <w:spacing w:line="240" w:lineRule="auto"/>
              <w:ind w:left="74" w:right="74"/>
              <w:rPr>
                <w:rFonts w:cs="Times New Roman"/>
                <w:szCs w:val="24"/>
                <w:lang w:val="tr-TR"/>
              </w:rPr>
            </w:pPr>
          </w:p>
        </w:tc>
        <w:tc>
          <w:tcPr>
            <w:tcW w:w="2499" w:type="pct"/>
            <w:tcBorders>
              <w:top w:val="single" w:sz="6" w:space="0" w:color="auto"/>
              <w:left w:val="single" w:sz="6" w:space="0" w:color="auto"/>
              <w:bottom w:val="single" w:sz="6" w:space="0" w:color="auto"/>
              <w:right w:val="single" w:sz="4" w:space="0" w:color="auto"/>
            </w:tcBorders>
            <w:vAlign w:val="center"/>
          </w:tcPr>
          <w:p w14:paraId="1645FE92" w14:textId="77777777" w:rsidR="003328F9" w:rsidRPr="00DD0D1F" w:rsidRDefault="003328F9" w:rsidP="003328F9">
            <w:pPr>
              <w:pStyle w:val="TableParagraph"/>
              <w:ind w:left="74" w:right="74"/>
              <w:jc w:val="both"/>
              <w:rPr>
                <w:szCs w:val="24"/>
              </w:rPr>
            </w:pPr>
            <w:r w:rsidRPr="00DD0D1F">
              <w:rPr>
                <w:szCs w:val="24"/>
              </w:rPr>
              <w:t>Yalnızca piyasada düşük NO</w:t>
            </w:r>
            <w:r w:rsidRPr="00DD0D1F">
              <w:rPr>
                <w:szCs w:val="24"/>
                <w:vertAlign w:val="subscript"/>
              </w:rPr>
              <w:t>X</w:t>
            </w:r>
            <w:r w:rsidRPr="00DD0D1F">
              <w:rPr>
                <w:szCs w:val="24"/>
              </w:rPr>
              <w:t xml:space="preserve"> seviyeli brülörleri bulunan türbin modelleri için uygulanabilir.</w:t>
            </w:r>
          </w:p>
        </w:tc>
      </w:tr>
      <w:tr w:rsidR="003328F9" w:rsidRPr="00DD0D1F" w14:paraId="1229E736" w14:textId="77777777" w:rsidTr="003328F9">
        <w:trPr>
          <w:trHeight w:val="65"/>
        </w:trPr>
        <w:tc>
          <w:tcPr>
            <w:tcW w:w="175" w:type="pct"/>
            <w:tcBorders>
              <w:top w:val="single" w:sz="6" w:space="0" w:color="auto"/>
              <w:left w:val="single" w:sz="4" w:space="0" w:color="auto"/>
              <w:bottom w:val="single" w:sz="4" w:space="0" w:color="auto"/>
              <w:right w:val="single" w:sz="6" w:space="0" w:color="auto"/>
            </w:tcBorders>
            <w:vAlign w:val="center"/>
          </w:tcPr>
          <w:p w14:paraId="448A46F8" w14:textId="77777777" w:rsidR="003328F9" w:rsidRPr="00DD0D1F" w:rsidRDefault="003328F9" w:rsidP="003328F9">
            <w:pPr>
              <w:pStyle w:val="TableParagraph"/>
              <w:ind w:left="74" w:right="74"/>
              <w:jc w:val="both"/>
              <w:rPr>
                <w:szCs w:val="24"/>
              </w:rPr>
            </w:pPr>
            <w:r w:rsidRPr="00DD0D1F">
              <w:rPr>
                <w:szCs w:val="24"/>
              </w:rPr>
              <w:t>c</w:t>
            </w:r>
          </w:p>
        </w:tc>
        <w:tc>
          <w:tcPr>
            <w:tcW w:w="1099" w:type="pct"/>
            <w:tcBorders>
              <w:top w:val="single" w:sz="6" w:space="0" w:color="auto"/>
              <w:left w:val="single" w:sz="6" w:space="0" w:color="auto"/>
              <w:bottom w:val="single" w:sz="4" w:space="0" w:color="auto"/>
              <w:right w:val="single" w:sz="6" w:space="0" w:color="auto"/>
            </w:tcBorders>
            <w:vAlign w:val="center"/>
          </w:tcPr>
          <w:p w14:paraId="07D17695" w14:textId="77777777" w:rsidR="003328F9" w:rsidRPr="00DD0D1F" w:rsidRDefault="003328F9" w:rsidP="003328F9">
            <w:pPr>
              <w:pStyle w:val="TableParagraph"/>
              <w:ind w:left="74" w:right="74"/>
              <w:jc w:val="both"/>
              <w:rPr>
                <w:szCs w:val="24"/>
              </w:rPr>
            </w:pPr>
            <w:r w:rsidRPr="00DD0D1F">
              <w:rPr>
                <w:szCs w:val="24"/>
              </w:rPr>
              <w:t>Seçici katalitik indirgeme (SCR)</w:t>
            </w:r>
          </w:p>
        </w:tc>
        <w:tc>
          <w:tcPr>
            <w:tcW w:w="1227" w:type="pct"/>
            <w:vMerge/>
            <w:tcBorders>
              <w:left w:val="single" w:sz="6" w:space="0" w:color="auto"/>
              <w:right w:val="single" w:sz="6" w:space="0" w:color="auto"/>
            </w:tcBorders>
            <w:vAlign w:val="center"/>
          </w:tcPr>
          <w:p w14:paraId="09BEE77B" w14:textId="77777777" w:rsidR="003328F9" w:rsidRPr="00DD0D1F" w:rsidRDefault="003328F9" w:rsidP="003328F9">
            <w:pPr>
              <w:spacing w:line="240" w:lineRule="auto"/>
              <w:ind w:left="74" w:right="74"/>
              <w:rPr>
                <w:rFonts w:cs="Times New Roman"/>
                <w:szCs w:val="24"/>
                <w:lang w:val="tr-TR"/>
              </w:rPr>
            </w:pPr>
          </w:p>
        </w:tc>
        <w:tc>
          <w:tcPr>
            <w:tcW w:w="2499" w:type="pct"/>
            <w:tcBorders>
              <w:top w:val="single" w:sz="6" w:space="0" w:color="auto"/>
              <w:left w:val="single" w:sz="6" w:space="0" w:color="auto"/>
              <w:bottom w:val="single" w:sz="4" w:space="0" w:color="auto"/>
              <w:right w:val="single" w:sz="4" w:space="0" w:color="auto"/>
            </w:tcBorders>
            <w:vAlign w:val="center"/>
          </w:tcPr>
          <w:p w14:paraId="7BC319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06BF99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7F7DA4D8" w14:textId="77777777" w:rsidR="003328F9" w:rsidRPr="00DD0D1F" w:rsidRDefault="003328F9" w:rsidP="003328F9">
            <w:pPr>
              <w:pStyle w:val="TableParagraph"/>
              <w:ind w:left="74" w:right="74"/>
              <w:jc w:val="both"/>
              <w:rPr>
                <w:szCs w:val="24"/>
              </w:rPr>
            </w:pPr>
            <w:r w:rsidRPr="00DD0D1F">
              <w:rPr>
                <w:szCs w:val="24"/>
              </w:rPr>
              <w:t>Mevcut yakma tesislerinin iyileştirilmesi, yeterli alan durumuna göre kısıtlanabilir.</w:t>
            </w:r>
          </w:p>
        </w:tc>
      </w:tr>
    </w:tbl>
    <w:bookmarkEnd w:id="77"/>
    <w:p w14:paraId="6C97B617" w14:textId="128156F9" w:rsidR="003328F9" w:rsidRPr="00DD0D1F" w:rsidRDefault="003328F9" w:rsidP="003328F9">
      <w:pPr>
        <w:spacing w:before="240"/>
        <w:rPr>
          <w:rFonts w:cs="Times New Roman"/>
          <w:b/>
          <w:bCs/>
          <w:szCs w:val="24"/>
          <w:lang w:val="tr-TR"/>
        </w:rPr>
      </w:pPr>
      <w:r w:rsidRPr="00DD0D1F">
        <w:rPr>
          <w:rFonts w:cs="Times New Roman"/>
          <w:b/>
          <w:bCs/>
          <w:szCs w:val="24"/>
          <w:lang w:val="tr-TR"/>
        </w:rPr>
        <w:t>MET 38</w:t>
      </w:r>
      <w:bookmarkStart w:id="78" w:name="_Hlk137395658"/>
      <w:r w:rsidRPr="00DD0D1F">
        <w:rPr>
          <w:rFonts w:cs="Times New Roman"/>
          <w:b/>
          <w:bCs/>
          <w:szCs w:val="24"/>
          <w:lang w:val="tr-TR"/>
        </w:rPr>
        <w:t xml:space="preserve">: </w:t>
      </w:r>
      <w:r w:rsidRPr="00DD0D1F">
        <w:rPr>
          <w:rFonts w:cs="Times New Roman"/>
          <w:bCs/>
          <w:szCs w:val="24"/>
          <w:lang w:val="tr-TR"/>
        </w:rPr>
        <w:t>Gaz yağının gaz türbinlerinde yanmasından kaynaklanan, havaya CO emisyonlarını önlemek veya düşürmek için, aşağıda verilen tekniklerin biri</w:t>
      </w:r>
      <w:r w:rsidR="00D57CDE" w:rsidRPr="00DD0D1F">
        <w:rPr>
          <w:rFonts w:cs="Times New Roman"/>
          <w:bCs/>
          <w:szCs w:val="24"/>
          <w:lang w:val="tr-TR"/>
        </w:rPr>
        <w:t xml:space="preserve"> veya bunların bir birleşimi</w:t>
      </w:r>
      <w:r w:rsidRPr="00DD0D1F">
        <w:rPr>
          <w:rFonts w:cs="Times New Roman"/>
          <w:bCs/>
          <w:szCs w:val="24"/>
          <w:lang w:val="tr-TR"/>
        </w:rPr>
        <w:t xml:space="preserve"> kullan</w:t>
      </w:r>
      <w:r w:rsidR="00D57CDE" w:rsidRPr="00DD0D1F">
        <w:rPr>
          <w:rFonts w:cs="Times New Roman"/>
          <w:bCs/>
          <w:szCs w:val="24"/>
          <w:lang w:val="tr-TR"/>
        </w:rPr>
        <w:t>ılır.</w:t>
      </w:r>
    </w:p>
    <w:bookmarkEnd w:id="78"/>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
        <w:gridCol w:w="2516"/>
        <w:gridCol w:w="3041"/>
        <w:gridCol w:w="3208"/>
      </w:tblGrid>
      <w:tr w:rsidR="003328F9" w:rsidRPr="00DD0D1F" w14:paraId="3277895F" w14:textId="77777777" w:rsidTr="003328F9">
        <w:trPr>
          <w:trHeight w:val="230"/>
        </w:trPr>
        <w:tc>
          <w:tcPr>
            <w:tcW w:w="172" w:type="pct"/>
            <w:tcBorders>
              <w:right w:val="single" w:sz="4" w:space="0" w:color="auto"/>
            </w:tcBorders>
          </w:tcPr>
          <w:p w14:paraId="13318865" w14:textId="77777777" w:rsidR="003328F9" w:rsidRPr="00DD0D1F" w:rsidRDefault="003328F9" w:rsidP="003328F9">
            <w:pPr>
              <w:pStyle w:val="TableParagraph"/>
              <w:ind w:right="74"/>
              <w:jc w:val="center"/>
              <w:rPr>
                <w:b/>
                <w:szCs w:val="24"/>
              </w:rPr>
            </w:pPr>
          </w:p>
        </w:tc>
        <w:tc>
          <w:tcPr>
            <w:tcW w:w="1386" w:type="pct"/>
            <w:tcBorders>
              <w:left w:val="single" w:sz="4" w:space="0" w:color="auto"/>
            </w:tcBorders>
          </w:tcPr>
          <w:p w14:paraId="6E4A3DDD" w14:textId="77777777" w:rsidR="003328F9" w:rsidRPr="00DD0D1F" w:rsidRDefault="003328F9" w:rsidP="003328F9">
            <w:pPr>
              <w:pStyle w:val="TableParagraph"/>
              <w:ind w:left="74" w:right="74"/>
              <w:jc w:val="center"/>
              <w:rPr>
                <w:b/>
                <w:szCs w:val="24"/>
              </w:rPr>
            </w:pPr>
            <w:r w:rsidRPr="00DD0D1F">
              <w:rPr>
                <w:b/>
                <w:szCs w:val="24"/>
              </w:rPr>
              <w:t>Teknik</w:t>
            </w:r>
          </w:p>
        </w:tc>
        <w:tc>
          <w:tcPr>
            <w:tcW w:w="1675" w:type="pct"/>
          </w:tcPr>
          <w:p w14:paraId="313449D0" w14:textId="77777777" w:rsidR="003328F9" w:rsidRPr="00DD0D1F" w:rsidRDefault="003328F9" w:rsidP="003328F9">
            <w:pPr>
              <w:pStyle w:val="TableParagraph"/>
              <w:ind w:left="74" w:right="74"/>
              <w:jc w:val="center"/>
              <w:rPr>
                <w:b/>
                <w:szCs w:val="24"/>
              </w:rPr>
            </w:pPr>
            <w:r w:rsidRPr="00DD0D1F">
              <w:rPr>
                <w:b/>
                <w:szCs w:val="24"/>
              </w:rPr>
              <w:t>Açıklama</w:t>
            </w:r>
          </w:p>
        </w:tc>
        <w:tc>
          <w:tcPr>
            <w:tcW w:w="1767" w:type="pct"/>
          </w:tcPr>
          <w:p w14:paraId="3E007439"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55D90EBC" w14:textId="77777777" w:rsidTr="003328F9">
        <w:trPr>
          <w:trHeight w:val="349"/>
        </w:trPr>
        <w:tc>
          <w:tcPr>
            <w:tcW w:w="172" w:type="pct"/>
            <w:tcBorders>
              <w:top w:val="single" w:sz="6" w:space="0" w:color="auto"/>
              <w:left w:val="single" w:sz="4" w:space="0" w:color="auto"/>
              <w:bottom w:val="single" w:sz="6" w:space="0" w:color="auto"/>
              <w:right w:val="single" w:sz="4" w:space="0" w:color="auto"/>
            </w:tcBorders>
            <w:vAlign w:val="center"/>
          </w:tcPr>
          <w:p w14:paraId="2EDDD31C" w14:textId="0FD4251F" w:rsidR="003328F9" w:rsidRPr="00DD0D1F" w:rsidRDefault="003328F9" w:rsidP="003328F9">
            <w:pPr>
              <w:adjustRightInd w:val="0"/>
              <w:spacing w:line="240" w:lineRule="auto"/>
              <w:ind w:left="74" w:right="74"/>
              <w:rPr>
                <w:rFonts w:cs="Times New Roman"/>
                <w:szCs w:val="24"/>
                <w:lang w:val="tr-TR"/>
              </w:rPr>
            </w:pPr>
            <w:bookmarkStart w:id="79" w:name="_Hlk137395667"/>
            <w:r w:rsidRPr="00DD0D1F">
              <w:rPr>
                <w:rFonts w:cs="Times New Roman"/>
                <w:szCs w:val="24"/>
                <w:lang w:val="tr-TR"/>
              </w:rPr>
              <w:t>a</w:t>
            </w:r>
          </w:p>
        </w:tc>
        <w:tc>
          <w:tcPr>
            <w:tcW w:w="1386" w:type="pct"/>
            <w:tcBorders>
              <w:top w:val="single" w:sz="6" w:space="0" w:color="auto"/>
              <w:left w:val="single" w:sz="4" w:space="0" w:color="auto"/>
              <w:bottom w:val="single" w:sz="6" w:space="0" w:color="auto"/>
              <w:right w:val="single" w:sz="6" w:space="0" w:color="auto"/>
            </w:tcBorders>
            <w:vAlign w:val="center"/>
          </w:tcPr>
          <w:p w14:paraId="0EF8AB9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675" w:type="pct"/>
            <w:vMerge w:val="restart"/>
            <w:tcBorders>
              <w:top w:val="single" w:sz="6" w:space="0" w:color="auto"/>
              <w:left w:val="single" w:sz="6" w:space="0" w:color="auto"/>
              <w:bottom w:val="nil"/>
              <w:right w:val="single" w:sz="6" w:space="0" w:color="auto"/>
            </w:tcBorders>
            <w:vAlign w:val="center"/>
          </w:tcPr>
          <w:p w14:paraId="74DBB8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767" w:type="pct"/>
            <w:tcBorders>
              <w:top w:val="single" w:sz="6" w:space="0" w:color="auto"/>
              <w:left w:val="single" w:sz="6" w:space="0" w:color="auto"/>
              <w:bottom w:val="single" w:sz="6" w:space="0" w:color="auto"/>
              <w:right w:val="single" w:sz="4" w:space="0" w:color="auto"/>
            </w:tcBorders>
            <w:vAlign w:val="center"/>
          </w:tcPr>
          <w:p w14:paraId="2C445E0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1CD2EED2" w14:textId="77777777" w:rsidTr="003328F9">
        <w:trPr>
          <w:trHeight w:val="1151"/>
        </w:trPr>
        <w:tc>
          <w:tcPr>
            <w:tcW w:w="172" w:type="pct"/>
            <w:tcBorders>
              <w:top w:val="single" w:sz="6" w:space="0" w:color="auto"/>
              <w:left w:val="single" w:sz="4" w:space="0" w:color="auto"/>
              <w:bottom w:val="single" w:sz="4" w:space="0" w:color="auto"/>
              <w:right w:val="single" w:sz="6" w:space="0" w:color="auto"/>
            </w:tcBorders>
            <w:vAlign w:val="center"/>
          </w:tcPr>
          <w:p w14:paraId="03171F5D" w14:textId="77777777" w:rsidR="003328F9" w:rsidRPr="00DD0D1F" w:rsidRDefault="003328F9" w:rsidP="003328F9">
            <w:pPr>
              <w:pStyle w:val="TableParagraph"/>
              <w:ind w:left="74" w:right="74"/>
              <w:jc w:val="both"/>
              <w:rPr>
                <w:szCs w:val="24"/>
              </w:rPr>
            </w:pPr>
            <w:r w:rsidRPr="00DD0D1F">
              <w:rPr>
                <w:szCs w:val="24"/>
              </w:rPr>
              <w:t>b</w:t>
            </w:r>
          </w:p>
        </w:tc>
        <w:tc>
          <w:tcPr>
            <w:tcW w:w="1386" w:type="pct"/>
            <w:tcBorders>
              <w:top w:val="single" w:sz="6" w:space="0" w:color="auto"/>
              <w:left w:val="single" w:sz="6" w:space="0" w:color="auto"/>
              <w:bottom w:val="single" w:sz="4" w:space="0" w:color="auto"/>
              <w:right w:val="single" w:sz="6" w:space="0" w:color="auto"/>
            </w:tcBorders>
            <w:vAlign w:val="center"/>
          </w:tcPr>
          <w:p w14:paraId="291AD6D4" w14:textId="77777777" w:rsidR="003328F9" w:rsidRPr="00DD0D1F" w:rsidRDefault="003328F9" w:rsidP="003328F9">
            <w:pPr>
              <w:pStyle w:val="TableParagraph"/>
              <w:ind w:left="74" w:right="74"/>
              <w:jc w:val="both"/>
              <w:rPr>
                <w:szCs w:val="24"/>
              </w:rPr>
            </w:pPr>
            <w:r w:rsidRPr="00DD0D1F">
              <w:rPr>
                <w:szCs w:val="24"/>
              </w:rPr>
              <w:t>Oksidasyon katalizörleri</w:t>
            </w:r>
          </w:p>
        </w:tc>
        <w:tc>
          <w:tcPr>
            <w:tcW w:w="1675" w:type="pct"/>
            <w:vMerge/>
            <w:tcBorders>
              <w:top w:val="nil"/>
              <w:left w:val="single" w:sz="6" w:space="0" w:color="auto"/>
              <w:bottom w:val="single" w:sz="4" w:space="0" w:color="auto"/>
              <w:right w:val="single" w:sz="6" w:space="0" w:color="auto"/>
            </w:tcBorders>
            <w:vAlign w:val="center"/>
          </w:tcPr>
          <w:p w14:paraId="05B044A9" w14:textId="77777777" w:rsidR="003328F9" w:rsidRPr="00DD0D1F" w:rsidRDefault="003328F9" w:rsidP="003328F9">
            <w:pPr>
              <w:spacing w:line="240" w:lineRule="auto"/>
              <w:ind w:left="74" w:right="74"/>
              <w:rPr>
                <w:rFonts w:cs="Times New Roman"/>
                <w:szCs w:val="24"/>
                <w:lang w:val="tr-TR"/>
              </w:rPr>
            </w:pPr>
          </w:p>
        </w:tc>
        <w:tc>
          <w:tcPr>
            <w:tcW w:w="1767" w:type="pct"/>
            <w:tcBorders>
              <w:top w:val="single" w:sz="6" w:space="0" w:color="auto"/>
              <w:left w:val="single" w:sz="6" w:space="0" w:color="auto"/>
              <w:bottom w:val="single" w:sz="4" w:space="0" w:color="auto"/>
              <w:right w:val="single" w:sz="4" w:space="0" w:color="auto"/>
            </w:tcBorders>
            <w:vAlign w:val="center"/>
          </w:tcPr>
          <w:p w14:paraId="5646B00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0DB01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tc>
      </w:tr>
    </w:tbl>
    <w:bookmarkEnd w:id="79"/>
    <w:p w14:paraId="6320AC8D"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&lt;500 saat/yıl çalıştırılan acil kullanıma yönelik çift yakıtlı gaz türbinlerinde gaz yağının yanması sonucu oluşan NO</w:t>
      </w:r>
      <w:r w:rsidRPr="00DD0D1F">
        <w:rPr>
          <w:rFonts w:cs="Times New Roman"/>
          <w:szCs w:val="24"/>
          <w:vertAlign w:val="subscript"/>
          <w:lang w:val="tr-TR"/>
        </w:rPr>
        <w:t>X</w:t>
      </w:r>
      <w:r w:rsidRPr="00DD0D1F">
        <w:rPr>
          <w:rFonts w:cs="Times New Roman"/>
          <w:szCs w:val="24"/>
          <w:lang w:val="tr-TR"/>
        </w:rPr>
        <w:t xml:space="preserve"> emisyonlarının emisyon seviyesi genelde günlük ortalama veya numune alma periyodundaki ortalama olarak 145-250 mg/Nm</w:t>
      </w:r>
      <w:r w:rsidRPr="00DD0D1F">
        <w:rPr>
          <w:rFonts w:cs="Times New Roman"/>
          <w:szCs w:val="24"/>
          <w:vertAlign w:val="superscript"/>
          <w:lang w:val="tr-TR"/>
        </w:rPr>
        <w:t>3</w:t>
      </w:r>
      <w:r w:rsidRPr="00DD0D1F">
        <w:rPr>
          <w:rFonts w:cs="Times New Roman"/>
          <w:szCs w:val="24"/>
          <w:lang w:val="tr-TR"/>
        </w:rPr>
        <w:t xml:space="preserve"> olacaktır.</w:t>
      </w:r>
    </w:p>
    <w:p w14:paraId="77889B40" w14:textId="77777777" w:rsidR="003328F9" w:rsidRPr="00DD0D1F" w:rsidRDefault="003328F9" w:rsidP="00FF111D">
      <w:pPr>
        <w:pStyle w:val="Balk3"/>
        <w:numPr>
          <w:ilvl w:val="2"/>
          <w:numId w:val="73"/>
        </w:numPr>
        <w:rPr>
          <w:rFonts w:cs="Times New Roman"/>
        </w:rPr>
      </w:pPr>
      <w:bookmarkStart w:id="80" w:name="_Toc137367321"/>
      <w:r w:rsidRPr="00DD0D1F">
        <w:rPr>
          <w:rFonts w:cs="Times New Roman"/>
        </w:rPr>
        <w:t>Havaya SO</w:t>
      </w:r>
      <w:r w:rsidRPr="00DD0D1F">
        <w:rPr>
          <w:rFonts w:cs="Times New Roman"/>
          <w:vertAlign w:val="subscript"/>
        </w:rPr>
        <w:t>X</w:t>
      </w:r>
      <w:r w:rsidRPr="00DD0D1F">
        <w:rPr>
          <w:rFonts w:cs="Times New Roman"/>
        </w:rPr>
        <w:t xml:space="preserve"> ve Toz Emisyonları</w:t>
      </w:r>
      <w:bookmarkEnd w:id="80"/>
    </w:p>
    <w:p w14:paraId="4EB8D405" w14:textId="4DB84CE5" w:rsidR="003328F9" w:rsidRPr="00DD0D1F" w:rsidRDefault="003328F9" w:rsidP="003328F9">
      <w:pPr>
        <w:spacing w:before="240"/>
        <w:rPr>
          <w:rFonts w:cs="Times New Roman"/>
          <w:bCs/>
          <w:szCs w:val="24"/>
        </w:rPr>
      </w:pPr>
      <w:r w:rsidRPr="00DD0D1F">
        <w:rPr>
          <w:rFonts w:cs="Times New Roman"/>
          <w:b/>
          <w:bCs/>
          <w:szCs w:val="24"/>
        </w:rPr>
        <w:t>MET 39</w:t>
      </w:r>
      <w:bookmarkStart w:id="81" w:name="_Hlk137395704"/>
      <w:r w:rsidRPr="00DD0D1F">
        <w:rPr>
          <w:rFonts w:cs="Times New Roman"/>
          <w:b/>
          <w:bCs/>
          <w:szCs w:val="24"/>
        </w:rPr>
        <w:t xml:space="preserve">: </w:t>
      </w:r>
      <w:r w:rsidRPr="00DD0D1F">
        <w:rPr>
          <w:rFonts w:cs="Times New Roman"/>
          <w:bCs/>
          <w:szCs w:val="24"/>
        </w:rPr>
        <w:t>Gaz yağının gaz türbinlerinde yanmasından kaynaklanan, havaya SO</w:t>
      </w:r>
      <w:r w:rsidRPr="00DD0D1F">
        <w:rPr>
          <w:rFonts w:cs="Times New Roman"/>
          <w:bCs/>
          <w:szCs w:val="24"/>
          <w:vertAlign w:val="subscript"/>
        </w:rPr>
        <w:t>X</w:t>
      </w:r>
      <w:r w:rsidRPr="00DD0D1F">
        <w:rPr>
          <w:rFonts w:cs="Times New Roman"/>
          <w:bCs/>
          <w:szCs w:val="24"/>
        </w:rPr>
        <w:t xml:space="preserve"> ve toz emisyonlarını önlemek veya düşürmek için, </w:t>
      </w:r>
      <w:r w:rsidR="00E12FDC" w:rsidRPr="00DD0D1F">
        <w:rPr>
          <w:rFonts w:cs="Times New Roman"/>
          <w:bCs/>
          <w:szCs w:val="24"/>
        </w:rPr>
        <w:t>uygun</w:t>
      </w:r>
      <w:r w:rsidRPr="00DD0D1F">
        <w:rPr>
          <w:rFonts w:cs="Times New Roman"/>
          <w:bCs/>
          <w:szCs w:val="24"/>
        </w:rPr>
        <w:t xml:space="preserve"> yakıt seçi</w:t>
      </w:r>
      <w:r w:rsidR="00E12FDC" w:rsidRPr="00DD0D1F">
        <w:rPr>
          <w:rFonts w:cs="Times New Roman"/>
          <w:bCs/>
          <w:szCs w:val="24"/>
        </w:rPr>
        <w:t>li</w:t>
      </w:r>
      <w:r w:rsidR="00D57CDE" w:rsidRPr="00DD0D1F">
        <w:rPr>
          <w:rFonts w:cs="Times New Roman"/>
          <w:bCs/>
          <w:szCs w:val="24"/>
        </w:rPr>
        <w:t>r.</w:t>
      </w:r>
      <w:r w:rsidRPr="00DD0D1F">
        <w:rPr>
          <w:rFonts w:cs="Times New Roman"/>
          <w:bCs/>
          <w:szCs w:val="24"/>
        </w:rPr>
        <w:t xml:space="preserve"> </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
        <w:gridCol w:w="2516"/>
        <w:gridCol w:w="3041"/>
        <w:gridCol w:w="3208"/>
      </w:tblGrid>
      <w:tr w:rsidR="00D57CDE" w:rsidRPr="00DD0D1F" w14:paraId="6C3500CF" w14:textId="77777777" w:rsidTr="0070132C">
        <w:trPr>
          <w:trHeight w:val="230"/>
        </w:trPr>
        <w:tc>
          <w:tcPr>
            <w:tcW w:w="172" w:type="pct"/>
            <w:tcBorders>
              <w:right w:val="single" w:sz="4" w:space="0" w:color="auto"/>
            </w:tcBorders>
          </w:tcPr>
          <w:p w14:paraId="1C767A35" w14:textId="5224DC87" w:rsidR="00D57CDE" w:rsidRPr="00DD0D1F" w:rsidRDefault="00D57CDE" w:rsidP="0070132C">
            <w:pPr>
              <w:pStyle w:val="TableParagraph"/>
              <w:ind w:right="74"/>
              <w:jc w:val="center"/>
              <w:rPr>
                <w:b/>
                <w:szCs w:val="24"/>
              </w:rPr>
            </w:pPr>
          </w:p>
        </w:tc>
        <w:tc>
          <w:tcPr>
            <w:tcW w:w="1386" w:type="pct"/>
            <w:tcBorders>
              <w:left w:val="single" w:sz="4" w:space="0" w:color="auto"/>
            </w:tcBorders>
          </w:tcPr>
          <w:p w14:paraId="083AFB01" w14:textId="77777777" w:rsidR="00D57CDE" w:rsidRPr="00DD0D1F" w:rsidRDefault="00D57CDE" w:rsidP="0070132C">
            <w:pPr>
              <w:pStyle w:val="TableParagraph"/>
              <w:ind w:left="74" w:right="74"/>
              <w:jc w:val="center"/>
              <w:rPr>
                <w:b/>
                <w:szCs w:val="24"/>
              </w:rPr>
            </w:pPr>
            <w:r w:rsidRPr="00DD0D1F">
              <w:rPr>
                <w:b/>
                <w:szCs w:val="24"/>
              </w:rPr>
              <w:t>Teknik</w:t>
            </w:r>
          </w:p>
        </w:tc>
        <w:tc>
          <w:tcPr>
            <w:tcW w:w="1675" w:type="pct"/>
          </w:tcPr>
          <w:p w14:paraId="59BC0E3C" w14:textId="77777777" w:rsidR="00D57CDE" w:rsidRPr="00DD0D1F" w:rsidRDefault="00D57CDE" w:rsidP="0070132C">
            <w:pPr>
              <w:pStyle w:val="TableParagraph"/>
              <w:ind w:left="74" w:right="74"/>
              <w:jc w:val="center"/>
              <w:rPr>
                <w:b/>
                <w:szCs w:val="24"/>
              </w:rPr>
            </w:pPr>
            <w:r w:rsidRPr="00DD0D1F">
              <w:rPr>
                <w:b/>
                <w:szCs w:val="24"/>
              </w:rPr>
              <w:t>Açıklama</w:t>
            </w:r>
          </w:p>
        </w:tc>
        <w:tc>
          <w:tcPr>
            <w:tcW w:w="1767" w:type="pct"/>
          </w:tcPr>
          <w:p w14:paraId="1E7AE878" w14:textId="77777777" w:rsidR="00D57CDE" w:rsidRPr="00DD0D1F" w:rsidRDefault="00D57CDE" w:rsidP="0070132C">
            <w:pPr>
              <w:pStyle w:val="TableParagraph"/>
              <w:ind w:left="74" w:right="74"/>
              <w:jc w:val="center"/>
              <w:rPr>
                <w:b/>
                <w:szCs w:val="24"/>
              </w:rPr>
            </w:pPr>
            <w:r w:rsidRPr="00DD0D1F">
              <w:rPr>
                <w:b/>
                <w:szCs w:val="24"/>
              </w:rPr>
              <w:t>Uygulanabilirlik</w:t>
            </w:r>
          </w:p>
        </w:tc>
      </w:tr>
      <w:tr w:rsidR="00D57CDE" w:rsidRPr="00DD0D1F" w14:paraId="33FFE295" w14:textId="77777777" w:rsidTr="00D57CDE">
        <w:trPr>
          <w:trHeight w:val="349"/>
        </w:trPr>
        <w:tc>
          <w:tcPr>
            <w:tcW w:w="172" w:type="pct"/>
            <w:tcBorders>
              <w:top w:val="single" w:sz="6" w:space="0" w:color="auto"/>
              <w:left w:val="single" w:sz="4" w:space="0" w:color="auto"/>
              <w:bottom w:val="single" w:sz="6" w:space="0" w:color="auto"/>
              <w:right w:val="single" w:sz="4" w:space="0" w:color="auto"/>
            </w:tcBorders>
            <w:vAlign w:val="center"/>
          </w:tcPr>
          <w:p w14:paraId="486CEE66" w14:textId="77777777" w:rsidR="00D57CDE" w:rsidRPr="00DD0D1F" w:rsidRDefault="00D57CDE" w:rsidP="00D57CDE">
            <w:pPr>
              <w:adjustRightInd w:val="0"/>
              <w:spacing w:line="240" w:lineRule="auto"/>
              <w:ind w:left="74" w:right="74"/>
              <w:rPr>
                <w:rFonts w:cs="Times New Roman"/>
                <w:szCs w:val="24"/>
                <w:lang w:val="tr-TR"/>
              </w:rPr>
            </w:pPr>
            <w:r w:rsidRPr="00DD0D1F">
              <w:rPr>
                <w:rFonts w:cs="Times New Roman"/>
                <w:szCs w:val="24"/>
                <w:lang w:val="tr-TR"/>
              </w:rPr>
              <w:t>a</w:t>
            </w:r>
          </w:p>
        </w:tc>
        <w:tc>
          <w:tcPr>
            <w:tcW w:w="1386" w:type="pct"/>
            <w:tcBorders>
              <w:top w:val="single" w:sz="6" w:space="0" w:color="auto"/>
              <w:left w:val="single" w:sz="4" w:space="0" w:color="auto"/>
              <w:bottom w:val="single" w:sz="6" w:space="0" w:color="auto"/>
              <w:right w:val="single" w:sz="6" w:space="0" w:color="auto"/>
            </w:tcBorders>
            <w:vAlign w:val="center"/>
          </w:tcPr>
          <w:p w14:paraId="160299CC" w14:textId="54C3AE26" w:rsidR="00D57CDE" w:rsidRPr="00DD0D1F" w:rsidRDefault="00D57CDE" w:rsidP="00D57CDE">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675" w:type="pct"/>
            <w:tcBorders>
              <w:top w:val="single" w:sz="6" w:space="0" w:color="auto"/>
              <w:left w:val="single" w:sz="6" w:space="0" w:color="auto"/>
              <w:bottom w:val="single" w:sz="6" w:space="0" w:color="auto"/>
              <w:right w:val="single" w:sz="6" w:space="0" w:color="auto"/>
            </w:tcBorders>
            <w:vAlign w:val="center"/>
          </w:tcPr>
          <w:p w14:paraId="7CD2D94F" w14:textId="4BD26644" w:rsidR="00D57CDE" w:rsidRPr="00DD0D1F" w:rsidRDefault="006D14BA" w:rsidP="00D57CDE">
            <w:pPr>
              <w:adjustRightInd w:val="0"/>
              <w:spacing w:line="240" w:lineRule="auto"/>
              <w:ind w:left="74" w:right="74"/>
              <w:rPr>
                <w:rFonts w:cs="Times New Roman"/>
                <w:szCs w:val="24"/>
                <w:lang w:val="tr-TR"/>
              </w:rPr>
            </w:pPr>
            <w:r w:rsidRPr="00DD0D1F">
              <w:rPr>
                <w:rFonts w:cs="Times New Roman"/>
                <w:szCs w:val="24"/>
                <w:lang w:val="tr-TR"/>
              </w:rPr>
              <w:t>Başlık  8.4</w:t>
            </w:r>
            <w:r w:rsidR="00D57CDE" w:rsidRPr="00DD0D1F">
              <w:rPr>
                <w:rFonts w:cs="Times New Roman"/>
                <w:szCs w:val="24"/>
                <w:lang w:val="tr-TR"/>
              </w:rPr>
              <w:t>’teki açıklamalara bakınız.</w:t>
            </w:r>
          </w:p>
        </w:tc>
        <w:tc>
          <w:tcPr>
            <w:tcW w:w="1767" w:type="pct"/>
            <w:tcBorders>
              <w:top w:val="single" w:sz="6" w:space="0" w:color="auto"/>
              <w:left w:val="single" w:sz="6" w:space="0" w:color="auto"/>
              <w:bottom w:val="single" w:sz="6" w:space="0" w:color="auto"/>
              <w:right w:val="single" w:sz="4" w:space="0" w:color="auto"/>
            </w:tcBorders>
            <w:vAlign w:val="center"/>
          </w:tcPr>
          <w:p w14:paraId="3FE7A05D" w14:textId="0BD0588C" w:rsidR="00D57CDE" w:rsidRPr="00DD0D1F" w:rsidRDefault="00082D62" w:rsidP="00D57CDE">
            <w:pPr>
              <w:adjustRightInd w:val="0"/>
              <w:spacing w:line="240" w:lineRule="auto"/>
              <w:ind w:left="74" w:right="74"/>
              <w:rPr>
                <w:rFonts w:cs="Times New Roman"/>
                <w:szCs w:val="24"/>
                <w:lang w:val="tr-TR"/>
              </w:rPr>
            </w:pPr>
            <w:r w:rsidRPr="00DD0D1F">
              <w:rPr>
                <w:rFonts w:cs="Times New Roman"/>
                <w:szCs w:val="24"/>
                <w:lang w:val="tr-TR"/>
              </w:rPr>
              <w:t>E</w:t>
            </w:r>
            <w:r w:rsidR="00D57CDE" w:rsidRPr="00DD0D1F">
              <w:rPr>
                <w:rFonts w:cs="Times New Roman"/>
                <w:szCs w:val="24"/>
                <w:lang w:val="tr-TR"/>
              </w:rPr>
              <w:t>nerji politikasının da etkili olabileceği farklı türde yakıtların kullanılabilirliği ile ilişkili kısıtlamalar dahilinde uygulanabilir.</w:t>
            </w:r>
          </w:p>
        </w:tc>
      </w:tr>
    </w:tbl>
    <w:p w14:paraId="23AAA1B4" w14:textId="4E27C146" w:rsidR="003328F9" w:rsidRPr="00DD0D1F" w:rsidRDefault="003328F9" w:rsidP="003328F9">
      <w:pPr>
        <w:pStyle w:val="ResimYazs"/>
        <w:spacing w:before="240"/>
        <w:rPr>
          <w:rFonts w:cs="Times New Roman"/>
          <w:color w:val="auto"/>
          <w:szCs w:val="24"/>
          <w:lang w:val="tr-TR"/>
        </w:rPr>
      </w:pPr>
      <w:bookmarkStart w:id="82" w:name="_Hlk137395752"/>
      <w:bookmarkEnd w:id="81"/>
      <w:r w:rsidRPr="00DD0D1F">
        <w:rPr>
          <w:rFonts w:cs="Times New Roman"/>
          <w:color w:val="auto"/>
          <w:szCs w:val="24"/>
          <w:lang w:val="tr-TR"/>
        </w:rPr>
        <w:t>Gaz yağının gaz türbinlerinde yanmasından kaynaklanan, havaya SO</w:t>
      </w:r>
      <w:r w:rsidRPr="00DD0D1F">
        <w:rPr>
          <w:rFonts w:cs="Times New Roman"/>
          <w:color w:val="auto"/>
          <w:szCs w:val="24"/>
          <w:vertAlign w:val="subscript"/>
          <w:lang w:val="tr-TR"/>
        </w:rPr>
        <w:t>2</w:t>
      </w:r>
      <w:r w:rsidRPr="00DD0D1F">
        <w:rPr>
          <w:rFonts w:cs="Times New Roman"/>
          <w:color w:val="auto"/>
          <w:szCs w:val="24"/>
          <w:lang w:val="tr-TR"/>
        </w:rPr>
        <w:t xml:space="preserve"> ve toz emisyonlarına yönelik MET ile ilişkili emisyon seviyeleri</w:t>
      </w:r>
      <w:bookmarkEnd w:id="82"/>
    </w:p>
    <w:tbl>
      <w:tblPr>
        <w:tblW w:w="5000" w:type="pct"/>
        <w:tblCellMar>
          <w:left w:w="40" w:type="dxa"/>
          <w:right w:w="40" w:type="dxa"/>
        </w:tblCellMar>
        <w:tblLook w:val="0000" w:firstRow="0" w:lastRow="0" w:firstColumn="0" w:lastColumn="0" w:noHBand="0" w:noVBand="0"/>
      </w:tblPr>
      <w:tblGrid>
        <w:gridCol w:w="1630"/>
        <w:gridCol w:w="1296"/>
        <w:gridCol w:w="1941"/>
        <w:gridCol w:w="1621"/>
        <w:gridCol w:w="2589"/>
      </w:tblGrid>
      <w:tr w:rsidR="003328F9" w:rsidRPr="00DD0D1F" w14:paraId="573E7AD4" w14:textId="77777777" w:rsidTr="003328F9">
        <w:trPr>
          <w:trHeight w:val="48"/>
        </w:trPr>
        <w:tc>
          <w:tcPr>
            <w:tcW w:w="898" w:type="pct"/>
            <w:vMerge w:val="restart"/>
            <w:tcBorders>
              <w:top w:val="single" w:sz="4" w:space="0" w:color="auto"/>
              <w:left w:val="single" w:sz="4" w:space="0" w:color="auto"/>
              <w:right w:val="single" w:sz="6" w:space="0" w:color="auto"/>
            </w:tcBorders>
            <w:vAlign w:val="center"/>
          </w:tcPr>
          <w:p w14:paraId="640A40B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4102" w:type="pct"/>
            <w:gridSpan w:val="4"/>
            <w:tcBorders>
              <w:top w:val="single" w:sz="4" w:space="0" w:color="auto"/>
              <w:left w:val="single" w:sz="6" w:space="0" w:color="auto"/>
              <w:bottom w:val="single" w:sz="6" w:space="0" w:color="auto"/>
              <w:right w:val="single" w:sz="4" w:space="0" w:color="auto"/>
            </w:tcBorders>
            <w:vAlign w:val="center"/>
          </w:tcPr>
          <w:p w14:paraId="7861B3D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57D0E72" w14:textId="77777777" w:rsidTr="003328F9">
        <w:trPr>
          <w:trHeight w:val="48"/>
        </w:trPr>
        <w:tc>
          <w:tcPr>
            <w:tcW w:w="898" w:type="pct"/>
            <w:vMerge/>
            <w:tcBorders>
              <w:left w:val="single" w:sz="4" w:space="0" w:color="auto"/>
              <w:right w:val="single" w:sz="6" w:space="0" w:color="auto"/>
            </w:tcBorders>
            <w:vAlign w:val="center"/>
          </w:tcPr>
          <w:p w14:paraId="12FB0AE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83" w:type="pct"/>
            <w:gridSpan w:val="2"/>
            <w:tcBorders>
              <w:top w:val="single" w:sz="6" w:space="0" w:color="auto"/>
              <w:left w:val="single" w:sz="6" w:space="0" w:color="auto"/>
              <w:bottom w:val="single" w:sz="6" w:space="0" w:color="auto"/>
              <w:right w:val="single" w:sz="6" w:space="0" w:color="auto"/>
            </w:tcBorders>
            <w:vAlign w:val="center"/>
          </w:tcPr>
          <w:p w14:paraId="43DF263A" w14:textId="77777777" w:rsidR="003328F9" w:rsidRPr="00DD0D1F" w:rsidRDefault="003328F9" w:rsidP="003328F9">
            <w:pPr>
              <w:adjustRightInd w:val="0"/>
              <w:spacing w:line="240" w:lineRule="auto"/>
              <w:ind w:left="74" w:right="74"/>
              <w:jc w:val="center"/>
              <w:rPr>
                <w:rFonts w:cs="Times New Roman"/>
                <w:b/>
                <w:szCs w:val="24"/>
                <w:vertAlign w:val="subscript"/>
                <w:lang w:val="tr-TR"/>
              </w:rPr>
            </w:pPr>
            <w:r w:rsidRPr="00DD0D1F">
              <w:rPr>
                <w:rFonts w:cs="Times New Roman"/>
                <w:b/>
                <w:szCs w:val="24"/>
                <w:lang w:val="tr-TR"/>
              </w:rPr>
              <w:t>SO</w:t>
            </w:r>
            <w:r w:rsidRPr="00DD0D1F">
              <w:rPr>
                <w:rFonts w:cs="Times New Roman"/>
                <w:b/>
                <w:szCs w:val="24"/>
                <w:vertAlign w:val="subscript"/>
                <w:lang w:val="tr-TR"/>
              </w:rPr>
              <w:t>2</w:t>
            </w:r>
          </w:p>
        </w:tc>
        <w:tc>
          <w:tcPr>
            <w:tcW w:w="2320" w:type="pct"/>
            <w:gridSpan w:val="2"/>
            <w:tcBorders>
              <w:top w:val="single" w:sz="6" w:space="0" w:color="auto"/>
              <w:left w:val="single" w:sz="6" w:space="0" w:color="auto"/>
              <w:bottom w:val="single" w:sz="6" w:space="0" w:color="auto"/>
              <w:right w:val="single" w:sz="4" w:space="0" w:color="auto"/>
            </w:tcBorders>
            <w:vAlign w:val="center"/>
          </w:tcPr>
          <w:p w14:paraId="62CA49C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Toz</w:t>
            </w:r>
          </w:p>
        </w:tc>
      </w:tr>
      <w:tr w:rsidR="003328F9" w:rsidRPr="00DD0D1F" w14:paraId="5F6156F1" w14:textId="77777777" w:rsidTr="003328F9">
        <w:trPr>
          <w:trHeight w:val="48"/>
        </w:trPr>
        <w:tc>
          <w:tcPr>
            <w:tcW w:w="898" w:type="pct"/>
            <w:vMerge/>
            <w:tcBorders>
              <w:left w:val="single" w:sz="4" w:space="0" w:color="auto"/>
              <w:bottom w:val="single" w:sz="6" w:space="0" w:color="auto"/>
              <w:right w:val="single" w:sz="6" w:space="0" w:color="auto"/>
            </w:tcBorders>
            <w:vAlign w:val="center"/>
          </w:tcPr>
          <w:p w14:paraId="299FD2E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714" w:type="pct"/>
            <w:tcBorders>
              <w:top w:val="single" w:sz="6" w:space="0" w:color="auto"/>
              <w:left w:val="single" w:sz="6" w:space="0" w:color="auto"/>
              <w:bottom w:val="single" w:sz="6" w:space="0" w:color="auto"/>
              <w:right w:val="single" w:sz="6" w:space="0" w:color="auto"/>
            </w:tcBorders>
            <w:vAlign w:val="center"/>
          </w:tcPr>
          <w:p w14:paraId="736AB73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1069" w:type="pct"/>
            <w:tcBorders>
              <w:top w:val="single" w:sz="6" w:space="0" w:color="auto"/>
              <w:left w:val="single" w:sz="6" w:space="0" w:color="auto"/>
              <w:bottom w:val="single" w:sz="6" w:space="0" w:color="auto"/>
              <w:right w:val="single" w:sz="6" w:space="0" w:color="auto"/>
            </w:tcBorders>
            <w:vAlign w:val="center"/>
          </w:tcPr>
          <w:p w14:paraId="6002B36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 (</w:t>
            </w:r>
            <w:r w:rsidRPr="00DD0D1F">
              <w:rPr>
                <w:rFonts w:cs="Times New Roman"/>
                <w:b/>
                <w:szCs w:val="24"/>
                <w:vertAlign w:val="superscript"/>
                <w:lang w:val="tr-TR"/>
              </w:rPr>
              <w:t>2</w:t>
            </w:r>
            <w:r w:rsidRPr="00DD0D1F">
              <w:rPr>
                <w:rFonts w:cs="Times New Roman"/>
                <w:b/>
                <w:szCs w:val="24"/>
                <w:lang w:val="tr-TR"/>
              </w:rPr>
              <w:t>)</w:t>
            </w:r>
          </w:p>
        </w:tc>
        <w:tc>
          <w:tcPr>
            <w:tcW w:w="893" w:type="pct"/>
            <w:tcBorders>
              <w:top w:val="single" w:sz="6" w:space="0" w:color="auto"/>
              <w:left w:val="single" w:sz="6" w:space="0" w:color="auto"/>
              <w:bottom w:val="single" w:sz="6" w:space="0" w:color="auto"/>
              <w:right w:val="single" w:sz="6" w:space="0" w:color="auto"/>
            </w:tcBorders>
            <w:vAlign w:val="center"/>
          </w:tcPr>
          <w:p w14:paraId="62A895A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1427" w:type="pct"/>
            <w:tcBorders>
              <w:top w:val="single" w:sz="6" w:space="0" w:color="auto"/>
              <w:left w:val="single" w:sz="6" w:space="0" w:color="auto"/>
              <w:bottom w:val="single" w:sz="6" w:space="0" w:color="auto"/>
              <w:right w:val="single" w:sz="4" w:space="0" w:color="auto"/>
            </w:tcBorders>
            <w:vAlign w:val="center"/>
          </w:tcPr>
          <w:p w14:paraId="788347A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süresinde günlük ortalama veya ortalama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0C030C40" w14:textId="77777777" w:rsidTr="003328F9">
        <w:trPr>
          <w:trHeight w:val="48"/>
        </w:trPr>
        <w:tc>
          <w:tcPr>
            <w:tcW w:w="898" w:type="pct"/>
            <w:tcBorders>
              <w:top w:val="single" w:sz="6" w:space="0" w:color="auto"/>
              <w:left w:val="single" w:sz="4" w:space="0" w:color="auto"/>
              <w:bottom w:val="single" w:sz="6" w:space="0" w:color="auto"/>
              <w:right w:val="single" w:sz="6" w:space="0" w:color="auto"/>
            </w:tcBorders>
            <w:vAlign w:val="center"/>
          </w:tcPr>
          <w:p w14:paraId="3451441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 mevcut tesisler</w:t>
            </w:r>
          </w:p>
        </w:tc>
        <w:tc>
          <w:tcPr>
            <w:tcW w:w="714" w:type="pct"/>
            <w:tcBorders>
              <w:top w:val="single" w:sz="6" w:space="0" w:color="auto"/>
              <w:left w:val="single" w:sz="6" w:space="0" w:color="auto"/>
              <w:bottom w:val="single" w:sz="6" w:space="0" w:color="auto"/>
              <w:right w:val="single" w:sz="6" w:space="0" w:color="auto"/>
            </w:tcBorders>
            <w:vAlign w:val="center"/>
          </w:tcPr>
          <w:p w14:paraId="2CAD75A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35-60</w:t>
            </w:r>
          </w:p>
        </w:tc>
        <w:tc>
          <w:tcPr>
            <w:tcW w:w="1069" w:type="pct"/>
            <w:tcBorders>
              <w:top w:val="single" w:sz="6" w:space="0" w:color="auto"/>
              <w:left w:val="single" w:sz="6" w:space="0" w:color="auto"/>
              <w:bottom w:val="single" w:sz="6" w:space="0" w:color="auto"/>
              <w:right w:val="single" w:sz="6" w:space="0" w:color="auto"/>
            </w:tcBorders>
            <w:vAlign w:val="center"/>
          </w:tcPr>
          <w:p w14:paraId="15875EF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50-66</w:t>
            </w:r>
          </w:p>
        </w:tc>
        <w:tc>
          <w:tcPr>
            <w:tcW w:w="893" w:type="pct"/>
            <w:tcBorders>
              <w:top w:val="single" w:sz="6" w:space="0" w:color="auto"/>
              <w:left w:val="single" w:sz="6" w:space="0" w:color="auto"/>
              <w:bottom w:val="single" w:sz="6" w:space="0" w:color="auto"/>
              <w:right w:val="single" w:sz="6" w:space="0" w:color="auto"/>
            </w:tcBorders>
            <w:vAlign w:val="center"/>
          </w:tcPr>
          <w:p w14:paraId="0552CE4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1427" w:type="pct"/>
            <w:tcBorders>
              <w:top w:val="single" w:sz="6" w:space="0" w:color="auto"/>
              <w:left w:val="single" w:sz="6" w:space="0" w:color="auto"/>
              <w:bottom w:val="single" w:sz="6" w:space="0" w:color="auto"/>
              <w:right w:val="single" w:sz="4" w:space="0" w:color="auto"/>
            </w:tcBorders>
            <w:vAlign w:val="center"/>
          </w:tcPr>
          <w:p w14:paraId="54C105A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r>
      <w:tr w:rsidR="003328F9" w:rsidRPr="00DD0D1F" w14:paraId="2D0DA8B1" w14:textId="77777777" w:rsidTr="003328F9">
        <w:trPr>
          <w:trHeight w:val="584"/>
        </w:trPr>
        <w:tc>
          <w:tcPr>
            <w:tcW w:w="5000" w:type="pct"/>
            <w:gridSpan w:val="5"/>
            <w:tcBorders>
              <w:top w:val="single" w:sz="6" w:space="0" w:color="auto"/>
              <w:left w:val="single" w:sz="4" w:space="0" w:color="auto"/>
              <w:bottom w:val="single" w:sz="4" w:space="0" w:color="auto"/>
              <w:right w:val="single" w:sz="4" w:space="0" w:color="auto"/>
            </w:tcBorders>
          </w:tcPr>
          <w:p w14:paraId="6BF99D4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6213CF8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000D53B0" w14:textId="77777777" w:rsidR="003328F9" w:rsidRPr="00DD0D1F" w:rsidRDefault="003328F9" w:rsidP="005A4911">
      <w:pPr>
        <w:pStyle w:val="Normaltext"/>
        <w:rPr>
          <w:rFonts w:cs="Times New Roman"/>
          <w:szCs w:val="24"/>
        </w:rPr>
      </w:pPr>
      <w:bookmarkStart w:id="83" w:name="_Toc137367322"/>
    </w:p>
    <w:p w14:paraId="1A50420F" w14:textId="176AC4CA" w:rsidR="003328F9" w:rsidRPr="00DD0D1F" w:rsidRDefault="003328F9" w:rsidP="00FF111D">
      <w:pPr>
        <w:pStyle w:val="Balk1"/>
        <w:numPr>
          <w:ilvl w:val="0"/>
          <w:numId w:val="73"/>
        </w:numPr>
        <w:spacing w:before="240"/>
        <w:rPr>
          <w:rFonts w:cs="Times New Roman"/>
          <w:szCs w:val="24"/>
        </w:rPr>
      </w:pPr>
      <w:r w:rsidRPr="00DD0D1F">
        <w:rPr>
          <w:rFonts w:cs="Times New Roman"/>
          <w:szCs w:val="24"/>
        </w:rPr>
        <w:t>GAZ YAKITLARIN YAKILMASINA İLİŞKİN MET</w:t>
      </w:r>
      <w:bookmarkEnd w:id="83"/>
    </w:p>
    <w:p w14:paraId="1402F8FE" w14:textId="760C34CC" w:rsidR="003328F9" w:rsidRPr="00DD0D1F" w:rsidRDefault="003328F9" w:rsidP="00FF111D">
      <w:pPr>
        <w:pStyle w:val="Balk2"/>
        <w:numPr>
          <w:ilvl w:val="1"/>
          <w:numId w:val="73"/>
        </w:numPr>
        <w:rPr>
          <w:rFonts w:cs="Times New Roman"/>
          <w:szCs w:val="24"/>
        </w:rPr>
      </w:pPr>
      <w:bookmarkStart w:id="84" w:name="_Toc137367323"/>
      <w:r w:rsidRPr="00DD0D1F">
        <w:rPr>
          <w:rFonts w:cs="Times New Roman"/>
          <w:szCs w:val="24"/>
        </w:rPr>
        <w:t>Doğalgazın yakılmasına ilişkin MET</w:t>
      </w:r>
      <w:bookmarkEnd w:id="84"/>
    </w:p>
    <w:p w14:paraId="5116EA9A" w14:textId="5358F688" w:rsidR="003328F9" w:rsidRPr="00DD0D1F" w:rsidRDefault="00A13BD5" w:rsidP="003328F9">
      <w:pPr>
        <w:spacing w:before="240"/>
        <w:rPr>
          <w:rFonts w:cs="Times New Roman"/>
          <w:szCs w:val="24"/>
          <w:lang w:val="nl-NL"/>
        </w:rPr>
      </w:pPr>
      <w:r>
        <w:rPr>
          <w:rFonts w:cs="Times New Roman"/>
          <w:szCs w:val="24"/>
        </w:rPr>
        <w:t>B</w:t>
      </w:r>
      <w:r w:rsidR="003328F9" w:rsidRPr="00DD0D1F">
        <w:rPr>
          <w:rFonts w:cs="Times New Roman"/>
          <w:szCs w:val="24"/>
        </w:rPr>
        <w:t xml:space="preserve">u </w:t>
      </w:r>
      <w:r>
        <w:rPr>
          <w:rFonts w:cs="Times New Roman"/>
          <w:szCs w:val="24"/>
        </w:rPr>
        <w:t>bölüm</w:t>
      </w:r>
      <w:r w:rsidR="003328F9" w:rsidRPr="00DD0D1F">
        <w:rPr>
          <w:rFonts w:cs="Times New Roman"/>
          <w:szCs w:val="24"/>
        </w:rPr>
        <w:t>de yer alan MET</w:t>
      </w:r>
      <w:r>
        <w:rPr>
          <w:rFonts w:cs="Times New Roman"/>
          <w:szCs w:val="24"/>
        </w:rPr>
        <w:t xml:space="preserve"> </w:t>
      </w:r>
      <w:r w:rsidR="003328F9" w:rsidRPr="00DD0D1F">
        <w:rPr>
          <w:rFonts w:cs="Times New Roman"/>
          <w:szCs w:val="24"/>
        </w:rPr>
        <w:t xml:space="preserve">genel olarak doğalgazın yakılması ile ilgilidir. </w:t>
      </w:r>
      <w:r w:rsidR="003328F9" w:rsidRPr="00DD0D1F">
        <w:rPr>
          <w:rFonts w:cs="Times New Roman"/>
          <w:szCs w:val="24"/>
          <w:lang w:val="nl-NL"/>
        </w:rPr>
        <w:t xml:space="preserve">Bu MET sonuçları, Başlık  1’de belirtilen genel MET sonuçlarına ek olarak geçerlidir. Bu </w:t>
      </w:r>
      <w:r>
        <w:rPr>
          <w:rFonts w:cs="Times New Roman"/>
          <w:szCs w:val="24"/>
          <w:lang w:val="nl-NL"/>
        </w:rPr>
        <w:t>bölüm</w:t>
      </w:r>
      <w:r w:rsidR="003328F9" w:rsidRPr="00DD0D1F">
        <w:rPr>
          <w:rFonts w:cs="Times New Roman"/>
          <w:szCs w:val="24"/>
          <w:lang w:val="nl-NL"/>
        </w:rPr>
        <w:t>de yer alan MET sonuçları açık deniz platformlarında bulunan yakma tesislerine uygulanmaz</w:t>
      </w:r>
      <w:r>
        <w:rPr>
          <w:rFonts w:cs="Times New Roman"/>
          <w:szCs w:val="24"/>
          <w:lang w:val="nl-NL"/>
        </w:rPr>
        <w:t>.</w:t>
      </w:r>
    </w:p>
    <w:p w14:paraId="773304C8" w14:textId="77777777" w:rsidR="003328F9" w:rsidRPr="00DD0D1F" w:rsidRDefault="003328F9" w:rsidP="00FF111D">
      <w:pPr>
        <w:pStyle w:val="Balk3"/>
        <w:numPr>
          <w:ilvl w:val="2"/>
          <w:numId w:val="73"/>
        </w:numPr>
        <w:rPr>
          <w:rFonts w:cs="Times New Roman"/>
        </w:rPr>
      </w:pPr>
      <w:bookmarkStart w:id="85" w:name="_Toc137367324"/>
      <w:r w:rsidRPr="00DD0D1F">
        <w:rPr>
          <w:rFonts w:cs="Times New Roman"/>
        </w:rPr>
        <w:t>Enerji Verimliliği</w:t>
      </w:r>
      <w:bookmarkEnd w:id="85"/>
    </w:p>
    <w:p w14:paraId="7B4B576D" w14:textId="453A4992" w:rsidR="003328F9" w:rsidRPr="00DD0D1F" w:rsidRDefault="003328F9" w:rsidP="003328F9">
      <w:pPr>
        <w:spacing w:before="240"/>
        <w:rPr>
          <w:rFonts w:cs="Times New Roman"/>
          <w:b/>
          <w:bCs/>
          <w:szCs w:val="24"/>
        </w:rPr>
      </w:pPr>
      <w:r w:rsidRPr="00DD0D1F">
        <w:rPr>
          <w:rFonts w:cs="Times New Roman"/>
          <w:b/>
          <w:bCs/>
          <w:szCs w:val="24"/>
        </w:rPr>
        <w:t>MET 40</w:t>
      </w:r>
      <w:bookmarkStart w:id="86" w:name="_Hlk137396660"/>
      <w:r w:rsidRPr="00DD0D1F">
        <w:rPr>
          <w:rFonts w:cs="Times New Roman"/>
          <w:b/>
          <w:bCs/>
          <w:szCs w:val="24"/>
        </w:rPr>
        <w:t xml:space="preserve">: </w:t>
      </w:r>
      <w:r w:rsidRPr="00DD0D1F">
        <w:rPr>
          <w:rFonts w:cs="Times New Roman"/>
          <w:bCs/>
          <w:szCs w:val="24"/>
        </w:rPr>
        <w:t>Doğalgazın yanmasının enerji verimliliğini arttırmak için, MET 12'de yer alan tekniklerin ve aşağıda verilen tekniklerin uygun bir birleşimi</w:t>
      </w:r>
      <w:r w:rsidR="00375E4F" w:rsidRPr="00DD0D1F">
        <w:rPr>
          <w:rFonts w:cs="Times New Roman"/>
          <w:bCs/>
          <w:szCs w:val="24"/>
        </w:rPr>
        <w:t xml:space="preserve"> kullanılır.</w:t>
      </w:r>
    </w:p>
    <w:bookmarkEnd w:id="86"/>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
        <w:gridCol w:w="1556"/>
        <w:gridCol w:w="2006"/>
        <w:gridCol w:w="5138"/>
      </w:tblGrid>
      <w:tr w:rsidR="003328F9" w:rsidRPr="00DD0D1F" w14:paraId="6757B514" w14:textId="77777777" w:rsidTr="003328F9">
        <w:trPr>
          <w:trHeight w:val="230"/>
        </w:trPr>
        <w:tc>
          <w:tcPr>
            <w:tcW w:w="208" w:type="pct"/>
            <w:tcBorders>
              <w:right w:val="single" w:sz="4" w:space="0" w:color="auto"/>
            </w:tcBorders>
          </w:tcPr>
          <w:p w14:paraId="1465EAA9" w14:textId="77777777" w:rsidR="003328F9" w:rsidRPr="00DD0D1F" w:rsidRDefault="003328F9" w:rsidP="003328F9">
            <w:pPr>
              <w:pStyle w:val="TableParagraph"/>
              <w:ind w:right="74"/>
              <w:jc w:val="center"/>
              <w:rPr>
                <w:b/>
                <w:szCs w:val="24"/>
              </w:rPr>
            </w:pPr>
          </w:p>
        </w:tc>
        <w:tc>
          <w:tcPr>
            <w:tcW w:w="857" w:type="pct"/>
            <w:tcBorders>
              <w:left w:val="single" w:sz="4" w:space="0" w:color="auto"/>
            </w:tcBorders>
          </w:tcPr>
          <w:p w14:paraId="24E804D3" w14:textId="77777777" w:rsidR="003328F9" w:rsidRPr="00DD0D1F" w:rsidRDefault="003328F9" w:rsidP="003328F9">
            <w:pPr>
              <w:pStyle w:val="TableParagraph"/>
              <w:ind w:left="74" w:right="74"/>
              <w:jc w:val="center"/>
              <w:rPr>
                <w:b/>
                <w:szCs w:val="24"/>
              </w:rPr>
            </w:pPr>
            <w:r w:rsidRPr="00DD0D1F">
              <w:rPr>
                <w:b/>
                <w:szCs w:val="24"/>
              </w:rPr>
              <w:t>Teknik</w:t>
            </w:r>
          </w:p>
        </w:tc>
        <w:tc>
          <w:tcPr>
            <w:tcW w:w="1105" w:type="pct"/>
          </w:tcPr>
          <w:p w14:paraId="740DEBAA" w14:textId="77777777" w:rsidR="003328F9" w:rsidRPr="00DD0D1F" w:rsidRDefault="003328F9" w:rsidP="003328F9">
            <w:pPr>
              <w:pStyle w:val="TableParagraph"/>
              <w:ind w:left="74" w:right="74"/>
              <w:jc w:val="center"/>
              <w:rPr>
                <w:b/>
                <w:szCs w:val="24"/>
              </w:rPr>
            </w:pPr>
            <w:r w:rsidRPr="00DD0D1F">
              <w:rPr>
                <w:b/>
                <w:szCs w:val="24"/>
              </w:rPr>
              <w:t>Açıklama</w:t>
            </w:r>
          </w:p>
        </w:tc>
        <w:tc>
          <w:tcPr>
            <w:tcW w:w="2830" w:type="pct"/>
          </w:tcPr>
          <w:p w14:paraId="5516D0DE" w14:textId="77777777" w:rsidR="003328F9" w:rsidRPr="00DD0D1F" w:rsidRDefault="003328F9" w:rsidP="003328F9">
            <w:pPr>
              <w:pStyle w:val="TableParagraph"/>
              <w:ind w:left="74" w:right="74" w:hanging="391"/>
              <w:jc w:val="center"/>
              <w:rPr>
                <w:b/>
                <w:szCs w:val="24"/>
              </w:rPr>
            </w:pPr>
            <w:r w:rsidRPr="00DD0D1F">
              <w:rPr>
                <w:b/>
                <w:szCs w:val="24"/>
              </w:rPr>
              <w:t>Uygulanabilirlik</w:t>
            </w:r>
          </w:p>
        </w:tc>
      </w:tr>
      <w:tr w:rsidR="003328F9" w:rsidRPr="00DD0D1F" w14:paraId="3936099F" w14:textId="77777777" w:rsidTr="003328F9">
        <w:trPr>
          <w:trHeight w:val="2529"/>
        </w:trPr>
        <w:tc>
          <w:tcPr>
            <w:tcW w:w="208" w:type="pct"/>
            <w:tcBorders>
              <w:right w:val="single" w:sz="4" w:space="0" w:color="auto"/>
            </w:tcBorders>
            <w:vAlign w:val="center"/>
          </w:tcPr>
          <w:p w14:paraId="2ACAB7B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a</w:t>
            </w:r>
          </w:p>
        </w:tc>
        <w:tc>
          <w:tcPr>
            <w:tcW w:w="857" w:type="pct"/>
            <w:tcBorders>
              <w:left w:val="single" w:sz="4" w:space="0" w:color="auto"/>
            </w:tcBorders>
            <w:vAlign w:val="center"/>
          </w:tcPr>
          <w:p w14:paraId="3DF63C66" w14:textId="77777777" w:rsidR="003328F9" w:rsidRPr="00DD0D1F" w:rsidRDefault="003328F9" w:rsidP="003328F9">
            <w:pPr>
              <w:adjustRightInd w:val="0"/>
              <w:spacing w:line="240" w:lineRule="auto"/>
              <w:ind w:left="74" w:right="74"/>
              <w:jc w:val="center"/>
              <w:rPr>
                <w:rFonts w:cs="Times New Roman"/>
                <w:szCs w:val="24"/>
                <w:lang w:val="tr-TR"/>
              </w:rPr>
            </w:pPr>
            <w:bookmarkStart w:id="87" w:name="_Hlk137396695"/>
            <w:r w:rsidRPr="00DD0D1F">
              <w:rPr>
                <w:rFonts w:cs="Times New Roman"/>
                <w:szCs w:val="24"/>
                <w:lang w:val="tr-TR"/>
              </w:rPr>
              <w:t>Kombine çevrim</w:t>
            </w:r>
            <w:bookmarkEnd w:id="87"/>
          </w:p>
        </w:tc>
        <w:tc>
          <w:tcPr>
            <w:tcW w:w="1105" w:type="pct"/>
            <w:vAlign w:val="center"/>
          </w:tcPr>
          <w:p w14:paraId="2A77DDE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Başlık  8.2’deki açıklamaya bakınız.</w:t>
            </w:r>
          </w:p>
        </w:tc>
        <w:tc>
          <w:tcPr>
            <w:tcW w:w="2830" w:type="pct"/>
          </w:tcPr>
          <w:p w14:paraId="538816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&lt;1500 saat/yıl olarak çalıştırıldığı durumlar dışında yeni gaz türbinleri ve motorlarında genel olarak uygulanabilir.</w:t>
            </w:r>
          </w:p>
          <w:p w14:paraId="26C94A7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 tasarımı ve alan müsaitliği ile ilişkili kısıtlamalar dahilinde mevcut gaz türbinleri ve gaz motorlarına uygulanabilir.</w:t>
            </w:r>
          </w:p>
          <w:p w14:paraId="133BB0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&lt;1500 saat/yıl çalıştırılan mevcut gaz türbinleri ve gaz motorlarına uygulanmaz. </w:t>
            </w:r>
          </w:p>
          <w:p w14:paraId="73DD81E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Geniş aralıkta yük varyasyonları olan ve sıklıkla devreye alınarak ve devre dışı bırakılarak kesikli modda çalışan mekanik tahrikli gaz türbinlerine uygulanmaz.</w:t>
            </w:r>
          </w:p>
          <w:p w14:paraId="13CCF7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Kazanlara uygulanmaz.</w:t>
            </w:r>
          </w:p>
        </w:tc>
      </w:tr>
    </w:tbl>
    <w:p w14:paraId="691BFB8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Doğalgazın yanmasına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2082"/>
        <w:gridCol w:w="1227"/>
        <w:gridCol w:w="1230"/>
        <w:gridCol w:w="2303"/>
        <w:gridCol w:w="1233"/>
        <w:gridCol w:w="1002"/>
      </w:tblGrid>
      <w:tr w:rsidR="003328F9" w:rsidRPr="00DD0D1F" w14:paraId="6EA890BC" w14:textId="77777777" w:rsidTr="003328F9">
        <w:trPr>
          <w:trHeight w:val="47"/>
        </w:trPr>
        <w:tc>
          <w:tcPr>
            <w:tcW w:w="1148" w:type="pct"/>
            <w:vMerge w:val="restart"/>
            <w:tcBorders>
              <w:top w:val="single" w:sz="4" w:space="0" w:color="auto"/>
              <w:left w:val="single" w:sz="4" w:space="0" w:color="auto"/>
              <w:right w:val="single" w:sz="6" w:space="0" w:color="auto"/>
            </w:tcBorders>
            <w:vAlign w:val="center"/>
          </w:tcPr>
          <w:p w14:paraId="718CE03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852" w:type="pct"/>
            <w:gridSpan w:val="5"/>
            <w:tcBorders>
              <w:top w:val="single" w:sz="4" w:space="0" w:color="auto"/>
              <w:left w:val="single" w:sz="6" w:space="0" w:color="auto"/>
              <w:bottom w:val="single" w:sz="6" w:space="0" w:color="auto"/>
              <w:right w:val="single" w:sz="4" w:space="0" w:color="auto"/>
            </w:tcBorders>
            <w:vAlign w:val="center"/>
          </w:tcPr>
          <w:p w14:paraId="4482F2C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6B7CDF9E" w14:textId="77777777" w:rsidTr="003328F9">
        <w:trPr>
          <w:trHeight w:val="88"/>
        </w:trPr>
        <w:tc>
          <w:tcPr>
            <w:tcW w:w="1148" w:type="pct"/>
            <w:vMerge/>
            <w:tcBorders>
              <w:left w:val="single" w:sz="4" w:space="0" w:color="auto"/>
              <w:right w:val="single" w:sz="6" w:space="0" w:color="auto"/>
            </w:tcBorders>
          </w:tcPr>
          <w:p w14:paraId="53C57156" w14:textId="77777777" w:rsidR="003328F9" w:rsidRPr="00DD0D1F" w:rsidRDefault="003328F9" w:rsidP="003328F9">
            <w:pPr>
              <w:adjustRightInd w:val="0"/>
              <w:spacing w:line="240" w:lineRule="auto"/>
              <w:ind w:left="74" w:right="74"/>
              <w:rPr>
                <w:rFonts w:cs="Times New Roman"/>
                <w:b/>
                <w:szCs w:val="24"/>
                <w:lang w:val="tr-TR"/>
              </w:rPr>
            </w:pPr>
          </w:p>
        </w:tc>
        <w:tc>
          <w:tcPr>
            <w:tcW w:w="1355" w:type="pct"/>
            <w:gridSpan w:val="2"/>
            <w:tcBorders>
              <w:top w:val="single" w:sz="6" w:space="0" w:color="auto"/>
              <w:left w:val="single" w:sz="6" w:space="0" w:color="auto"/>
              <w:bottom w:val="single" w:sz="6" w:space="0" w:color="auto"/>
              <w:right w:val="single" w:sz="6" w:space="0" w:color="auto"/>
            </w:tcBorders>
            <w:vAlign w:val="center"/>
          </w:tcPr>
          <w:p w14:paraId="5899BF9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269" w:type="pct"/>
            <w:vMerge w:val="restart"/>
            <w:tcBorders>
              <w:top w:val="single" w:sz="6" w:space="0" w:color="auto"/>
              <w:left w:val="single" w:sz="6" w:space="0" w:color="auto"/>
              <w:right w:val="single" w:sz="6" w:space="0" w:color="auto"/>
            </w:tcBorders>
            <w:vAlign w:val="center"/>
          </w:tcPr>
          <w:p w14:paraId="1D57EB6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p>
          <w:p w14:paraId="50EECFA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w:t>
            </w:r>
          </w:p>
          <w:p w14:paraId="74A1B99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B5AF52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mekanik enerji verimliliği (%) </w:t>
            </w: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3328F9" w:rsidRPr="00DD0D1F" w14:paraId="4778851F" w14:textId="77777777" w:rsidTr="003328F9">
        <w:trPr>
          <w:trHeight w:val="47"/>
        </w:trPr>
        <w:tc>
          <w:tcPr>
            <w:tcW w:w="1148" w:type="pct"/>
            <w:vMerge/>
            <w:tcBorders>
              <w:left w:val="single" w:sz="4" w:space="0" w:color="auto"/>
              <w:bottom w:val="single" w:sz="6" w:space="0" w:color="auto"/>
              <w:right w:val="single" w:sz="6" w:space="0" w:color="auto"/>
            </w:tcBorders>
          </w:tcPr>
          <w:p w14:paraId="309B9E9F" w14:textId="77777777" w:rsidR="003328F9" w:rsidRPr="00DD0D1F" w:rsidRDefault="003328F9" w:rsidP="003328F9">
            <w:pPr>
              <w:adjustRightInd w:val="0"/>
              <w:spacing w:line="240" w:lineRule="auto"/>
              <w:ind w:left="74" w:right="74"/>
              <w:rPr>
                <w:rFonts w:cs="Times New Roman"/>
                <w:b/>
                <w:szCs w:val="24"/>
                <w:lang w:val="tr-TR"/>
              </w:rPr>
            </w:pPr>
          </w:p>
        </w:tc>
        <w:tc>
          <w:tcPr>
            <w:tcW w:w="677" w:type="pct"/>
            <w:tcBorders>
              <w:top w:val="single" w:sz="6" w:space="0" w:color="auto"/>
              <w:left w:val="single" w:sz="6" w:space="0" w:color="auto"/>
              <w:bottom w:val="single" w:sz="6" w:space="0" w:color="auto"/>
              <w:right w:val="single" w:sz="6" w:space="0" w:color="auto"/>
            </w:tcBorders>
            <w:vAlign w:val="center"/>
          </w:tcPr>
          <w:p w14:paraId="5D20F4B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678" w:type="pct"/>
            <w:tcBorders>
              <w:top w:val="single" w:sz="6" w:space="0" w:color="auto"/>
              <w:left w:val="single" w:sz="6" w:space="0" w:color="auto"/>
              <w:bottom w:val="single" w:sz="6" w:space="0" w:color="auto"/>
              <w:right w:val="single" w:sz="6" w:space="0" w:color="auto"/>
            </w:tcBorders>
            <w:vAlign w:val="center"/>
          </w:tcPr>
          <w:p w14:paraId="545981E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1269" w:type="pct"/>
            <w:vMerge/>
            <w:tcBorders>
              <w:left w:val="single" w:sz="6" w:space="0" w:color="auto"/>
              <w:bottom w:val="single" w:sz="6" w:space="0" w:color="auto"/>
              <w:right w:val="single" w:sz="6" w:space="0" w:color="auto"/>
            </w:tcBorders>
            <w:vAlign w:val="center"/>
          </w:tcPr>
          <w:p w14:paraId="08D937D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680" w:type="pct"/>
            <w:tcBorders>
              <w:top w:val="single" w:sz="6" w:space="0" w:color="auto"/>
              <w:left w:val="single" w:sz="6" w:space="0" w:color="auto"/>
              <w:bottom w:val="single" w:sz="6" w:space="0" w:color="auto"/>
              <w:right w:val="single" w:sz="6" w:space="0" w:color="auto"/>
            </w:tcBorders>
            <w:vAlign w:val="center"/>
          </w:tcPr>
          <w:p w14:paraId="103FDA1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548" w:type="pct"/>
            <w:tcBorders>
              <w:top w:val="single" w:sz="6" w:space="0" w:color="auto"/>
              <w:left w:val="single" w:sz="6" w:space="0" w:color="auto"/>
              <w:bottom w:val="single" w:sz="6" w:space="0" w:color="auto"/>
              <w:right w:val="single" w:sz="4" w:space="0" w:color="auto"/>
            </w:tcBorders>
            <w:vAlign w:val="center"/>
          </w:tcPr>
          <w:p w14:paraId="7C9DA96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7860BE2F"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7597D2C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motoru</w:t>
            </w:r>
          </w:p>
        </w:tc>
        <w:tc>
          <w:tcPr>
            <w:tcW w:w="677" w:type="pct"/>
            <w:tcBorders>
              <w:top w:val="single" w:sz="6" w:space="0" w:color="auto"/>
              <w:left w:val="single" w:sz="6" w:space="0" w:color="auto"/>
              <w:bottom w:val="single" w:sz="6" w:space="0" w:color="auto"/>
              <w:right w:val="single" w:sz="6" w:space="0" w:color="auto"/>
            </w:tcBorders>
            <w:vAlign w:val="center"/>
          </w:tcPr>
          <w:p w14:paraId="5C7EC27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39,5-44 (</w:t>
            </w:r>
            <w:r w:rsidRPr="00DD0D1F">
              <w:rPr>
                <w:rFonts w:cs="Times New Roman"/>
                <w:szCs w:val="24"/>
                <w:vertAlign w:val="superscript"/>
                <w:lang w:val="tr-TR"/>
              </w:rPr>
              <w:t>6</w:t>
            </w:r>
            <w:r w:rsidRPr="00DD0D1F">
              <w:rPr>
                <w:rFonts w:cs="Times New Roman"/>
                <w:szCs w:val="24"/>
                <w:lang w:val="tr-TR"/>
              </w:rPr>
              <w:t>)</w:t>
            </w:r>
          </w:p>
        </w:tc>
        <w:tc>
          <w:tcPr>
            <w:tcW w:w="678" w:type="pct"/>
            <w:tcBorders>
              <w:top w:val="single" w:sz="6" w:space="0" w:color="auto"/>
              <w:left w:val="single" w:sz="6" w:space="0" w:color="auto"/>
              <w:bottom w:val="single" w:sz="6" w:space="0" w:color="auto"/>
              <w:right w:val="single" w:sz="6" w:space="0" w:color="auto"/>
            </w:tcBorders>
            <w:vAlign w:val="center"/>
          </w:tcPr>
          <w:p w14:paraId="05F707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35-44 (</w:t>
            </w:r>
            <w:r w:rsidRPr="00DD0D1F">
              <w:rPr>
                <w:rFonts w:cs="Times New Roman"/>
                <w:szCs w:val="24"/>
                <w:vertAlign w:val="superscript"/>
                <w:lang w:val="tr-TR"/>
              </w:rPr>
              <w:t>6</w:t>
            </w:r>
            <w:r w:rsidRPr="00DD0D1F">
              <w:rPr>
                <w:rFonts w:cs="Times New Roman"/>
                <w:szCs w:val="24"/>
                <w:lang w:val="tr-TR"/>
              </w:rPr>
              <w:t>)</w:t>
            </w:r>
          </w:p>
        </w:tc>
        <w:tc>
          <w:tcPr>
            <w:tcW w:w="1269" w:type="pct"/>
            <w:tcBorders>
              <w:top w:val="single" w:sz="6" w:space="0" w:color="auto"/>
              <w:left w:val="single" w:sz="6" w:space="0" w:color="auto"/>
              <w:bottom w:val="single" w:sz="6" w:space="0" w:color="auto"/>
              <w:right w:val="single" w:sz="6" w:space="0" w:color="auto"/>
            </w:tcBorders>
            <w:vAlign w:val="center"/>
          </w:tcPr>
          <w:p w14:paraId="70E7A32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56-85 (</w:t>
            </w:r>
            <w:r w:rsidRPr="00DD0D1F">
              <w:rPr>
                <w:rFonts w:cs="Times New Roman"/>
                <w:szCs w:val="24"/>
                <w:vertAlign w:val="superscript"/>
                <w:lang w:val="tr-TR"/>
              </w:rPr>
              <w:t>6</w:t>
            </w:r>
            <w:r w:rsidRPr="00DD0D1F">
              <w:rPr>
                <w:rFonts w:cs="Times New Roman"/>
                <w:szCs w:val="24"/>
                <w:lang w:val="tr-TR"/>
              </w:rPr>
              <w:t>)</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016AC6F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22A68C76"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326D0E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Gazla çalışan kazan</w:t>
            </w:r>
          </w:p>
        </w:tc>
        <w:tc>
          <w:tcPr>
            <w:tcW w:w="677" w:type="pct"/>
            <w:tcBorders>
              <w:top w:val="single" w:sz="6" w:space="0" w:color="auto"/>
              <w:left w:val="single" w:sz="6" w:space="0" w:color="auto"/>
              <w:bottom w:val="single" w:sz="6" w:space="0" w:color="auto"/>
              <w:right w:val="single" w:sz="6" w:space="0" w:color="auto"/>
            </w:tcBorders>
            <w:vAlign w:val="center"/>
          </w:tcPr>
          <w:p w14:paraId="1CE3920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39-42,5</w:t>
            </w:r>
          </w:p>
        </w:tc>
        <w:tc>
          <w:tcPr>
            <w:tcW w:w="678" w:type="pct"/>
            <w:tcBorders>
              <w:top w:val="single" w:sz="6" w:space="0" w:color="auto"/>
              <w:left w:val="single" w:sz="6" w:space="0" w:color="auto"/>
              <w:bottom w:val="single" w:sz="6" w:space="0" w:color="auto"/>
              <w:right w:val="single" w:sz="6" w:space="0" w:color="auto"/>
            </w:tcBorders>
            <w:vAlign w:val="center"/>
          </w:tcPr>
          <w:p w14:paraId="6165621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38-40</w:t>
            </w:r>
          </w:p>
        </w:tc>
        <w:tc>
          <w:tcPr>
            <w:tcW w:w="1269" w:type="pct"/>
            <w:tcBorders>
              <w:top w:val="single" w:sz="6" w:space="0" w:color="auto"/>
              <w:left w:val="single" w:sz="6" w:space="0" w:color="auto"/>
              <w:bottom w:val="single" w:sz="6" w:space="0" w:color="auto"/>
              <w:right w:val="single" w:sz="6" w:space="0" w:color="auto"/>
            </w:tcBorders>
            <w:vAlign w:val="center"/>
          </w:tcPr>
          <w:p w14:paraId="097106D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78-95</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5021257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7F311442"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6A6762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Açık çevrim gaz türbini, ≥50 MWth</w:t>
            </w:r>
          </w:p>
        </w:tc>
        <w:tc>
          <w:tcPr>
            <w:tcW w:w="677" w:type="pct"/>
            <w:tcBorders>
              <w:top w:val="single" w:sz="6" w:space="0" w:color="auto"/>
              <w:left w:val="single" w:sz="6" w:space="0" w:color="auto"/>
              <w:bottom w:val="single" w:sz="6" w:space="0" w:color="auto"/>
              <w:right w:val="single" w:sz="6" w:space="0" w:color="auto"/>
            </w:tcBorders>
            <w:vAlign w:val="center"/>
          </w:tcPr>
          <w:p w14:paraId="1B4D286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36-41,5</w:t>
            </w:r>
          </w:p>
        </w:tc>
        <w:tc>
          <w:tcPr>
            <w:tcW w:w="678" w:type="pct"/>
            <w:tcBorders>
              <w:top w:val="single" w:sz="6" w:space="0" w:color="auto"/>
              <w:left w:val="single" w:sz="6" w:space="0" w:color="auto"/>
              <w:bottom w:val="single" w:sz="6" w:space="0" w:color="auto"/>
              <w:right w:val="single" w:sz="6" w:space="0" w:color="auto"/>
            </w:tcBorders>
            <w:vAlign w:val="center"/>
          </w:tcPr>
          <w:p w14:paraId="7A13BC8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33-41,5</w:t>
            </w:r>
          </w:p>
        </w:tc>
        <w:tc>
          <w:tcPr>
            <w:tcW w:w="1269" w:type="pct"/>
            <w:tcBorders>
              <w:top w:val="single" w:sz="6" w:space="0" w:color="auto"/>
              <w:left w:val="single" w:sz="6" w:space="0" w:color="auto"/>
              <w:bottom w:val="single" w:sz="6" w:space="0" w:color="auto"/>
              <w:right w:val="single" w:sz="6" w:space="0" w:color="auto"/>
            </w:tcBorders>
            <w:vAlign w:val="center"/>
          </w:tcPr>
          <w:p w14:paraId="6233667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680" w:type="pct"/>
            <w:tcBorders>
              <w:top w:val="single" w:sz="6" w:space="0" w:color="auto"/>
              <w:left w:val="single" w:sz="6" w:space="0" w:color="auto"/>
              <w:bottom w:val="single" w:sz="6" w:space="0" w:color="auto"/>
              <w:right w:val="single" w:sz="6" w:space="0" w:color="auto"/>
            </w:tcBorders>
            <w:vAlign w:val="center"/>
          </w:tcPr>
          <w:p w14:paraId="68EF000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36,5-41</w:t>
            </w:r>
          </w:p>
        </w:tc>
        <w:tc>
          <w:tcPr>
            <w:tcW w:w="548" w:type="pct"/>
            <w:tcBorders>
              <w:top w:val="single" w:sz="6" w:space="0" w:color="auto"/>
              <w:left w:val="single" w:sz="6" w:space="0" w:color="auto"/>
              <w:bottom w:val="single" w:sz="6" w:space="0" w:color="auto"/>
              <w:right w:val="single" w:sz="4" w:space="0" w:color="auto"/>
            </w:tcBorders>
            <w:vAlign w:val="center"/>
          </w:tcPr>
          <w:p w14:paraId="33E1F99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33,5-41</w:t>
            </w:r>
          </w:p>
        </w:tc>
      </w:tr>
      <w:tr w:rsidR="003328F9" w:rsidRPr="00DD0D1F" w14:paraId="5A3F046D" w14:textId="77777777" w:rsidTr="003328F9">
        <w:trPr>
          <w:trHeight w:val="204"/>
        </w:trPr>
        <w:tc>
          <w:tcPr>
            <w:tcW w:w="5000" w:type="pct"/>
            <w:gridSpan w:val="6"/>
            <w:tcBorders>
              <w:top w:val="single" w:sz="6" w:space="0" w:color="auto"/>
              <w:left w:val="single" w:sz="4" w:space="0" w:color="auto"/>
              <w:bottom w:val="single" w:sz="6" w:space="0" w:color="auto"/>
              <w:right w:val="single" w:sz="4" w:space="0" w:color="auto"/>
            </w:tcBorders>
          </w:tcPr>
          <w:p w14:paraId="18E3123A"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Kombine çevrim gaz türbini (CCGT)</w:t>
            </w:r>
          </w:p>
        </w:tc>
      </w:tr>
      <w:tr w:rsidR="003328F9" w:rsidRPr="00DD0D1F" w14:paraId="00314106"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3E999CC5"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CCGT, 50-600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261FFCD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53-58,5</w:t>
            </w:r>
          </w:p>
        </w:tc>
        <w:tc>
          <w:tcPr>
            <w:tcW w:w="678" w:type="pct"/>
            <w:tcBorders>
              <w:top w:val="single" w:sz="6" w:space="0" w:color="auto"/>
              <w:left w:val="single" w:sz="6" w:space="0" w:color="auto"/>
              <w:bottom w:val="single" w:sz="6" w:space="0" w:color="auto"/>
              <w:right w:val="single" w:sz="6" w:space="0" w:color="auto"/>
            </w:tcBorders>
            <w:vAlign w:val="center"/>
          </w:tcPr>
          <w:p w14:paraId="3434BF8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46-54</w:t>
            </w:r>
          </w:p>
        </w:tc>
        <w:tc>
          <w:tcPr>
            <w:tcW w:w="1269" w:type="pct"/>
            <w:tcBorders>
              <w:top w:val="single" w:sz="6" w:space="0" w:color="auto"/>
              <w:left w:val="single" w:sz="6" w:space="0" w:color="auto"/>
              <w:bottom w:val="single" w:sz="6" w:space="0" w:color="auto"/>
              <w:right w:val="single" w:sz="6" w:space="0" w:color="auto"/>
            </w:tcBorders>
            <w:vAlign w:val="center"/>
          </w:tcPr>
          <w:p w14:paraId="66A50AB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6499ED4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3E411E54"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7C98306F"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CCGT, ≥600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7587077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57-60,5</w:t>
            </w:r>
          </w:p>
        </w:tc>
        <w:tc>
          <w:tcPr>
            <w:tcW w:w="678" w:type="pct"/>
            <w:tcBorders>
              <w:top w:val="single" w:sz="6" w:space="0" w:color="auto"/>
              <w:left w:val="single" w:sz="6" w:space="0" w:color="auto"/>
              <w:bottom w:val="single" w:sz="6" w:space="0" w:color="auto"/>
              <w:right w:val="single" w:sz="6" w:space="0" w:color="auto"/>
            </w:tcBorders>
            <w:vAlign w:val="center"/>
          </w:tcPr>
          <w:p w14:paraId="5835385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w:t>
            </w:r>
          </w:p>
        </w:tc>
        <w:tc>
          <w:tcPr>
            <w:tcW w:w="1269" w:type="pct"/>
            <w:tcBorders>
              <w:top w:val="single" w:sz="6" w:space="0" w:color="auto"/>
              <w:left w:val="single" w:sz="6" w:space="0" w:color="auto"/>
              <w:bottom w:val="single" w:sz="6" w:space="0" w:color="auto"/>
              <w:right w:val="single" w:sz="6" w:space="0" w:color="auto"/>
            </w:tcBorders>
            <w:vAlign w:val="center"/>
          </w:tcPr>
          <w:p w14:paraId="0CBE53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C8966F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0890E4C3"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63354053"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CHP CCGT, 50-600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0CF198C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53-58,5</w:t>
            </w:r>
          </w:p>
        </w:tc>
        <w:tc>
          <w:tcPr>
            <w:tcW w:w="678" w:type="pct"/>
            <w:tcBorders>
              <w:top w:val="single" w:sz="6" w:space="0" w:color="auto"/>
              <w:left w:val="single" w:sz="6" w:space="0" w:color="auto"/>
              <w:bottom w:val="single" w:sz="6" w:space="0" w:color="auto"/>
              <w:right w:val="single" w:sz="6" w:space="0" w:color="auto"/>
            </w:tcBorders>
            <w:vAlign w:val="center"/>
          </w:tcPr>
          <w:p w14:paraId="2B7DED7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46-54</w:t>
            </w:r>
          </w:p>
        </w:tc>
        <w:tc>
          <w:tcPr>
            <w:tcW w:w="1269" w:type="pct"/>
            <w:tcBorders>
              <w:top w:val="single" w:sz="6" w:space="0" w:color="auto"/>
              <w:left w:val="single" w:sz="6" w:space="0" w:color="auto"/>
              <w:bottom w:val="single" w:sz="6" w:space="0" w:color="auto"/>
              <w:right w:val="single" w:sz="6" w:space="0" w:color="auto"/>
            </w:tcBorders>
            <w:vAlign w:val="center"/>
          </w:tcPr>
          <w:p w14:paraId="190BE7C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65-95</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8C715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0B4AE61F"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39A4B9B9"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 xml:space="preserve">CHP CCGT, </w:t>
            </w:r>
            <w:r w:rsidRPr="00DD0D1F">
              <w:rPr>
                <w:rFonts w:cs="Times New Roman"/>
                <w:szCs w:val="24"/>
              </w:rPr>
              <w:t xml:space="preserve">≥ </w:t>
            </w:r>
            <w:r w:rsidRPr="00DD0D1F">
              <w:rPr>
                <w:rFonts w:cs="Times New Roman"/>
                <w:szCs w:val="24"/>
                <w:lang w:val="tr-TR"/>
              </w:rPr>
              <w:t>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7F75C07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57-60,5</w:t>
            </w:r>
          </w:p>
        </w:tc>
        <w:tc>
          <w:tcPr>
            <w:tcW w:w="678" w:type="pct"/>
            <w:tcBorders>
              <w:top w:val="single" w:sz="6" w:space="0" w:color="auto"/>
              <w:left w:val="single" w:sz="6" w:space="0" w:color="auto"/>
              <w:bottom w:val="single" w:sz="6" w:space="0" w:color="auto"/>
              <w:right w:val="single" w:sz="6" w:space="0" w:color="auto"/>
            </w:tcBorders>
            <w:vAlign w:val="center"/>
          </w:tcPr>
          <w:p w14:paraId="6365F31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w:t>
            </w:r>
          </w:p>
        </w:tc>
        <w:tc>
          <w:tcPr>
            <w:tcW w:w="1269" w:type="pct"/>
            <w:tcBorders>
              <w:top w:val="single" w:sz="6" w:space="0" w:color="auto"/>
              <w:left w:val="single" w:sz="6" w:space="0" w:color="auto"/>
              <w:bottom w:val="single" w:sz="6" w:space="0" w:color="auto"/>
              <w:right w:val="single" w:sz="6" w:space="0" w:color="auto"/>
            </w:tcBorders>
            <w:vAlign w:val="center"/>
          </w:tcPr>
          <w:p w14:paraId="592BB36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65-95</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C8EBF3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28B718AC" w14:textId="77777777" w:rsidTr="003328F9">
        <w:trPr>
          <w:trHeight w:val="274"/>
        </w:trPr>
        <w:tc>
          <w:tcPr>
            <w:tcW w:w="5000" w:type="pct"/>
            <w:gridSpan w:val="6"/>
            <w:tcBorders>
              <w:top w:val="single" w:sz="6" w:space="0" w:color="auto"/>
              <w:left w:val="single" w:sz="4" w:space="0" w:color="auto"/>
              <w:bottom w:val="single" w:sz="4" w:space="0" w:color="auto"/>
              <w:right w:val="single" w:sz="4" w:space="0" w:color="auto"/>
            </w:tcBorders>
          </w:tcPr>
          <w:p w14:paraId="536AE2D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çalıştırılan ünitelere uygulanmaz. </w:t>
            </w:r>
          </w:p>
          <w:p w14:paraId="468D390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(yani elektrik üretimine ya da ısı üretimi yönelik olandan biri)</w:t>
            </w:r>
          </w:p>
          <w:p w14:paraId="32D2BDF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Eğer potansiyel ısı talebi çok düşükse, net toplam yakıt kullanımına yönelik MET-İEVS'lere ulaşılamayabilir. </w:t>
            </w:r>
          </w:p>
          <w:p w14:paraId="59CE1AB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MET-İEVS'ler sadece elektrik üreten tesislere uygulanmaz.</w:t>
            </w:r>
          </w:p>
          <w:p w14:paraId="52E4FAC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Bu MET-İEVS'ler mekanik tahrik uygulamaları için kullanılan ünitelere uygulanır. </w:t>
            </w:r>
          </w:p>
          <w:p w14:paraId="3576C6D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190 mg/Nm</w:t>
            </w:r>
            <w:r w:rsidRPr="00DD0D1F">
              <w:rPr>
                <w:rFonts w:cs="Times New Roman"/>
                <w:szCs w:val="24"/>
                <w:vertAlign w:val="superscript"/>
                <w:lang w:val="tr-TR"/>
              </w:rPr>
              <w:t xml:space="preserve">3’ </w:t>
            </w:r>
            <w:r w:rsidRPr="00DD0D1F">
              <w:rPr>
                <w:rFonts w:cs="Times New Roman"/>
                <w:szCs w:val="24"/>
                <w:lang w:val="tr-TR"/>
              </w:rPr>
              <w:t>ün altında NO</w:t>
            </w:r>
            <w:r w:rsidRPr="00DD0D1F">
              <w:rPr>
                <w:rFonts w:cs="Times New Roman"/>
                <w:szCs w:val="24"/>
                <w:vertAlign w:val="subscript"/>
                <w:lang w:val="tr-TR"/>
              </w:rPr>
              <w:t>X</w:t>
            </w:r>
            <w:r w:rsidRPr="00DD0D1F">
              <w:rPr>
                <w:rFonts w:cs="Times New Roman"/>
                <w:szCs w:val="24"/>
                <w:lang w:val="tr-TR"/>
              </w:rPr>
              <w:t xml:space="preserve"> seviyelerine ulaşmak için ayarlanmış motorlarda bu seviyelere ulaşılması zor olabilir.</w:t>
            </w:r>
          </w:p>
        </w:tc>
      </w:tr>
    </w:tbl>
    <w:p w14:paraId="133A4DE9" w14:textId="77777777" w:rsidR="003328F9" w:rsidRPr="00DD0D1F" w:rsidRDefault="003328F9" w:rsidP="00FF111D">
      <w:pPr>
        <w:pStyle w:val="Balk3"/>
        <w:numPr>
          <w:ilvl w:val="2"/>
          <w:numId w:val="73"/>
        </w:numPr>
        <w:rPr>
          <w:rFonts w:cs="Times New Roman"/>
          <w:lang w:val="tr-TR"/>
        </w:rPr>
      </w:pPr>
      <w:bookmarkStart w:id="88" w:name="_Toc137367325"/>
      <w:r w:rsidRPr="00DD0D1F">
        <w:rPr>
          <w:rFonts w:cs="Times New Roman"/>
          <w:lang w:val="tr-TR"/>
        </w:rPr>
        <w:t>Havaya NO</w:t>
      </w:r>
      <w:r w:rsidRPr="00DD0D1F">
        <w:rPr>
          <w:rFonts w:cs="Times New Roman"/>
          <w:vertAlign w:val="subscript"/>
          <w:lang w:val="tr-TR"/>
        </w:rPr>
        <w:t>X</w:t>
      </w:r>
      <w:r w:rsidRPr="00DD0D1F">
        <w:rPr>
          <w:rFonts w:cs="Times New Roman"/>
          <w:lang w:val="tr-TR"/>
        </w:rPr>
        <w:t>, CO, NMVOC ve CH</w:t>
      </w:r>
      <w:r w:rsidRPr="00DD0D1F">
        <w:rPr>
          <w:rFonts w:cs="Times New Roman"/>
          <w:vertAlign w:val="subscript"/>
          <w:lang w:val="tr-TR"/>
        </w:rPr>
        <w:t>4</w:t>
      </w:r>
      <w:r w:rsidRPr="00DD0D1F">
        <w:rPr>
          <w:rFonts w:cs="Times New Roman"/>
          <w:lang w:val="tr-TR"/>
        </w:rPr>
        <w:t xml:space="preserve"> Emisyonları</w:t>
      </w:r>
      <w:bookmarkEnd w:id="88"/>
    </w:p>
    <w:p w14:paraId="3ECBABCD" w14:textId="54940BB4" w:rsidR="003328F9" w:rsidRPr="00DD0D1F" w:rsidRDefault="003328F9" w:rsidP="003328F9">
      <w:pPr>
        <w:spacing w:before="240"/>
        <w:rPr>
          <w:rFonts w:cs="Times New Roman"/>
          <w:b/>
          <w:bCs/>
          <w:szCs w:val="24"/>
          <w:lang w:val="tr-TR"/>
        </w:rPr>
      </w:pPr>
      <w:r w:rsidRPr="00DD0D1F">
        <w:rPr>
          <w:rFonts w:cs="Times New Roman"/>
          <w:b/>
          <w:bCs/>
          <w:szCs w:val="24"/>
          <w:lang w:val="tr-TR"/>
        </w:rPr>
        <w:t>MET 41</w:t>
      </w:r>
      <w:bookmarkStart w:id="89" w:name="_Hlk137396734"/>
      <w:r w:rsidRPr="00DD0D1F">
        <w:rPr>
          <w:rFonts w:cs="Times New Roman"/>
          <w:b/>
          <w:bCs/>
          <w:szCs w:val="24"/>
          <w:lang w:val="tr-TR"/>
        </w:rPr>
        <w:t xml:space="preserve">: </w:t>
      </w:r>
      <w:r w:rsidRPr="00DD0D1F">
        <w:rPr>
          <w:rFonts w:cs="Times New Roman"/>
          <w:bCs/>
          <w:szCs w:val="24"/>
          <w:lang w:val="tr-TR"/>
        </w:rPr>
        <w:t>Doğalgazın kazanlarda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w:t>
      </w:r>
      <w:r w:rsidR="00375E4F"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375E4F" w:rsidRPr="00DD0D1F">
        <w:rPr>
          <w:rFonts w:cs="Times New Roman"/>
          <w:bCs/>
          <w:szCs w:val="24"/>
          <w:lang w:val="tr-TR"/>
        </w:rPr>
        <w:t>ılır.</w:t>
      </w:r>
    </w:p>
    <w:bookmarkEnd w:id="89"/>
    <w:tbl>
      <w:tblPr>
        <w:tblW w:w="5000" w:type="pct"/>
        <w:tblCellMar>
          <w:left w:w="40" w:type="dxa"/>
          <w:right w:w="40" w:type="dxa"/>
        </w:tblCellMar>
        <w:tblLook w:val="0000" w:firstRow="0" w:lastRow="0" w:firstColumn="0" w:lastColumn="0" w:noHBand="0" w:noVBand="0"/>
      </w:tblPr>
      <w:tblGrid>
        <w:gridCol w:w="349"/>
        <w:gridCol w:w="2558"/>
        <w:gridCol w:w="2859"/>
        <w:gridCol w:w="3311"/>
      </w:tblGrid>
      <w:tr w:rsidR="003328F9" w:rsidRPr="00DD0D1F" w14:paraId="2723C2E2" w14:textId="77777777" w:rsidTr="003328F9">
        <w:trPr>
          <w:trHeight w:val="366"/>
          <w:tblHeader/>
        </w:trPr>
        <w:tc>
          <w:tcPr>
            <w:tcW w:w="192" w:type="pct"/>
            <w:tcBorders>
              <w:top w:val="single" w:sz="4" w:space="0" w:color="auto"/>
              <w:left w:val="single" w:sz="4" w:space="0" w:color="auto"/>
              <w:bottom w:val="single" w:sz="6" w:space="0" w:color="auto"/>
              <w:right w:val="single" w:sz="4" w:space="0" w:color="auto"/>
            </w:tcBorders>
            <w:vAlign w:val="center"/>
          </w:tcPr>
          <w:p w14:paraId="268AAE3E" w14:textId="77777777" w:rsidR="003328F9" w:rsidRPr="00DD0D1F" w:rsidRDefault="003328F9" w:rsidP="003328F9">
            <w:pPr>
              <w:adjustRightInd w:val="0"/>
              <w:spacing w:line="240" w:lineRule="auto"/>
              <w:ind w:right="74"/>
              <w:jc w:val="center"/>
              <w:rPr>
                <w:rFonts w:cs="Times New Roman"/>
                <w:b/>
                <w:szCs w:val="24"/>
                <w:lang w:val="tr-TR"/>
              </w:rPr>
            </w:pPr>
          </w:p>
        </w:tc>
        <w:tc>
          <w:tcPr>
            <w:tcW w:w="1409" w:type="pct"/>
            <w:tcBorders>
              <w:top w:val="single" w:sz="4" w:space="0" w:color="auto"/>
              <w:left w:val="single" w:sz="4" w:space="0" w:color="auto"/>
              <w:bottom w:val="single" w:sz="6" w:space="0" w:color="auto"/>
              <w:right w:val="single" w:sz="6" w:space="0" w:color="auto"/>
            </w:tcBorders>
            <w:vAlign w:val="center"/>
          </w:tcPr>
          <w:p w14:paraId="314B410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575" w:type="pct"/>
            <w:tcBorders>
              <w:top w:val="single" w:sz="4" w:space="0" w:color="auto"/>
              <w:left w:val="single" w:sz="6" w:space="0" w:color="auto"/>
              <w:bottom w:val="single" w:sz="6" w:space="0" w:color="auto"/>
              <w:right w:val="single" w:sz="6" w:space="0" w:color="auto"/>
            </w:tcBorders>
            <w:vAlign w:val="center"/>
          </w:tcPr>
          <w:p w14:paraId="2F0ADF2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24" w:type="pct"/>
            <w:tcBorders>
              <w:top w:val="single" w:sz="4" w:space="0" w:color="auto"/>
              <w:left w:val="single" w:sz="6" w:space="0" w:color="auto"/>
              <w:bottom w:val="single" w:sz="6" w:space="0" w:color="auto"/>
              <w:right w:val="single" w:sz="4" w:space="0" w:color="auto"/>
            </w:tcBorders>
            <w:vAlign w:val="center"/>
          </w:tcPr>
          <w:p w14:paraId="4F2059D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BBE1DE7" w14:textId="77777777" w:rsidTr="003328F9">
        <w:trPr>
          <w:trHeight w:val="229"/>
        </w:trPr>
        <w:tc>
          <w:tcPr>
            <w:tcW w:w="192" w:type="pct"/>
            <w:tcBorders>
              <w:top w:val="single" w:sz="6" w:space="0" w:color="auto"/>
              <w:left w:val="single" w:sz="4" w:space="0" w:color="auto"/>
              <w:bottom w:val="single" w:sz="6" w:space="0" w:color="auto"/>
              <w:right w:val="single" w:sz="4" w:space="0" w:color="auto"/>
            </w:tcBorders>
            <w:vAlign w:val="center"/>
          </w:tcPr>
          <w:p w14:paraId="21F824E8" w14:textId="77777777" w:rsidR="003328F9" w:rsidRPr="00DD0D1F" w:rsidRDefault="003328F9" w:rsidP="003328F9">
            <w:pPr>
              <w:adjustRightInd w:val="0"/>
              <w:spacing w:line="240" w:lineRule="auto"/>
              <w:ind w:left="74" w:right="74"/>
              <w:rPr>
                <w:rFonts w:cs="Times New Roman"/>
                <w:szCs w:val="24"/>
                <w:lang w:val="tr-TR"/>
              </w:rPr>
            </w:pPr>
            <w:bookmarkStart w:id="90" w:name="_Hlk137396748"/>
            <w:r w:rsidRPr="00DD0D1F">
              <w:rPr>
                <w:rFonts w:cs="Times New Roman"/>
                <w:szCs w:val="24"/>
                <w:lang w:val="tr-TR"/>
              </w:rPr>
              <w:t>a</w:t>
            </w:r>
          </w:p>
        </w:tc>
        <w:tc>
          <w:tcPr>
            <w:tcW w:w="1409" w:type="pct"/>
            <w:tcBorders>
              <w:top w:val="single" w:sz="6" w:space="0" w:color="auto"/>
              <w:left w:val="single" w:sz="4" w:space="0" w:color="auto"/>
              <w:bottom w:val="single" w:sz="6" w:space="0" w:color="auto"/>
              <w:right w:val="single" w:sz="6" w:space="0" w:color="auto"/>
            </w:tcBorders>
            <w:vAlign w:val="center"/>
          </w:tcPr>
          <w:p w14:paraId="47AC92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ve/veya yakıt besleme</w:t>
            </w:r>
          </w:p>
        </w:tc>
        <w:tc>
          <w:tcPr>
            <w:tcW w:w="1575" w:type="pct"/>
            <w:tcBorders>
              <w:top w:val="single" w:sz="6" w:space="0" w:color="auto"/>
              <w:left w:val="single" w:sz="6" w:space="0" w:color="auto"/>
              <w:bottom w:val="single" w:sz="6" w:space="0" w:color="auto"/>
              <w:right w:val="single" w:sz="6" w:space="0" w:color="auto"/>
            </w:tcBorders>
            <w:vAlign w:val="center"/>
          </w:tcPr>
          <w:p w14:paraId="4285B7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p w14:paraId="1ECEFA0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 çoğunlukla düşük NO</w:t>
            </w:r>
            <w:r w:rsidRPr="00DD0D1F">
              <w:rPr>
                <w:rFonts w:cs="Times New Roman"/>
                <w:szCs w:val="24"/>
                <w:vertAlign w:val="subscript"/>
                <w:lang w:val="tr-TR"/>
              </w:rPr>
              <w:t>X</w:t>
            </w:r>
            <w:r w:rsidRPr="00DD0D1F">
              <w:rPr>
                <w:rFonts w:cs="Times New Roman"/>
                <w:szCs w:val="24"/>
                <w:lang w:val="tr-TR"/>
              </w:rPr>
              <w:t xml:space="preserve"> seviyeli brülörler ile ilişkilidir.</w:t>
            </w:r>
          </w:p>
        </w:tc>
        <w:tc>
          <w:tcPr>
            <w:tcW w:w="1824" w:type="pct"/>
            <w:vMerge w:val="restart"/>
            <w:tcBorders>
              <w:top w:val="single" w:sz="6" w:space="0" w:color="auto"/>
              <w:left w:val="single" w:sz="6" w:space="0" w:color="auto"/>
              <w:right w:val="single" w:sz="4" w:space="0" w:color="auto"/>
            </w:tcBorders>
            <w:vAlign w:val="center"/>
          </w:tcPr>
          <w:p w14:paraId="055AA9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021BB36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FF3348D" w14:textId="77777777" w:rsidTr="003328F9">
        <w:trPr>
          <w:trHeight w:val="47"/>
        </w:trPr>
        <w:tc>
          <w:tcPr>
            <w:tcW w:w="192" w:type="pct"/>
            <w:tcBorders>
              <w:top w:val="single" w:sz="6" w:space="0" w:color="auto"/>
              <w:left w:val="single" w:sz="4" w:space="0" w:color="auto"/>
              <w:bottom w:val="single" w:sz="6" w:space="0" w:color="auto"/>
              <w:right w:val="single" w:sz="6" w:space="0" w:color="auto"/>
            </w:tcBorders>
            <w:vAlign w:val="center"/>
          </w:tcPr>
          <w:p w14:paraId="478E1C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09" w:type="pct"/>
            <w:tcBorders>
              <w:top w:val="single" w:sz="6" w:space="0" w:color="auto"/>
              <w:left w:val="single" w:sz="6" w:space="0" w:color="auto"/>
              <w:bottom w:val="single" w:sz="6" w:space="0" w:color="auto"/>
              <w:right w:val="single" w:sz="6" w:space="0" w:color="auto"/>
            </w:tcBorders>
            <w:vAlign w:val="center"/>
          </w:tcPr>
          <w:p w14:paraId="1E590C8C" w14:textId="0D9D480A"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p w14:paraId="31EA6B3F" w14:textId="385E8D21" w:rsidR="00375E4F" w:rsidRPr="00DD0D1F" w:rsidRDefault="00375E4F" w:rsidP="003328F9">
            <w:pPr>
              <w:adjustRightInd w:val="0"/>
              <w:spacing w:line="240" w:lineRule="auto"/>
              <w:ind w:left="74" w:right="74"/>
              <w:rPr>
                <w:rFonts w:cs="Times New Roman"/>
                <w:szCs w:val="24"/>
                <w:lang w:val="tr-TR"/>
              </w:rPr>
            </w:pPr>
          </w:p>
        </w:tc>
        <w:tc>
          <w:tcPr>
            <w:tcW w:w="1575" w:type="pct"/>
            <w:vMerge w:val="restart"/>
            <w:tcBorders>
              <w:top w:val="single" w:sz="6" w:space="0" w:color="auto"/>
              <w:left w:val="single" w:sz="6" w:space="0" w:color="auto"/>
              <w:right w:val="single" w:sz="6" w:space="0" w:color="auto"/>
            </w:tcBorders>
            <w:vAlign w:val="center"/>
          </w:tcPr>
          <w:p w14:paraId="09212C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58C070F0" w14:textId="77777777" w:rsidR="003328F9" w:rsidRPr="00DD0D1F" w:rsidRDefault="003328F9" w:rsidP="003328F9">
            <w:pPr>
              <w:adjustRightInd w:val="0"/>
              <w:spacing w:line="240" w:lineRule="auto"/>
              <w:ind w:left="74" w:right="74"/>
              <w:rPr>
                <w:rFonts w:cs="Times New Roman"/>
                <w:szCs w:val="24"/>
                <w:lang w:val="tr-TR"/>
              </w:rPr>
            </w:pPr>
          </w:p>
        </w:tc>
        <w:tc>
          <w:tcPr>
            <w:tcW w:w="1824" w:type="pct"/>
            <w:vMerge/>
            <w:tcBorders>
              <w:left w:val="single" w:sz="6" w:space="0" w:color="auto"/>
              <w:right w:val="single" w:sz="4" w:space="0" w:color="auto"/>
            </w:tcBorders>
            <w:vAlign w:val="center"/>
          </w:tcPr>
          <w:p w14:paraId="69B9976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7CDA749" w14:textId="77777777" w:rsidTr="003328F9">
        <w:trPr>
          <w:trHeight w:val="47"/>
        </w:trPr>
        <w:tc>
          <w:tcPr>
            <w:tcW w:w="192" w:type="pct"/>
            <w:tcBorders>
              <w:top w:val="single" w:sz="6" w:space="0" w:color="auto"/>
              <w:left w:val="single" w:sz="4" w:space="0" w:color="auto"/>
              <w:bottom w:val="single" w:sz="6" w:space="0" w:color="auto"/>
              <w:right w:val="single" w:sz="6" w:space="0" w:color="auto"/>
            </w:tcBorders>
            <w:vAlign w:val="center"/>
          </w:tcPr>
          <w:p w14:paraId="0033B3A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09" w:type="pct"/>
            <w:tcBorders>
              <w:top w:val="single" w:sz="6" w:space="0" w:color="auto"/>
              <w:left w:val="single" w:sz="6" w:space="0" w:color="auto"/>
              <w:bottom w:val="single" w:sz="6" w:space="0" w:color="auto"/>
              <w:right w:val="single" w:sz="6" w:space="0" w:color="auto"/>
            </w:tcBorders>
            <w:vAlign w:val="center"/>
          </w:tcPr>
          <w:p w14:paraId="7ECA761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p w14:paraId="5A80E55D" w14:textId="59431D5E" w:rsidR="00375E4F" w:rsidRPr="00DD0D1F" w:rsidRDefault="00375E4F" w:rsidP="003328F9">
            <w:pPr>
              <w:adjustRightInd w:val="0"/>
              <w:spacing w:line="240" w:lineRule="auto"/>
              <w:ind w:left="74" w:right="74"/>
              <w:rPr>
                <w:rFonts w:cs="Times New Roman"/>
                <w:szCs w:val="24"/>
                <w:lang w:val="tr-TR"/>
              </w:rPr>
            </w:pPr>
          </w:p>
        </w:tc>
        <w:tc>
          <w:tcPr>
            <w:tcW w:w="1575" w:type="pct"/>
            <w:vMerge/>
            <w:tcBorders>
              <w:left w:val="single" w:sz="6" w:space="0" w:color="auto"/>
              <w:bottom w:val="single" w:sz="6" w:space="0" w:color="auto"/>
              <w:right w:val="single" w:sz="6" w:space="0" w:color="auto"/>
            </w:tcBorders>
            <w:vAlign w:val="center"/>
          </w:tcPr>
          <w:p w14:paraId="1DEC01BF" w14:textId="77777777" w:rsidR="003328F9" w:rsidRPr="00DD0D1F" w:rsidRDefault="003328F9" w:rsidP="003328F9">
            <w:pPr>
              <w:adjustRightInd w:val="0"/>
              <w:spacing w:line="240" w:lineRule="auto"/>
              <w:ind w:left="74" w:right="74"/>
              <w:rPr>
                <w:rFonts w:cs="Times New Roman"/>
                <w:szCs w:val="24"/>
                <w:lang w:val="tr-TR"/>
              </w:rPr>
            </w:pPr>
          </w:p>
        </w:tc>
        <w:tc>
          <w:tcPr>
            <w:tcW w:w="1824" w:type="pct"/>
            <w:vMerge/>
            <w:tcBorders>
              <w:left w:val="single" w:sz="6" w:space="0" w:color="auto"/>
              <w:bottom w:val="single" w:sz="6" w:space="0" w:color="auto"/>
              <w:right w:val="single" w:sz="4" w:space="0" w:color="auto"/>
            </w:tcBorders>
            <w:vAlign w:val="center"/>
          </w:tcPr>
          <w:p w14:paraId="020BBFE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5A7A15D" w14:textId="77777777" w:rsidTr="003328F9">
        <w:trPr>
          <w:trHeight w:val="636"/>
        </w:trPr>
        <w:tc>
          <w:tcPr>
            <w:tcW w:w="192" w:type="pct"/>
            <w:tcBorders>
              <w:top w:val="single" w:sz="6" w:space="0" w:color="auto"/>
              <w:left w:val="single" w:sz="4" w:space="0" w:color="auto"/>
              <w:bottom w:val="single" w:sz="6" w:space="0" w:color="auto"/>
              <w:right w:val="single" w:sz="6" w:space="0" w:color="auto"/>
            </w:tcBorders>
            <w:vAlign w:val="center"/>
          </w:tcPr>
          <w:p w14:paraId="47974EF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09" w:type="pct"/>
            <w:tcBorders>
              <w:top w:val="single" w:sz="6" w:space="0" w:color="auto"/>
              <w:left w:val="single" w:sz="6" w:space="0" w:color="auto"/>
              <w:bottom w:val="single" w:sz="6" w:space="0" w:color="auto"/>
              <w:right w:val="single" w:sz="6" w:space="0" w:color="auto"/>
            </w:tcBorders>
            <w:vAlign w:val="center"/>
          </w:tcPr>
          <w:p w14:paraId="12BE755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575" w:type="pct"/>
            <w:tcBorders>
              <w:top w:val="single" w:sz="6" w:space="0" w:color="auto"/>
              <w:left w:val="single" w:sz="6" w:space="0" w:color="auto"/>
              <w:bottom w:val="single" w:sz="6" w:space="0" w:color="auto"/>
              <w:right w:val="single" w:sz="6" w:space="0" w:color="auto"/>
            </w:tcBorders>
            <w:vAlign w:val="center"/>
          </w:tcPr>
          <w:p w14:paraId="2FA74E6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4076FB04" w14:textId="472932DB" w:rsidR="00375E4F" w:rsidRPr="00DD0D1F" w:rsidRDefault="003328F9" w:rsidP="00375E4F">
            <w:pPr>
              <w:adjustRightInd w:val="0"/>
              <w:spacing w:line="240" w:lineRule="auto"/>
              <w:ind w:left="74" w:right="74"/>
              <w:rPr>
                <w:rFonts w:cs="Times New Roman"/>
                <w:szCs w:val="24"/>
                <w:lang w:val="tr-TR"/>
              </w:rPr>
            </w:pPr>
            <w:r w:rsidRPr="00DD0D1F">
              <w:rPr>
                <w:rFonts w:cs="Times New Roman"/>
                <w:szCs w:val="24"/>
                <w:lang w:val="tr-TR"/>
              </w:rPr>
              <w:t>Bu teknik genelde diğer tekniklerle birlikte kullanılır veya &lt;500 saat/yıl çalıştırılan yakma tesislerinde tek başına kullanılabilir.</w:t>
            </w:r>
          </w:p>
        </w:tc>
        <w:tc>
          <w:tcPr>
            <w:tcW w:w="1824" w:type="pct"/>
            <w:tcBorders>
              <w:top w:val="single" w:sz="6" w:space="0" w:color="auto"/>
              <w:left w:val="single" w:sz="6" w:space="0" w:color="auto"/>
              <w:bottom w:val="single" w:sz="6" w:space="0" w:color="auto"/>
              <w:right w:val="single" w:sz="4" w:space="0" w:color="auto"/>
            </w:tcBorders>
            <w:vAlign w:val="center"/>
          </w:tcPr>
          <w:p w14:paraId="2F8894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72B175A5" w14:textId="77777777" w:rsidTr="003328F9">
        <w:trPr>
          <w:trHeight w:val="230"/>
        </w:trPr>
        <w:tc>
          <w:tcPr>
            <w:tcW w:w="192" w:type="pct"/>
            <w:tcBorders>
              <w:top w:val="single" w:sz="6" w:space="0" w:color="auto"/>
              <w:left w:val="single" w:sz="4" w:space="0" w:color="auto"/>
              <w:bottom w:val="single" w:sz="6" w:space="0" w:color="auto"/>
              <w:right w:val="single" w:sz="6" w:space="0" w:color="auto"/>
            </w:tcBorders>
            <w:vAlign w:val="center"/>
          </w:tcPr>
          <w:p w14:paraId="2AE62B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09" w:type="pct"/>
            <w:tcBorders>
              <w:top w:val="single" w:sz="6" w:space="0" w:color="auto"/>
              <w:left w:val="single" w:sz="6" w:space="0" w:color="auto"/>
              <w:bottom w:val="single" w:sz="6" w:space="0" w:color="auto"/>
              <w:right w:val="single" w:sz="6" w:space="0" w:color="auto"/>
            </w:tcBorders>
            <w:vAlign w:val="center"/>
          </w:tcPr>
          <w:p w14:paraId="5B1CC8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havası sıcaklığının düşürülmesi</w:t>
            </w:r>
          </w:p>
        </w:tc>
        <w:tc>
          <w:tcPr>
            <w:tcW w:w="1575" w:type="pct"/>
            <w:vMerge w:val="restart"/>
            <w:tcBorders>
              <w:top w:val="single" w:sz="6" w:space="0" w:color="auto"/>
              <w:left w:val="single" w:sz="6" w:space="0" w:color="auto"/>
              <w:right w:val="single" w:sz="6" w:space="0" w:color="auto"/>
            </w:tcBorders>
            <w:vAlign w:val="center"/>
          </w:tcPr>
          <w:p w14:paraId="7A4DFA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1C83E320" w14:textId="77777777" w:rsidR="003328F9" w:rsidRPr="00DD0D1F" w:rsidRDefault="003328F9" w:rsidP="003328F9">
            <w:pPr>
              <w:adjustRightInd w:val="0"/>
              <w:spacing w:line="240" w:lineRule="auto"/>
              <w:ind w:left="74" w:right="74"/>
              <w:rPr>
                <w:rFonts w:cs="Times New Roman"/>
                <w:szCs w:val="24"/>
                <w:lang w:val="tr-TR"/>
              </w:rPr>
            </w:pPr>
          </w:p>
          <w:p w14:paraId="0AACF475" w14:textId="77777777" w:rsidR="003328F9" w:rsidRPr="00DD0D1F" w:rsidRDefault="003328F9" w:rsidP="003328F9">
            <w:pPr>
              <w:adjustRightInd w:val="0"/>
              <w:spacing w:line="240" w:lineRule="auto"/>
              <w:ind w:left="74" w:right="74"/>
              <w:rPr>
                <w:rFonts w:cs="Times New Roman"/>
                <w:szCs w:val="24"/>
                <w:lang w:val="tr-TR"/>
              </w:rPr>
            </w:pPr>
          </w:p>
          <w:p w14:paraId="282AD7F7"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0EABDF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proses ihtiyaçları ile ilişkili kısıtlamalar dahilinde uygulanabilir.</w:t>
            </w:r>
          </w:p>
        </w:tc>
      </w:tr>
      <w:tr w:rsidR="003328F9" w:rsidRPr="00DD0D1F" w14:paraId="790D3447" w14:textId="77777777" w:rsidTr="003328F9">
        <w:trPr>
          <w:trHeight w:val="922"/>
        </w:trPr>
        <w:tc>
          <w:tcPr>
            <w:tcW w:w="192" w:type="pct"/>
            <w:tcBorders>
              <w:top w:val="single" w:sz="6" w:space="0" w:color="auto"/>
              <w:left w:val="single" w:sz="4" w:space="0" w:color="auto"/>
              <w:bottom w:val="single" w:sz="6" w:space="0" w:color="auto"/>
              <w:right w:val="single" w:sz="6" w:space="0" w:color="auto"/>
            </w:tcBorders>
            <w:vAlign w:val="center"/>
          </w:tcPr>
          <w:p w14:paraId="1CFB2D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09" w:type="pct"/>
            <w:tcBorders>
              <w:top w:val="single" w:sz="6" w:space="0" w:color="auto"/>
              <w:left w:val="single" w:sz="6" w:space="0" w:color="auto"/>
              <w:bottom w:val="single" w:sz="6" w:space="0" w:color="auto"/>
              <w:right w:val="single" w:sz="6" w:space="0" w:color="auto"/>
            </w:tcBorders>
            <w:vAlign w:val="center"/>
          </w:tcPr>
          <w:p w14:paraId="6B1923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575" w:type="pct"/>
            <w:vMerge/>
            <w:tcBorders>
              <w:left w:val="single" w:sz="6" w:space="0" w:color="auto"/>
              <w:right w:val="single" w:sz="6" w:space="0" w:color="auto"/>
            </w:tcBorders>
            <w:vAlign w:val="center"/>
          </w:tcPr>
          <w:p w14:paraId="3E688D42"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4BFFF1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&lt;500 saat/yıl çalıştırılan yakma tesislerine uygulanmaz.</w:t>
            </w:r>
          </w:p>
          <w:p w14:paraId="34D20B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500 saat/yıl ila &lt;1500 saat/yıl çalıştırılan yakma tesislerinde uygulanabilirliği sınırlanabilir.</w:t>
            </w:r>
          </w:p>
        </w:tc>
      </w:tr>
      <w:tr w:rsidR="003328F9" w:rsidRPr="00DD0D1F" w14:paraId="60203C98" w14:textId="77777777" w:rsidTr="003328F9">
        <w:trPr>
          <w:trHeight w:val="823"/>
        </w:trPr>
        <w:tc>
          <w:tcPr>
            <w:tcW w:w="192" w:type="pct"/>
            <w:tcBorders>
              <w:top w:val="single" w:sz="6" w:space="0" w:color="auto"/>
              <w:left w:val="single" w:sz="4" w:space="0" w:color="auto"/>
              <w:bottom w:val="single" w:sz="4" w:space="0" w:color="auto"/>
              <w:right w:val="single" w:sz="6" w:space="0" w:color="auto"/>
            </w:tcBorders>
            <w:vAlign w:val="center"/>
          </w:tcPr>
          <w:p w14:paraId="0A9B864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09" w:type="pct"/>
            <w:tcBorders>
              <w:top w:val="single" w:sz="6" w:space="0" w:color="auto"/>
              <w:left w:val="single" w:sz="6" w:space="0" w:color="auto"/>
              <w:bottom w:val="single" w:sz="4" w:space="0" w:color="auto"/>
              <w:right w:val="single" w:sz="6" w:space="0" w:color="auto"/>
            </w:tcBorders>
            <w:vAlign w:val="center"/>
          </w:tcPr>
          <w:p w14:paraId="0B7AF6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575" w:type="pct"/>
            <w:vMerge/>
            <w:tcBorders>
              <w:left w:val="single" w:sz="6" w:space="0" w:color="auto"/>
              <w:bottom w:val="single" w:sz="4" w:space="0" w:color="auto"/>
              <w:right w:val="single" w:sz="6" w:space="0" w:color="auto"/>
            </w:tcBorders>
            <w:vAlign w:val="center"/>
          </w:tcPr>
          <w:p w14:paraId="0747139B"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4" w:space="0" w:color="auto"/>
              <w:right w:val="single" w:sz="4" w:space="0" w:color="auto"/>
            </w:tcBorders>
            <w:vAlign w:val="center"/>
          </w:tcPr>
          <w:p w14:paraId="4CC7E6E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BF2956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genel olarak uygulanmaz.</w:t>
            </w:r>
          </w:p>
          <w:p w14:paraId="145A1D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bookmarkEnd w:id="90"/>
    </w:tbl>
    <w:p w14:paraId="4FC17D17" w14:textId="77777777" w:rsidR="003328F9" w:rsidRPr="00DD0D1F" w:rsidRDefault="003328F9" w:rsidP="003328F9">
      <w:pPr>
        <w:spacing w:before="240"/>
        <w:rPr>
          <w:rFonts w:cs="Times New Roman"/>
          <w:b/>
          <w:bCs/>
          <w:szCs w:val="24"/>
          <w:lang w:val="tr-TR"/>
        </w:rPr>
      </w:pPr>
    </w:p>
    <w:p w14:paraId="4CE8CE72" w14:textId="39A11893" w:rsidR="003328F9" w:rsidRPr="00DD0D1F" w:rsidRDefault="003328F9" w:rsidP="003328F9">
      <w:pPr>
        <w:spacing w:before="240"/>
        <w:rPr>
          <w:rFonts w:cs="Times New Roman"/>
          <w:b/>
          <w:bCs/>
          <w:szCs w:val="24"/>
          <w:lang w:val="tr-TR"/>
        </w:rPr>
      </w:pPr>
      <w:r w:rsidRPr="00DD0D1F">
        <w:rPr>
          <w:rFonts w:cs="Times New Roman"/>
          <w:b/>
          <w:bCs/>
          <w:szCs w:val="24"/>
          <w:lang w:val="tr-TR"/>
        </w:rPr>
        <w:t>MET 42</w:t>
      </w:r>
      <w:bookmarkStart w:id="91" w:name="_Hlk137396840"/>
      <w:r w:rsidRPr="00DD0D1F">
        <w:rPr>
          <w:rFonts w:cs="Times New Roman"/>
          <w:b/>
          <w:bCs/>
          <w:szCs w:val="24"/>
          <w:lang w:val="tr-TR"/>
        </w:rPr>
        <w:t xml:space="preserve">: </w:t>
      </w:r>
      <w:r w:rsidRPr="00DD0D1F">
        <w:rPr>
          <w:rFonts w:cs="Times New Roman"/>
          <w:bCs/>
          <w:szCs w:val="24"/>
          <w:lang w:val="tr-TR"/>
        </w:rPr>
        <w:t>Doğalgazın gaz türbinlerinde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aşağıda verilen </w:t>
      </w:r>
      <w:r w:rsidR="00375E4F" w:rsidRPr="00DD0D1F">
        <w:rPr>
          <w:rFonts w:cs="Times New Roman"/>
          <w:bCs/>
          <w:szCs w:val="24"/>
          <w:lang w:val="tr-TR"/>
        </w:rPr>
        <w:t>tekniklerin biri veya bunların bir birleşimi</w:t>
      </w:r>
      <w:r w:rsidRPr="00DD0D1F">
        <w:rPr>
          <w:rFonts w:cs="Times New Roman"/>
          <w:bCs/>
          <w:szCs w:val="24"/>
          <w:lang w:val="tr-TR"/>
        </w:rPr>
        <w:t xml:space="preserve"> kullan</w:t>
      </w:r>
      <w:r w:rsidR="00375E4F" w:rsidRPr="00DD0D1F">
        <w:rPr>
          <w:rFonts w:cs="Times New Roman"/>
          <w:bCs/>
          <w:szCs w:val="24"/>
          <w:lang w:val="tr-TR"/>
        </w:rPr>
        <w:t>ılır.</w:t>
      </w:r>
    </w:p>
    <w:bookmarkEnd w:id="91"/>
    <w:tbl>
      <w:tblPr>
        <w:tblW w:w="5000" w:type="pct"/>
        <w:tblCellMar>
          <w:left w:w="40" w:type="dxa"/>
          <w:right w:w="40" w:type="dxa"/>
        </w:tblCellMar>
        <w:tblLook w:val="0000" w:firstRow="0" w:lastRow="0" w:firstColumn="0" w:lastColumn="0" w:noHBand="0" w:noVBand="0"/>
      </w:tblPr>
      <w:tblGrid>
        <w:gridCol w:w="350"/>
        <w:gridCol w:w="2099"/>
        <w:gridCol w:w="3240"/>
        <w:gridCol w:w="3388"/>
      </w:tblGrid>
      <w:tr w:rsidR="003328F9" w:rsidRPr="00DD0D1F" w14:paraId="1E767FC4" w14:textId="77777777" w:rsidTr="003328F9">
        <w:trPr>
          <w:trHeight w:val="47"/>
          <w:tblHeader/>
        </w:trPr>
        <w:tc>
          <w:tcPr>
            <w:tcW w:w="193" w:type="pct"/>
            <w:tcBorders>
              <w:top w:val="single" w:sz="4" w:space="0" w:color="auto"/>
              <w:left w:val="single" w:sz="4" w:space="0" w:color="auto"/>
              <w:bottom w:val="single" w:sz="6" w:space="0" w:color="auto"/>
              <w:right w:val="single" w:sz="4" w:space="0" w:color="auto"/>
            </w:tcBorders>
            <w:vAlign w:val="center"/>
          </w:tcPr>
          <w:p w14:paraId="1A44C541" w14:textId="77777777" w:rsidR="003328F9" w:rsidRPr="00DD0D1F" w:rsidRDefault="003328F9" w:rsidP="003328F9">
            <w:pPr>
              <w:adjustRightInd w:val="0"/>
              <w:spacing w:line="240" w:lineRule="auto"/>
              <w:ind w:right="74"/>
              <w:jc w:val="center"/>
              <w:rPr>
                <w:rFonts w:cs="Times New Roman"/>
                <w:b/>
                <w:szCs w:val="24"/>
                <w:lang w:val="tr-TR"/>
              </w:rPr>
            </w:pPr>
          </w:p>
        </w:tc>
        <w:tc>
          <w:tcPr>
            <w:tcW w:w="1156" w:type="pct"/>
            <w:tcBorders>
              <w:top w:val="single" w:sz="4" w:space="0" w:color="auto"/>
              <w:left w:val="single" w:sz="4" w:space="0" w:color="auto"/>
              <w:bottom w:val="single" w:sz="6" w:space="0" w:color="auto"/>
              <w:right w:val="single" w:sz="6" w:space="0" w:color="auto"/>
            </w:tcBorders>
            <w:vAlign w:val="center"/>
          </w:tcPr>
          <w:p w14:paraId="5B50204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785" w:type="pct"/>
            <w:tcBorders>
              <w:top w:val="single" w:sz="4" w:space="0" w:color="auto"/>
              <w:left w:val="single" w:sz="6" w:space="0" w:color="auto"/>
              <w:bottom w:val="single" w:sz="6" w:space="0" w:color="auto"/>
              <w:right w:val="single" w:sz="6" w:space="0" w:color="auto"/>
            </w:tcBorders>
            <w:vAlign w:val="center"/>
          </w:tcPr>
          <w:p w14:paraId="2BF369E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66" w:type="pct"/>
            <w:tcBorders>
              <w:top w:val="single" w:sz="4" w:space="0" w:color="auto"/>
              <w:left w:val="single" w:sz="6" w:space="0" w:color="auto"/>
              <w:bottom w:val="single" w:sz="6" w:space="0" w:color="auto"/>
              <w:right w:val="single" w:sz="4" w:space="0" w:color="auto"/>
            </w:tcBorders>
            <w:vAlign w:val="center"/>
          </w:tcPr>
          <w:p w14:paraId="3432DDD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FACE5A5" w14:textId="77777777" w:rsidTr="003328F9">
        <w:trPr>
          <w:trHeight w:val="953"/>
        </w:trPr>
        <w:tc>
          <w:tcPr>
            <w:tcW w:w="193" w:type="pct"/>
            <w:tcBorders>
              <w:top w:val="single" w:sz="6" w:space="0" w:color="auto"/>
              <w:left w:val="single" w:sz="4" w:space="0" w:color="auto"/>
              <w:bottom w:val="single" w:sz="6" w:space="0" w:color="auto"/>
              <w:right w:val="single" w:sz="4" w:space="0" w:color="auto"/>
            </w:tcBorders>
            <w:vAlign w:val="center"/>
          </w:tcPr>
          <w:p w14:paraId="43104E2E" w14:textId="77777777" w:rsidR="003328F9" w:rsidRPr="00DD0D1F" w:rsidRDefault="003328F9" w:rsidP="003328F9">
            <w:pPr>
              <w:adjustRightInd w:val="0"/>
              <w:spacing w:line="240" w:lineRule="auto"/>
              <w:ind w:left="74" w:right="74"/>
              <w:rPr>
                <w:rFonts w:cs="Times New Roman"/>
                <w:szCs w:val="24"/>
                <w:lang w:val="tr-TR"/>
              </w:rPr>
            </w:pPr>
            <w:bookmarkStart w:id="92" w:name="_Hlk137396854"/>
            <w:r w:rsidRPr="00DD0D1F">
              <w:rPr>
                <w:rFonts w:cs="Times New Roman"/>
                <w:szCs w:val="24"/>
                <w:lang w:val="tr-TR"/>
              </w:rPr>
              <w:t>a</w:t>
            </w:r>
          </w:p>
        </w:tc>
        <w:tc>
          <w:tcPr>
            <w:tcW w:w="1156" w:type="pct"/>
            <w:tcBorders>
              <w:top w:val="single" w:sz="6" w:space="0" w:color="auto"/>
              <w:left w:val="single" w:sz="4" w:space="0" w:color="auto"/>
              <w:bottom w:val="single" w:sz="6" w:space="0" w:color="auto"/>
              <w:right w:val="single" w:sz="6" w:space="0" w:color="auto"/>
            </w:tcBorders>
            <w:vAlign w:val="center"/>
          </w:tcPr>
          <w:p w14:paraId="63941B9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785" w:type="pct"/>
            <w:tcBorders>
              <w:top w:val="single" w:sz="6" w:space="0" w:color="auto"/>
              <w:left w:val="single" w:sz="6" w:space="0" w:color="auto"/>
              <w:bottom w:val="single" w:sz="6" w:space="0" w:color="auto"/>
              <w:right w:val="single" w:sz="6" w:space="0" w:color="auto"/>
            </w:tcBorders>
            <w:vAlign w:val="center"/>
          </w:tcPr>
          <w:p w14:paraId="1AF237EC" w14:textId="77777777" w:rsidR="00375E4F" w:rsidRPr="00DD0D1F" w:rsidRDefault="00375E4F" w:rsidP="003328F9">
            <w:pPr>
              <w:adjustRightInd w:val="0"/>
              <w:spacing w:line="240" w:lineRule="auto"/>
              <w:ind w:left="74" w:right="74"/>
              <w:rPr>
                <w:rFonts w:cs="Times New Roman"/>
                <w:szCs w:val="24"/>
                <w:lang w:val="tr-TR"/>
              </w:rPr>
            </w:pPr>
          </w:p>
          <w:p w14:paraId="43F36ABD" w14:textId="69FFF1F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798B246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genelde diğer tekniklerle birlikte kullanılır veya &lt;500 saat/yıldan olarak çalıştırılan yakma tesislerinde tek başına kullanılabilir.</w:t>
            </w:r>
          </w:p>
          <w:p w14:paraId="6C52AA4D" w14:textId="740B88C7" w:rsidR="00375E4F" w:rsidRPr="00DD0D1F" w:rsidRDefault="00375E4F"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6" w:space="0" w:color="auto"/>
              <w:right w:val="single" w:sz="4" w:space="0" w:color="auto"/>
            </w:tcBorders>
            <w:vAlign w:val="center"/>
          </w:tcPr>
          <w:p w14:paraId="3A5C3D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2ADF6D4B" w14:textId="77777777" w:rsidTr="003328F9">
        <w:trPr>
          <w:trHeight w:val="118"/>
        </w:trPr>
        <w:tc>
          <w:tcPr>
            <w:tcW w:w="193" w:type="pct"/>
            <w:tcBorders>
              <w:top w:val="single" w:sz="6" w:space="0" w:color="auto"/>
              <w:left w:val="single" w:sz="4" w:space="0" w:color="auto"/>
              <w:bottom w:val="single" w:sz="6" w:space="0" w:color="auto"/>
              <w:right w:val="single" w:sz="6" w:space="0" w:color="auto"/>
            </w:tcBorders>
            <w:vAlign w:val="center"/>
          </w:tcPr>
          <w:p w14:paraId="26F2D87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56" w:type="pct"/>
            <w:tcBorders>
              <w:top w:val="single" w:sz="6" w:space="0" w:color="auto"/>
              <w:left w:val="single" w:sz="6" w:space="0" w:color="auto"/>
              <w:bottom w:val="single" w:sz="6" w:space="0" w:color="auto"/>
              <w:right w:val="single" w:sz="6" w:space="0" w:color="auto"/>
            </w:tcBorders>
            <w:vAlign w:val="center"/>
          </w:tcPr>
          <w:p w14:paraId="6C2BA30F" w14:textId="77777777" w:rsidR="00375E4F" w:rsidRPr="00DD0D1F" w:rsidRDefault="00375E4F" w:rsidP="003328F9">
            <w:pPr>
              <w:adjustRightInd w:val="0"/>
              <w:spacing w:line="240" w:lineRule="auto"/>
              <w:ind w:left="74" w:right="74"/>
              <w:rPr>
                <w:rFonts w:cs="Times New Roman"/>
                <w:szCs w:val="24"/>
                <w:lang w:val="tr-TR"/>
              </w:rPr>
            </w:pPr>
          </w:p>
          <w:p w14:paraId="39955A1F" w14:textId="03DDB9C0"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p w14:paraId="4D67FC77" w14:textId="611B6C03" w:rsidR="00375E4F" w:rsidRPr="00DD0D1F" w:rsidRDefault="00375E4F" w:rsidP="00375E4F">
            <w:pPr>
              <w:adjustRightInd w:val="0"/>
              <w:spacing w:line="240" w:lineRule="auto"/>
              <w:ind w:right="74"/>
              <w:rPr>
                <w:rFonts w:cs="Times New Roman"/>
                <w:szCs w:val="24"/>
                <w:lang w:val="tr-TR"/>
              </w:rPr>
            </w:pPr>
          </w:p>
        </w:tc>
        <w:tc>
          <w:tcPr>
            <w:tcW w:w="1785" w:type="pct"/>
            <w:vMerge w:val="restart"/>
            <w:tcBorders>
              <w:top w:val="single" w:sz="6" w:space="0" w:color="auto"/>
              <w:left w:val="single" w:sz="6" w:space="0" w:color="auto"/>
              <w:right w:val="single" w:sz="6" w:space="0" w:color="auto"/>
            </w:tcBorders>
            <w:vAlign w:val="center"/>
          </w:tcPr>
          <w:p w14:paraId="21D6656C" w14:textId="567DCAB7" w:rsidR="00375E4F" w:rsidRPr="00DD0D1F" w:rsidRDefault="00375E4F" w:rsidP="003328F9">
            <w:pPr>
              <w:adjustRightInd w:val="0"/>
              <w:spacing w:line="240" w:lineRule="auto"/>
              <w:ind w:left="74" w:right="74"/>
              <w:rPr>
                <w:rFonts w:cs="Times New Roman"/>
                <w:szCs w:val="24"/>
                <w:lang w:val="tr-TR"/>
              </w:rPr>
            </w:pPr>
          </w:p>
          <w:p w14:paraId="32D6BB81" w14:textId="72E4025A" w:rsidR="00375E4F" w:rsidRPr="00DD0D1F" w:rsidRDefault="00375E4F" w:rsidP="003328F9">
            <w:pPr>
              <w:adjustRightInd w:val="0"/>
              <w:spacing w:line="240" w:lineRule="auto"/>
              <w:ind w:left="74" w:right="74"/>
              <w:rPr>
                <w:rFonts w:cs="Times New Roman"/>
                <w:szCs w:val="24"/>
                <w:lang w:val="tr-TR"/>
              </w:rPr>
            </w:pPr>
          </w:p>
          <w:p w14:paraId="303B2345" w14:textId="67C4C92F" w:rsidR="00375E4F" w:rsidRPr="00DD0D1F" w:rsidRDefault="00375E4F" w:rsidP="003328F9">
            <w:pPr>
              <w:adjustRightInd w:val="0"/>
              <w:spacing w:line="240" w:lineRule="auto"/>
              <w:ind w:left="74" w:right="74"/>
              <w:rPr>
                <w:rFonts w:cs="Times New Roman"/>
                <w:szCs w:val="24"/>
                <w:lang w:val="tr-TR"/>
              </w:rPr>
            </w:pPr>
          </w:p>
          <w:p w14:paraId="0366F5FB" w14:textId="1FF752DC" w:rsidR="00375E4F" w:rsidRPr="00DD0D1F" w:rsidRDefault="00375E4F" w:rsidP="003328F9">
            <w:pPr>
              <w:adjustRightInd w:val="0"/>
              <w:spacing w:line="240" w:lineRule="auto"/>
              <w:ind w:left="74" w:right="74"/>
              <w:rPr>
                <w:rFonts w:cs="Times New Roman"/>
                <w:szCs w:val="24"/>
                <w:lang w:val="tr-TR"/>
              </w:rPr>
            </w:pPr>
          </w:p>
          <w:p w14:paraId="6E328FFF" w14:textId="77777777" w:rsidR="00375E4F" w:rsidRPr="00DD0D1F" w:rsidRDefault="00375E4F" w:rsidP="003328F9">
            <w:pPr>
              <w:adjustRightInd w:val="0"/>
              <w:spacing w:line="240" w:lineRule="auto"/>
              <w:ind w:left="74" w:right="74"/>
              <w:rPr>
                <w:rFonts w:cs="Times New Roman"/>
                <w:szCs w:val="24"/>
                <w:lang w:val="tr-TR"/>
              </w:rPr>
            </w:pPr>
          </w:p>
          <w:p w14:paraId="294D3EE4" w14:textId="59580C2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73A55873" w14:textId="77777777" w:rsidR="003328F9" w:rsidRPr="00DD0D1F" w:rsidRDefault="003328F9" w:rsidP="003328F9">
            <w:pPr>
              <w:adjustRightInd w:val="0"/>
              <w:spacing w:line="240" w:lineRule="auto"/>
              <w:ind w:left="74" w:right="74"/>
              <w:rPr>
                <w:rFonts w:cs="Times New Roman"/>
                <w:szCs w:val="24"/>
                <w:lang w:val="tr-TR"/>
              </w:rPr>
            </w:pPr>
          </w:p>
          <w:p w14:paraId="7724A83D" w14:textId="77777777" w:rsidR="00375E4F" w:rsidRPr="00DD0D1F" w:rsidRDefault="00375E4F" w:rsidP="003328F9">
            <w:pPr>
              <w:adjustRightInd w:val="0"/>
              <w:spacing w:line="240" w:lineRule="auto"/>
              <w:ind w:left="74" w:right="74"/>
              <w:rPr>
                <w:rFonts w:cs="Times New Roman"/>
                <w:szCs w:val="24"/>
                <w:lang w:val="tr-TR"/>
              </w:rPr>
            </w:pPr>
          </w:p>
          <w:p w14:paraId="2C6AFED8" w14:textId="77777777" w:rsidR="00375E4F" w:rsidRPr="00DD0D1F" w:rsidRDefault="00375E4F" w:rsidP="003328F9">
            <w:pPr>
              <w:adjustRightInd w:val="0"/>
              <w:spacing w:line="240" w:lineRule="auto"/>
              <w:ind w:left="74" w:right="74"/>
              <w:rPr>
                <w:rFonts w:cs="Times New Roman"/>
                <w:szCs w:val="24"/>
                <w:lang w:val="tr-TR"/>
              </w:rPr>
            </w:pPr>
          </w:p>
          <w:p w14:paraId="10211117" w14:textId="77777777" w:rsidR="00375E4F" w:rsidRPr="00DD0D1F" w:rsidRDefault="00375E4F" w:rsidP="003328F9">
            <w:pPr>
              <w:adjustRightInd w:val="0"/>
              <w:spacing w:line="240" w:lineRule="auto"/>
              <w:ind w:left="74" w:right="74"/>
              <w:rPr>
                <w:rFonts w:cs="Times New Roman"/>
                <w:szCs w:val="24"/>
                <w:lang w:val="tr-TR"/>
              </w:rPr>
            </w:pPr>
          </w:p>
          <w:p w14:paraId="5AB46B1B" w14:textId="24CB0DD1" w:rsidR="00375E4F" w:rsidRPr="00DD0D1F" w:rsidRDefault="00375E4F" w:rsidP="003328F9">
            <w:pPr>
              <w:adjustRightInd w:val="0"/>
              <w:spacing w:line="240" w:lineRule="auto"/>
              <w:ind w:left="74" w:right="74"/>
              <w:rPr>
                <w:rFonts w:cs="Times New Roman"/>
                <w:szCs w:val="24"/>
                <w:lang w:val="tr-TR"/>
              </w:rPr>
            </w:pPr>
          </w:p>
          <w:p w14:paraId="1CDDDF39" w14:textId="77777777" w:rsidR="00375E4F" w:rsidRPr="00DD0D1F" w:rsidRDefault="00375E4F" w:rsidP="003328F9">
            <w:pPr>
              <w:adjustRightInd w:val="0"/>
              <w:spacing w:line="240" w:lineRule="auto"/>
              <w:ind w:left="74" w:right="74"/>
              <w:rPr>
                <w:rFonts w:cs="Times New Roman"/>
                <w:szCs w:val="24"/>
                <w:lang w:val="tr-TR"/>
              </w:rPr>
            </w:pPr>
          </w:p>
          <w:p w14:paraId="13728C9E" w14:textId="65AA8B71" w:rsidR="00375E4F" w:rsidRPr="00DD0D1F" w:rsidRDefault="00375E4F"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6" w:space="0" w:color="auto"/>
              <w:right w:val="single" w:sz="4" w:space="0" w:color="auto"/>
            </w:tcBorders>
            <w:vAlign w:val="center"/>
          </w:tcPr>
          <w:p w14:paraId="2C8950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2337E270" w14:textId="77777777" w:rsidTr="003328F9">
        <w:trPr>
          <w:trHeight w:val="583"/>
        </w:trPr>
        <w:tc>
          <w:tcPr>
            <w:tcW w:w="193" w:type="pct"/>
            <w:tcBorders>
              <w:top w:val="single" w:sz="6" w:space="0" w:color="auto"/>
              <w:left w:val="single" w:sz="4" w:space="0" w:color="auto"/>
              <w:bottom w:val="single" w:sz="6" w:space="0" w:color="auto"/>
              <w:right w:val="single" w:sz="6" w:space="0" w:color="auto"/>
            </w:tcBorders>
            <w:vAlign w:val="center"/>
          </w:tcPr>
          <w:p w14:paraId="5870AE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56" w:type="pct"/>
            <w:tcBorders>
              <w:top w:val="single" w:sz="6" w:space="0" w:color="auto"/>
              <w:left w:val="single" w:sz="6" w:space="0" w:color="auto"/>
              <w:bottom w:val="single" w:sz="6" w:space="0" w:color="auto"/>
              <w:right w:val="single" w:sz="6" w:space="0" w:color="auto"/>
            </w:tcBorders>
            <w:vAlign w:val="center"/>
          </w:tcPr>
          <w:p w14:paraId="75D830E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brülörler (DLN)</w:t>
            </w:r>
          </w:p>
        </w:tc>
        <w:tc>
          <w:tcPr>
            <w:tcW w:w="1785" w:type="pct"/>
            <w:vMerge/>
            <w:tcBorders>
              <w:left w:val="single" w:sz="6" w:space="0" w:color="auto"/>
              <w:bottom w:val="single" w:sz="6" w:space="0" w:color="auto"/>
              <w:right w:val="single" w:sz="6" w:space="0" w:color="auto"/>
            </w:tcBorders>
            <w:vAlign w:val="center"/>
          </w:tcPr>
          <w:p w14:paraId="01D8B4E3" w14:textId="77777777" w:rsidR="003328F9" w:rsidRPr="00DD0D1F" w:rsidRDefault="003328F9"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6" w:space="0" w:color="auto"/>
              <w:right w:val="single" w:sz="4" w:space="0" w:color="auto"/>
            </w:tcBorders>
            <w:vAlign w:val="center"/>
          </w:tcPr>
          <w:p w14:paraId="71A006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öngörülmediği durumlarda veya su/buhar ekleme sistemi bulunan turbinlerde uygulanabilirliği sınırlıdır.</w:t>
            </w:r>
          </w:p>
        </w:tc>
      </w:tr>
      <w:tr w:rsidR="003328F9" w:rsidRPr="00DD0D1F" w14:paraId="3F87A3B2" w14:textId="77777777" w:rsidTr="003328F9">
        <w:trPr>
          <w:trHeight w:val="583"/>
        </w:trPr>
        <w:tc>
          <w:tcPr>
            <w:tcW w:w="193" w:type="pct"/>
            <w:tcBorders>
              <w:top w:val="single" w:sz="6" w:space="0" w:color="auto"/>
              <w:left w:val="single" w:sz="4" w:space="0" w:color="auto"/>
              <w:bottom w:val="single" w:sz="6" w:space="0" w:color="auto"/>
              <w:right w:val="single" w:sz="6" w:space="0" w:color="auto"/>
            </w:tcBorders>
            <w:vAlign w:val="center"/>
          </w:tcPr>
          <w:p w14:paraId="31F6AFC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56" w:type="pct"/>
            <w:tcBorders>
              <w:top w:val="single" w:sz="6" w:space="0" w:color="auto"/>
              <w:left w:val="single" w:sz="6" w:space="0" w:color="auto"/>
              <w:bottom w:val="single" w:sz="6" w:space="0" w:color="auto"/>
              <w:right w:val="single" w:sz="6" w:space="0" w:color="auto"/>
            </w:tcBorders>
            <w:vAlign w:val="center"/>
          </w:tcPr>
          <w:p w14:paraId="5FC2AE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yüklü tasarım konsepti</w:t>
            </w:r>
          </w:p>
          <w:p w14:paraId="4AB4EC75" w14:textId="77777777" w:rsidR="003328F9" w:rsidRPr="00DD0D1F" w:rsidRDefault="003328F9" w:rsidP="003328F9">
            <w:pPr>
              <w:adjustRightInd w:val="0"/>
              <w:spacing w:line="240" w:lineRule="auto"/>
              <w:ind w:left="74" w:right="74"/>
              <w:rPr>
                <w:rFonts w:cs="Times New Roman"/>
                <w:szCs w:val="24"/>
                <w:lang w:val="tr-TR"/>
              </w:rPr>
            </w:pPr>
          </w:p>
        </w:tc>
        <w:tc>
          <w:tcPr>
            <w:tcW w:w="1785" w:type="pct"/>
            <w:tcBorders>
              <w:left w:val="single" w:sz="6" w:space="0" w:color="auto"/>
              <w:bottom w:val="single" w:sz="6" w:space="0" w:color="auto"/>
              <w:right w:val="single" w:sz="6" w:space="0" w:color="auto"/>
            </w:tcBorders>
            <w:vAlign w:val="center"/>
          </w:tcPr>
          <w:p w14:paraId="19E01FC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Enerji talebinde değişiklik olduğunda iyi yanma verimliliğini korumak için (örneğin giren hava akımı kontrol kapasitesini iyileştirerek veya yanma prosesini ayrışmış yanma kademelerine bölerek) proses kontrolünün ve ilgili ekipmanın uyarlanması</w:t>
            </w:r>
          </w:p>
        </w:tc>
        <w:tc>
          <w:tcPr>
            <w:tcW w:w="1866" w:type="pct"/>
            <w:tcBorders>
              <w:top w:val="single" w:sz="6" w:space="0" w:color="auto"/>
              <w:left w:val="single" w:sz="6" w:space="0" w:color="auto"/>
              <w:bottom w:val="single" w:sz="6" w:space="0" w:color="auto"/>
              <w:right w:val="single" w:sz="4" w:space="0" w:color="auto"/>
            </w:tcBorders>
            <w:vAlign w:val="center"/>
          </w:tcPr>
          <w:p w14:paraId="462F852F" w14:textId="77777777" w:rsidR="003328F9" w:rsidRPr="00DD0D1F" w:rsidRDefault="003328F9" w:rsidP="003328F9">
            <w:pPr>
              <w:adjustRightInd w:val="0"/>
              <w:spacing w:line="240" w:lineRule="auto"/>
              <w:ind w:left="74" w:right="74"/>
              <w:rPr>
                <w:rFonts w:cs="Times New Roman"/>
                <w:szCs w:val="24"/>
                <w:lang w:val="tr-TR"/>
              </w:rPr>
            </w:pPr>
          </w:p>
          <w:p w14:paraId="281533E4" w14:textId="77777777" w:rsidR="003328F9" w:rsidRPr="00DD0D1F" w:rsidRDefault="003328F9" w:rsidP="003328F9">
            <w:pPr>
              <w:adjustRightInd w:val="0"/>
              <w:spacing w:line="240" w:lineRule="auto"/>
              <w:ind w:left="74" w:right="74"/>
              <w:rPr>
                <w:rFonts w:cs="Times New Roman"/>
                <w:szCs w:val="24"/>
                <w:lang w:val="tr-TR"/>
              </w:rPr>
            </w:pPr>
          </w:p>
          <w:p w14:paraId="5074872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gaz türbin tasarımı ile sınırlanabilir.</w:t>
            </w:r>
          </w:p>
          <w:p w14:paraId="2172788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CA1C30E" w14:textId="77777777" w:rsidTr="003328F9">
        <w:trPr>
          <w:trHeight w:val="340"/>
        </w:trPr>
        <w:tc>
          <w:tcPr>
            <w:tcW w:w="193" w:type="pct"/>
            <w:tcBorders>
              <w:top w:val="single" w:sz="6" w:space="0" w:color="auto"/>
              <w:left w:val="single" w:sz="4" w:space="0" w:color="auto"/>
              <w:right w:val="single" w:sz="6" w:space="0" w:color="auto"/>
            </w:tcBorders>
            <w:vAlign w:val="center"/>
          </w:tcPr>
          <w:p w14:paraId="519FC1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56" w:type="pct"/>
            <w:tcBorders>
              <w:top w:val="single" w:sz="6" w:space="0" w:color="auto"/>
              <w:left w:val="single" w:sz="6" w:space="0" w:color="auto"/>
              <w:right w:val="single" w:sz="6" w:space="0" w:color="auto"/>
            </w:tcBorders>
            <w:vAlign w:val="center"/>
          </w:tcPr>
          <w:p w14:paraId="78D9A8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785" w:type="pct"/>
            <w:vMerge w:val="restart"/>
            <w:tcBorders>
              <w:top w:val="single" w:sz="6" w:space="0" w:color="auto"/>
              <w:left w:val="single" w:sz="6" w:space="0" w:color="auto"/>
              <w:right w:val="single" w:sz="6" w:space="0" w:color="auto"/>
            </w:tcBorders>
            <w:vAlign w:val="center"/>
          </w:tcPr>
          <w:p w14:paraId="511527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33A992D4" w14:textId="77777777" w:rsidR="003328F9" w:rsidRPr="00DD0D1F" w:rsidRDefault="003328F9" w:rsidP="003328F9">
            <w:pPr>
              <w:adjustRightInd w:val="0"/>
              <w:spacing w:line="240" w:lineRule="auto"/>
              <w:ind w:left="74" w:right="74"/>
              <w:rPr>
                <w:rFonts w:cs="Times New Roman"/>
                <w:szCs w:val="24"/>
                <w:lang w:val="tr-TR"/>
              </w:rPr>
            </w:pPr>
          </w:p>
          <w:p w14:paraId="0B729FCB" w14:textId="77777777" w:rsidR="003328F9" w:rsidRPr="00DD0D1F" w:rsidRDefault="003328F9"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right w:val="single" w:sz="4" w:space="0" w:color="auto"/>
            </w:tcBorders>
            <w:vAlign w:val="center"/>
          </w:tcPr>
          <w:p w14:paraId="4768DAE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Kombine çevrim gaz türbin (CCGT) yakma tesislerinde ısı geri kazanım buhar jeneratörlerine (HRSG'ler) yönelik ek ateşleme sistemine genel olarak uygulanabilir.</w:t>
            </w:r>
          </w:p>
        </w:tc>
      </w:tr>
      <w:tr w:rsidR="003328F9" w:rsidRPr="00DD0D1F" w14:paraId="2CB55BEB" w14:textId="77777777" w:rsidTr="003328F9">
        <w:trPr>
          <w:trHeight w:val="1473"/>
        </w:trPr>
        <w:tc>
          <w:tcPr>
            <w:tcW w:w="193" w:type="pct"/>
            <w:tcBorders>
              <w:top w:val="single" w:sz="6" w:space="0" w:color="auto"/>
              <w:left w:val="single" w:sz="4" w:space="0" w:color="auto"/>
              <w:bottom w:val="single" w:sz="4" w:space="0" w:color="auto"/>
              <w:right w:val="single" w:sz="6" w:space="0" w:color="auto"/>
            </w:tcBorders>
            <w:vAlign w:val="center"/>
          </w:tcPr>
          <w:p w14:paraId="04C4B7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156" w:type="pct"/>
            <w:tcBorders>
              <w:top w:val="single" w:sz="6" w:space="0" w:color="auto"/>
              <w:left w:val="single" w:sz="6" w:space="0" w:color="auto"/>
              <w:bottom w:val="single" w:sz="4" w:space="0" w:color="auto"/>
              <w:right w:val="single" w:sz="6" w:space="0" w:color="auto"/>
            </w:tcBorders>
            <w:vAlign w:val="center"/>
          </w:tcPr>
          <w:p w14:paraId="09BA7A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785" w:type="pct"/>
            <w:vMerge/>
            <w:tcBorders>
              <w:left w:val="single" w:sz="6" w:space="0" w:color="auto"/>
              <w:bottom w:val="single" w:sz="4" w:space="0" w:color="auto"/>
              <w:right w:val="single" w:sz="6" w:space="0" w:color="auto"/>
            </w:tcBorders>
            <w:vAlign w:val="center"/>
          </w:tcPr>
          <w:p w14:paraId="52077C12" w14:textId="77777777" w:rsidR="003328F9" w:rsidRPr="00DD0D1F" w:rsidRDefault="003328F9"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4" w:space="0" w:color="auto"/>
              <w:right w:val="single" w:sz="4" w:space="0" w:color="auto"/>
            </w:tcBorders>
            <w:vAlign w:val="center"/>
          </w:tcPr>
          <w:p w14:paraId="042FA2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328AE0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p w14:paraId="14DA20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p w14:paraId="0F222A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bl>
    <w:p w14:paraId="44941C9D" w14:textId="7B989AE0" w:rsidR="003328F9" w:rsidRPr="00DD0D1F" w:rsidRDefault="003328F9" w:rsidP="003328F9">
      <w:pPr>
        <w:tabs>
          <w:tab w:val="left" w:pos="2501"/>
        </w:tabs>
        <w:spacing w:before="240"/>
        <w:rPr>
          <w:rFonts w:cs="Times New Roman"/>
          <w:b/>
          <w:szCs w:val="24"/>
          <w:lang w:val="tr-TR"/>
        </w:rPr>
      </w:pPr>
      <w:bookmarkStart w:id="93" w:name="_Hlk137396873"/>
      <w:bookmarkEnd w:id="92"/>
      <w:r w:rsidRPr="00DD0D1F">
        <w:rPr>
          <w:rFonts w:cs="Times New Roman"/>
          <w:b/>
          <w:szCs w:val="24"/>
          <w:lang w:val="tr-TR"/>
        </w:rPr>
        <w:t xml:space="preserve">MET 43: </w:t>
      </w:r>
      <w:r w:rsidRPr="00DD0D1F">
        <w:rPr>
          <w:rFonts w:cs="Times New Roman"/>
          <w:szCs w:val="24"/>
          <w:lang w:val="tr-TR"/>
        </w:rPr>
        <w:t>Doğalgazın motorlarda yakılmasından kaynaklanan, havaya NO</w:t>
      </w:r>
      <w:r w:rsidRPr="00DD0D1F">
        <w:rPr>
          <w:rFonts w:cs="Times New Roman"/>
          <w:szCs w:val="24"/>
          <w:vertAlign w:val="subscript"/>
          <w:lang w:val="tr-TR"/>
        </w:rPr>
        <w:t>X</w:t>
      </w:r>
      <w:r w:rsidRPr="00DD0D1F">
        <w:rPr>
          <w:rFonts w:cs="Times New Roman"/>
          <w:szCs w:val="24"/>
          <w:lang w:val="tr-TR"/>
        </w:rPr>
        <w:t xml:space="preserve"> emisyonlarını önlemek veya düşürmek için, a</w:t>
      </w:r>
      <w:r w:rsidR="00375E4F" w:rsidRPr="00DD0D1F">
        <w:rPr>
          <w:rFonts w:cs="Times New Roman"/>
          <w:szCs w:val="24"/>
          <w:lang w:val="tr-TR"/>
        </w:rPr>
        <w:t>şağıda verilen tekniklerin biri veya bunların bir birleşimi</w:t>
      </w:r>
      <w:r w:rsidRPr="00DD0D1F">
        <w:rPr>
          <w:rFonts w:cs="Times New Roman"/>
          <w:szCs w:val="24"/>
          <w:lang w:val="tr-TR"/>
        </w:rPr>
        <w:t xml:space="preserve"> kullan</w:t>
      </w:r>
      <w:r w:rsidR="00375E4F" w:rsidRPr="00DD0D1F">
        <w:rPr>
          <w:rFonts w:cs="Times New Roman"/>
          <w:szCs w:val="24"/>
          <w:lang w:val="tr-TR"/>
        </w:rPr>
        <w:t>ılır.</w:t>
      </w:r>
      <w:bookmarkEnd w:id="93"/>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
        <w:gridCol w:w="2493"/>
        <w:gridCol w:w="3148"/>
        <w:gridCol w:w="3061"/>
      </w:tblGrid>
      <w:tr w:rsidR="003328F9" w:rsidRPr="00DD0D1F" w14:paraId="2B678F93" w14:textId="77777777" w:rsidTr="003328F9">
        <w:trPr>
          <w:trHeight w:val="230"/>
          <w:tblHeader/>
        </w:trPr>
        <w:tc>
          <w:tcPr>
            <w:tcW w:w="207" w:type="pct"/>
            <w:tcBorders>
              <w:right w:val="single" w:sz="4" w:space="0" w:color="auto"/>
            </w:tcBorders>
          </w:tcPr>
          <w:p w14:paraId="011A8F80" w14:textId="77777777" w:rsidR="003328F9" w:rsidRPr="00DD0D1F" w:rsidRDefault="003328F9" w:rsidP="003328F9">
            <w:pPr>
              <w:pStyle w:val="TableParagraph"/>
              <w:ind w:right="74"/>
              <w:jc w:val="center"/>
              <w:rPr>
                <w:b/>
                <w:szCs w:val="24"/>
              </w:rPr>
            </w:pPr>
          </w:p>
        </w:tc>
        <w:tc>
          <w:tcPr>
            <w:tcW w:w="1373" w:type="pct"/>
            <w:tcBorders>
              <w:left w:val="single" w:sz="4" w:space="0" w:color="auto"/>
            </w:tcBorders>
          </w:tcPr>
          <w:p w14:paraId="72FFDA85" w14:textId="77777777" w:rsidR="003328F9" w:rsidRPr="00DD0D1F" w:rsidRDefault="003328F9" w:rsidP="003328F9">
            <w:pPr>
              <w:pStyle w:val="TableParagraph"/>
              <w:ind w:left="74" w:right="74"/>
              <w:jc w:val="center"/>
              <w:rPr>
                <w:b/>
                <w:szCs w:val="24"/>
              </w:rPr>
            </w:pPr>
            <w:r w:rsidRPr="00DD0D1F">
              <w:rPr>
                <w:b/>
                <w:szCs w:val="24"/>
              </w:rPr>
              <w:t>Teknik</w:t>
            </w:r>
          </w:p>
        </w:tc>
        <w:tc>
          <w:tcPr>
            <w:tcW w:w="1734" w:type="pct"/>
          </w:tcPr>
          <w:p w14:paraId="5C6F02EC" w14:textId="77777777" w:rsidR="003328F9" w:rsidRPr="00DD0D1F" w:rsidRDefault="003328F9" w:rsidP="003328F9">
            <w:pPr>
              <w:pStyle w:val="TableParagraph"/>
              <w:ind w:left="74" w:right="74"/>
              <w:jc w:val="center"/>
              <w:rPr>
                <w:b/>
                <w:szCs w:val="24"/>
              </w:rPr>
            </w:pPr>
            <w:r w:rsidRPr="00DD0D1F">
              <w:rPr>
                <w:b/>
                <w:szCs w:val="24"/>
              </w:rPr>
              <w:t>Açıklama</w:t>
            </w:r>
          </w:p>
        </w:tc>
        <w:tc>
          <w:tcPr>
            <w:tcW w:w="1686" w:type="pct"/>
          </w:tcPr>
          <w:p w14:paraId="29CFFE9D"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3D7ED677" w14:textId="77777777" w:rsidTr="003328F9">
        <w:trPr>
          <w:trHeight w:val="113"/>
        </w:trPr>
        <w:tc>
          <w:tcPr>
            <w:tcW w:w="207" w:type="pct"/>
            <w:tcBorders>
              <w:top w:val="single" w:sz="6" w:space="0" w:color="auto"/>
              <w:left w:val="single" w:sz="4" w:space="0" w:color="auto"/>
              <w:bottom w:val="single" w:sz="6" w:space="0" w:color="auto"/>
              <w:right w:val="single" w:sz="4" w:space="0" w:color="auto"/>
            </w:tcBorders>
            <w:vAlign w:val="center"/>
          </w:tcPr>
          <w:p w14:paraId="3EFBB944" w14:textId="77777777" w:rsidR="003328F9" w:rsidRPr="00DD0D1F" w:rsidRDefault="003328F9" w:rsidP="003328F9">
            <w:pPr>
              <w:adjustRightInd w:val="0"/>
              <w:spacing w:line="240" w:lineRule="auto"/>
              <w:ind w:left="74" w:right="74"/>
              <w:rPr>
                <w:rFonts w:cs="Times New Roman"/>
                <w:szCs w:val="24"/>
                <w:lang w:val="tr-TR"/>
              </w:rPr>
            </w:pPr>
            <w:bookmarkStart w:id="94" w:name="_Hlk137396885"/>
          </w:p>
          <w:p w14:paraId="59FF4EC0" w14:textId="77777777" w:rsidR="003328F9" w:rsidRPr="00DD0D1F" w:rsidRDefault="003328F9" w:rsidP="003328F9">
            <w:pPr>
              <w:adjustRightInd w:val="0"/>
              <w:spacing w:line="240" w:lineRule="auto"/>
              <w:ind w:left="74" w:right="74"/>
              <w:rPr>
                <w:rFonts w:cs="Times New Roman"/>
                <w:szCs w:val="24"/>
                <w:lang w:val="tr-TR"/>
              </w:rPr>
            </w:pPr>
          </w:p>
          <w:p w14:paraId="327D0EE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73" w:type="pct"/>
            <w:tcBorders>
              <w:top w:val="single" w:sz="6" w:space="0" w:color="auto"/>
              <w:left w:val="single" w:sz="4" w:space="0" w:color="auto"/>
              <w:bottom w:val="single" w:sz="6" w:space="0" w:color="auto"/>
              <w:right w:val="single" w:sz="6" w:space="0" w:color="auto"/>
            </w:tcBorders>
            <w:vAlign w:val="center"/>
          </w:tcPr>
          <w:p w14:paraId="02B207D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734" w:type="pct"/>
            <w:tcBorders>
              <w:top w:val="single" w:sz="6" w:space="0" w:color="auto"/>
              <w:left w:val="single" w:sz="6" w:space="0" w:color="auto"/>
              <w:bottom w:val="single" w:sz="6" w:space="0" w:color="auto"/>
              <w:right w:val="single" w:sz="6" w:space="0" w:color="auto"/>
            </w:tcBorders>
            <w:vAlign w:val="center"/>
          </w:tcPr>
          <w:p w14:paraId="02E2AA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4CB2E4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genelde diğer tekniklerle birlikte kullanılır veya &lt;500 saat/yıldan az çalıştırılan yakma tesislerinde tek başına kullanılabilir.</w:t>
            </w:r>
          </w:p>
        </w:tc>
        <w:tc>
          <w:tcPr>
            <w:tcW w:w="1686" w:type="pct"/>
            <w:tcBorders>
              <w:top w:val="single" w:sz="6" w:space="0" w:color="auto"/>
              <w:left w:val="single" w:sz="6" w:space="0" w:color="auto"/>
              <w:bottom w:val="single" w:sz="6" w:space="0" w:color="auto"/>
              <w:right w:val="single" w:sz="4" w:space="0" w:color="auto"/>
            </w:tcBorders>
            <w:vAlign w:val="center"/>
          </w:tcPr>
          <w:p w14:paraId="05E501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55CDCFEF" w14:textId="77777777" w:rsidTr="003328F9">
        <w:trPr>
          <w:trHeight w:val="690"/>
        </w:trPr>
        <w:tc>
          <w:tcPr>
            <w:tcW w:w="207" w:type="pct"/>
            <w:tcBorders>
              <w:top w:val="single" w:sz="6" w:space="0" w:color="auto"/>
              <w:left w:val="single" w:sz="4" w:space="0" w:color="auto"/>
              <w:bottom w:val="single" w:sz="6" w:space="0" w:color="auto"/>
              <w:right w:val="single" w:sz="6" w:space="0" w:color="auto"/>
            </w:tcBorders>
            <w:vAlign w:val="center"/>
          </w:tcPr>
          <w:p w14:paraId="45F6740A" w14:textId="77777777" w:rsidR="003328F9" w:rsidRPr="00DD0D1F" w:rsidRDefault="003328F9" w:rsidP="003328F9">
            <w:pPr>
              <w:adjustRightInd w:val="0"/>
              <w:spacing w:line="240" w:lineRule="auto"/>
              <w:ind w:left="74" w:right="74"/>
              <w:rPr>
                <w:rFonts w:cs="Times New Roman"/>
                <w:szCs w:val="24"/>
                <w:lang w:val="tr-TR"/>
              </w:rPr>
            </w:pPr>
          </w:p>
          <w:p w14:paraId="1ACE713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73" w:type="pct"/>
            <w:tcBorders>
              <w:top w:val="single" w:sz="6" w:space="0" w:color="auto"/>
              <w:left w:val="single" w:sz="6" w:space="0" w:color="auto"/>
              <w:bottom w:val="single" w:sz="6" w:space="0" w:color="auto"/>
              <w:right w:val="single" w:sz="6" w:space="0" w:color="auto"/>
            </w:tcBorders>
            <w:vAlign w:val="center"/>
          </w:tcPr>
          <w:p w14:paraId="7CD8F1D6" w14:textId="77777777" w:rsidR="003328F9" w:rsidRPr="00DD0D1F" w:rsidRDefault="003328F9" w:rsidP="003328F9">
            <w:pPr>
              <w:adjustRightInd w:val="0"/>
              <w:spacing w:line="240" w:lineRule="auto"/>
              <w:ind w:left="74" w:right="74"/>
              <w:rPr>
                <w:rFonts w:cs="Times New Roman"/>
                <w:szCs w:val="24"/>
                <w:lang w:val="tr-TR"/>
              </w:rPr>
            </w:pPr>
          </w:p>
          <w:p w14:paraId="29C28FD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konsepti</w:t>
            </w:r>
          </w:p>
        </w:tc>
        <w:tc>
          <w:tcPr>
            <w:tcW w:w="1734" w:type="pct"/>
            <w:tcBorders>
              <w:top w:val="single" w:sz="6" w:space="0" w:color="auto"/>
              <w:left w:val="single" w:sz="6" w:space="0" w:color="auto"/>
              <w:bottom w:val="single" w:sz="6" w:space="0" w:color="auto"/>
              <w:right w:val="single" w:sz="6" w:space="0" w:color="auto"/>
            </w:tcBorders>
            <w:vAlign w:val="center"/>
          </w:tcPr>
          <w:p w14:paraId="2813D5C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1BFD54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SCR ile birlikte kullanılır.</w:t>
            </w:r>
          </w:p>
        </w:tc>
        <w:tc>
          <w:tcPr>
            <w:tcW w:w="1686" w:type="pct"/>
            <w:tcBorders>
              <w:top w:val="single" w:sz="6" w:space="0" w:color="auto"/>
              <w:left w:val="single" w:sz="6" w:space="0" w:color="auto"/>
              <w:bottom w:val="single" w:sz="6" w:space="0" w:color="auto"/>
              <w:right w:val="single" w:sz="4" w:space="0" w:color="auto"/>
            </w:tcBorders>
            <w:vAlign w:val="center"/>
          </w:tcPr>
          <w:p w14:paraId="60AC87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gazla çalışan yeni tesislere uygulanabilir.</w:t>
            </w:r>
          </w:p>
        </w:tc>
      </w:tr>
      <w:tr w:rsidR="003328F9" w:rsidRPr="00DD0D1F" w14:paraId="595C0E79" w14:textId="77777777" w:rsidTr="003328F9">
        <w:trPr>
          <w:trHeight w:val="457"/>
        </w:trPr>
        <w:tc>
          <w:tcPr>
            <w:tcW w:w="207" w:type="pct"/>
            <w:tcBorders>
              <w:top w:val="single" w:sz="6" w:space="0" w:color="auto"/>
              <w:left w:val="single" w:sz="4" w:space="0" w:color="auto"/>
              <w:bottom w:val="single" w:sz="6" w:space="0" w:color="auto"/>
              <w:right w:val="single" w:sz="6" w:space="0" w:color="auto"/>
            </w:tcBorders>
            <w:vAlign w:val="center"/>
          </w:tcPr>
          <w:p w14:paraId="53AEDF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73" w:type="pct"/>
            <w:tcBorders>
              <w:top w:val="single" w:sz="6" w:space="0" w:color="auto"/>
              <w:left w:val="single" w:sz="6" w:space="0" w:color="auto"/>
              <w:bottom w:val="single" w:sz="6" w:space="0" w:color="auto"/>
              <w:right w:val="single" w:sz="6" w:space="0" w:color="auto"/>
            </w:tcBorders>
            <w:vAlign w:val="center"/>
          </w:tcPr>
          <w:p w14:paraId="76B9D1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İleri zayıf yanma konsepti</w:t>
            </w:r>
          </w:p>
        </w:tc>
        <w:tc>
          <w:tcPr>
            <w:tcW w:w="1734" w:type="pct"/>
            <w:vMerge w:val="restart"/>
            <w:tcBorders>
              <w:top w:val="single" w:sz="6" w:space="0" w:color="auto"/>
              <w:left w:val="single" w:sz="6" w:space="0" w:color="auto"/>
              <w:bottom w:val="nil"/>
              <w:right w:val="single" w:sz="6" w:space="0" w:color="auto"/>
            </w:tcBorders>
            <w:vAlign w:val="center"/>
          </w:tcPr>
          <w:p w14:paraId="51AA32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686" w:type="pct"/>
            <w:tcBorders>
              <w:top w:val="single" w:sz="6" w:space="0" w:color="auto"/>
              <w:left w:val="single" w:sz="6" w:space="0" w:color="auto"/>
              <w:bottom w:val="single" w:sz="6" w:space="0" w:color="auto"/>
              <w:right w:val="single" w:sz="4" w:space="0" w:color="auto"/>
            </w:tcBorders>
            <w:vAlign w:val="center"/>
          </w:tcPr>
          <w:p w14:paraId="097144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buji ateşlemeli motorlara uygulanabilir.</w:t>
            </w:r>
          </w:p>
        </w:tc>
      </w:tr>
      <w:tr w:rsidR="003328F9" w:rsidRPr="00DD0D1F" w14:paraId="13F53DB4" w14:textId="77777777" w:rsidTr="003328F9">
        <w:trPr>
          <w:trHeight w:val="2301"/>
        </w:trPr>
        <w:tc>
          <w:tcPr>
            <w:tcW w:w="207" w:type="pct"/>
            <w:tcBorders>
              <w:top w:val="single" w:sz="6" w:space="0" w:color="auto"/>
              <w:left w:val="single" w:sz="4" w:space="0" w:color="auto"/>
              <w:bottom w:val="single" w:sz="4" w:space="0" w:color="auto"/>
              <w:right w:val="single" w:sz="6" w:space="0" w:color="auto"/>
            </w:tcBorders>
            <w:vAlign w:val="center"/>
          </w:tcPr>
          <w:p w14:paraId="3BA42D38" w14:textId="77777777" w:rsidR="003328F9" w:rsidRPr="00DD0D1F" w:rsidRDefault="003328F9" w:rsidP="003328F9">
            <w:pPr>
              <w:pStyle w:val="TableParagraph"/>
              <w:ind w:left="74" w:right="74"/>
              <w:jc w:val="both"/>
              <w:rPr>
                <w:szCs w:val="24"/>
              </w:rPr>
            </w:pPr>
            <w:r w:rsidRPr="00DD0D1F">
              <w:rPr>
                <w:szCs w:val="24"/>
              </w:rPr>
              <w:t>d</w:t>
            </w:r>
          </w:p>
        </w:tc>
        <w:tc>
          <w:tcPr>
            <w:tcW w:w="1373" w:type="pct"/>
            <w:tcBorders>
              <w:top w:val="single" w:sz="6" w:space="0" w:color="auto"/>
              <w:left w:val="single" w:sz="6" w:space="0" w:color="auto"/>
              <w:bottom w:val="single" w:sz="4" w:space="0" w:color="auto"/>
              <w:right w:val="single" w:sz="6" w:space="0" w:color="auto"/>
            </w:tcBorders>
            <w:vAlign w:val="center"/>
          </w:tcPr>
          <w:p w14:paraId="2467A173" w14:textId="77777777" w:rsidR="003328F9" w:rsidRPr="00DD0D1F" w:rsidRDefault="003328F9" w:rsidP="003328F9">
            <w:pPr>
              <w:pStyle w:val="TableParagraph"/>
              <w:ind w:left="74" w:right="74"/>
              <w:jc w:val="both"/>
              <w:rPr>
                <w:szCs w:val="24"/>
              </w:rPr>
            </w:pPr>
            <w:r w:rsidRPr="00DD0D1F">
              <w:rPr>
                <w:szCs w:val="24"/>
              </w:rPr>
              <w:t>Seçici katalitik indirgeme (SCR)</w:t>
            </w:r>
          </w:p>
        </w:tc>
        <w:tc>
          <w:tcPr>
            <w:tcW w:w="1734" w:type="pct"/>
            <w:vMerge/>
            <w:tcBorders>
              <w:top w:val="nil"/>
              <w:left w:val="single" w:sz="6" w:space="0" w:color="auto"/>
              <w:bottom w:val="single" w:sz="4" w:space="0" w:color="auto"/>
              <w:right w:val="single" w:sz="6" w:space="0" w:color="auto"/>
            </w:tcBorders>
            <w:vAlign w:val="center"/>
          </w:tcPr>
          <w:p w14:paraId="36A98608" w14:textId="77777777" w:rsidR="003328F9" w:rsidRPr="00DD0D1F" w:rsidRDefault="003328F9" w:rsidP="003328F9">
            <w:pPr>
              <w:spacing w:line="240" w:lineRule="auto"/>
              <w:ind w:left="74" w:right="74"/>
              <w:rPr>
                <w:rFonts w:cs="Times New Roman"/>
                <w:szCs w:val="24"/>
                <w:lang w:val="tr-TR"/>
              </w:rPr>
            </w:pPr>
          </w:p>
        </w:tc>
        <w:tc>
          <w:tcPr>
            <w:tcW w:w="1686" w:type="pct"/>
            <w:tcBorders>
              <w:top w:val="single" w:sz="6" w:space="0" w:color="auto"/>
              <w:left w:val="single" w:sz="6" w:space="0" w:color="auto"/>
              <w:bottom w:val="single" w:sz="4" w:space="0" w:color="auto"/>
              <w:right w:val="single" w:sz="4" w:space="0" w:color="auto"/>
            </w:tcBorders>
            <w:vAlign w:val="center"/>
          </w:tcPr>
          <w:p w14:paraId="20879E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p w14:paraId="0DE3D34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82DE69E" w14:textId="77777777" w:rsidR="003328F9" w:rsidRPr="00DD0D1F" w:rsidRDefault="003328F9" w:rsidP="003328F9">
            <w:pPr>
              <w:pStyle w:val="TableParagraph"/>
              <w:ind w:left="74" w:right="74"/>
              <w:jc w:val="both"/>
              <w:rPr>
                <w:szCs w:val="24"/>
              </w:rPr>
            </w:pPr>
            <w:r w:rsidRPr="00DD0D1F">
              <w:rPr>
                <w:szCs w:val="24"/>
              </w:rPr>
              <w:t>500 saat/yıl ila 1500 saat/yıl arası çalıştırılan mevcut yakma tesislerinin iyileştirilmesi için teknik ve ekonomik kısıtlamalar bulunabilir.</w:t>
            </w:r>
          </w:p>
        </w:tc>
      </w:tr>
    </w:tbl>
    <w:p w14:paraId="424CD112" w14:textId="79F9848A" w:rsidR="003328F9" w:rsidRPr="00DD0D1F" w:rsidRDefault="003328F9" w:rsidP="003328F9">
      <w:pPr>
        <w:tabs>
          <w:tab w:val="left" w:pos="2501"/>
        </w:tabs>
        <w:spacing w:before="240"/>
        <w:rPr>
          <w:rFonts w:cs="Times New Roman"/>
          <w:b/>
          <w:szCs w:val="24"/>
          <w:lang w:val="tr-TR"/>
        </w:rPr>
      </w:pPr>
      <w:bookmarkStart w:id="95" w:name="_Hlk137396913"/>
      <w:bookmarkEnd w:id="94"/>
      <w:r w:rsidRPr="00DD0D1F">
        <w:rPr>
          <w:rFonts w:cs="Times New Roman"/>
          <w:b/>
          <w:szCs w:val="24"/>
          <w:lang w:val="tr-TR"/>
        </w:rPr>
        <w:t xml:space="preserve">MET 44: </w:t>
      </w:r>
      <w:r w:rsidRPr="00DD0D1F">
        <w:rPr>
          <w:rFonts w:cs="Times New Roman"/>
          <w:szCs w:val="24"/>
          <w:lang w:val="tr-TR"/>
        </w:rPr>
        <w:t>Doğalgazın yakılmasından kaynaklanan, havaya CO emisyonlarını önlemek veya düşürm</w:t>
      </w:r>
      <w:r w:rsidR="00004F52" w:rsidRPr="00DD0D1F">
        <w:rPr>
          <w:rFonts w:cs="Times New Roman"/>
          <w:szCs w:val="24"/>
          <w:lang w:val="tr-TR"/>
        </w:rPr>
        <w:t>ek için, optimize edilmiş yanma sağlanır</w:t>
      </w:r>
      <w:r w:rsidRPr="00DD0D1F">
        <w:rPr>
          <w:rFonts w:cs="Times New Roman"/>
          <w:szCs w:val="24"/>
          <w:lang w:val="tr-TR"/>
        </w:rPr>
        <w:t xml:space="preserve"> ve/</w:t>
      </w:r>
      <w:r w:rsidR="00004F52" w:rsidRPr="00DD0D1F">
        <w:rPr>
          <w:rFonts w:cs="Times New Roman"/>
          <w:szCs w:val="24"/>
          <w:lang w:val="tr-TR"/>
        </w:rPr>
        <w:t xml:space="preserve">veya oksidasyon katalizörleri </w:t>
      </w:r>
      <w:r w:rsidRPr="00DD0D1F">
        <w:rPr>
          <w:rFonts w:cs="Times New Roman"/>
          <w:szCs w:val="24"/>
          <w:lang w:val="tr-TR"/>
        </w:rPr>
        <w:t>kullan</w:t>
      </w:r>
      <w:r w:rsidR="00004F52" w:rsidRPr="00DD0D1F">
        <w:rPr>
          <w:rFonts w:cs="Times New Roman"/>
          <w:szCs w:val="24"/>
          <w:lang w:val="tr-TR"/>
        </w:rPr>
        <w:t>ılır.</w:t>
      </w:r>
      <w:bookmarkEnd w:id="95"/>
    </w:p>
    <w:p w14:paraId="17FD7F9A" w14:textId="77777777" w:rsidR="003328F9" w:rsidRPr="00DD0D1F" w:rsidRDefault="003328F9" w:rsidP="003328F9">
      <w:pPr>
        <w:tabs>
          <w:tab w:val="left" w:pos="2501"/>
        </w:tabs>
        <w:spacing w:before="240"/>
        <w:rPr>
          <w:rFonts w:cs="Times New Roman"/>
          <w:bCs/>
          <w:szCs w:val="24"/>
          <w:lang w:val="tr-TR"/>
        </w:rPr>
      </w:pPr>
      <w:r w:rsidRPr="00DD0D1F">
        <w:rPr>
          <w:rFonts w:cs="Times New Roman"/>
          <w:bCs/>
          <w:szCs w:val="24"/>
          <w:lang w:val="tr-TR"/>
        </w:rPr>
        <w:t>Açıklama: Başlık 10.8.3’teki açıklamalara bakınız.</w:t>
      </w:r>
    </w:p>
    <w:p w14:paraId="7314E52C"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Doğalgazın türbinlerde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3437"/>
        <w:gridCol w:w="1868"/>
        <w:gridCol w:w="2031"/>
        <w:gridCol w:w="1741"/>
      </w:tblGrid>
      <w:tr w:rsidR="003328F9" w:rsidRPr="00DD0D1F" w14:paraId="3957BF48" w14:textId="77777777" w:rsidTr="003328F9">
        <w:trPr>
          <w:trHeight w:val="140"/>
          <w:tblHeader/>
        </w:trPr>
        <w:tc>
          <w:tcPr>
            <w:tcW w:w="1893" w:type="pct"/>
            <w:vMerge w:val="restart"/>
            <w:tcBorders>
              <w:top w:val="single" w:sz="4" w:space="0" w:color="auto"/>
              <w:left w:val="single" w:sz="4" w:space="0" w:color="auto"/>
              <w:right w:val="single" w:sz="6" w:space="0" w:color="auto"/>
            </w:tcBorders>
            <w:vAlign w:val="center"/>
          </w:tcPr>
          <w:p w14:paraId="03A8CBF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p w14:paraId="7DA56352" w14:textId="77777777" w:rsidR="003328F9" w:rsidRPr="00DD0D1F" w:rsidRDefault="003328F9" w:rsidP="003328F9">
            <w:pPr>
              <w:adjustRightInd w:val="0"/>
              <w:spacing w:line="240" w:lineRule="auto"/>
              <w:ind w:left="74" w:right="74"/>
              <w:rPr>
                <w:rFonts w:cs="Times New Roman"/>
                <w:b/>
                <w:szCs w:val="24"/>
                <w:lang w:val="tr-TR"/>
              </w:rPr>
            </w:pPr>
          </w:p>
        </w:tc>
        <w:tc>
          <w:tcPr>
            <w:tcW w:w="1029" w:type="pct"/>
            <w:vMerge w:val="restart"/>
            <w:tcBorders>
              <w:top w:val="single" w:sz="4" w:space="0" w:color="auto"/>
              <w:left w:val="single" w:sz="6" w:space="0" w:color="auto"/>
              <w:right w:val="single" w:sz="6" w:space="0" w:color="auto"/>
            </w:tcBorders>
            <w:vAlign w:val="center"/>
          </w:tcPr>
          <w:p w14:paraId="4CE0418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078" w:type="pct"/>
            <w:gridSpan w:val="2"/>
            <w:tcBorders>
              <w:top w:val="single" w:sz="4" w:space="0" w:color="auto"/>
              <w:left w:val="single" w:sz="6" w:space="0" w:color="auto"/>
              <w:bottom w:val="single" w:sz="6" w:space="0" w:color="auto"/>
              <w:right w:val="single" w:sz="4" w:space="0" w:color="auto"/>
            </w:tcBorders>
            <w:vAlign w:val="center"/>
          </w:tcPr>
          <w:p w14:paraId="523E413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0CFB1F2A" w14:textId="77777777" w:rsidTr="003328F9">
        <w:trPr>
          <w:trHeight w:val="48"/>
          <w:tblHeader/>
        </w:trPr>
        <w:tc>
          <w:tcPr>
            <w:tcW w:w="1893" w:type="pct"/>
            <w:vMerge/>
            <w:tcBorders>
              <w:left w:val="single" w:sz="4" w:space="0" w:color="auto"/>
              <w:bottom w:val="single" w:sz="6" w:space="0" w:color="auto"/>
              <w:right w:val="single" w:sz="6" w:space="0" w:color="auto"/>
            </w:tcBorders>
          </w:tcPr>
          <w:p w14:paraId="7651F5C2" w14:textId="77777777" w:rsidR="003328F9" w:rsidRPr="00DD0D1F" w:rsidRDefault="003328F9" w:rsidP="003328F9">
            <w:pPr>
              <w:adjustRightInd w:val="0"/>
              <w:spacing w:line="240" w:lineRule="auto"/>
              <w:ind w:left="74" w:right="74"/>
              <w:rPr>
                <w:rFonts w:cs="Times New Roman"/>
                <w:b/>
                <w:szCs w:val="24"/>
                <w:lang w:val="tr-TR"/>
              </w:rPr>
            </w:pPr>
          </w:p>
        </w:tc>
        <w:tc>
          <w:tcPr>
            <w:tcW w:w="1029" w:type="pct"/>
            <w:vMerge/>
            <w:tcBorders>
              <w:left w:val="single" w:sz="6" w:space="0" w:color="auto"/>
              <w:bottom w:val="single" w:sz="6" w:space="0" w:color="auto"/>
              <w:right w:val="single" w:sz="6" w:space="0" w:color="auto"/>
            </w:tcBorders>
            <w:vAlign w:val="center"/>
          </w:tcPr>
          <w:p w14:paraId="414E140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119" w:type="pct"/>
            <w:tcBorders>
              <w:top w:val="single" w:sz="6" w:space="0" w:color="auto"/>
              <w:left w:val="single" w:sz="6" w:space="0" w:color="auto"/>
              <w:bottom w:val="single" w:sz="6" w:space="0" w:color="auto"/>
              <w:right w:val="single" w:sz="6" w:space="0" w:color="auto"/>
            </w:tcBorders>
            <w:vAlign w:val="center"/>
          </w:tcPr>
          <w:p w14:paraId="6B642B3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Yıllık ortalama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w:t>
            </w:r>
          </w:p>
        </w:tc>
        <w:tc>
          <w:tcPr>
            <w:tcW w:w="959" w:type="pct"/>
            <w:tcBorders>
              <w:top w:val="single" w:sz="6" w:space="0" w:color="auto"/>
              <w:left w:val="single" w:sz="6" w:space="0" w:color="auto"/>
              <w:bottom w:val="single" w:sz="6" w:space="0" w:color="auto"/>
              <w:right w:val="single" w:sz="4" w:space="0" w:color="auto"/>
            </w:tcBorders>
            <w:vAlign w:val="center"/>
          </w:tcPr>
          <w:p w14:paraId="7CDB87F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7DEAF745" w14:textId="77777777" w:rsidTr="003328F9">
        <w:trPr>
          <w:trHeight w:val="48"/>
        </w:trPr>
        <w:tc>
          <w:tcPr>
            <w:tcW w:w="5000" w:type="pct"/>
            <w:gridSpan w:val="4"/>
            <w:tcBorders>
              <w:top w:val="single" w:sz="6" w:space="0" w:color="auto"/>
              <w:left w:val="single" w:sz="4" w:space="0" w:color="auto"/>
              <w:bottom w:val="single" w:sz="6" w:space="0" w:color="auto"/>
              <w:right w:val="single" w:sz="4" w:space="0" w:color="auto"/>
            </w:tcBorders>
          </w:tcPr>
          <w:p w14:paraId="18E7566B"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 xml:space="preserve">Açık çevrim gaz türbinleri (OCGT'ler)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6</w:t>
            </w:r>
            <w:r w:rsidRPr="00DD0D1F">
              <w:rPr>
                <w:rFonts w:cs="Times New Roman"/>
                <w:szCs w:val="24"/>
                <w:lang w:val="tr-TR"/>
              </w:rPr>
              <w:t>)</w:t>
            </w:r>
          </w:p>
        </w:tc>
      </w:tr>
      <w:tr w:rsidR="003328F9" w:rsidRPr="00DD0D1F" w14:paraId="2C28AE70" w14:textId="77777777" w:rsidTr="003328F9">
        <w:trPr>
          <w:trHeight w:val="48"/>
        </w:trPr>
        <w:tc>
          <w:tcPr>
            <w:tcW w:w="1893" w:type="pct"/>
            <w:tcBorders>
              <w:top w:val="single" w:sz="6" w:space="0" w:color="auto"/>
              <w:left w:val="single" w:sz="4" w:space="0" w:color="auto"/>
              <w:bottom w:val="single" w:sz="6" w:space="0" w:color="auto"/>
              <w:right w:val="single" w:sz="6" w:space="0" w:color="auto"/>
            </w:tcBorders>
          </w:tcPr>
          <w:p w14:paraId="3A1D1F4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OCGT</w:t>
            </w:r>
          </w:p>
        </w:tc>
        <w:tc>
          <w:tcPr>
            <w:tcW w:w="1029" w:type="pct"/>
            <w:tcBorders>
              <w:top w:val="single" w:sz="6" w:space="0" w:color="auto"/>
              <w:left w:val="single" w:sz="6" w:space="0" w:color="auto"/>
              <w:bottom w:val="single" w:sz="6" w:space="0" w:color="auto"/>
              <w:right w:val="single" w:sz="6" w:space="0" w:color="auto"/>
            </w:tcBorders>
            <w:vAlign w:val="center"/>
          </w:tcPr>
          <w:p w14:paraId="0A46DC5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5B7EAEE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15-35</w:t>
            </w:r>
          </w:p>
        </w:tc>
        <w:tc>
          <w:tcPr>
            <w:tcW w:w="959" w:type="pct"/>
            <w:tcBorders>
              <w:top w:val="single" w:sz="6" w:space="0" w:color="auto"/>
              <w:left w:val="single" w:sz="6" w:space="0" w:color="auto"/>
              <w:bottom w:val="single" w:sz="6" w:space="0" w:color="auto"/>
              <w:right w:val="single" w:sz="4" w:space="0" w:color="auto"/>
            </w:tcBorders>
            <w:vAlign w:val="center"/>
          </w:tcPr>
          <w:p w14:paraId="26086C1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25-50</w:t>
            </w:r>
          </w:p>
        </w:tc>
      </w:tr>
      <w:tr w:rsidR="003328F9" w:rsidRPr="00DD0D1F" w14:paraId="22A218E3" w14:textId="77777777" w:rsidTr="003328F9">
        <w:trPr>
          <w:trHeight w:val="604"/>
        </w:trPr>
        <w:tc>
          <w:tcPr>
            <w:tcW w:w="1893" w:type="pct"/>
            <w:tcBorders>
              <w:top w:val="single" w:sz="6" w:space="0" w:color="auto"/>
              <w:left w:val="single" w:sz="4" w:space="0" w:color="auto"/>
              <w:bottom w:val="single" w:sz="6" w:space="0" w:color="auto"/>
              <w:right w:val="single" w:sz="6" w:space="0" w:color="auto"/>
            </w:tcBorders>
          </w:tcPr>
          <w:p w14:paraId="2FB8DBF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OCGT (mekanik tahrik uygulamaları için türbinler hariç) (&lt;500 saat/yıl çalıştırılan tesisler dışında hepsi)</w:t>
            </w:r>
          </w:p>
        </w:tc>
        <w:tc>
          <w:tcPr>
            <w:tcW w:w="1029" w:type="pct"/>
            <w:tcBorders>
              <w:top w:val="single" w:sz="6" w:space="0" w:color="auto"/>
              <w:left w:val="single" w:sz="6" w:space="0" w:color="auto"/>
              <w:bottom w:val="single" w:sz="6" w:space="0" w:color="auto"/>
              <w:right w:val="single" w:sz="6" w:space="0" w:color="auto"/>
            </w:tcBorders>
            <w:vAlign w:val="center"/>
          </w:tcPr>
          <w:p w14:paraId="61DBBEC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463240D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15-50</w:t>
            </w:r>
          </w:p>
        </w:tc>
        <w:tc>
          <w:tcPr>
            <w:tcW w:w="959" w:type="pct"/>
            <w:tcBorders>
              <w:top w:val="single" w:sz="6" w:space="0" w:color="auto"/>
              <w:left w:val="single" w:sz="6" w:space="0" w:color="auto"/>
              <w:bottom w:val="single" w:sz="6" w:space="0" w:color="auto"/>
              <w:right w:val="single" w:sz="4" w:space="0" w:color="auto"/>
            </w:tcBorders>
            <w:vAlign w:val="center"/>
          </w:tcPr>
          <w:p w14:paraId="10EE579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25-55 (</w:t>
            </w:r>
            <w:r w:rsidRPr="00DD0D1F">
              <w:rPr>
                <w:rFonts w:cs="Times New Roman"/>
                <w:szCs w:val="24"/>
                <w:vertAlign w:val="superscript"/>
                <w:lang w:val="tr-TR"/>
              </w:rPr>
              <w:t>7</w:t>
            </w:r>
            <w:r w:rsidRPr="00DD0D1F">
              <w:rPr>
                <w:rFonts w:cs="Times New Roman"/>
                <w:szCs w:val="24"/>
                <w:lang w:val="tr-TR"/>
              </w:rPr>
              <w:t>)</w:t>
            </w:r>
          </w:p>
        </w:tc>
      </w:tr>
      <w:tr w:rsidR="003328F9" w:rsidRPr="00DD0D1F" w14:paraId="34AB6489" w14:textId="77777777" w:rsidTr="003328F9">
        <w:trPr>
          <w:trHeight w:val="48"/>
        </w:trPr>
        <w:tc>
          <w:tcPr>
            <w:tcW w:w="5000" w:type="pct"/>
            <w:gridSpan w:val="4"/>
            <w:tcBorders>
              <w:top w:val="single" w:sz="6" w:space="0" w:color="auto"/>
              <w:left w:val="single" w:sz="4" w:space="0" w:color="auto"/>
              <w:bottom w:val="single" w:sz="6" w:space="0" w:color="auto"/>
              <w:right w:val="single" w:sz="4" w:space="0" w:color="auto"/>
            </w:tcBorders>
          </w:tcPr>
          <w:p w14:paraId="3FA193AF"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 xml:space="preserve">Kombine çevrim gaz türbinleri (CCGT'ler)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8</w:t>
            </w:r>
            <w:r w:rsidRPr="00DD0D1F">
              <w:rPr>
                <w:rFonts w:cs="Times New Roman"/>
                <w:szCs w:val="24"/>
                <w:lang w:val="tr-TR"/>
              </w:rPr>
              <w:t>)</w:t>
            </w:r>
          </w:p>
        </w:tc>
      </w:tr>
      <w:tr w:rsidR="003328F9" w:rsidRPr="00DD0D1F" w14:paraId="1769D089" w14:textId="77777777" w:rsidTr="003328F9">
        <w:trPr>
          <w:trHeight w:val="48"/>
        </w:trPr>
        <w:tc>
          <w:tcPr>
            <w:tcW w:w="1893" w:type="pct"/>
            <w:tcBorders>
              <w:top w:val="single" w:sz="6" w:space="0" w:color="auto"/>
              <w:left w:val="single" w:sz="4" w:space="0" w:color="auto"/>
              <w:bottom w:val="single" w:sz="6" w:space="0" w:color="auto"/>
              <w:right w:val="single" w:sz="6" w:space="0" w:color="auto"/>
            </w:tcBorders>
          </w:tcPr>
          <w:p w14:paraId="2E3CAB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CCGT</w:t>
            </w:r>
          </w:p>
        </w:tc>
        <w:tc>
          <w:tcPr>
            <w:tcW w:w="1029" w:type="pct"/>
            <w:tcBorders>
              <w:top w:val="single" w:sz="6" w:space="0" w:color="auto"/>
              <w:left w:val="single" w:sz="6" w:space="0" w:color="auto"/>
              <w:bottom w:val="single" w:sz="6" w:space="0" w:color="auto"/>
              <w:right w:val="single" w:sz="6" w:space="0" w:color="auto"/>
            </w:tcBorders>
            <w:vAlign w:val="center"/>
          </w:tcPr>
          <w:p w14:paraId="689D240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6F7BF47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10-30</w:t>
            </w:r>
          </w:p>
        </w:tc>
        <w:tc>
          <w:tcPr>
            <w:tcW w:w="959" w:type="pct"/>
            <w:tcBorders>
              <w:top w:val="single" w:sz="6" w:space="0" w:color="auto"/>
              <w:left w:val="single" w:sz="6" w:space="0" w:color="auto"/>
              <w:bottom w:val="single" w:sz="6" w:space="0" w:color="auto"/>
              <w:right w:val="single" w:sz="4" w:space="0" w:color="auto"/>
            </w:tcBorders>
            <w:vAlign w:val="center"/>
          </w:tcPr>
          <w:p w14:paraId="015E3D7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15-40</w:t>
            </w:r>
          </w:p>
        </w:tc>
      </w:tr>
      <w:tr w:rsidR="003328F9" w:rsidRPr="00DD0D1F" w14:paraId="3455277F" w14:textId="77777777" w:rsidTr="003328F9">
        <w:trPr>
          <w:trHeight w:val="48"/>
        </w:trPr>
        <w:tc>
          <w:tcPr>
            <w:tcW w:w="1893" w:type="pct"/>
            <w:tcBorders>
              <w:top w:val="single" w:sz="6" w:space="0" w:color="auto"/>
              <w:left w:val="single" w:sz="4" w:space="0" w:color="auto"/>
              <w:bottom w:val="single" w:sz="6" w:space="0" w:color="auto"/>
              <w:right w:val="single" w:sz="6" w:space="0" w:color="auto"/>
            </w:tcBorders>
          </w:tcPr>
          <w:p w14:paraId="5171CF5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&lt;%75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162D25F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≥600</w:t>
            </w:r>
          </w:p>
        </w:tc>
        <w:tc>
          <w:tcPr>
            <w:tcW w:w="1119" w:type="pct"/>
            <w:tcBorders>
              <w:top w:val="single" w:sz="6" w:space="0" w:color="auto"/>
              <w:left w:val="single" w:sz="6" w:space="0" w:color="auto"/>
              <w:bottom w:val="single" w:sz="6" w:space="0" w:color="auto"/>
              <w:right w:val="single" w:sz="6" w:space="0" w:color="auto"/>
            </w:tcBorders>
            <w:vAlign w:val="center"/>
          </w:tcPr>
          <w:p w14:paraId="5D15A08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10-40</w:t>
            </w:r>
          </w:p>
        </w:tc>
        <w:tc>
          <w:tcPr>
            <w:tcW w:w="959" w:type="pct"/>
            <w:tcBorders>
              <w:top w:val="single" w:sz="6" w:space="0" w:color="auto"/>
              <w:left w:val="single" w:sz="6" w:space="0" w:color="auto"/>
              <w:bottom w:val="single" w:sz="6" w:space="0" w:color="auto"/>
              <w:right w:val="single" w:sz="4" w:space="0" w:color="auto"/>
            </w:tcBorders>
            <w:vAlign w:val="center"/>
          </w:tcPr>
          <w:p w14:paraId="21BB952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18-50</w:t>
            </w:r>
          </w:p>
        </w:tc>
      </w:tr>
      <w:tr w:rsidR="003328F9" w:rsidRPr="00DD0D1F" w14:paraId="6AC58929" w14:textId="77777777" w:rsidTr="003328F9">
        <w:trPr>
          <w:trHeight w:val="56"/>
        </w:trPr>
        <w:tc>
          <w:tcPr>
            <w:tcW w:w="1893" w:type="pct"/>
            <w:tcBorders>
              <w:top w:val="single" w:sz="6" w:space="0" w:color="auto"/>
              <w:left w:val="single" w:sz="4" w:space="0" w:color="auto"/>
              <w:bottom w:val="single" w:sz="6" w:space="0" w:color="auto"/>
              <w:right w:val="single" w:sz="6" w:space="0" w:color="auto"/>
            </w:tcBorders>
          </w:tcPr>
          <w:p w14:paraId="41D90D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3EE4E3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≥600</w:t>
            </w:r>
          </w:p>
        </w:tc>
        <w:tc>
          <w:tcPr>
            <w:tcW w:w="1119" w:type="pct"/>
            <w:tcBorders>
              <w:top w:val="single" w:sz="6" w:space="0" w:color="auto"/>
              <w:left w:val="single" w:sz="6" w:space="0" w:color="auto"/>
              <w:bottom w:val="single" w:sz="6" w:space="0" w:color="auto"/>
              <w:right w:val="single" w:sz="6" w:space="0" w:color="auto"/>
            </w:tcBorders>
            <w:vAlign w:val="center"/>
          </w:tcPr>
          <w:p w14:paraId="6E00CA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w:t>
            </w:r>
          </w:p>
        </w:tc>
        <w:tc>
          <w:tcPr>
            <w:tcW w:w="959" w:type="pct"/>
            <w:tcBorders>
              <w:top w:val="single" w:sz="6" w:space="0" w:color="auto"/>
              <w:left w:val="single" w:sz="6" w:space="0" w:color="auto"/>
              <w:bottom w:val="single" w:sz="6" w:space="0" w:color="auto"/>
              <w:right w:val="single" w:sz="4" w:space="0" w:color="auto"/>
            </w:tcBorders>
            <w:vAlign w:val="center"/>
          </w:tcPr>
          <w:p w14:paraId="2F65ADB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18-55 (</w:t>
            </w:r>
            <w:r w:rsidRPr="00DD0D1F">
              <w:rPr>
                <w:rFonts w:cs="Times New Roman"/>
                <w:szCs w:val="24"/>
                <w:vertAlign w:val="superscript"/>
                <w:lang w:val="tr-TR"/>
              </w:rPr>
              <w:t>9</w:t>
            </w:r>
            <w:r w:rsidRPr="00DD0D1F">
              <w:rPr>
                <w:rFonts w:cs="Times New Roman"/>
                <w:szCs w:val="24"/>
                <w:lang w:val="tr-TR"/>
              </w:rPr>
              <w:t>)</w:t>
            </w:r>
          </w:p>
        </w:tc>
      </w:tr>
      <w:tr w:rsidR="003328F9" w:rsidRPr="00DD0D1F" w14:paraId="17980BD2" w14:textId="77777777" w:rsidTr="003328F9">
        <w:trPr>
          <w:trHeight w:val="387"/>
        </w:trPr>
        <w:tc>
          <w:tcPr>
            <w:tcW w:w="1893" w:type="pct"/>
            <w:tcBorders>
              <w:top w:val="single" w:sz="6" w:space="0" w:color="auto"/>
              <w:left w:val="single" w:sz="4" w:space="0" w:color="auto"/>
              <w:bottom w:val="single" w:sz="6" w:space="0" w:color="auto"/>
              <w:right w:val="single" w:sz="6" w:space="0" w:color="auto"/>
            </w:tcBorders>
          </w:tcPr>
          <w:p w14:paraId="372BE1A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&lt;%75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297BC18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50-600</w:t>
            </w:r>
          </w:p>
        </w:tc>
        <w:tc>
          <w:tcPr>
            <w:tcW w:w="1119" w:type="pct"/>
            <w:tcBorders>
              <w:top w:val="single" w:sz="6" w:space="0" w:color="auto"/>
              <w:left w:val="single" w:sz="6" w:space="0" w:color="auto"/>
              <w:bottom w:val="single" w:sz="6" w:space="0" w:color="auto"/>
              <w:right w:val="single" w:sz="6" w:space="0" w:color="auto"/>
            </w:tcBorders>
            <w:vAlign w:val="center"/>
          </w:tcPr>
          <w:p w14:paraId="0BBBD19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10-45</w:t>
            </w:r>
          </w:p>
        </w:tc>
        <w:tc>
          <w:tcPr>
            <w:tcW w:w="959" w:type="pct"/>
            <w:tcBorders>
              <w:top w:val="single" w:sz="6" w:space="0" w:color="auto"/>
              <w:left w:val="single" w:sz="6" w:space="0" w:color="auto"/>
              <w:bottom w:val="single" w:sz="6" w:space="0" w:color="auto"/>
              <w:right w:val="single" w:sz="4" w:space="0" w:color="auto"/>
            </w:tcBorders>
            <w:vAlign w:val="center"/>
          </w:tcPr>
          <w:p w14:paraId="3F64C2F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35-55</w:t>
            </w:r>
          </w:p>
        </w:tc>
      </w:tr>
      <w:tr w:rsidR="003328F9" w:rsidRPr="00DD0D1F" w14:paraId="411604C2" w14:textId="77777777" w:rsidTr="003328F9">
        <w:trPr>
          <w:trHeight w:val="123"/>
        </w:trPr>
        <w:tc>
          <w:tcPr>
            <w:tcW w:w="1893" w:type="pct"/>
            <w:tcBorders>
              <w:top w:val="single" w:sz="6" w:space="0" w:color="auto"/>
              <w:left w:val="single" w:sz="4" w:space="0" w:color="auto"/>
              <w:bottom w:val="single" w:sz="6" w:space="0" w:color="auto"/>
              <w:right w:val="single" w:sz="6" w:space="0" w:color="auto"/>
            </w:tcBorders>
          </w:tcPr>
          <w:p w14:paraId="3F0A30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04F1E90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50-600</w:t>
            </w:r>
          </w:p>
        </w:tc>
        <w:tc>
          <w:tcPr>
            <w:tcW w:w="1119" w:type="pct"/>
            <w:tcBorders>
              <w:top w:val="single" w:sz="6" w:space="0" w:color="auto"/>
              <w:left w:val="single" w:sz="6" w:space="0" w:color="auto"/>
              <w:bottom w:val="single" w:sz="6" w:space="0" w:color="auto"/>
              <w:right w:val="single" w:sz="6" w:space="0" w:color="auto"/>
            </w:tcBorders>
            <w:vAlign w:val="center"/>
          </w:tcPr>
          <w:p w14:paraId="4F86447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25-50 (</w:t>
            </w:r>
            <w:r w:rsidRPr="00DD0D1F">
              <w:rPr>
                <w:rFonts w:cs="Times New Roman"/>
                <w:szCs w:val="24"/>
                <w:vertAlign w:val="superscript"/>
                <w:lang w:val="tr-TR"/>
              </w:rPr>
              <w:t>10</w:t>
            </w:r>
            <w:r w:rsidRPr="00DD0D1F">
              <w:rPr>
                <w:rFonts w:cs="Times New Roman"/>
                <w:szCs w:val="24"/>
                <w:lang w:val="tr-TR"/>
              </w:rPr>
              <w:t>)</w:t>
            </w:r>
          </w:p>
        </w:tc>
        <w:tc>
          <w:tcPr>
            <w:tcW w:w="959" w:type="pct"/>
            <w:tcBorders>
              <w:top w:val="single" w:sz="6" w:space="0" w:color="auto"/>
              <w:left w:val="single" w:sz="6" w:space="0" w:color="auto"/>
              <w:bottom w:val="single" w:sz="6" w:space="0" w:color="auto"/>
              <w:right w:val="single" w:sz="4" w:space="0" w:color="auto"/>
            </w:tcBorders>
            <w:vAlign w:val="center"/>
          </w:tcPr>
          <w:p w14:paraId="6CFD00D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35-55 (</w:t>
            </w:r>
            <w:r w:rsidRPr="00DD0D1F">
              <w:rPr>
                <w:rFonts w:cs="Times New Roman"/>
                <w:szCs w:val="24"/>
                <w:vertAlign w:val="superscript"/>
                <w:lang w:val="tr-TR"/>
              </w:rPr>
              <w:t>11</w:t>
            </w:r>
            <w:r w:rsidRPr="00DD0D1F">
              <w:rPr>
                <w:rFonts w:cs="Times New Roman"/>
                <w:szCs w:val="24"/>
                <w:lang w:val="tr-TR"/>
              </w:rPr>
              <w:t>)</w:t>
            </w:r>
          </w:p>
        </w:tc>
      </w:tr>
      <w:tr w:rsidR="003328F9" w:rsidRPr="00DD0D1F" w14:paraId="08906100" w14:textId="77777777" w:rsidTr="003328F9">
        <w:trPr>
          <w:trHeight w:val="171"/>
        </w:trPr>
        <w:tc>
          <w:tcPr>
            <w:tcW w:w="5000" w:type="pct"/>
            <w:gridSpan w:val="4"/>
            <w:tcBorders>
              <w:top w:val="single" w:sz="6" w:space="0" w:color="auto"/>
              <w:left w:val="single" w:sz="4" w:space="0" w:color="auto"/>
              <w:bottom w:val="single" w:sz="6" w:space="0" w:color="auto"/>
              <w:right w:val="single" w:sz="4" w:space="0" w:color="auto"/>
            </w:tcBorders>
          </w:tcPr>
          <w:p w14:paraId="04C1596D"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Açık ve kombine çevrim gaz türbinleri (OCGT'ler ve CCGT'ler)</w:t>
            </w:r>
          </w:p>
        </w:tc>
      </w:tr>
      <w:tr w:rsidR="003328F9" w:rsidRPr="00DD0D1F" w14:paraId="1B973D6A" w14:textId="77777777" w:rsidTr="003328F9">
        <w:trPr>
          <w:trHeight w:val="586"/>
        </w:trPr>
        <w:tc>
          <w:tcPr>
            <w:tcW w:w="1893" w:type="pct"/>
            <w:tcBorders>
              <w:top w:val="single" w:sz="6" w:space="0" w:color="auto"/>
              <w:left w:val="single" w:sz="4" w:space="0" w:color="auto"/>
              <w:bottom w:val="single" w:sz="6" w:space="0" w:color="auto"/>
              <w:right w:val="single" w:sz="6" w:space="0" w:color="auto"/>
            </w:tcBorders>
          </w:tcPr>
          <w:p w14:paraId="25E5EB8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27 Kasım 2003 tarihinden önce devreye alınan gaz türbini veya acil durum kullanımına yönelik ve &lt;500 saat/yıl çalıştırılan mevcut gaz türbini</w:t>
            </w:r>
          </w:p>
        </w:tc>
        <w:tc>
          <w:tcPr>
            <w:tcW w:w="1029" w:type="pct"/>
            <w:tcBorders>
              <w:top w:val="single" w:sz="6" w:space="0" w:color="auto"/>
              <w:left w:val="single" w:sz="6" w:space="0" w:color="auto"/>
              <w:bottom w:val="single" w:sz="6" w:space="0" w:color="auto"/>
              <w:right w:val="single" w:sz="6" w:space="0" w:color="auto"/>
            </w:tcBorders>
            <w:vAlign w:val="center"/>
          </w:tcPr>
          <w:p w14:paraId="0089928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38C721E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959" w:type="pct"/>
            <w:tcBorders>
              <w:top w:val="single" w:sz="6" w:space="0" w:color="auto"/>
              <w:left w:val="single" w:sz="6" w:space="0" w:color="auto"/>
              <w:bottom w:val="single" w:sz="6" w:space="0" w:color="auto"/>
              <w:right w:val="single" w:sz="4" w:space="0" w:color="auto"/>
            </w:tcBorders>
            <w:vAlign w:val="center"/>
          </w:tcPr>
          <w:p w14:paraId="4A6B909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60-140 (</w:t>
            </w:r>
            <w:r w:rsidRPr="00DD0D1F">
              <w:rPr>
                <w:rFonts w:cs="Times New Roman"/>
                <w:szCs w:val="24"/>
                <w:vertAlign w:val="superscript"/>
                <w:lang w:val="tr-TR"/>
              </w:rPr>
              <w:t>12</w:t>
            </w:r>
            <w:r w:rsidRPr="00DD0D1F">
              <w:rPr>
                <w:rFonts w:cs="Times New Roman"/>
                <w:szCs w:val="24"/>
                <w:lang w:val="tr-TR"/>
              </w:rPr>
              <w:t>) (</w:t>
            </w:r>
            <w:r w:rsidRPr="00DD0D1F">
              <w:rPr>
                <w:rFonts w:cs="Times New Roman"/>
                <w:szCs w:val="24"/>
                <w:vertAlign w:val="superscript"/>
                <w:lang w:val="tr-TR"/>
              </w:rPr>
              <w:t>13</w:t>
            </w:r>
            <w:r w:rsidRPr="00DD0D1F">
              <w:rPr>
                <w:rFonts w:cs="Times New Roman"/>
                <w:szCs w:val="24"/>
                <w:lang w:val="tr-TR"/>
              </w:rPr>
              <w:t>)</w:t>
            </w:r>
          </w:p>
        </w:tc>
      </w:tr>
      <w:tr w:rsidR="003328F9" w:rsidRPr="00DD0D1F" w14:paraId="175E758F" w14:textId="77777777" w:rsidTr="003328F9">
        <w:trPr>
          <w:trHeight w:val="72"/>
        </w:trPr>
        <w:tc>
          <w:tcPr>
            <w:tcW w:w="1893" w:type="pct"/>
            <w:tcBorders>
              <w:top w:val="single" w:sz="6" w:space="0" w:color="auto"/>
              <w:left w:val="single" w:sz="4" w:space="0" w:color="auto"/>
              <w:bottom w:val="single" w:sz="6" w:space="0" w:color="auto"/>
              <w:right w:val="single" w:sz="6" w:space="0" w:color="auto"/>
            </w:tcBorders>
            <w:vAlign w:val="center"/>
          </w:tcPr>
          <w:p w14:paraId="141BBA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Mekanik tahrik uygulamalarına yönelik mevcut gaz türbini — &lt;500 saat/yıl çalıştırılan tesisler dışında hepsi</w:t>
            </w:r>
          </w:p>
        </w:tc>
        <w:tc>
          <w:tcPr>
            <w:tcW w:w="1029" w:type="pct"/>
            <w:tcBorders>
              <w:top w:val="single" w:sz="6" w:space="0" w:color="auto"/>
              <w:left w:val="single" w:sz="6" w:space="0" w:color="auto"/>
              <w:bottom w:val="single" w:sz="6" w:space="0" w:color="auto"/>
              <w:right w:val="single" w:sz="6" w:space="0" w:color="auto"/>
            </w:tcBorders>
            <w:vAlign w:val="center"/>
          </w:tcPr>
          <w:p w14:paraId="06C8633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5093E78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15-50 (</w:t>
            </w:r>
            <w:r w:rsidRPr="00DD0D1F">
              <w:rPr>
                <w:rFonts w:cs="Times New Roman"/>
                <w:szCs w:val="24"/>
                <w:vertAlign w:val="superscript"/>
                <w:lang w:val="tr-TR"/>
              </w:rPr>
              <w:t>14</w:t>
            </w:r>
            <w:r w:rsidRPr="00DD0D1F">
              <w:rPr>
                <w:rFonts w:cs="Times New Roman"/>
                <w:szCs w:val="24"/>
                <w:lang w:val="tr-TR"/>
              </w:rPr>
              <w:t>)</w:t>
            </w:r>
          </w:p>
        </w:tc>
        <w:tc>
          <w:tcPr>
            <w:tcW w:w="959" w:type="pct"/>
            <w:tcBorders>
              <w:top w:val="single" w:sz="6" w:space="0" w:color="auto"/>
              <w:left w:val="single" w:sz="6" w:space="0" w:color="auto"/>
              <w:bottom w:val="single" w:sz="6" w:space="0" w:color="auto"/>
              <w:right w:val="single" w:sz="4" w:space="0" w:color="auto"/>
            </w:tcBorders>
            <w:vAlign w:val="center"/>
          </w:tcPr>
          <w:p w14:paraId="552569F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25-55 (</w:t>
            </w:r>
            <w:r w:rsidRPr="00DD0D1F">
              <w:rPr>
                <w:rFonts w:cs="Times New Roman"/>
                <w:szCs w:val="24"/>
                <w:vertAlign w:val="superscript"/>
                <w:lang w:val="tr-TR"/>
              </w:rPr>
              <w:t>15</w:t>
            </w:r>
            <w:r w:rsidRPr="00DD0D1F">
              <w:rPr>
                <w:rFonts w:cs="Times New Roman"/>
                <w:szCs w:val="24"/>
                <w:lang w:val="tr-TR"/>
              </w:rPr>
              <w:t>)</w:t>
            </w:r>
          </w:p>
        </w:tc>
      </w:tr>
      <w:tr w:rsidR="003328F9" w:rsidRPr="00DD0D1F" w14:paraId="2023CC42" w14:textId="77777777" w:rsidTr="003328F9">
        <w:trPr>
          <w:trHeight w:val="552"/>
        </w:trPr>
        <w:tc>
          <w:tcPr>
            <w:tcW w:w="5000" w:type="pct"/>
            <w:gridSpan w:val="4"/>
            <w:tcBorders>
              <w:top w:val="single" w:sz="6" w:space="0" w:color="auto"/>
              <w:left w:val="single" w:sz="4" w:space="0" w:color="auto"/>
              <w:bottom w:val="single" w:sz="4" w:space="0" w:color="auto"/>
              <w:right w:val="single" w:sz="4" w:space="0" w:color="auto"/>
            </w:tcBorders>
          </w:tcPr>
          <w:p w14:paraId="1DD0A01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MET-İES’ler çift yakıtla çalışan türbinlerde uygulanır. </w:t>
            </w:r>
          </w:p>
          <w:p w14:paraId="679AE54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Bu MET-İES’ler, DLN bulunan gaz türbininde, DLN’nın etkin işletildiği durumlarda uygulanır. </w:t>
            </w:r>
          </w:p>
          <w:p w14:paraId="3C5ABAD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MET-İES’ler &lt;1500 saat/yıl çalıştırılan tesislere uygulanmaz.</w:t>
            </w:r>
          </w:p>
          <w:p w14:paraId="7FBED971" w14:textId="44C8564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NO</w:t>
            </w:r>
            <w:r w:rsidRPr="00DD0D1F">
              <w:rPr>
                <w:rFonts w:cs="Times New Roman"/>
                <w:szCs w:val="24"/>
                <w:vertAlign w:val="subscript"/>
                <w:lang w:val="tr-TR"/>
              </w:rPr>
              <w:t>X</w:t>
            </w:r>
            <w:r w:rsidRPr="00DD0D1F">
              <w:rPr>
                <w:rFonts w:cs="Times New Roman"/>
                <w:szCs w:val="24"/>
                <w:lang w:val="tr-TR"/>
              </w:rPr>
              <w:t xml:space="preserve"> emisyonlarını azaltmak için mevcut bir tekniğin işleyişini optimize etmek, bu tablodan sonra verilen CO emisyonlarının gösterge aralığının üst </w:t>
            </w:r>
            <w:r w:rsidR="004E47CC" w:rsidRPr="00DD0D1F">
              <w:rPr>
                <w:rFonts w:cs="Times New Roman"/>
                <w:szCs w:val="24"/>
                <w:lang w:val="tr-TR"/>
              </w:rPr>
              <w:t>sınırı</w:t>
            </w:r>
            <w:r w:rsidRPr="00DD0D1F">
              <w:rPr>
                <w:rFonts w:cs="Times New Roman"/>
                <w:szCs w:val="24"/>
                <w:lang w:val="tr-TR"/>
              </w:rPr>
              <w:t>ndaki CO emisyonları seviyesine yol açabilir.</w:t>
            </w:r>
          </w:p>
          <w:p w14:paraId="57A8B03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Bu MET-İES’ler, mekanik tahrik uygulamaları için mevcut türbinler veya &lt;500 saat/yıl çalıştırılan tesislere uygulanmaz.</w:t>
            </w:r>
          </w:p>
          <w:p w14:paraId="7D7E45D0" w14:textId="43591A4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 xml:space="preserve">Net elektrik verimliliği (EE) %39’dan büyük olan tesisler için aralığın üst </w:t>
            </w:r>
            <w:r w:rsidR="00A504E5" w:rsidRPr="00DD0D1F">
              <w:rPr>
                <w:rFonts w:cs="Times New Roman"/>
                <w:szCs w:val="24"/>
                <w:lang w:val="tr-TR"/>
              </w:rPr>
              <w:t xml:space="preserve">sınırına </w:t>
            </w:r>
            <w:r w:rsidRPr="00DD0D1F">
              <w:rPr>
                <w:rFonts w:cs="Times New Roman"/>
                <w:szCs w:val="24"/>
                <w:lang w:val="tr-TR"/>
              </w:rPr>
              <w:t>bir düzeltme faktörü uygulanabilir. Bu da [üst uç]*EE/39'a karşılık gelir, burada EE, ISO temel yük koşullarında belirlenmiş tesisin net elektrik enerjisi verimliliği veya net mekanik enerji verimliliğidir.</w:t>
            </w:r>
          </w:p>
          <w:p w14:paraId="70493019" w14:textId="4E4158DD"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t xml:space="preserve">27 Kasım 2003 tarihinden önce devreye alınan ve 500 saat/yıl ile 1500 saat/yıl arası çalıştırılan tesislerde, aralığın üst </w:t>
            </w:r>
            <w:r w:rsidR="00A504E5" w:rsidRPr="00DD0D1F">
              <w:rPr>
                <w:rFonts w:cs="Times New Roman"/>
                <w:szCs w:val="24"/>
                <w:lang w:val="tr-TR"/>
              </w:rPr>
              <w:t xml:space="preserve">sınırı </w:t>
            </w:r>
            <w:r w:rsidRPr="00DD0D1F">
              <w:rPr>
                <w:rFonts w:cs="Times New Roman"/>
                <w:szCs w:val="24"/>
                <w:lang w:val="tr-TR"/>
              </w:rPr>
              <w:t>80 mg/Nm</w:t>
            </w:r>
            <w:r w:rsidRPr="00DD0D1F">
              <w:rPr>
                <w:rFonts w:cs="Times New Roman"/>
                <w:szCs w:val="24"/>
                <w:vertAlign w:val="superscript"/>
                <w:lang w:val="tr-TR"/>
              </w:rPr>
              <w:t>3</w:t>
            </w:r>
            <w:r w:rsidRPr="00DD0D1F">
              <w:rPr>
                <w:rFonts w:cs="Times New Roman"/>
                <w:szCs w:val="24"/>
                <w:lang w:val="tr-TR"/>
              </w:rPr>
              <w:t>'tür.</w:t>
            </w:r>
          </w:p>
          <w:p w14:paraId="42C732E2" w14:textId="574FAD9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8</w:t>
            </w:r>
            <w:r w:rsidRPr="00DD0D1F">
              <w:rPr>
                <w:rFonts w:cs="Times New Roman"/>
                <w:szCs w:val="24"/>
                <w:lang w:val="tr-TR"/>
              </w:rPr>
              <w:t>)</w:t>
            </w:r>
            <w:r w:rsidRPr="00DD0D1F">
              <w:rPr>
                <w:rFonts w:cs="Times New Roman"/>
                <w:szCs w:val="24"/>
                <w:lang w:val="tr-TR"/>
              </w:rPr>
              <w:tab/>
              <w:t xml:space="preserve">Net elektrik verimliliği (EE) %55’dan büyük olan tesisler için MET-İES aralığının üst </w:t>
            </w:r>
            <w:r w:rsidR="00A504E5" w:rsidRPr="00DD0D1F">
              <w:rPr>
                <w:rFonts w:cs="Times New Roman"/>
                <w:szCs w:val="24"/>
                <w:lang w:val="tr-TR"/>
              </w:rPr>
              <w:t xml:space="preserve">sınırına </w:t>
            </w:r>
            <w:r w:rsidRPr="00DD0D1F">
              <w:rPr>
                <w:rFonts w:cs="Times New Roman"/>
                <w:szCs w:val="24"/>
                <w:lang w:val="tr-TR"/>
              </w:rPr>
              <w:t>bir düzeltme faktörü uygulanabilir, bu da [üst uç]*EE/55'e karşılık gelir, burada EE, ISO temel yük koşullarında belirlenmiş tesisin net elektrik enerjisi verimliliğidir.</w:t>
            </w:r>
          </w:p>
          <w:p w14:paraId="6EF7CF0E" w14:textId="01F1DCD6"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9</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 xml:space="preserve"> tarihinden önce devreye alınan mevcut tesisler için 65 mg/Nm</w:t>
            </w:r>
            <w:r w:rsidRPr="00DD0D1F">
              <w:rPr>
                <w:rFonts w:cs="Times New Roman"/>
                <w:szCs w:val="24"/>
                <w:vertAlign w:val="superscript"/>
                <w:lang w:val="tr-TR"/>
              </w:rPr>
              <w:t>3</w:t>
            </w:r>
            <w:r w:rsidRPr="00DD0D1F">
              <w:rPr>
                <w:rFonts w:cs="Times New Roman"/>
                <w:szCs w:val="24"/>
                <w:lang w:val="tr-TR"/>
              </w:rPr>
              <w:t>'tür.</w:t>
            </w:r>
          </w:p>
          <w:p w14:paraId="33CF4CD0" w14:textId="5BF68B5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10</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55 mg/Nm</w:t>
            </w:r>
            <w:r w:rsidRPr="00DD0D1F">
              <w:rPr>
                <w:rFonts w:cs="Times New Roman"/>
                <w:szCs w:val="24"/>
                <w:vertAlign w:val="superscript"/>
                <w:lang w:val="tr-TR"/>
              </w:rPr>
              <w:t>3</w:t>
            </w:r>
            <w:r w:rsidRPr="00DD0D1F">
              <w:rPr>
                <w:rFonts w:cs="Times New Roman"/>
                <w:szCs w:val="24"/>
                <w:lang w:val="tr-TR"/>
              </w:rPr>
              <w:t>'tür.</w:t>
            </w:r>
          </w:p>
          <w:p w14:paraId="32C2A3CD" w14:textId="4A413F19"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11</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80 mg/Nm</w:t>
            </w:r>
            <w:r w:rsidRPr="00DD0D1F">
              <w:rPr>
                <w:rFonts w:cs="Times New Roman"/>
                <w:szCs w:val="24"/>
                <w:vertAlign w:val="superscript"/>
                <w:lang w:val="tr-TR"/>
              </w:rPr>
              <w:t>3</w:t>
            </w:r>
            <w:r w:rsidRPr="00DD0D1F">
              <w:rPr>
                <w:rFonts w:cs="Times New Roman"/>
                <w:szCs w:val="24"/>
                <w:lang w:val="tr-TR"/>
              </w:rPr>
              <w:t>'tür.</w:t>
            </w:r>
          </w:p>
          <w:p w14:paraId="7012B9F3" w14:textId="70D2657B"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12</w:t>
            </w:r>
            <w:r w:rsidRPr="00DD0D1F">
              <w:rPr>
                <w:rFonts w:cs="Times New Roman"/>
                <w:szCs w:val="24"/>
                <w:lang w:val="tr-TR"/>
              </w:rPr>
              <w:t>)</w:t>
            </w:r>
            <w:r w:rsidRPr="00DD0D1F">
              <w:rPr>
                <w:rFonts w:cs="Times New Roman"/>
                <w:szCs w:val="24"/>
                <w:lang w:val="tr-TR"/>
              </w:rPr>
              <w:tab/>
              <w:t>NO</w:t>
            </w:r>
            <w:r w:rsidRPr="00DD0D1F">
              <w:rPr>
                <w:rFonts w:cs="Times New Roman"/>
                <w:szCs w:val="24"/>
                <w:vertAlign w:val="subscript"/>
                <w:lang w:val="tr-TR"/>
              </w:rPr>
              <w:t>X</w:t>
            </w:r>
            <w:r w:rsidRPr="00DD0D1F">
              <w:rPr>
                <w:rFonts w:cs="Times New Roman"/>
                <w:szCs w:val="24"/>
                <w:lang w:val="tr-TR"/>
              </w:rPr>
              <w:t xml:space="preserve"> için MET-İES aralığının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DLN brülörler ile elde edilebilir.</w:t>
            </w:r>
          </w:p>
          <w:p w14:paraId="19748E4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13</w:t>
            </w:r>
            <w:r w:rsidRPr="00DD0D1F">
              <w:rPr>
                <w:rFonts w:cs="Times New Roman"/>
                <w:szCs w:val="24"/>
                <w:lang w:val="tr-TR"/>
              </w:rPr>
              <w:t>)</w:t>
            </w:r>
            <w:r w:rsidRPr="00DD0D1F">
              <w:rPr>
                <w:rFonts w:cs="Times New Roman"/>
                <w:szCs w:val="24"/>
                <w:lang w:val="tr-TR"/>
              </w:rPr>
              <w:tab/>
              <w:t>Bu seviyeler gösterge niteliğindedir.</w:t>
            </w:r>
          </w:p>
          <w:p w14:paraId="2781E12D" w14:textId="5FB027F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14</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60 mg/Nm</w:t>
            </w:r>
            <w:r w:rsidRPr="00DD0D1F">
              <w:rPr>
                <w:rFonts w:cs="Times New Roman"/>
                <w:szCs w:val="24"/>
                <w:vertAlign w:val="superscript"/>
                <w:lang w:val="tr-TR"/>
              </w:rPr>
              <w:t>3</w:t>
            </w:r>
            <w:r w:rsidRPr="00DD0D1F">
              <w:rPr>
                <w:rFonts w:cs="Times New Roman"/>
                <w:szCs w:val="24"/>
                <w:lang w:val="tr-TR"/>
              </w:rPr>
              <w:t>'tür.</w:t>
            </w:r>
          </w:p>
          <w:p w14:paraId="3CA85077" w14:textId="3B0AD835" w:rsidR="003328F9" w:rsidRPr="00DD0D1F" w:rsidRDefault="003328F9" w:rsidP="00A504E5">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15</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65 mg/Nm</w:t>
            </w:r>
            <w:r w:rsidRPr="00DD0D1F">
              <w:rPr>
                <w:rFonts w:cs="Times New Roman"/>
                <w:szCs w:val="24"/>
                <w:vertAlign w:val="superscript"/>
                <w:lang w:val="tr-TR"/>
              </w:rPr>
              <w:t>3</w:t>
            </w:r>
            <w:r w:rsidRPr="00DD0D1F">
              <w:rPr>
                <w:rFonts w:cs="Times New Roman"/>
                <w:szCs w:val="24"/>
                <w:lang w:val="tr-TR"/>
              </w:rPr>
              <w:t>'tür.</w:t>
            </w:r>
          </w:p>
        </w:tc>
      </w:tr>
    </w:tbl>
    <w:p w14:paraId="185FD074"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mevcut yakma tesislerinin her türü ve yeni yakma tesislerinin her türü için yıllık ortalama CO emisyon seviyeleri genelde aşağıdaki gibi olacaktır:</w:t>
      </w:r>
    </w:p>
    <w:p w14:paraId="2ECCA8C4" w14:textId="0987FA0C"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 xml:space="preserve">’lik yeni OCGT: &lt;5-40 mg/Nm3’tür. Net elektrik verimliliği (EE) %39’den büyük olan tesisler için bu aralığın üst </w:t>
      </w:r>
      <w:r w:rsidR="00A504E5" w:rsidRPr="00DD0D1F">
        <w:rPr>
          <w:rFonts w:cs="Times New Roman"/>
          <w:szCs w:val="24"/>
          <w:lang w:val="tr-TR"/>
        </w:rPr>
        <w:t>sınırına</w:t>
      </w:r>
      <w:r w:rsidRPr="00DD0D1F">
        <w:rPr>
          <w:rFonts w:cs="Times New Roman"/>
          <w:szCs w:val="24"/>
          <w:lang w:val="tr-TR"/>
        </w:rPr>
        <w:t xml:space="preserve"> bir düzeltme faktörü uygulanabilir. Bu da [üst uç]*EE/39'a karşılık gelir, burada EE, ISO temel yük koşullarında belirlenmiş tesisin net elektrik enerjisi verimliliği veya net mekanik enerji verimliliğidir.</w:t>
      </w:r>
    </w:p>
    <w:p w14:paraId="7C732AA3" w14:textId="68262F74"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’lik yeni OCGT (mekanik tahrik uygulamaları için türbinler hariç olmak üzere): &lt;5-40 mg/Nm3’tür. Kuru NO</w:t>
      </w:r>
      <w:r w:rsidRPr="00DD0D1F">
        <w:rPr>
          <w:rFonts w:cs="Times New Roman"/>
          <w:szCs w:val="24"/>
          <w:vertAlign w:val="subscript"/>
          <w:lang w:val="tr-TR"/>
        </w:rPr>
        <w:t>X</w:t>
      </w:r>
      <w:r w:rsidRPr="00DD0D1F">
        <w:rPr>
          <w:rFonts w:cs="Times New Roman"/>
          <w:szCs w:val="24"/>
          <w:lang w:val="tr-TR"/>
        </w:rPr>
        <w:t xml:space="preserve"> azaltma teknikleri uygulanamayan mevcut tesislerde bu aralığın üst </w:t>
      </w:r>
      <w:r w:rsidR="00A504E5" w:rsidRPr="00DD0D1F">
        <w:rPr>
          <w:rFonts w:cs="Times New Roman"/>
          <w:szCs w:val="24"/>
          <w:lang w:val="tr-TR"/>
        </w:rPr>
        <w:t>sınırı</w:t>
      </w:r>
      <w:r w:rsidRPr="00DD0D1F">
        <w:rPr>
          <w:rFonts w:cs="Times New Roman"/>
          <w:szCs w:val="24"/>
          <w:lang w:val="tr-TR"/>
        </w:rPr>
        <w:t xml:space="preserve"> genelde 80 mg/Nm3 olacaktır. Düşük yükte çalışan tesislerde bu aralığın üst </w:t>
      </w:r>
      <w:r w:rsidR="00A504E5" w:rsidRPr="00DD0D1F">
        <w:rPr>
          <w:rFonts w:cs="Times New Roman"/>
          <w:szCs w:val="24"/>
          <w:lang w:val="tr-TR"/>
        </w:rPr>
        <w:t xml:space="preserve">sınırı </w:t>
      </w:r>
      <w:r w:rsidRPr="00DD0D1F">
        <w:rPr>
          <w:rFonts w:cs="Times New Roman"/>
          <w:szCs w:val="24"/>
          <w:lang w:val="tr-TR"/>
        </w:rPr>
        <w:t xml:space="preserve">genelde 50 mg/Nm3 olacaktır. </w:t>
      </w:r>
    </w:p>
    <w:p w14:paraId="69379B56" w14:textId="250BF251"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 xml:space="preserve">≥50 MWth’lik  yeni CCGT: &lt;5-30 mg/Nm3’tür. Net elektrik verimliliği (EE) %55’den büyük olan tesisler için bu aralığın üst </w:t>
      </w:r>
      <w:r w:rsidR="00A504E5" w:rsidRPr="00DD0D1F">
        <w:rPr>
          <w:rFonts w:cs="Times New Roman"/>
          <w:szCs w:val="24"/>
          <w:lang w:val="tr-TR"/>
        </w:rPr>
        <w:t xml:space="preserve">sınırına </w:t>
      </w:r>
      <w:r w:rsidRPr="00DD0D1F">
        <w:rPr>
          <w:rFonts w:cs="Times New Roman"/>
          <w:szCs w:val="24"/>
          <w:lang w:val="tr-TR"/>
        </w:rPr>
        <w:t>bir düzeltme faktörü uygulanabilir. Bu da [üst uç]*EE/55'e karşılık gelir, burada EE, ISO temel yük koşullarında belirlenmiş tesisin net elektrik enerjisi verimliliğidir.</w:t>
      </w:r>
    </w:p>
    <w:p w14:paraId="154F1048" w14:textId="7D359B78"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 xml:space="preserve">’lik  mevcut CCGT: &lt;5-30 mg/Nm3’tür. Düşük yükte çalışan tesislerde bu aralığın üst </w:t>
      </w:r>
      <w:r w:rsidR="00A504E5" w:rsidRPr="00DD0D1F">
        <w:rPr>
          <w:rFonts w:cs="Times New Roman"/>
          <w:szCs w:val="24"/>
          <w:lang w:val="tr-TR"/>
        </w:rPr>
        <w:t>sınırı</w:t>
      </w:r>
      <w:r w:rsidRPr="00DD0D1F">
        <w:rPr>
          <w:rFonts w:cs="Times New Roman"/>
          <w:szCs w:val="24"/>
          <w:lang w:val="tr-TR"/>
        </w:rPr>
        <w:t xml:space="preserve"> genelde 50 mg/Nm3 olacaktır.</w:t>
      </w:r>
    </w:p>
    <w:p w14:paraId="15304C10" w14:textId="13FB1F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 xml:space="preserve">’lik mekanik tahrik uygulamaları için mevcut gaz türbinleri: &lt;5-40 mg/Nm3’tür. Tesislerin düşük yükte çalıştığı durumlarda bu aralığın üst </w:t>
      </w:r>
      <w:r w:rsidR="00A504E5" w:rsidRPr="00DD0D1F">
        <w:rPr>
          <w:rFonts w:cs="Times New Roman"/>
          <w:szCs w:val="24"/>
          <w:lang w:val="tr-TR"/>
        </w:rPr>
        <w:t>sınırı</w:t>
      </w:r>
      <w:r w:rsidRPr="00DD0D1F">
        <w:rPr>
          <w:rFonts w:cs="Times New Roman"/>
          <w:szCs w:val="24"/>
          <w:lang w:val="tr-TR"/>
        </w:rPr>
        <w:t xml:space="preserve"> genelde 50 mg/Nm3 olacaktır.</w:t>
      </w:r>
    </w:p>
    <w:p w14:paraId="78E2B43C" w14:textId="77777777" w:rsidR="003328F9" w:rsidRPr="00DD0D1F" w:rsidRDefault="003328F9" w:rsidP="003328F9">
      <w:pPr>
        <w:spacing w:before="240"/>
        <w:rPr>
          <w:rFonts w:cs="Times New Roman"/>
          <w:szCs w:val="24"/>
          <w:lang w:val="tr-TR"/>
        </w:rPr>
      </w:pPr>
      <w:r w:rsidRPr="00DD0D1F">
        <w:rPr>
          <w:rFonts w:cs="Times New Roman"/>
          <w:szCs w:val="24"/>
          <w:lang w:val="tr-TR"/>
        </w:rPr>
        <w:t>DLN brülörleri ile donatılmış gaz türbinlerinde, DLN'nin etkin işletildiği durumlarda bu gösterge seviyeleri elde edilebilir.</w:t>
      </w:r>
    </w:p>
    <w:p w14:paraId="2C296B5E"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 Doğal gazın kazanlarda veya motolarda yanmasından kaynaklanan havaya NOX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566"/>
        <w:gridCol w:w="875"/>
        <w:gridCol w:w="1001"/>
        <w:gridCol w:w="875"/>
        <w:gridCol w:w="1082"/>
        <w:gridCol w:w="3678"/>
      </w:tblGrid>
      <w:tr w:rsidR="00EB7491" w:rsidRPr="00DD0D1F" w14:paraId="69CF4EF2" w14:textId="3B22CD7B" w:rsidTr="00B542F1">
        <w:trPr>
          <w:trHeight w:val="45"/>
        </w:trPr>
        <w:tc>
          <w:tcPr>
            <w:tcW w:w="891" w:type="pct"/>
            <w:vMerge w:val="restart"/>
            <w:tcBorders>
              <w:top w:val="single" w:sz="4" w:space="0" w:color="auto"/>
              <w:left w:val="single" w:sz="4" w:space="0" w:color="auto"/>
              <w:right w:val="single" w:sz="6" w:space="0" w:color="auto"/>
            </w:tcBorders>
            <w:vAlign w:val="center"/>
          </w:tcPr>
          <w:p w14:paraId="4C08BB81"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4109" w:type="pct"/>
            <w:gridSpan w:val="5"/>
            <w:tcBorders>
              <w:top w:val="single" w:sz="4" w:space="0" w:color="auto"/>
              <w:left w:val="single" w:sz="6" w:space="0" w:color="auto"/>
              <w:bottom w:val="single" w:sz="6" w:space="0" w:color="auto"/>
              <w:right w:val="single" w:sz="4" w:space="0" w:color="auto"/>
            </w:tcBorders>
            <w:vAlign w:val="center"/>
          </w:tcPr>
          <w:p w14:paraId="4131AA85" w14:textId="4377B279"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653AA6CB" w14:textId="29678B0E" w:rsidTr="00B542F1">
        <w:trPr>
          <w:trHeight w:val="45"/>
        </w:trPr>
        <w:tc>
          <w:tcPr>
            <w:tcW w:w="891" w:type="pct"/>
            <w:vMerge/>
            <w:tcBorders>
              <w:left w:val="single" w:sz="4" w:space="0" w:color="auto"/>
              <w:right w:val="single" w:sz="6" w:space="0" w:color="auto"/>
            </w:tcBorders>
          </w:tcPr>
          <w:p w14:paraId="511479D2" w14:textId="77777777" w:rsidR="00B542F1" w:rsidRPr="00DD0D1F" w:rsidRDefault="00B542F1" w:rsidP="003328F9">
            <w:pPr>
              <w:adjustRightInd w:val="0"/>
              <w:spacing w:line="240" w:lineRule="auto"/>
              <w:ind w:left="74" w:right="74"/>
              <w:rPr>
                <w:rFonts w:cs="Times New Roman"/>
                <w:b/>
                <w:szCs w:val="24"/>
                <w:lang w:val="tr-TR"/>
              </w:rPr>
            </w:pPr>
          </w:p>
        </w:tc>
        <w:tc>
          <w:tcPr>
            <w:tcW w:w="1022" w:type="pct"/>
            <w:gridSpan w:val="2"/>
            <w:tcBorders>
              <w:top w:val="single" w:sz="6" w:space="0" w:color="auto"/>
              <w:left w:val="single" w:sz="6" w:space="0" w:color="auto"/>
              <w:bottom w:val="single" w:sz="6" w:space="0" w:color="auto"/>
              <w:right w:val="single" w:sz="6" w:space="0" w:color="auto"/>
            </w:tcBorders>
            <w:vAlign w:val="center"/>
          </w:tcPr>
          <w:p w14:paraId="19925A50"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Yıllık ortalama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3087" w:type="pct"/>
            <w:gridSpan w:val="3"/>
            <w:tcBorders>
              <w:top w:val="single" w:sz="6" w:space="0" w:color="auto"/>
              <w:left w:val="single" w:sz="6" w:space="0" w:color="auto"/>
              <w:bottom w:val="single" w:sz="6" w:space="0" w:color="auto"/>
              <w:right w:val="single" w:sz="4" w:space="0" w:color="auto"/>
            </w:tcBorders>
            <w:vAlign w:val="center"/>
          </w:tcPr>
          <w:p w14:paraId="044E70A8" w14:textId="11B53B08"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056C246D" w14:textId="504484F8" w:rsidTr="00B542F1">
        <w:trPr>
          <w:trHeight w:val="45"/>
        </w:trPr>
        <w:tc>
          <w:tcPr>
            <w:tcW w:w="891" w:type="pct"/>
            <w:vMerge/>
            <w:tcBorders>
              <w:left w:val="single" w:sz="4" w:space="0" w:color="auto"/>
              <w:bottom w:val="single" w:sz="6" w:space="0" w:color="auto"/>
              <w:right w:val="single" w:sz="6" w:space="0" w:color="auto"/>
            </w:tcBorders>
          </w:tcPr>
          <w:p w14:paraId="161D9B28" w14:textId="77777777" w:rsidR="00B542F1" w:rsidRPr="00DD0D1F" w:rsidRDefault="00B542F1" w:rsidP="003328F9">
            <w:pPr>
              <w:adjustRightInd w:val="0"/>
              <w:spacing w:line="240" w:lineRule="auto"/>
              <w:ind w:left="74" w:right="74"/>
              <w:rPr>
                <w:rFonts w:cs="Times New Roman"/>
                <w:b/>
                <w:szCs w:val="24"/>
                <w:lang w:val="tr-TR"/>
              </w:rPr>
            </w:pPr>
          </w:p>
        </w:tc>
        <w:tc>
          <w:tcPr>
            <w:tcW w:w="510" w:type="pct"/>
            <w:tcBorders>
              <w:top w:val="single" w:sz="6" w:space="0" w:color="auto"/>
              <w:left w:val="single" w:sz="6" w:space="0" w:color="auto"/>
              <w:bottom w:val="single" w:sz="6" w:space="0" w:color="auto"/>
              <w:right w:val="single" w:sz="6" w:space="0" w:color="auto"/>
            </w:tcBorders>
            <w:vAlign w:val="center"/>
          </w:tcPr>
          <w:p w14:paraId="08D6061B"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12" w:type="pct"/>
            <w:tcBorders>
              <w:top w:val="single" w:sz="6" w:space="0" w:color="auto"/>
              <w:left w:val="single" w:sz="6" w:space="0" w:color="auto"/>
              <w:bottom w:val="single" w:sz="6" w:space="0" w:color="auto"/>
              <w:right w:val="single" w:sz="6" w:space="0" w:color="auto"/>
            </w:tcBorders>
            <w:vAlign w:val="center"/>
          </w:tcPr>
          <w:p w14:paraId="15B4F29B"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510" w:type="pct"/>
            <w:tcBorders>
              <w:top w:val="single" w:sz="6" w:space="0" w:color="auto"/>
              <w:left w:val="single" w:sz="6" w:space="0" w:color="auto"/>
              <w:bottom w:val="single" w:sz="6" w:space="0" w:color="auto"/>
              <w:right w:val="single" w:sz="6" w:space="0" w:color="auto"/>
            </w:tcBorders>
            <w:vAlign w:val="center"/>
          </w:tcPr>
          <w:p w14:paraId="59CBF202"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23" w:type="pct"/>
            <w:tcBorders>
              <w:top w:val="single" w:sz="6" w:space="0" w:color="auto"/>
              <w:left w:val="single" w:sz="6" w:space="0" w:color="auto"/>
              <w:bottom w:val="single" w:sz="6" w:space="0" w:color="auto"/>
              <w:right w:val="single" w:sz="4" w:space="0" w:color="auto"/>
            </w:tcBorders>
            <w:vAlign w:val="center"/>
          </w:tcPr>
          <w:p w14:paraId="00101E6E" w14:textId="6F9FFFCF"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c>
          <w:tcPr>
            <w:tcW w:w="2054" w:type="pct"/>
            <w:tcBorders>
              <w:top w:val="single" w:sz="6" w:space="0" w:color="auto"/>
              <w:left w:val="single" w:sz="6" w:space="0" w:color="auto"/>
              <w:bottom w:val="single" w:sz="6" w:space="0" w:color="auto"/>
              <w:right w:val="single" w:sz="4" w:space="0" w:color="auto"/>
            </w:tcBorders>
          </w:tcPr>
          <w:p w14:paraId="4515231D"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6FADF0D0" w14:textId="72C2DEB8" w:rsidR="00B542F1" w:rsidRPr="00DD0D1F" w:rsidRDefault="00B542F1" w:rsidP="00B542F1">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67607E05" w14:textId="7EFC49C7" w:rsidTr="00B542F1">
        <w:trPr>
          <w:trHeight w:val="45"/>
        </w:trPr>
        <w:tc>
          <w:tcPr>
            <w:tcW w:w="891" w:type="pct"/>
            <w:tcBorders>
              <w:top w:val="single" w:sz="6" w:space="0" w:color="auto"/>
              <w:left w:val="single" w:sz="4" w:space="0" w:color="auto"/>
              <w:bottom w:val="single" w:sz="6" w:space="0" w:color="auto"/>
              <w:right w:val="single" w:sz="6" w:space="0" w:color="auto"/>
            </w:tcBorders>
            <w:vAlign w:val="center"/>
          </w:tcPr>
          <w:p w14:paraId="20BE217F" w14:textId="77777777" w:rsidR="00B542F1" w:rsidRPr="00DD0D1F" w:rsidRDefault="00B542F1" w:rsidP="003328F9">
            <w:pPr>
              <w:adjustRightInd w:val="0"/>
              <w:spacing w:line="240" w:lineRule="auto"/>
              <w:ind w:left="74" w:right="74"/>
              <w:rPr>
                <w:rFonts w:cs="Times New Roman"/>
                <w:szCs w:val="24"/>
                <w:lang w:val="tr-TR"/>
              </w:rPr>
            </w:pPr>
            <w:r w:rsidRPr="00DD0D1F">
              <w:rPr>
                <w:rFonts w:cs="Times New Roman"/>
                <w:szCs w:val="24"/>
                <w:lang w:val="tr-TR"/>
              </w:rPr>
              <w:t>Kazan</w:t>
            </w:r>
          </w:p>
        </w:tc>
        <w:tc>
          <w:tcPr>
            <w:tcW w:w="510" w:type="pct"/>
            <w:tcBorders>
              <w:top w:val="single" w:sz="6" w:space="0" w:color="auto"/>
              <w:left w:val="single" w:sz="6" w:space="0" w:color="auto"/>
              <w:bottom w:val="single" w:sz="6" w:space="0" w:color="auto"/>
              <w:right w:val="single" w:sz="6" w:space="0" w:color="auto"/>
            </w:tcBorders>
            <w:vAlign w:val="center"/>
          </w:tcPr>
          <w:p w14:paraId="3917D99A"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10-60</w:t>
            </w:r>
          </w:p>
        </w:tc>
        <w:tc>
          <w:tcPr>
            <w:tcW w:w="512" w:type="pct"/>
            <w:tcBorders>
              <w:top w:val="single" w:sz="6" w:space="0" w:color="auto"/>
              <w:left w:val="single" w:sz="6" w:space="0" w:color="auto"/>
              <w:bottom w:val="single" w:sz="6" w:space="0" w:color="auto"/>
              <w:right w:val="single" w:sz="6" w:space="0" w:color="auto"/>
            </w:tcBorders>
            <w:vAlign w:val="center"/>
          </w:tcPr>
          <w:p w14:paraId="6303AFC0"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50-100</w:t>
            </w:r>
          </w:p>
        </w:tc>
        <w:tc>
          <w:tcPr>
            <w:tcW w:w="510" w:type="pct"/>
            <w:tcBorders>
              <w:top w:val="single" w:sz="6" w:space="0" w:color="auto"/>
              <w:left w:val="single" w:sz="6" w:space="0" w:color="auto"/>
              <w:bottom w:val="single" w:sz="6" w:space="0" w:color="auto"/>
              <w:right w:val="single" w:sz="6" w:space="0" w:color="auto"/>
            </w:tcBorders>
            <w:vAlign w:val="center"/>
          </w:tcPr>
          <w:p w14:paraId="1F7A4B8B"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30-85</w:t>
            </w:r>
          </w:p>
        </w:tc>
        <w:tc>
          <w:tcPr>
            <w:tcW w:w="523" w:type="pct"/>
            <w:tcBorders>
              <w:top w:val="single" w:sz="6" w:space="0" w:color="auto"/>
              <w:left w:val="single" w:sz="6" w:space="0" w:color="auto"/>
              <w:bottom w:val="single" w:sz="6" w:space="0" w:color="auto"/>
              <w:right w:val="single" w:sz="4" w:space="0" w:color="auto"/>
            </w:tcBorders>
            <w:vAlign w:val="center"/>
          </w:tcPr>
          <w:p w14:paraId="31B0D177"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85-110</w:t>
            </w:r>
          </w:p>
        </w:tc>
        <w:tc>
          <w:tcPr>
            <w:tcW w:w="2054" w:type="pct"/>
            <w:tcBorders>
              <w:top w:val="single" w:sz="6" w:space="0" w:color="auto"/>
              <w:left w:val="single" w:sz="6" w:space="0" w:color="auto"/>
              <w:bottom w:val="single" w:sz="6" w:space="0" w:color="auto"/>
              <w:right w:val="single" w:sz="4" w:space="0" w:color="auto"/>
            </w:tcBorders>
          </w:tcPr>
          <w:p w14:paraId="2FA75EFD" w14:textId="7A0659A3"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150</w:t>
            </w:r>
          </w:p>
        </w:tc>
      </w:tr>
      <w:tr w:rsidR="00EB7491" w:rsidRPr="00DD0D1F" w14:paraId="64E9E810" w14:textId="42F3E7F3" w:rsidTr="00B542F1">
        <w:trPr>
          <w:trHeight w:val="45"/>
        </w:trPr>
        <w:tc>
          <w:tcPr>
            <w:tcW w:w="891" w:type="pct"/>
            <w:tcBorders>
              <w:top w:val="single" w:sz="6" w:space="0" w:color="auto"/>
              <w:left w:val="single" w:sz="4" w:space="0" w:color="auto"/>
              <w:bottom w:val="single" w:sz="6" w:space="0" w:color="auto"/>
              <w:right w:val="single" w:sz="6" w:space="0" w:color="auto"/>
            </w:tcBorders>
            <w:vAlign w:val="center"/>
          </w:tcPr>
          <w:p w14:paraId="7BCF8411" w14:textId="77777777" w:rsidR="00B542F1" w:rsidRPr="00DD0D1F" w:rsidRDefault="00B542F1" w:rsidP="003328F9">
            <w:pPr>
              <w:adjustRightInd w:val="0"/>
              <w:spacing w:line="240" w:lineRule="auto"/>
              <w:ind w:left="74" w:right="74"/>
              <w:rPr>
                <w:rFonts w:cs="Times New Roman"/>
                <w:szCs w:val="24"/>
                <w:lang w:val="tr-TR"/>
              </w:rPr>
            </w:pPr>
            <w:r w:rsidRPr="00DD0D1F">
              <w:rPr>
                <w:rFonts w:cs="Times New Roman"/>
                <w:szCs w:val="24"/>
                <w:lang w:val="tr-TR"/>
              </w:rPr>
              <w:t>Motor (</w:t>
            </w:r>
            <w:r w:rsidRPr="00DD0D1F">
              <w:rPr>
                <w:rFonts w:cs="Times New Roman"/>
                <w:szCs w:val="24"/>
                <w:vertAlign w:val="superscript"/>
                <w:lang w:val="tr-TR"/>
              </w:rPr>
              <w:t>4</w:t>
            </w:r>
            <w:r w:rsidRPr="00DD0D1F">
              <w:rPr>
                <w:rFonts w:cs="Times New Roman"/>
                <w:szCs w:val="24"/>
                <w:lang w:val="tr-TR"/>
              </w:rPr>
              <w:t>)</w:t>
            </w:r>
          </w:p>
        </w:tc>
        <w:tc>
          <w:tcPr>
            <w:tcW w:w="510" w:type="pct"/>
            <w:tcBorders>
              <w:top w:val="single" w:sz="6" w:space="0" w:color="auto"/>
              <w:left w:val="single" w:sz="6" w:space="0" w:color="auto"/>
              <w:bottom w:val="single" w:sz="6" w:space="0" w:color="auto"/>
              <w:right w:val="single" w:sz="6" w:space="0" w:color="auto"/>
            </w:tcBorders>
            <w:vAlign w:val="center"/>
          </w:tcPr>
          <w:p w14:paraId="630A82D9"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20-75</w:t>
            </w:r>
          </w:p>
        </w:tc>
        <w:tc>
          <w:tcPr>
            <w:tcW w:w="512" w:type="pct"/>
            <w:tcBorders>
              <w:top w:val="single" w:sz="6" w:space="0" w:color="auto"/>
              <w:left w:val="single" w:sz="6" w:space="0" w:color="auto"/>
              <w:bottom w:val="single" w:sz="6" w:space="0" w:color="auto"/>
              <w:right w:val="single" w:sz="6" w:space="0" w:color="auto"/>
            </w:tcBorders>
            <w:vAlign w:val="center"/>
          </w:tcPr>
          <w:p w14:paraId="254AB6A5"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20-100</w:t>
            </w:r>
          </w:p>
        </w:tc>
        <w:tc>
          <w:tcPr>
            <w:tcW w:w="510" w:type="pct"/>
            <w:tcBorders>
              <w:top w:val="single" w:sz="6" w:space="0" w:color="auto"/>
              <w:left w:val="single" w:sz="6" w:space="0" w:color="auto"/>
              <w:bottom w:val="single" w:sz="6" w:space="0" w:color="auto"/>
              <w:right w:val="single" w:sz="6" w:space="0" w:color="auto"/>
            </w:tcBorders>
            <w:vAlign w:val="center"/>
          </w:tcPr>
          <w:p w14:paraId="3E4D9C6D"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55-85</w:t>
            </w:r>
          </w:p>
        </w:tc>
        <w:tc>
          <w:tcPr>
            <w:tcW w:w="523" w:type="pct"/>
            <w:tcBorders>
              <w:top w:val="single" w:sz="6" w:space="0" w:color="auto"/>
              <w:left w:val="single" w:sz="6" w:space="0" w:color="auto"/>
              <w:bottom w:val="single" w:sz="6" w:space="0" w:color="auto"/>
              <w:right w:val="single" w:sz="4" w:space="0" w:color="auto"/>
            </w:tcBorders>
            <w:vAlign w:val="center"/>
          </w:tcPr>
          <w:p w14:paraId="4276DC30"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55-110 (</w:t>
            </w:r>
            <w:r w:rsidRPr="00DD0D1F">
              <w:rPr>
                <w:rFonts w:cs="Times New Roman"/>
                <w:szCs w:val="24"/>
                <w:vertAlign w:val="superscript"/>
                <w:lang w:val="tr-TR"/>
              </w:rPr>
              <w:t>5</w:t>
            </w:r>
            <w:r w:rsidRPr="00DD0D1F">
              <w:rPr>
                <w:rFonts w:cs="Times New Roman"/>
                <w:szCs w:val="24"/>
                <w:lang w:val="tr-TR"/>
              </w:rPr>
              <w:t>)</w:t>
            </w:r>
          </w:p>
        </w:tc>
        <w:tc>
          <w:tcPr>
            <w:tcW w:w="2054" w:type="pct"/>
            <w:tcBorders>
              <w:top w:val="single" w:sz="6" w:space="0" w:color="auto"/>
              <w:left w:val="single" w:sz="6" w:space="0" w:color="auto"/>
              <w:bottom w:val="single" w:sz="6" w:space="0" w:color="auto"/>
              <w:right w:val="single" w:sz="4" w:space="0" w:color="auto"/>
            </w:tcBorders>
          </w:tcPr>
          <w:p w14:paraId="22163F87" w14:textId="24ED79CC"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150</w:t>
            </w:r>
          </w:p>
        </w:tc>
      </w:tr>
      <w:tr w:rsidR="00EB7491" w:rsidRPr="00DD0D1F" w14:paraId="189D1F3C" w14:textId="4A8FE73F" w:rsidTr="00B542F1">
        <w:trPr>
          <w:trHeight w:val="727"/>
        </w:trPr>
        <w:tc>
          <w:tcPr>
            <w:tcW w:w="5000" w:type="pct"/>
            <w:gridSpan w:val="6"/>
            <w:tcBorders>
              <w:top w:val="single" w:sz="6" w:space="0" w:color="auto"/>
              <w:left w:val="single" w:sz="4" w:space="0" w:color="auto"/>
              <w:bottom w:val="single" w:sz="4" w:space="0" w:color="auto"/>
              <w:right w:val="single" w:sz="4" w:space="0" w:color="auto"/>
            </w:tcBorders>
          </w:tcPr>
          <w:p w14:paraId="6DE61CA4"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NO</w:t>
            </w:r>
            <w:r w:rsidRPr="00DD0D1F">
              <w:rPr>
                <w:rFonts w:cs="Times New Roman"/>
                <w:szCs w:val="24"/>
                <w:vertAlign w:val="subscript"/>
                <w:lang w:val="tr-TR"/>
              </w:rPr>
              <w:t>X</w:t>
            </w:r>
            <w:r w:rsidRPr="00DD0D1F">
              <w:rPr>
                <w:rFonts w:cs="Times New Roman"/>
                <w:szCs w:val="24"/>
                <w:lang w:val="tr-TR"/>
              </w:rPr>
              <w:t xml:space="preserve"> emisyonlarını azaltmak için mevcut bir tekniğin işleyişini optimize etmek, bu tablodan sonra verilen CO emisyonlarının gösterge aralığının üst sınırındaki CO emisyonları seviyesine yol açabilir.</w:t>
            </w:r>
          </w:p>
          <w:p w14:paraId="2FE5C4BA"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Bu MET-İES’ler &lt;1500 saat/yıl çalıştırılan tesislere uygulanmaz.</w:t>
            </w:r>
          </w:p>
          <w:p w14:paraId="1CB8E4DF"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7C30F58E"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Bu MET-İES’ler yalnızca buji ateşlemeli motor ve çift yakıtlı motorlar için geçerlidir. Gaz-dizel motorlara uygulanmaz. </w:t>
            </w:r>
          </w:p>
          <w:p w14:paraId="0DA7477D" w14:textId="7D4951C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Zayıf yanma konsepti uygulayamayan veya SCR kullanmayan &lt;500 saat/yıl çalıştırılan acil durum motorlarında, gösterge aralığın üst sınırı 175 mg/Nm</w:t>
            </w:r>
            <w:r w:rsidRPr="00DD0D1F">
              <w:rPr>
                <w:rFonts w:cs="Times New Roman"/>
                <w:szCs w:val="24"/>
                <w:vertAlign w:val="superscript"/>
                <w:lang w:val="tr-TR"/>
              </w:rPr>
              <w:t>3</w:t>
            </w:r>
            <w:r w:rsidRPr="00DD0D1F">
              <w:rPr>
                <w:rFonts w:cs="Times New Roman"/>
                <w:szCs w:val="24"/>
                <w:lang w:val="tr-TR"/>
              </w:rPr>
              <w:t>'tür.</w:t>
            </w:r>
          </w:p>
        </w:tc>
      </w:tr>
    </w:tbl>
    <w:p w14:paraId="5EC3EE94"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1DA47CEF"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kazanlar için &lt;5-40 mg/ Nm3'tür,</w:t>
      </w:r>
    </w:p>
    <w:p w14:paraId="4A599625"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Yeni kazanlar için &lt;5-15 mg/ Nm3'tür,</w:t>
      </w:r>
    </w:p>
    <w:p w14:paraId="69E1E18E"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kazanlar için ve yeni motorlar için 30-100 mg/ Nm3'tür.</w:t>
      </w:r>
    </w:p>
    <w:p w14:paraId="1996F5CE" w14:textId="6191021E" w:rsidR="003328F9" w:rsidRPr="00DD0D1F" w:rsidRDefault="003328F9" w:rsidP="003328F9">
      <w:pPr>
        <w:spacing w:before="240"/>
        <w:rPr>
          <w:rFonts w:cs="Times New Roman"/>
          <w:b/>
          <w:bCs/>
          <w:szCs w:val="24"/>
          <w:lang w:val="tr-TR"/>
        </w:rPr>
      </w:pPr>
      <w:r w:rsidRPr="00DD0D1F">
        <w:rPr>
          <w:rFonts w:cs="Times New Roman"/>
          <w:b/>
          <w:bCs/>
          <w:szCs w:val="24"/>
          <w:lang w:val="tr-TR"/>
        </w:rPr>
        <w:t>MET 45</w:t>
      </w:r>
      <w:bookmarkStart w:id="96" w:name="_Hlk137396945"/>
      <w:r w:rsidRPr="00DD0D1F">
        <w:rPr>
          <w:rFonts w:cs="Times New Roman"/>
          <w:b/>
          <w:bCs/>
          <w:szCs w:val="24"/>
          <w:lang w:val="tr-TR"/>
        </w:rPr>
        <w:t xml:space="preserve">: </w:t>
      </w:r>
      <w:r w:rsidRPr="00DD0D1F">
        <w:rPr>
          <w:rFonts w:cs="Times New Roman"/>
          <w:bCs/>
          <w:szCs w:val="24"/>
          <w:lang w:val="tr-TR"/>
        </w:rPr>
        <w:t>Doğalgazın buji ateşlemeli zayıf yanmalı gaz motorlarda yakılmasından kaynaklanan, metan olmayan uçucu organik bileşik (NMVOC) ve metanın (CH</w:t>
      </w:r>
      <w:r w:rsidRPr="00DD0D1F">
        <w:rPr>
          <w:rFonts w:cs="Times New Roman"/>
          <w:bCs/>
          <w:szCs w:val="24"/>
          <w:vertAlign w:val="subscript"/>
          <w:lang w:val="tr-TR"/>
        </w:rPr>
        <w:t>4</w:t>
      </w:r>
      <w:r w:rsidRPr="00DD0D1F">
        <w:rPr>
          <w:rFonts w:cs="Times New Roman"/>
          <w:bCs/>
          <w:szCs w:val="24"/>
          <w:lang w:val="tr-TR"/>
        </w:rPr>
        <w:t>) havaya emisyonlarını düşürmek için, optimize edilmiş yanma sağla</w:t>
      </w:r>
      <w:r w:rsidR="00004F52" w:rsidRPr="00DD0D1F">
        <w:rPr>
          <w:rFonts w:cs="Times New Roman"/>
          <w:bCs/>
          <w:szCs w:val="24"/>
          <w:lang w:val="tr-TR"/>
        </w:rPr>
        <w:t>nır</w:t>
      </w:r>
      <w:r w:rsidRPr="00DD0D1F">
        <w:rPr>
          <w:rFonts w:cs="Times New Roman"/>
          <w:bCs/>
          <w:szCs w:val="24"/>
          <w:lang w:val="tr-TR"/>
        </w:rPr>
        <w:t xml:space="preserve"> ve/veya oksidasyon katalizörlerini kullan</w:t>
      </w:r>
      <w:r w:rsidR="00004F52" w:rsidRPr="00DD0D1F">
        <w:rPr>
          <w:rFonts w:cs="Times New Roman"/>
          <w:bCs/>
          <w:szCs w:val="24"/>
          <w:lang w:val="tr-TR"/>
        </w:rPr>
        <w:t>ılır.</w:t>
      </w:r>
    </w:p>
    <w:bookmarkEnd w:id="96"/>
    <w:p w14:paraId="4F60A4EB"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Açıklama</w:t>
      </w:r>
    </w:p>
    <w:p w14:paraId="49A3B758" w14:textId="053D3CF5" w:rsidR="003328F9" w:rsidRPr="00DD0D1F" w:rsidRDefault="003328F9" w:rsidP="003328F9">
      <w:pPr>
        <w:spacing w:before="240"/>
        <w:rPr>
          <w:rFonts w:cs="Times New Roman"/>
          <w:szCs w:val="24"/>
          <w:lang w:val="tr-TR"/>
        </w:rPr>
      </w:pPr>
      <w:r w:rsidRPr="00DD0D1F">
        <w:rPr>
          <w:rFonts w:cs="Times New Roman"/>
          <w:szCs w:val="24"/>
          <w:lang w:val="tr-TR"/>
        </w:rPr>
        <w:t>Oksidasyon katalizörleri, dörtten az karbon atomu içeren doymuş hidrokarbon emisyonlarını azaltmada etkili değildir.</w:t>
      </w:r>
      <w:r w:rsidR="006D14BA" w:rsidRPr="00DD0D1F">
        <w:rPr>
          <w:rFonts w:cs="Times New Roman"/>
          <w:bCs/>
          <w:szCs w:val="24"/>
          <w:lang w:val="tr-TR"/>
        </w:rPr>
        <w:t xml:space="preserve"> Başlık 10.8.3’teki açıklamalara bakınız.</w:t>
      </w:r>
    </w:p>
    <w:p w14:paraId="28BD7AFE"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Doğalgazın buji ateşlemeli zayıf yanmalı gaz motorlarında yakılmasından kaynaklanan, formaldehit ve CH</w:t>
      </w:r>
      <w:r w:rsidRPr="00DD0D1F">
        <w:rPr>
          <w:rFonts w:cs="Times New Roman"/>
          <w:color w:val="auto"/>
          <w:szCs w:val="24"/>
          <w:vertAlign w:val="subscript"/>
          <w:lang w:val="tr-TR"/>
        </w:rPr>
        <w:t>4</w:t>
      </w:r>
      <w:r w:rsidRPr="00DD0D1F">
        <w:rPr>
          <w:rFonts w:cs="Times New Roman"/>
          <w:color w:val="auto"/>
          <w:szCs w:val="24"/>
          <w:lang w:val="tr-TR"/>
        </w:rPr>
        <w:t>’ün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672"/>
        <w:gridCol w:w="3075"/>
        <w:gridCol w:w="1694"/>
        <w:gridCol w:w="1636"/>
      </w:tblGrid>
      <w:tr w:rsidR="003328F9" w:rsidRPr="00DD0D1F" w14:paraId="2C328115" w14:textId="77777777" w:rsidTr="003328F9">
        <w:trPr>
          <w:trHeight w:val="46"/>
        </w:trPr>
        <w:tc>
          <w:tcPr>
            <w:tcW w:w="1472" w:type="pct"/>
            <w:vMerge w:val="restart"/>
            <w:tcBorders>
              <w:top w:val="single" w:sz="4" w:space="0" w:color="auto"/>
              <w:left w:val="single" w:sz="4" w:space="0" w:color="auto"/>
              <w:right w:val="single" w:sz="6" w:space="0" w:color="auto"/>
            </w:tcBorders>
            <w:vAlign w:val="center"/>
          </w:tcPr>
          <w:p w14:paraId="08243BD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3528" w:type="pct"/>
            <w:gridSpan w:val="3"/>
            <w:tcBorders>
              <w:top w:val="single" w:sz="4" w:space="0" w:color="auto"/>
              <w:left w:val="single" w:sz="6" w:space="0" w:color="auto"/>
              <w:bottom w:val="single" w:sz="6" w:space="0" w:color="auto"/>
              <w:right w:val="single" w:sz="4" w:space="0" w:color="auto"/>
            </w:tcBorders>
            <w:vAlign w:val="center"/>
          </w:tcPr>
          <w:p w14:paraId="711776B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563EC6A9" w14:textId="77777777" w:rsidTr="003328F9">
        <w:trPr>
          <w:trHeight w:val="46"/>
        </w:trPr>
        <w:tc>
          <w:tcPr>
            <w:tcW w:w="1472" w:type="pct"/>
            <w:vMerge/>
            <w:tcBorders>
              <w:left w:val="single" w:sz="4" w:space="0" w:color="auto"/>
              <w:right w:val="single" w:sz="6" w:space="0" w:color="auto"/>
            </w:tcBorders>
            <w:vAlign w:val="center"/>
          </w:tcPr>
          <w:p w14:paraId="288ECF6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94" w:type="pct"/>
            <w:tcBorders>
              <w:top w:val="single" w:sz="6" w:space="0" w:color="auto"/>
              <w:left w:val="single" w:sz="6" w:space="0" w:color="auto"/>
              <w:bottom w:val="single" w:sz="6" w:space="0" w:color="auto"/>
              <w:right w:val="single" w:sz="6" w:space="0" w:color="auto"/>
            </w:tcBorders>
            <w:vAlign w:val="center"/>
          </w:tcPr>
          <w:p w14:paraId="09B88FC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Formaldehit</w:t>
            </w:r>
          </w:p>
        </w:tc>
        <w:tc>
          <w:tcPr>
            <w:tcW w:w="1834" w:type="pct"/>
            <w:gridSpan w:val="2"/>
            <w:tcBorders>
              <w:top w:val="single" w:sz="6" w:space="0" w:color="auto"/>
              <w:left w:val="single" w:sz="6" w:space="0" w:color="auto"/>
              <w:bottom w:val="single" w:sz="6" w:space="0" w:color="auto"/>
              <w:right w:val="single" w:sz="4" w:space="0" w:color="auto"/>
            </w:tcBorders>
            <w:vAlign w:val="center"/>
          </w:tcPr>
          <w:p w14:paraId="0870461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bCs/>
                <w:szCs w:val="24"/>
                <w:lang w:val="tr-TR"/>
              </w:rPr>
              <w:t>CH</w:t>
            </w:r>
            <w:r w:rsidRPr="00DD0D1F">
              <w:rPr>
                <w:rFonts w:cs="Times New Roman"/>
                <w:b/>
                <w:bCs/>
                <w:szCs w:val="24"/>
                <w:vertAlign w:val="subscript"/>
                <w:lang w:val="tr-TR"/>
              </w:rPr>
              <w:t>4</w:t>
            </w:r>
          </w:p>
        </w:tc>
      </w:tr>
      <w:tr w:rsidR="003328F9" w:rsidRPr="00DD0D1F" w14:paraId="37257517" w14:textId="77777777" w:rsidTr="003328F9">
        <w:trPr>
          <w:trHeight w:val="46"/>
        </w:trPr>
        <w:tc>
          <w:tcPr>
            <w:tcW w:w="1472" w:type="pct"/>
            <w:vMerge/>
            <w:tcBorders>
              <w:left w:val="single" w:sz="4" w:space="0" w:color="auto"/>
              <w:right w:val="single" w:sz="6" w:space="0" w:color="auto"/>
            </w:tcBorders>
            <w:vAlign w:val="center"/>
          </w:tcPr>
          <w:p w14:paraId="41583276"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3528" w:type="pct"/>
            <w:gridSpan w:val="3"/>
            <w:tcBorders>
              <w:top w:val="single" w:sz="6" w:space="0" w:color="auto"/>
              <w:left w:val="single" w:sz="6" w:space="0" w:color="auto"/>
              <w:bottom w:val="single" w:sz="6" w:space="0" w:color="auto"/>
              <w:right w:val="single" w:sz="4" w:space="0" w:color="auto"/>
            </w:tcBorders>
            <w:vAlign w:val="center"/>
          </w:tcPr>
          <w:p w14:paraId="6F94B66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0C2E2ADD" w14:textId="77777777" w:rsidTr="003328F9">
        <w:trPr>
          <w:trHeight w:val="46"/>
        </w:trPr>
        <w:tc>
          <w:tcPr>
            <w:tcW w:w="1472" w:type="pct"/>
            <w:vMerge/>
            <w:tcBorders>
              <w:left w:val="single" w:sz="4" w:space="0" w:color="auto"/>
              <w:bottom w:val="single" w:sz="6" w:space="0" w:color="auto"/>
              <w:right w:val="single" w:sz="6" w:space="0" w:color="auto"/>
            </w:tcBorders>
            <w:vAlign w:val="center"/>
          </w:tcPr>
          <w:p w14:paraId="3309C2B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94" w:type="pct"/>
            <w:tcBorders>
              <w:top w:val="single" w:sz="6" w:space="0" w:color="auto"/>
              <w:left w:val="single" w:sz="6" w:space="0" w:color="auto"/>
              <w:bottom w:val="single" w:sz="6" w:space="0" w:color="auto"/>
              <w:right w:val="single" w:sz="6" w:space="0" w:color="auto"/>
            </w:tcBorders>
            <w:vAlign w:val="center"/>
          </w:tcPr>
          <w:p w14:paraId="187F5AF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veya mevcut tesis</w:t>
            </w:r>
          </w:p>
        </w:tc>
        <w:tc>
          <w:tcPr>
            <w:tcW w:w="933" w:type="pct"/>
            <w:tcBorders>
              <w:top w:val="single" w:sz="6" w:space="0" w:color="auto"/>
              <w:left w:val="single" w:sz="6" w:space="0" w:color="auto"/>
              <w:bottom w:val="single" w:sz="6" w:space="0" w:color="auto"/>
              <w:right w:val="single" w:sz="6" w:space="0" w:color="auto"/>
            </w:tcBorders>
            <w:vAlign w:val="center"/>
          </w:tcPr>
          <w:p w14:paraId="68D0AA7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901" w:type="pct"/>
            <w:tcBorders>
              <w:top w:val="single" w:sz="6" w:space="0" w:color="auto"/>
              <w:left w:val="single" w:sz="6" w:space="0" w:color="auto"/>
              <w:bottom w:val="single" w:sz="6" w:space="0" w:color="auto"/>
              <w:right w:val="single" w:sz="4" w:space="0" w:color="auto"/>
            </w:tcBorders>
            <w:vAlign w:val="center"/>
          </w:tcPr>
          <w:p w14:paraId="282771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tc>
      </w:tr>
      <w:tr w:rsidR="003328F9" w:rsidRPr="00DD0D1F" w14:paraId="282F6389" w14:textId="77777777" w:rsidTr="003328F9">
        <w:trPr>
          <w:trHeight w:val="46"/>
        </w:trPr>
        <w:tc>
          <w:tcPr>
            <w:tcW w:w="1472" w:type="pct"/>
            <w:tcBorders>
              <w:top w:val="single" w:sz="6" w:space="0" w:color="auto"/>
              <w:left w:val="single" w:sz="4" w:space="0" w:color="auto"/>
              <w:bottom w:val="single" w:sz="6" w:space="0" w:color="auto"/>
              <w:right w:val="single" w:sz="6" w:space="0" w:color="auto"/>
            </w:tcBorders>
            <w:vAlign w:val="center"/>
          </w:tcPr>
          <w:p w14:paraId="622F0D6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694" w:type="pct"/>
            <w:tcBorders>
              <w:top w:val="single" w:sz="6" w:space="0" w:color="auto"/>
              <w:left w:val="single" w:sz="6" w:space="0" w:color="auto"/>
              <w:bottom w:val="single" w:sz="6" w:space="0" w:color="auto"/>
              <w:right w:val="single" w:sz="6" w:space="0" w:color="auto"/>
            </w:tcBorders>
            <w:vAlign w:val="center"/>
          </w:tcPr>
          <w:p w14:paraId="42219C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5-15 (</w:t>
            </w:r>
            <w:r w:rsidRPr="00DD0D1F">
              <w:rPr>
                <w:rFonts w:cs="Times New Roman"/>
                <w:szCs w:val="24"/>
                <w:vertAlign w:val="superscript"/>
                <w:lang w:val="tr-TR"/>
              </w:rPr>
              <w:t>1</w:t>
            </w:r>
            <w:r w:rsidRPr="00DD0D1F">
              <w:rPr>
                <w:rFonts w:cs="Times New Roman"/>
                <w:szCs w:val="24"/>
                <w:lang w:val="tr-TR"/>
              </w:rPr>
              <w:t>)</w:t>
            </w:r>
          </w:p>
        </w:tc>
        <w:tc>
          <w:tcPr>
            <w:tcW w:w="933" w:type="pct"/>
            <w:tcBorders>
              <w:top w:val="single" w:sz="6" w:space="0" w:color="auto"/>
              <w:left w:val="single" w:sz="6" w:space="0" w:color="auto"/>
              <w:bottom w:val="single" w:sz="6" w:space="0" w:color="auto"/>
              <w:right w:val="single" w:sz="6" w:space="0" w:color="auto"/>
            </w:tcBorders>
            <w:vAlign w:val="center"/>
          </w:tcPr>
          <w:p w14:paraId="1E7DDF4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215-500 (</w:t>
            </w:r>
            <w:r w:rsidRPr="00DD0D1F">
              <w:rPr>
                <w:rFonts w:cs="Times New Roman"/>
                <w:szCs w:val="24"/>
                <w:vertAlign w:val="superscript"/>
                <w:lang w:val="tr-TR"/>
              </w:rPr>
              <w:t>2</w:t>
            </w:r>
            <w:r w:rsidRPr="00DD0D1F">
              <w:rPr>
                <w:rFonts w:cs="Times New Roman"/>
                <w:szCs w:val="24"/>
                <w:lang w:val="tr-TR"/>
              </w:rPr>
              <w:t>)</w:t>
            </w:r>
          </w:p>
        </w:tc>
        <w:tc>
          <w:tcPr>
            <w:tcW w:w="901" w:type="pct"/>
            <w:tcBorders>
              <w:top w:val="single" w:sz="6" w:space="0" w:color="auto"/>
              <w:left w:val="single" w:sz="6" w:space="0" w:color="auto"/>
              <w:bottom w:val="single" w:sz="6" w:space="0" w:color="auto"/>
              <w:right w:val="single" w:sz="4" w:space="0" w:color="auto"/>
            </w:tcBorders>
            <w:vAlign w:val="center"/>
          </w:tcPr>
          <w:p w14:paraId="5DEB55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215-560 (</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1F318EF1" w14:textId="77777777" w:rsidTr="003328F9">
        <w:trPr>
          <w:trHeight w:val="46"/>
        </w:trPr>
        <w:tc>
          <w:tcPr>
            <w:tcW w:w="5000" w:type="pct"/>
            <w:gridSpan w:val="4"/>
            <w:tcBorders>
              <w:top w:val="single" w:sz="6" w:space="0" w:color="auto"/>
              <w:left w:val="single" w:sz="4" w:space="0" w:color="auto"/>
              <w:bottom w:val="single" w:sz="4" w:space="0" w:color="auto"/>
              <w:right w:val="single" w:sz="4" w:space="0" w:color="auto"/>
            </w:tcBorders>
          </w:tcPr>
          <w:p w14:paraId="3D0A3D7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4CE5992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Tam yükte çalıştırılan motorlarda, bu MET-İES, C olarak ifade edilir.</w:t>
            </w:r>
          </w:p>
        </w:tc>
      </w:tr>
    </w:tbl>
    <w:p w14:paraId="4B456D3F" w14:textId="77777777" w:rsidR="003328F9" w:rsidRPr="00DD0D1F" w:rsidRDefault="003328F9" w:rsidP="005A4911">
      <w:pPr>
        <w:pStyle w:val="Normaltext"/>
        <w:rPr>
          <w:rFonts w:cs="Times New Roman"/>
          <w:szCs w:val="24"/>
        </w:rPr>
      </w:pPr>
      <w:bookmarkStart w:id="97" w:name="_Toc137367326"/>
    </w:p>
    <w:p w14:paraId="417CDE7B" w14:textId="4D5277E2" w:rsidR="003328F9" w:rsidRPr="00DD0D1F" w:rsidRDefault="003328F9" w:rsidP="00FF111D">
      <w:pPr>
        <w:pStyle w:val="Balk2"/>
        <w:numPr>
          <w:ilvl w:val="1"/>
          <w:numId w:val="73"/>
        </w:numPr>
        <w:rPr>
          <w:rFonts w:cs="Times New Roman"/>
          <w:szCs w:val="24"/>
          <w:lang w:val="tr-TR"/>
        </w:rPr>
      </w:pPr>
      <w:r w:rsidRPr="00DD0D1F">
        <w:rPr>
          <w:rFonts w:cs="Times New Roman"/>
          <w:szCs w:val="24"/>
          <w:lang w:val="tr-TR"/>
        </w:rPr>
        <w:t>Demir ve Çelik Proses Gazlarının Yakılmasına İlişkin MET</w:t>
      </w:r>
      <w:bookmarkEnd w:id="97"/>
    </w:p>
    <w:p w14:paraId="6E6FF14B" w14:textId="4B3387D3" w:rsidR="003328F9" w:rsidRPr="00DD0D1F" w:rsidRDefault="00A13BD5" w:rsidP="003328F9">
      <w:pPr>
        <w:spacing w:before="240"/>
        <w:rPr>
          <w:rFonts w:cs="Times New Roman"/>
          <w:szCs w:val="24"/>
          <w:lang w:val="nl-NL"/>
        </w:rPr>
      </w:pPr>
      <w:r>
        <w:rPr>
          <w:rFonts w:cs="Times New Roman"/>
          <w:szCs w:val="24"/>
          <w:lang w:val="tr-TR"/>
        </w:rPr>
        <w:t>Bu bölüm</w:t>
      </w:r>
      <w:r w:rsidR="003328F9" w:rsidRPr="00DD0D1F">
        <w:rPr>
          <w:rFonts w:cs="Times New Roman"/>
          <w:szCs w:val="24"/>
          <w:lang w:val="tr-TR"/>
        </w:rPr>
        <w:t>de yer alan MET sonuçları genel olarak demir ve çelik proses gazlarının (yüksek fırın gazı, kok fırını gazı, bazik oksijen fırını gazı) tek başına yakılması ve diğer gaz ve/veya sıvı yakıtlarla birlikte veya eşzamanlı yakılması ile ilgilidir</w:t>
      </w:r>
      <w:r w:rsidR="003328F9" w:rsidRPr="00DD0D1F">
        <w:rPr>
          <w:rFonts w:cs="Times New Roman"/>
          <w:szCs w:val="24"/>
          <w:lang w:val="nl-NL"/>
        </w:rPr>
        <w:t>.</w:t>
      </w:r>
    </w:p>
    <w:p w14:paraId="5788B791" w14:textId="77777777" w:rsidR="003328F9" w:rsidRPr="00DD0D1F" w:rsidRDefault="003328F9" w:rsidP="00FF111D">
      <w:pPr>
        <w:pStyle w:val="Balk3"/>
        <w:numPr>
          <w:ilvl w:val="2"/>
          <w:numId w:val="73"/>
        </w:numPr>
        <w:rPr>
          <w:rFonts w:cs="Times New Roman"/>
        </w:rPr>
      </w:pPr>
      <w:bookmarkStart w:id="98" w:name="_Toc137367327"/>
      <w:r w:rsidRPr="00DD0D1F">
        <w:rPr>
          <w:rFonts w:cs="Times New Roman"/>
        </w:rPr>
        <w:t>Enerji Verimliliği</w:t>
      </w:r>
      <w:bookmarkEnd w:id="98"/>
    </w:p>
    <w:p w14:paraId="32F7101E" w14:textId="77879EFC" w:rsidR="003328F9" w:rsidRPr="00DD0D1F" w:rsidRDefault="003328F9" w:rsidP="003328F9">
      <w:pPr>
        <w:spacing w:before="240"/>
        <w:rPr>
          <w:rFonts w:cs="Times New Roman"/>
          <w:bCs/>
          <w:szCs w:val="24"/>
        </w:rPr>
      </w:pPr>
      <w:r w:rsidRPr="00DD0D1F">
        <w:rPr>
          <w:rFonts w:cs="Times New Roman"/>
          <w:b/>
          <w:bCs/>
          <w:szCs w:val="24"/>
        </w:rPr>
        <w:t>MET 46</w:t>
      </w:r>
      <w:bookmarkStart w:id="99" w:name="_Hlk137396983"/>
      <w:r w:rsidRPr="00DD0D1F">
        <w:rPr>
          <w:rFonts w:cs="Times New Roman"/>
          <w:b/>
          <w:bCs/>
          <w:szCs w:val="24"/>
        </w:rPr>
        <w:t xml:space="preserve">: </w:t>
      </w:r>
      <w:r w:rsidRPr="00DD0D1F">
        <w:rPr>
          <w:rFonts w:cs="Times New Roman"/>
          <w:bCs/>
          <w:szCs w:val="24"/>
        </w:rPr>
        <w:t xml:space="preserve">Demir ve çelik proses gazlarının yanmasının enerji verimliliğini arttırmak için, MET 12'de yer alan ve aşağıda verilen </w:t>
      </w:r>
      <w:r w:rsidR="00004F52" w:rsidRPr="00DD0D1F">
        <w:rPr>
          <w:rFonts w:cs="Times New Roman"/>
          <w:bCs/>
          <w:szCs w:val="24"/>
        </w:rPr>
        <w:t>tekniklerden uygun bir birleşimi</w:t>
      </w:r>
      <w:r w:rsidRPr="00DD0D1F">
        <w:rPr>
          <w:rFonts w:cs="Times New Roman"/>
          <w:bCs/>
          <w:szCs w:val="24"/>
        </w:rPr>
        <w:t xml:space="preserve"> kullan</w:t>
      </w:r>
      <w:r w:rsidR="00004F52" w:rsidRPr="00DD0D1F">
        <w:rPr>
          <w:rFonts w:cs="Times New Roman"/>
          <w:bCs/>
          <w:szCs w:val="24"/>
        </w:rPr>
        <w:t>ılır.</w:t>
      </w:r>
      <w:bookmarkEnd w:id="99"/>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
        <w:gridCol w:w="2336"/>
        <w:gridCol w:w="3979"/>
        <w:gridCol w:w="2496"/>
      </w:tblGrid>
      <w:tr w:rsidR="003328F9" w:rsidRPr="00DD0D1F" w14:paraId="4E645989" w14:textId="77777777" w:rsidTr="003328F9">
        <w:trPr>
          <w:trHeight w:val="230"/>
        </w:trPr>
        <w:tc>
          <w:tcPr>
            <w:tcW w:w="146" w:type="pct"/>
            <w:tcBorders>
              <w:right w:val="single" w:sz="4" w:space="0" w:color="auto"/>
            </w:tcBorders>
          </w:tcPr>
          <w:p w14:paraId="4B320B97" w14:textId="77777777" w:rsidR="003328F9" w:rsidRPr="00DD0D1F" w:rsidRDefault="003328F9" w:rsidP="003328F9">
            <w:pPr>
              <w:pStyle w:val="TableParagraph"/>
              <w:ind w:right="74"/>
              <w:jc w:val="center"/>
              <w:rPr>
                <w:b/>
                <w:szCs w:val="24"/>
              </w:rPr>
            </w:pPr>
          </w:p>
        </w:tc>
        <w:tc>
          <w:tcPr>
            <w:tcW w:w="1287" w:type="pct"/>
            <w:tcBorders>
              <w:left w:val="single" w:sz="4" w:space="0" w:color="auto"/>
              <w:right w:val="single" w:sz="6" w:space="0" w:color="000000"/>
            </w:tcBorders>
          </w:tcPr>
          <w:p w14:paraId="59F37EA3" w14:textId="77777777" w:rsidR="003328F9" w:rsidRPr="00DD0D1F" w:rsidRDefault="003328F9" w:rsidP="003328F9">
            <w:pPr>
              <w:pStyle w:val="TableParagraph"/>
              <w:ind w:left="74" w:right="74"/>
              <w:jc w:val="center"/>
              <w:rPr>
                <w:b/>
                <w:szCs w:val="24"/>
              </w:rPr>
            </w:pPr>
            <w:r w:rsidRPr="00DD0D1F">
              <w:rPr>
                <w:b/>
                <w:szCs w:val="24"/>
              </w:rPr>
              <w:t>Teknik</w:t>
            </w:r>
          </w:p>
        </w:tc>
        <w:tc>
          <w:tcPr>
            <w:tcW w:w="2192" w:type="pct"/>
            <w:tcBorders>
              <w:left w:val="single" w:sz="6" w:space="0" w:color="000000"/>
              <w:right w:val="single" w:sz="6" w:space="0" w:color="000000"/>
            </w:tcBorders>
          </w:tcPr>
          <w:p w14:paraId="6D4E2ACC" w14:textId="77777777" w:rsidR="003328F9" w:rsidRPr="00DD0D1F" w:rsidRDefault="003328F9" w:rsidP="003328F9">
            <w:pPr>
              <w:pStyle w:val="TableParagraph"/>
              <w:ind w:left="74" w:right="74"/>
              <w:jc w:val="center"/>
              <w:rPr>
                <w:b/>
                <w:szCs w:val="24"/>
              </w:rPr>
            </w:pPr>
            <w:r w:rsidRPr="00DD0D1F">
              <w:rPr>
                <w:b/>
                <w:szCs w:val="24"/>
              </w:rPr>
              <w:t>Açıklama</w:t>
            </w:r>
          </w:p>
        </w:tc>
        <w:tc>
          <w:tcPr>
            <w:tcW w:w="1375" w:type="pct"/>
            <w:tcBorders>
              <w:left w:val="single" w:sz="6" w:space="0" w:color="000000"/>
            </w:tcBorders>
          </w:tcPr>
          <w:p w14:paraId="6ACCD06A"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436D3553" w14:textId="77777777" w:rsidTr="003328F9">
        <w:trPr>
          <w:trHeight w:val="460"/>
        </w:trPr>
        <w:tc>
          <w:tcPr>
            <w:tcW w:w="146" w:type="pct"/>
            <w:tcBorders>
              <w:right w:val="single" w:sz="4" w:space="0" w:color="auto"/>
            </w:tcBorders>
            <w:vAlign w:val="center"/>
          </w:tcPr>
          <w:p w14:paraId="7ACBAD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287" w:type="pct"/>
            <w:tcBorders>
              <w:left w:val="single" w:sz="4" w:space="0" w:color="auto"/>
            </w:tcBorders>
            <w:vAlign w:val="center"/>
          </w:tcPr>
          <w:p w14:paraId="72C4E061" w14:textId="77777777" w:rsidR="003328F9" w:rsidRPr="00DD0D1F" w:rsidRDefault="003328F9" w:rsidP="003328F9">
            <w:pPr>
              <w:adjustRightInd w:val="0"/>
              <w:spacing w:line="240" w:lineRule="auto"/>
              <w:ind w:left="74" w:right="74"/>
              <w:rPr>
                <w:rFonts w:cs="Times New Roman"/>
                <w:szCs w:val="24"/>
                <w:lang w:val="tr-TR"/>
              </w:rPr>
            </w:pPr>
            <w:bookmarkStart w:id="100" w:name="_Hlk137397013"/>
            <w:r w:rsidRPr="00DD0D1F">
              <w:rPr>
                <w:rFonts w:cs="Times New Roman"/>
                <w:szCs w:val="24"/>
                <w:lang w:val="tr-TR"/>
              </w:rPr>
              <w:t>Proses gaz yönetimi sistemi</w:t>
            </w:r>
            <w:bookmarkEnd w:id="100"/>
          </w:p>
        </w:tc>
        <w:tc>
          <w:tcPr>
            <w:tcW w:w="2192" w:type="pct"/>
            <w:vAlign w:val="center"/>
          </w:tcPr>
          <w:p w14:paraId="05E0CF1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1C749353" w14:textId="77777777" w:rsidR="003328F9" w:rsidRPr="00DD0D1F" w:rsidRDefault="003328F9" w:rsidP="003328F9">
            <w:pPr>
              <w:adjustRightInd w:val="0"/>
              <w:spacing w:line="240" w:lineRule="auto"/>
              <w:ind w:left="74" w:right="74"/>
              <w:rPr>
                <w:rFonts w:cs="Times New Roman"/>
                <w:szCs w:val="24"/>
                <w:lang w:val="tr-TR"/>
              </w:rPr>
            </w:pPr>
          </w:p>
        </w:tc>
        <w:tc>
          <w:tcPr>
            <w:tcW w:w="1375" w:type="pct"/>
            <w:vAlign w:val="center"/>
          </w:tcPr>
          <w:p w14:paraId="3F4489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entegre çelik işlerine uygulanabilir.</w:t>
            </w:r>
          </w:p>
        </w:tc>
      </w:tr>
    </w:tbl>
    <w:p w14:paraId="4FA38944" w14:textId="77777777" w:rsidR="003328F9" w:rsidRPr="00DD0D1F" w:rsidRDefault="003328F9" w:rsidP="003328F9">
      <w:pPr>
        <w:pStyle w:val="ResimYazs"/>
        <w:spacing w:before="240"/>
        <w:rPr>
          <w:rFonts w:cs="Times New Roman"/>
          <w:color w:val="auto"/>
          <w:szCs w:val="24"/>
          <w:lang w:val="tr-TR"/>
        </w:rPr>
      </w:pPr>
    </w:p>
    <w:p w14:paraId="4FD5E6EB"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Demir ve çelik proses gazlarının kazanlarda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842"/>
        <w:gridCol w:w="2258"/>
        <w:gridCol w:w="2977"/>
      </w:tblGrid>
      <w:tr w:rsidR="003328F9" w:rsidRPr="00DD0D1F" w14:paraId="0811A095" w14:textId="77777777" w:rsidTr="003328F9">
        <w:trPr>
          <w:trHeight w:val="40"/>
        </w:trPr>
        <w:tc>
          <w:tcPr>
            <w:tcW w:w="2116" w:type="pct"/>
            <w:vMerge w:val="restart"/>
            <w:tcBorders>
              <w:top w:val="single" w:sz="4" w:space="0" w:color="auto"/>
              <w:left w:val="single" w:sz="4" w:space="0" w:color="auto"/>
              <w:right w:val="single" w:sz="6" w:space="0" w:color="auto"/>
            </w:tcBorders>
            <w:vAlign w:val="center"/>
          </w:tcPr>
          <w:p w14:paraId="5C08B0D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2884" w:type="pct"/>
            <w:gridSpan w:val="2"/>
            <w:tcBorders>
              <w:top w:val="single" w:sz="4" w:space="0" w:color="auto"/>
              <w:left w:val="single" w:sz="6" w:space="0" w:color="auto"/>
              <w:bottom w:val="single" w:sz="6" w:space="0" w:color="auto"/>
              <w:right w:val="single" w:sz="4" w:space="0" w:color="auto"/>
            </w:tcBorders>
            <w:vAlign w:val="center"/>
          </w:tcPr>
          <w:p w14:paraId="54742DE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6520D8D1" w14:textId="77777777" w:rsidTr="003328F9">
        <w:trPr>
          <w:trHeight w:val="40"/>
        </w:trPr>
        <w:tc>
          <w:tcPr>
            <w:tcW w:w="2116" w:type="pct"/>
            <w:vMerge/>
            <w:tcBorders>
              <w:left w:val="single" w:sz="4" w:space="0" w:color="auto"/>
              <w:bottom w:val="single" w:sz="6" w:space="0" w:color="auto"/>
              <w:right w:val="single" w:sz="6" w:space="0" w:color="auto"/>
            </w:tcBorders>
            <w:vAlign w:val="center"/>
          </w:tcPr>
          <w:p w14:paraId="274A274F" w14:textId="77777777" w:rsidR="003328F9" w:rsidRPr="00DD0D1F" w:rsidRDefault="003328F9" w:rsidP="003328F9">
            <w:pPr>
              <w:adjustRightInd w:val="0"/>
              <w:spacing w:line="240" w:lineRule="auto"/>
              <w:ind w:right="74"/>
              <w:rPr>
                <w:rFonts w:cs="Times New Roman"/>
                <w:b/>
                <w:szCs w:val="24"/>
                <w:lang w:val="tr-TR"/>
              </w:rPr>
            </w:pPr>
          </w:p>
        </w:tc>
        <w:tc>
          <w:tcPr>
            <w:tcW w:w="1244" w:type="pct"/>
            <w:tcBorders>
              <w:top w:val="single" w:sz="6" w:space="0" w:color="auto"/>
              <w:left w:val="single" w:sz="6" w:space="0" w:color="auto"/>
              <w:bottom w:val="single" w:sz="6" w:space="0" w:color="auto"/>
              <w:right w:val="single" w:sz="6" w:space="0" w:color="auto"/>
            </w:tcBorders>
            <w:vAlign w:val="center"/>
          </w:tcPr>
          <w:p w14:paraId="62D2B77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640" w:type="pct"/>
            <w:tcBorders>
              <w:top w:val="single" w:sz="6" w:space="0" w:color="auto"/>
              <w:left w:val="single" w:sz="6" w:space="0" w:color="auto"/>
              <w:bottom w:val="single" w:sz="6" w:space="0" w:color="auto"/>
              <w:right w:val="single" w:sz="4" w:space="0" w:color="auto"/>
            </w:tcBorders>
            <w:vAlign w:val="center"/>
          </w:tcPr>
          <w:p w14:paraId="48D66D0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toplam yakıt kullanımı (%) (</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697F8E6D" w14:textId="77777777" w:rsidTr="003328F9">
        <w:trPr>
          <w:trHeight w:val="40"/>
        </w:trPr>
        <w:tc>
          <w:tcPr>
            <w:tcW w:w="2116" w:type="pct"/>
            <w:tcBorders>
              <w:top w:val="single" w:sz="6" w:space="0" w:color="auto"/>
              <w:left w:val="single" w:sz="4" w:space="0" w:color="auto"/>
              <w:bottom w:val="single" w:sz="6" w:space="0" w:color="auto"/>
              <w:right w:val="single" w:sz="6" w:space="0" w:color="auto"/>
            </w:tcBorders>
            <w:vAlign w:val="center"/>
          </w:tcPr>
          <w:p w14:paraId="382AA3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birden çok yakıtla çalışan gaz kazanı</w:t>
            </w:r>
          </w:p>
        </w:tc>
        <w:tc>
          <w:tcPr>
            <w:tcW w:w="1244" w:type="pct"/>
            <w:tcBorders>
              <w:top w:val="single" w:sz="6" w:space="0" w:color="auto"/>
              <w:left w:val="single" w:sz="6" w:space="0" w:color="auto"/>
              <w:bottom w:val="single" w:sz="6" w:space="0" w:color="auto"/>
              <w:right w:val="single" w:sz="6" w:space="0" w:color="auto"/>
            </w:tcBorders>
            <w:vAlign w:val="center"/>
          </w:tcPr>
          <w:p w14:paraId="56D967E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30-40</w:t>
            </w:r>
          </w:p>
        </w:tc>
        <w:tc>
          <w:tcPr>
            <w:tcW w:w="1640" w:type="pct"/>
            <w:tcBorders>
              <w:top w:val="single" w:sz="6" w:space="0" w:color="auto"/>
              <w:left w:val="single" w:sz="6" w:space="0" w:color="auto"/>
              <w:bottom w:val="single" w:sz="6" w:space="0" w:color="auto"/>
              <w:right w:val="single" w:sz="4" w:space="0" w:color="auto"/>
            </w:tcBorders>
            <w:vAlign w:val="center"/>
          </w:tcPr>
          <w:p w14:paraId="6D72D5C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50-84</w:t>
            </w:r>
          </w:p>
        </w:tc>
      </w:tr>
      <w:tr w:rsidR="003328F9" w:rsidRPr="00DD0D1F" w14:paraId="63F9187B" w14:textId="77777777" w:rsidTr="003328F9">
        <w:trPr>
          <w:trHeight w:val="40"/>
        </w:trPr>
        <w:tc>
          <w:tcPr>
            <w:tcW w:w="2116" w:type="pct"/>
            <w:tcBorders>
              <w:top w:val="single" w:sz="6" w:space="0" w:color="auto"/>
              <w:left w:val="single" w:sz="4" w:space="0" w:color="auto"/>
              <w:bottom w:val="single" w:sz="6" w:space="0" w:color="auto"/>
              <w:right w:val="single" w:sz="6" w:space="0" w:color="auto"/>
            </w:tcBorders>
            <w:vAlign w:val="center"/>
          </w:tcPr>
          <w:p w14:paraId="5D87DDB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birden çok yakıtla çalışan gaz kazanı (</w:t>
            </w:r>
            <w:r w:rsidRPr="00DD0D1F">
              <w:rPr>
                <w:rFonts w:cs="Times New Roman"/>
                <w:szCs w:val="24"/>
                <w:vertAlign w:val="superscript"/>
                <w:lang w:val="tr-TR"/>
              </w:rPr>
              <w:t>4</w:t>
            </w:r>
            <w:r w:rsidRPr="00DD0D1F">
              <w:rPr>
                <w:rFonts w:cs="Times New Roman"/>
                <w:szCs w:val="24"/>
                <w:lang w:val="tr-TR"/>
              </w:rPr>
              <w:t>)</w:t>
            </w:r>
          </w:p>
        </w:tc>
        <w:tc>
          <w:tcPr>
            <w:tcW w:w="1244" w:type="pct"/>
            <w:tcBorders>
              <w:top w:val="single" w:sz="6" w:space="0" w:color="auto"/>
              <w:left w:val="single" w:sz="6" w:space="0" w:color="auto"/>
              <w:bottom w:val="single" w:sz="6" w:space="0" w:color="auto"/>
              <w:right w:val="single" w:sz="6" w:space="0" w:color="auto"/>
            </w:tcBorders>
            <w:vAlign w:val="center"/>
          </w:tcPr>
          <w:p w14:paraId="4051817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36-42,5</w:t>
            </w:r>
          </w:p>
        </w:tc>
        <w:tc>
          <w:tcPr>
            <w:tcW w:w="1640" w:type="pct"/>
            <w:tcBorders>
              <w:top w:val="single" w:sz="6" w:space="0" w:color="auto"/>
              <w:left w:val="single" w:sz="6" w:space="0" w:color="auto"/>
              <w:bottom w:val="single" w:sz="6" w:space="0" w:color="auto"/>
              <w:right w:val="single" w:sz="4" w:space="0" w:color="auto"/>
            </w:tcBorders>
            <w:vAlign w:val="center"/>
          </w:tcPr>
          <w:p w14:paraId="11E0466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50-84</w:t>
            </w:r>
          </w:p>
        </w:tc>
      </w:tr>
      <w:tr w:rsidR="003328F9" w:rsidRPr="00DD0D1F" w14:paraId="588A263A" w14:textId="77777777" w:rsidTr="003328F9">
        <w:trPr>
          <w:trHeight w:val="206"/>
        </w:trPr>
        <w:tc>
          <w:tcPr>
            <w:tcW w:w="5000" w:type="pct"/>
            <w:gridSpan w:val="3"/>
            <w:tcBorders>
              <w:top w:val="single" w:sz="6" w:space="0" w:color="auto"/>
              <w:left w:val="single" w:sz="4" w:space="0" w:color="auto"/>
              <w:bottom w:val="single" w:sz="4" w:space="0" w:color="auto"/>
              <w:right w:val="single" w:sz="4" w:space="0" w:color="auto"/>
            </w:tcBorders>
          </w:tcPr>
          <w:p w14:paraId="662D22B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işletilen ünitelere uygulanmaz. </w:t>
            </w:r>
          </w:p>
          <w:p w14:paraId="6C98AB6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olanlardan biri)</w:t>
            </w:r>
          </w:p>
          <w:p w14:paraId="37F3823A"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MET-İEVS'ler sadece elektrik üreten tesislere uygulanmaz.</w:t>
            </w:r>
          </w:p>
          <w:p w14:paraId="13D7CAC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CHP ünitelerindeki çeşitli enerji verimlilikleri büyük oranda yerel elektrik ve ısı talebine bağlıdır.</w:t>
            </w:r>
          </w:p>
        </w:tc>
      </w:tr>
    </w:tbl>
    <w:p w14:paraId="46E97049"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Demir ve çelik proses gazlarının CCGT'lerde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2725"/>
        <w:gridCol w:w="1623"/>
        <w:gridCol w:w="1645"/>
        <w:gridCol w:w="3084"/>
      </w:tblGrid>
      <w:tr w:rsidR="003328F9" w:rsidRPr="00DD0D1F" w14:paraId="3F3EBF6A" w14:textId="77777777" w:rsidTr="003328F9">
        <w:trPr>
          <w:trHeight w:val="44"/>
        </w:trPr>
        <w:tc>
          <w:tcPr>
            <w:tcW w:w="1501" w:type="pct"/>
            <w:vMerge w:val="restart"/>
            <w:tcBorders>
              <w:top w:val="single" w:sz="4" w:space="0" w:color="auto"/>
              <w:left w:val="single" w:sz="4" w:space="0" w:color="auto"/>
              <w:right w:val="single" w:sz="6" w:space="0" w:color="auto"/>
            </w:tcBorders>
            <w:vAlign w:val="center"/>
          </w:tcPr>
          <w:p w14:paraId="04858BF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499" w:type="pct"/>
            <w:gridSpan w:val="3"/>
            <w:tcBorders>
              <w:top w:val="single" w:sz="4" w:space="0" w:color="auto"/>
              <w:left w:val="single" w:sz="6" w:space="0" w:color="auto"/>
              <w:bottom w:val="single" w:sz="6" w:space="0" w:color="auto"/>
              <w:right w:val="single" w:sz="4" w:space="0" w:color="auto"/>
            </w:tcBorders>
            <w:vAlign w:val="center"/>
          </w:tcPr>
          <w:p w14:paraId="12576E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6E1F1F86" w14:textId="77777777" w:rsidTr="003328F9">
        <w:trPr>
          <w:trHeight w:val="44"/>
        </w:trPr>
        <w:tc>
          <w:tcPr>
            <w:tcW w:w="1501" w:type="pct"/>
            <w:vMerge/>
            <w:tcBorders>
              <w:left w:val="single" w:sz="4" w:space="0" w:color="auto"/>
              <w:right w:val="single" w:sz="6" w:space="0" w:color="auto"/>
            </w:tcBorders>
            <w:vAlign w:val="center"/>
          </w:tcPr>
          <w:p w14:paraId="65421F0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00" w:type="pct"/>
            <w:gridSpan w:val="2"/>
            <w:tcBorders>
              <w:top w:val="single" w:sz="6" w:space="0" w:color="auto"/>
              <w:left w:val="single" w:sz="6" w:space="0" w:color="auto"/>
              <w:bottom w:val="single" w:sz="6" w:space="0" w:color="auto"/>
              <w:right w:val="single" w:sz="6" w:space="0" w:color="auto"/>
            </w:tcBorders>
            <w:vAlign w:val="center"/>
          </w:tcPr>
          <w:p w14:paraId="34ADEB8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699" w:type="pct"/>
            <w:vMerge w:val="restart"/>
            <w:tcBorders>
              <w:top w:val="single" w:sz="6" w:space="0" w:color="auto"/>
              <w:left w:val="single" w:sz="6" w:space="0" w:color="auto"/>
              <w:right w:val="single" w:sz="4" w:space="0" w:color="auto"/>
            </w:tcBorders>
            <w:vAlign w:val="center"/>
          </w:tcPr>
          <w:p w14:paraId="0F31373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toplam yakıt kullanımı (%) (</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35E30C27" w14:textId="77777777" w:rsidTr="003328F9">
        <w:trPr>
          <w:trHeight w:val="44"/>
        </w:trPr>
        <w:tc>
          <w:tcPr>
            <w:tcW w:w="1501" w:type="pct"/>
            <w:vMerge/>
            <w:tcBorders>
              <w:left w:val="single" w:sz="4" w:space="0" w:color="auto"/>
              <w:bottom w:val="single" w:sz="6" w:space="0" w:color="auto"/>
              <w:right w:val="single" w:sz="6" w:space="0" w:color="auto"/>
            </w:tcBorders>
            <w:vAlign w:val="center"/>
          </w:tcPr>
          <w:p w14:paraId="3B0957E2"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94" w:type="pct"/>
            <w:tcBorders>
              <w:top w:val="single" w:sz="6" w:space="0" w:color="auto"/>
              <w:left w:val="single" w:sz="6" w:space="0" w:color="auto"/>
              <w:bottom w:val="single" w:sz="6" w:space="0" w:color="auto"/>
              <w:right w:val="single" w:sz="6" w:space="0" w:color="auto"/>
            </w:tcBorders>
            <w:vAlign w:val="center"/>
          </w:tcPr>
          <w:p w14:paraId="707D4AD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906" w:type="pct"/>
            <w:tcBorders>
              <w:top w:val="single" w:sz="6" w:space="0" w:color="auto"/>
              <w:left w:val="single" w:sz="6" w:space="0" w:color="auto"/>
              <w:bottom w:val="single" w:sz="6" w:space="0" w:color="auto"/>
              <w:right w:val="single" w:sz="6" w:space="0" w:color="auto"/>
            </w:tcBorders>
            <w:vAlign w:val="center"/>
          </w:tcPr>
          <w:p w14:paraId="11AD47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1699" w:type="pct"/>
            <w:vMerge/>
            <w:tcBorders>
              <w:left w:val="single" w:sz="6" w:space="0" w:color="auto"/>
              <w:bottom w:val="single" w:sz="6" w:space="0" w:color="auto"/>
              <w:right w:val="single" w:sz="4" w:space="0" w:color="auto"/>
            </w:tcBorders>
            <w:vAlign w:val="center"/>
          </w:tcPr>
          <w:p w14:paraId="3F90ED0E" w14:textId="77777777" w:rsidR="003328F9" w:rsidRPr="00DD0D1F" w:rsidRDefault="003328F9" w:rsidP="003328F9">
            <w:pPr>
              <w:adjustRightInd w:val="0"/>
              <w:spacing w:line="240" w:lineRule="auto"/>
              <w:ind w:left="74" w:right="74"/>
              <w:jc w:val="center"/>
              <w:rPr>
                <w:rFonts w:cs="Times New Roman"/>
                <w:b/>
                <w:szCs w:val="24"/>
                <w:lang w:val="tr-TR"/>
              </w:rPr>
            </w:pPr>
          </w:p>
        </w:tc>
      </w:tr>
      <w:tr w:rsidR="003328F9" w:rsidRPr="00DD0D1F" w14:paraId="1E98D423" w14:textId="77777777" w:rsidTr="003328F9">
        <w:trPr>
          <w:trHeight w:val="44"/>
        </w:trPr>
        <w:tc>
          <w:tcPr>
            <w:tcW w:w="1501" w:type="pct"/>
            <w:tcBorders>
              <w:top w:val="single" w:sz="6" w:space="0" w:color="auto"/>
              <w:left w:val="single" w:sz="4" w:space="0" w:color="auto"/>
              <w:bottom w:val="single" w:sz="6" w:space="0" w:color="auto"/>
              <w:right w:val="single" w:sz="6" w:space="0" w:color="auto"/>
            </w:tcBorders>
            <w:vAlign w:val="center"/>
          </w:tcPr>
          <w:p w14:paraId="6255F4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CCGT</w:t>
            </w:r>
          </w:p>
        </w:tc>
        <w:tc>
          <w:tcPr>
            <w:tcW w:w="894" w:type="pct"/>
            <w:tcBorders>
              <w:top w:val="single" w:sz="6" w:space="0" w:color="auto"/>
              <w:left w:val="single" w:sz="6" w:space="0" w:color="auto"/>
              <w:bottom w:val="single" w:sz="6" w:space="0" w:color="auto"/>
              <w:right w:val="single" w:sz="6" w:space="0" w:color="auto"/>
            </w:tcBorders>
            <w:vAlign w:val="center"/>
          </w:tcPr>
          <w:p w14:paraId="168D20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 47</w:t>
            </w:r>
          </w:p>
        </w:tc>
        <w:tc>
          <w:tcPr>
            <w:tcW w:w="906" w:type="pct"/>
            <w:tcBorders>
              <w:top w:val="single" w:sz="6" w:space="0" w:color="auto"/>
              <w:left w:val="single" w:sz="6" w:space="0" w:color="auto"/>
              <w:bottom w:val="single" w:sz="6" w:space="0" w:color="auto"/>
              <w:right w:val="single" w:sz="6" w:space="0" w:color="auto"/>
            </w:tcBorders>
            <w:vAlign w:val="center"/>
          </w:tcPr>
          <w:p w14:paraId="3F298FD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40-48</w:t>
            </w:r>
          </w:p>
        </w:tc>
        <w:tc>
          <w:tcPr>
            <w:tcW w:w="1699" w:type="pct"/>
            <w:tcBorders>
              <w:top w:val="single" w:sz="6" w:space="0" w:color="auto"/>
              <w:left w:val="single" w:sz="6" w:space="0" w:color="auto"/>
              <w:bottom w:val="single" w:sz="6" w:space="0" w:color="auto"/>
              <w:right w:val="single" w:sz="4" w:space="0" w:color="auto"/>
            </w:tcBorders>
            <w:vAlign w:val="center"/>
          </w:tcPr>
          <w:p w14:paraId="387FEC4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60-82</w:t>
            </w:r>
          </w:p>
        </w:tc>
      </w:tr>
      <w:tr w:rsidR="003328F9" w:rsidRPr="00DD0D1F" w14:paraId="7067310F" w14:textId="77777777" w:rsidTr="003328F9">
        <w:trPr>
          <w:trHeight w:val="44"/>
        </w:trPr>
        <w:tc>
          <w:tcPr>
            <w:tcW w:w="1501" w:type="pct"/>
            <w:tcBorders>
              <w:top w:val="single" w:sz="6" w:space="0" w:color="auto"/>
              <w:left w:val="single" w:sz="4" w:space="0" w:color="auto"/>
              <w:bottom w:val="single" w:sz="6" w:space="0" w:color="auto"/>
              <w:right w:val="single" w:sz="6" w:space="0" w:color="auto"/>
            </w:tcBorders>
            <w:vAlign w:val="center"/>
          </w:tcPr>
          <w:p w14:paraId="680F02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CCGT</w:t>
            </w:r>
          </w:p>
        </w:tc>
        <w:tc>
          <w:tcPr>
            <w:tcW w:w="894" w:type="pct"/>
            <w:tcBorders>
              <w:top w:val="single" w:sz="6" w:space="0" w:color="auto"/>
              <w:left w:val="single" w:sz="6" w:space="0" w:color="auto"/>
              <w:bottom w:val="single" w:sz="6" w:space="0" w:color="auto"/>
              <w:right w:val="single" w:sz="6" w:space="0" w:color="auto"/>
            </w:tcBorders>
            <w:vAlign w:val="center"/>
          </w:tcPr>
          <w:p w14:paraId="22ED519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 47</w:t>
            </w:r>
          </w:p>
        </w:tc>
        <w:tc>
          <w:tcPr>
            <w:tcW w:w="906" w:type="pct"/>
            <w:tcBorders>
              <w:top w:val="single" w:sz="6" w:space="0" w:color="auto"/>
              <w:left w:val="single" w:sz="6" w:space="0" w:color="auto"/>
              <w:bottom w:val="single" w:sz="6" w:space="0" w:color="auto"/>
              <w:right w:val="single" w:sz="6" w:space="0" w:color="auto"/>
            </w:tcBorders>
            <w:vAlign w:val="center"/>
          </w:tcPr>
          <w:p w14:paraId="0560EDD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40-48</w:t>
            </w:r>
          </w:p>
        </w:tc>
        <w:tc>
          <w:tcPr>
            <w:tcW w:w="1699" w:type="pct"/>
            <w:tcBorders>
              <w:top w:val="single" w:sz="6" w:space="0" w:color="auto"/>
              <w:left w:val="single" w:sz="6" w:space="0" w:color="auto"/>
              <w:bottom w:val="single" w:sz="6" w:space="0" w:color="auto"/>
              <w:right w:val="single" w:sz="4" w:space="0" w:color="auto"/>
            </w:tcBorders>
            <w:vAlign w:val="center"/>
          </w:tcPr>
          <w:p w14:paraId="729244D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08D00EF8" w14:textId="77777777" w:rsidTr="003328F9">
        <w:trPr>
          <w:trHeight w:val="235"/>
        </w:trPr>
        <w:tc>
          <w:tcPr>
            <w:tcW w:w="5000" w:type="pct"/>
            <w:gridSpan w:val="4"/>
            <w:tcBorders>
              <w:top w:val="single" w:sz="6" w:space="0" w:color="auto"/>
              <w:left w:val="single" w:sz="4" w:space="0" w:color="auto"/>
              <w:bottom w:val="single" w:sz="4" w:space="0" w:color="auto"/>
              <w:right w:val="single" w:sz="4" w:space="0" w:color="auto"/>
            </w:tcBorders>
          </w:tcPr>
          <w:p w14:paraId="41D2078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MET-İEVS'ler &lt;1500 saat/yıl işletilen ünitelere uygulanmaz.</w:t>
            </w:r>
          </w:p>
          <w:p w14:paraId="3178BD36"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olanlardan biri).</w:t>
            </w:r>
          </w:p>
          <w:p w14:paraId="7FFF864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MET-İEVS'ler sadece elektrik üreten tesislere uygulanmaz.</w:t>
            </w:r>
          </w:p>
        </w:tc>
      </w:tr>
    </w:tbl>
    <w:p w14:paraId="30DAEF3A" w14:textId="77777777" w:rsidR="003328F9" w:rsidRPr="00DD0D1F" w:rsidRDefault="003328F9" w:rsidP="00FF111D">
      <w:pPr>
        <w:pStyle w:val="Balk3"/>
        <w:numPr>
          <w:ilvl w:val="2"/>
          <w:numId w:val="73"/>
        </w:numPr>
        <w:rPr>
          <w:rFonts w:cs="Times New Roman"/>
        </w:rPr>
      </w:pPr>
      <w:bookmarkStart w:id="101" w:name="_Toc137367328"/>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101"/>
    </w:p>
    <w:p w14:paraId="5A184136" w14:textId="64D800EE" w:rsidR="003328F9" w:rsidRPr="00DD0D1F" w:rsidRDefault="003328F9" w:rsidP="003328F9">
      <w:pPr>
        <w:spacing w:before="240"/>
        <w:rPr>
          <w:rFonts w:cs="Times New Roman"/>
          <w:b/>
          <w:bCs/>
          <w:szCs w:val="24"/>
        </w:rPr>
      </w:pPr>
      <w:r w:rsidRPr="00DD0D1F">
        <w:rPr>
          <w:rFonts w:cs="Times New Roman"/>
          <w:b/>
          <w:bCs/>
          <w:szCs w:val="24"/>
        </w:rPr>
        <w:t>MET 47</w:t>
      </w:r>
      <w:bookmarkStart w:id="102" w:name="_Hlk137397038"/>
      <w:r w:rsidRPr="00DD0D1F">
        <w:rPr>
          <w:rFonts w:cs="Times New Roman"/>
          <w:b/>
          <w:bCs/>
          <w:szCs w:val="24"/>
        </w:rPr>
        <w:t xml:space="preserve">: </w:t>
      </w:r>
      <w:r w:rsidRPr="00DD0D1F">
        <w:rPr>
          <w:rFonts w:cs="Times New Roman"/>
          <w:bCs/>
          <w:szCs w:val="24"/>
        </w:rPr>
        <w:t>Demir ve çelik proses gazlarının kazanlarda yakılmasından kaynaklanan havaya NO</w:t>
      </w:r>
      <w:r w:rsidRPr="00DD0D1F">
        <w:rPr>
          <w:rFonts w:cs="Times New Roman"/>
          <w:bCs/>
          <w:szCs w:val="24"/>
          <w:vertAlign w:val="subscript"/>
        </w:rPr>
        <w:t>X</w:t>
      </w:r>
      <w:r w:rsidRPr="00DD0D1F">
        <w:rPr>
          <w:rFonts w:cs="Times New Roman"/>
          <w:bCs/>
          <w:szCs w:val="24"/>
        </w:rPr>
        <w:t xml:space="preserve"> emisyonlarını önlemek veya düşürmek için, a</w:t>
      </w:r>
      <w:r w:rsidR="009D5B9A" w:rsidRPr="00DD0D1F">
        <w:rPr>
          <w:rFonts w:cs="Times New Roman"/>
          <w:bCs/>
          <w:szCs w:val="24"/>
        </w:rPr>
        <w:t>şağıda verilen tekniklerin biri veya bunların bir birleşimi kullanılır.</w:t>
      </w:r>
    </w:p>
    <w:bookmarkEnd w:id="102"/>
    <w:tbl>
      <w:tblPr>
        <w:tblW w:w="5000" w:type="pct"/>
        <w:tblCellMar>
          <w:left w:w="40" w:type="dxa"/>
          <w:right w:w="40" w:type="dxa"/>
        </w:tblCellMar>
        <w:tblLook w:val="0000" w:firstRow="0" w:lastRow="0" w:firstColumn="0" w:lastColumn="0" w:noHBand="0" w:noVBand="0"/>
      </w:tblPr>
      <w:tblGrid>
        <w:gridCol w:w="348"/>
        <w:gridCol w:w="2513"/>
        <w:gridCol w:w="3322"/>
        <w:gridCol w:w="2894"/>
      </w:tblGrid>
      <w:tr w:rsidR="003328F9" w:rsidRPr="00DD0D1F" w14:paraId="33CEBC54" w14:textId="77777777" w:rsidTr="003328F9">
        <w:trPr>
          <w:trHeight w:val="367"/>
          <w:tblHeader/>
        </w:trPr>
        <w:tc>
          <w:tcPr>
            <w:tcW w:w="192" w:type="pct"/>
            <w:tcBorders>
              <w:top w:val="single" w:sz="4" w:space="0" w:color="auto"/>
              <w:left w:val="single" w:sz="4" w:space="0" w:color="auto"/>
              <w:bottom w:val="single" w:sz="6" w:space="0" w:color="auto"/>
              <w:right w:val="single" w:sz="4" w:space="0" w:color="auto"/>
            </w:tcBorders>
            <w:vAlign w:val="center"/>
          </w:tcPr>
          <w:p w14:paraId="6F8A96D8" w14:textId="77777777" w:rsidR="003328F9" w:rsidRPr="00DD0D1F" w:rsidRDefault="003328F9" w:rsidP="003328F9">
            <w:pPr>
              <w:adjustRightInd w:val="0"/>
              <w:spacing w:line="240" w:lineRule="auto"/>
              <w:ind w:right="74"/>
              <w:jc w:val="center"/>
              <w:rPr>
                <w:rFonts w:cs="Times New Roman"/>
                <w:b/>
                <w:szCs w:val="24"/>
                <w:lang w:val="tr-TR"/>
              </w:rPr>
            </w:pPr>
          </w:p>
        </w:tc>
        <w:tc>
          <w:tcPr>
            <w:tcW w:w="1384" w:type="pct"/>
            <w:tcBorders>
              <w:top w:val="single" w:sz="4" w:space="0" w:color="auto"/>
              <w:left w:val="single" w:sz="4" w:space="0" w:color="auto"/>
              <w:bottom w:val="single" w:sz="6" w:space="0" w:color="auto"/>
              <w:right w:val="single" w:sz="6" w:space="0" w:color="auto"/>
            </w:tcBorders>
            <w:vAlign w:val="center"/>
          </w:tcPr>
          <w:p w14:paraId="32C9E1B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30" w:type="pct"/>
            <w:tcBorders>
              <w:top w:val="single" w:sz="4" w:space="0" w:color="auto"/>
              <w:left w:val="single" w:sz="6" w:space="0" w:color="auto"/>
              <w:bottom w:val="single" w:sz="6" w:space="0" w:color="auto"/>
              <w:right w:val="single" w:sz="6" w:space="0" w:color="auto"/>
            </w:tcBorders>
            <w:vAlign w:val="center"/>
          </w:tcPr>
          <w:p w14:paraId="05E41BA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94" w:type="pct"/>
            <w:tcBorders>
              <w:top w:val="single" w:sz="4" w:space="0" w:color="auto"/>
              <w:left w:val="single" w:sz="6" w:space="0" w:color="auto"/>
              <w:bottom w:val="single" w:sz="6" w:space="0" w:color="auto"/>
              <w:right w:val="single" w:sz="4" w:space="0" w:color="auto"/>
            </w:tcBorders>
            <w:vAlign w:val="center"/>
          </w:tcPr>
          <w:p w14:paraId="1B05425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159841C" w14:textId="77777777" w:rsidTr="003328F9">
        <w:trPr>
          <w:trHeight w:val="1241"/>
        </w:trPr>
        <w:tc>
          <w:tcPr>
            <w:tcW w:w="192" w:type="pct"/>
            <w:tcBorders>
              <w:top w:val="single" w:sz="6" w:space="0" w:color="auto"/>
              <w:left w:val="single" w:sz="4" w:space="0" w:color="auto"/>
              <w:bottom w:val="single" w:sz="6" w:space="0" w:color="auto"/>
              <w:right w:val="single" w:sz="4" w:space="0" w:color="auto"/>
            </w:tcBorders>
            <w:vAlign w:val="center"/>
          </w:tcPr>
          <w:p w14:paraId="1D1BA9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84" w:type="pct"/>
            <w:tcBorders>
              <w:top w:val="single" w:sz="6" w:space="0" w:color="auto"/>
              <w:left w:val="single" w:sz="4" w:space="0" w:color="auto"/>
              <w:bottom w:val="single" w:sz="6" w:space="0" w:color="auto"/>
              <w:right w:val="single" w:sz="6" w:space="0" w:color="auto"/>
            </w:tcBorders>
            <w:vAlign w:val="center"/>
          </w:tcPr>
          <w:p w14:paraId="4938C1B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830" w:type="pct"/>
            <w:tcBorders>
              <w:top w:val="single" w:sz="6" w:space="0" w:color="auto"/>
              <w:left w:val="single" w:sz="6" w:space="0" w:color="auto"/>
              <w:bottom w:val="single" w:sz="6" w:space="0" w:color="auto"/>
              <w:right w:val="single" w:sz="6" w:space="0" w:color="auto"/>
            </w:tcBorders>
            <w:vAlign w:val="center"/>
          </w:tcPr>
          <w:p w14:paraId="216C25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4CDC1DA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türüne göre çoklu sıralı olarak tasarlanmış veya çoklu yakıtlarla çalışabilmesi için belirli özellikler ile tasarlanmış düşük NO</w:t>
            </w:r>
            <w:r w:rsidRPr="00DD0D1F">
              <w:rPr>
                <w:rFonts w:cs="Times New Roman"/>
                <w:szCs w:val="24"/>
                <w:vertAlign w:val="subscript"/>
                <w:lang w:val="tr-TR"/>
              </w:rPr>
              <w:t>X</w:t>
            </w:r>
            <w:r w:rsidRPr="00DD0D1F">
              <w:rPr>
                <w:rFonts w:cs="Times New Roman"/>
                <w:szCs w:val="24"/>
                <w:lang w:val="tr-TR"/>
              </w:rPr>
              <w:t xml:space="preserve"> brülörleri (örneğin, farklı yakıtları yakmak için çoklu özel nozullar veya yakıt ön karışımı)</w:t>
            </w:r>
          </w:p>
        </w:tc>
        <w:tc>
          <w:tcPr>
            <w:tcW w:w="1594" w:type="pct"/>
            <w:vMerge w:val="restart"/>
            <w:tcBorders>
              <w:top w:val="single" w:sz="6" w:space="0" w:color="auto"/>
              <w:left w:val="single" w:sz="6" w:space="0" w:color="auto"/>
              <w:right w:val="single" w:sz="4" w:space="0" w:color="auto"/>
            </w:tcBorders>
            <w:vAlign w:val="center"/>
          </w:tcPr>
          <w:p w14:paraId="336B2A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77B04497"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522DF5BF" w14:textId="77777777" w:rsidR="003328F9" w:rsidRPr="00DD0D1F" w:rsidRDefault="003328F9" w:rsidP="003328F9">
            <w:pPr>
              <w:adjustRightInd w:val="0"/>
              <w:spacing w:line="240" w:lineRule="auto"/>
              <w:ind w:left="74" w:right="74"/>
              <w:rPr>
                <w:rFonts w:cs="Times New Roman"/>
                <w:szCs w:val="24"/>
                <w:lang w:val="tr-TR"/>
              </w:rPr>
            </w:pPr>
            <w:bookmarkStart w:id="103" w:name="_Hlk137397060"/>
            <w:r w:rsidRPr="00DD0D1F">
              <w:rPr>
                <w:rFonts w:cs="Times New Roman"/>
                <w:szCs w:val="24"/>
                <w:lang w:val="tr-TR"/>
              </w:rPr>
              <w:t>b</w:t>
            </w:r>
          </w:p>
        </w:tc>
        <w:tc>
          <w:tcPr>
            <w:tcW w:w="1384" w:type="pct"/>
            <w:tcBorders>
              <w:top w:val="single" w:sz="6" w:space="0" w:color="auto"/>
              <w:left w:val="single" w:sz="6" w:space="0" w:color="auto"/>
              <w:bottom w:val="single" w:sz="6" w:space="0" w:color="auto"/>
              <w:right w:val="single" w:sz="6" w:space="0" w:color="auto"/>
            </w:tcBorders>
            <w:vAlign w:val="center"/>
          </w:tcPr>
          <w:p w14:paraId="483976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830" w:type="pct"/>
            <w:vMerge w:val="restart"/>
            <w:tcBorders>
              <w:top w:val="single" w:sz="6" w:space="0" w:color="auto"/>
              <w:left w:val="single" w:sz="6" w:space="0" w:color="auto"/>
              <w:right w:val="single" w:sz="6" w:space="0" w:color="auto"/>
            </w:tcBorders>
            <w:vAlign w:val="center"/>
          </w:tcPr>
          <w:p w14:paraId="5F831B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594" w:type="pct"/>
            <w:vMerge/>
            <w:tcBorders>
              <w:left w:val="single" w:sz="6" w:space="0" w:color="auto"/>
              <w:right w:val="single" w:sz="4" w:space="0" w:color="auto"/>
            </w:tcBorders>
            <w:vAlign w:val="center"/>
          </w:tcPr>
          <w:p w14:paraId="43B7A7E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EA30137"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40445D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84" w:type="pct"/>
            <w:tcBorders>
              <w:top w:val="single" w:sz="6" w:space="0" w:color="auto"/>
              <w:left w:val="single" w:sz="6" w:space="0" w:color="auto"/>
              <w:bottom w:val="single" w:sz="6" w:space="0" w:color="auto"/>
              <w:right w:val="single" w:sz="6" w:space="0" w:color="auto"/>
            </w:tcBorders>
            <w:vAlign w:val="center"/>
          </w:tcPr>
          <w:p w14:paraId="19C7A3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830" w:type="pct"/>
            <w:vMerge/>
            <w:tcBorders>
              <w:left w:val="single" w:sz="6" w:space="0" w:color="auto"/>
              <w:right w:val="single" w:sz="6" w:space="0" w:color="auto"/>
            </w:tcBorders>
            <w:vAlign w:val="center"/>
          </w:tcPr>
          <w:p w14:paraId="1AD6700F" w14:textId="77777777" w:rsidR="003328F9" w:rsidRPr="00DD0D1F" w:rsidRDefault="003328F9" w:rsidP="003328F9">
            <w:pPr>
              <w:adjustRightInd w:val="0"/>
              <w:spacing w:line="240" w:lineRule="auto"/>
              <w:ind w:left="74" w:right="74"/>
              <w:rPr>
                <w:rFonts w:cs="Times New Roman"/>
                <w:szCs w:val="24"/>
                <w:lang w:val="tr-TR"/>
              </w:rPr>
            </w:pPr>
          </w:p>
        </w:tc>
        <w:tc>
          <w:tcPr>
            <w:tcW w:w="1594" w:type="pct"/>
            <w:vMerge/>
            <w:tcBorders>
              <w:left w:val="single" w:sz="6" w:space="0" w:color="auto"/>
              <w:right w:val="single" w:sz="4" w:space="0" w:color="auto"/>
            </w:tcBorders>
            <w:vAlign w:val="center"/>
          </w:tcPr>
          <w:p w14:paraId="2F95BDE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C1FB8FE"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6E725A9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84" w:type="pct"/>
            <w:tcBorders>
              <w:top w:val="single" w:sz="6" w:space="0" w:color="auto"/>
              <w:left w:val="single" w:sz="6" w:space="0" w:color="auto"/>
              <w:bottom w:val="single" w:sz="6" w:space="0" w:color="auto"/>
              <w:right w:val="single" w:sz="6" w:space="0" w:color="auto"/>
            </w:tcBorders>
            <w:vAlign w:val="center"/>
          </w:tcPr>
          <w:p w14:paraId="340A5B3A" w14:textId="3A09C649"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tc>
        <w:tc>
          <w:tcPr>
            <w:tcW w:w="1830" w:type="pct"/>
            <w:vMerge/>
            <w:tcBorders>
              <w:left w:val="single" w:sz="6" w:space="0" w:color="auto"/>
              <w:bottom w:val="single" w:sz="6" w:space="0" w:color="auto"/>
              <w:right w:val="single" w:sz="6" w:space="0" w:color="auto"/>
            </w:tcBorders>
            <w:vAlign w:val="center"/>
          </w:tcPr>
          <w:p w14:paraId="0C5A8A07" w14:textId="77777777" w:rsidR="003328F9" w:rsidRPr="00DD0D1F" w:rsidRDefault="003328F9" w:rsidP="003328F9">
            <w:pPr>
              <w:adjustRightInd w:val="0"/>
              <w:spacing w:line="240" w:lineRule="auto"/>
              <w:ind w:left="74" w:right="74"/>
              <w:rPr>
                <w:rFonts w:cs="Times New Roman"/>
                <w:szCs w:val="24"/>
                <w:lang w:val="tr-TR"/>
              </w:rPr>
            </w:pPr>
          </w:p>
        </w:tc>
        <w:tc>
          <w:tcPr>
            <w:tcW w:w="1594" w:type="pct"/>
            <w:vMerge/>
            <w:tcBorders>
              <w:left w:val="single" w:sz="6" w:space="0" w:color="auto"/>
              <w:bottom w:val="single" w:sz="6" w:space="0" w:color="auto"/>
              <w:right w:val="single" w:sz="4" w:space="0" w:color="auto"/>
            </w:tcBorders>
            <w:vAlign w:val="center"/>
          </w:tcPr>
          <w:p w14:paraId="086DECBD"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F6280D2" w14:textId="77777777" w:rsidTr="003328F9">
        <w:trPr>
          <w:trHeight w:val="338"/>
        </w:trPr>
        <w:tc>
          <w:tcPr>
            <w:tcW w:w="192" w:type="pct"/>
            <w:tcBorders>
              <w:top w:val="single" w:sz="6" w:space="0" w:color="auto"/>
              <w:left w:val="single" w:sz="4" w:space="0" w:color="auto"/>
              <w:bottom w:val="single" w:sz="6" w:space="0" w:color="auto"/>
              <w:right w:val="single" w:sz="6" w:space="0" w:color="auto"/>
            </w:tcBorders>
            <w:vAlign w:val="center"/>
          </w:tcPr>
          <w:p w14:paraId="6808DA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84" w:type="pct"/>
            <w:tcBorders>
              <w:top w:val="single" w:sz="6" w:space="0" w:color="auto"/>
              <w:left w:val="single" w:sz="6" w:space="0" w:color="auto"/>
              <w:bottom w:val="single" w:sz="6" w:space="0" w:color="auto"/>
              <w:right w:val="single" w:sz="6" w:space="0" w:color="auto"/>
            </w:tcBorders>
            <w:vAlign w:val="center"/>
          </w:tcPr>
          <w:p w14:paraId="36A65A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gazı yönetim sistemi</w:t>
            </w:r>
          </w:p>
        </w:tc>
        <w:tc>
          <w:tcPr>
            <w:tcW w:w="1830" w:type="pct"/>
            <w:tcBorders>
              <w:top w:val="single" w:sz="6" w:space="0" w:color="auto"/>
              <w:left w:val="single" w:sz="6" w:space="0" w:color="auto"/>
              <w:bottom w:val="single" w:sz="6" w:space="0" w:color="auto"/>
              <w:right w:val="single" w:sz="6" w:space="0" w:color="auto"/>
            </w:tcBorders>
            <w:vAlign w:val="center"/>
          </w:tcPr>
          <w:p w14:paraId="26F2258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594" w:type="pct"/>
            <w:tcBorders>
              <w:top w:val="single" w:sz="6" w:space="0" w:color="auto"/>
              <w:left w:val="single" w:sz="6" w:space="0" w:color="auto"/>
              <w:bottom w:val="single" w:sz="6" w:space="0" w:color="auto"/>
              <w:right w:val="single" w:sz="4" w:space="0" w:color="auto"/>
            </w:tcBorders>
            <w:vAlign w:val="center"/>
          </w:tcPr>
          <w:p w14:paraId="32973F4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mevcudiyeti ile ilişkili kısıtlamalar dahilinde uygulanabilir.</w:t>
            </w:r>
          </w:p>
        </w:tc>
      </w:tr>
      <w:tr w:rsidR="003328F9" w:rsidRPr="00DD0D1F" w14:paraId="6368B24A" w14:textId="77777777" w:rsidTr="003328F9">
        <w:trPr>
          <w:trHeight w:val="104"/>
        </w:trPr>
        <w:tc>
          <w:tcPr>
            <w:tcW w:w="192" w:type="pct"/>
            <w:tcBorders>
              <w:top w:val="single" w:sz="6" w:space="0" w:color="auto"/>
              <w:left w:val="single" w:sz="4" w:space="0" w:color="auto"/>
              <w:bottom w:val="single" w:sz="6" w:space="0" w:color="auto"/>
              <w:right w:val="single" w:sz="6" w:space="0" w:color="auto"/>
            </w:tcBorders>
            <w:vAlign w:val="center"/>
          </w:tcPr>
          <w:p w14:paraId="30F4DAD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384" w:type="pct"/>
            <w:tcBorders>
              <w:top w:val="single" w:sz="6" w:space="0" w:color="auto"/>
              <w:left w:val="single" w:sz="6" w:space="0" w:color="auto"/>
              <w:bottom w:val="single" w:sz="6" w:space="0" w:color="auto"/>
              <w:right w:val="single" w:sz="6" w:space="0" w:color="auto"/>
            </w:tcBorders>
            <w:vAlign w:val="center"/>
          </w:tcPr>
          <w:p w14:paraId="3C7B7E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830" w:type="pct"/>
            <w:tcBorders>
              <w:top w:val="single" w:sz="6" w:space="0" w:color="auto"/>
              <w:left w:val="single" w:sz="6" w:space="0" w:color="auto"/>
              <w:bottom w:val="single" w:sz="6" w:space="0" w:color="auto"/>
              <w:right w:val="single" w:sz="6" w:space="0" w:color="auto"/>
            </w:tcBorders>
            <w:vAlign w:val="center"/>
          </w:tcPr>
          <w:p w14:paraId="68B9C0F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392CDF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diğer teknikler ile birlikte kullanılır.</w:t>
            </w:r>
          </w:p>
          <w:p w14:paraId="098D09A6" w14:textId="77777777" w:rsidR="003328F9" w:rsidRPr="00DD0D1F" w:rsidRDefault="003328F9" w:rsidP="003328F9">
            <w:pPr>
              <w:adjustRightInd w:val="0"/>
              <w:spacing w:line="240" w:lineRule="auto"/>
              <w:ind w:left="74" w:right="74"/>
              <w:rPr>
                <w:rFonts w:cs="Times New Roman"/>
                <w:szCs w:val="24"/>
                <w:lang w:val="tr-TR"/>
              </w:rPr>
            </w:pPr>
          </w:p>
        </w:tc>
        <w:tc>
          <w:tcPr>
            <w:tcW w:w="1594" w:type="pct"/>
            <w:tcBorders>
              <w:top w:val="single" w:sz="6" w:space="0" w:color="auto"/>
              <w:left w:val="single" w:sz="6" w:space="0" w:color="auto"/>
              <w:bottom w:val="single" w:sz="6" w:space="0" w:color="auto"/>
              <w:right w:val="single" w:sz="4" w:space="0" w:color="auto"/>
            </w:tcBorders>
            <w:vAlign w:val="center"/>
          </w:tcPr>
          <w:p w14:paraId="02B7E2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6262F52D" w14:textId="77777777" w:rsidTr="003328F9">
        <w:trPr>
          <w:trHeight w:val="154"/>
        </w:trPr>
        <w:tc>
          <w:tcPr>
            <w:tcW w:w="192" w:type="pct"/>
            <w:tcBorders>
              <w:top w:val="single" w:sz="6" w:space="0" w:color="auto"/>
              <w:left w:val="single" w:sz="4" w:space="0" w:color="auto"/>
              <w:bottom w:val="single" w:sz="6" w:space="0" w:color="auto"/>
              <w:right w:val="single" w:sz="6" w:space="0" w:color="auto"/>
            </w:tcBorders>
            <w:vAlign w:val="center"/>
          </w:tcPr>
          <w:p w14:paraId="428CB45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384" w:type="pct"/>
            <w:tcBorders>
              <w:top w:val="single" w:sz="6" w:space="0" w:color="auto"/>
              <w:left w:val="single" w:sz="6" w:space="0" w:color="auto"/>
              <w:bottom w:val="single" w:sz="6" w:space="0" w:color="auto"/>
              <w:right w:val="single" w:sz="6" w:space="0" w:color="auto"/>
            </w:tcBorders>
            <w:vAlign w:val="center"/>
          </w:tcPr>
          <w:p w14:paraId="2AEFA7A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830" w:type="pct"/>
            <w:vMerge w:val="restart"/>
            <w:tcBorders>
              <w:top w:val="single" w:sz="6" w:space="0" w:color="auto"/>
              <w:left w:val="single" w:sz="6" w:space="0" w:color="auto"/>
              <w:right w:val="single" w:sz="6" w:space="0" w:color="auto"/>
            </w:tcBorders>
            <w:vAlign w:val="center"/>
          </w:tcPr>
          <w:p w14:paraId="46FF8C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594" w:type="pct"/>
            <w:tcBorders>
              <w:top w:val="single" w:sz="6" w:space="0" w:color="auto"/>
              <w:left w:val="single" w:sz="6" w:space="0" w:color="auto"/>
              <w:bottom w:val="single" w:sz="6" w:space="0" w:color="auto"/>
              <w:right w:val="single" w:sz="4" w:space="0" w:color="auto"/>
            </w:tcBorders>
            <w:vAlign w:val="center"/>
          </w:tcPr>
          <w:p w14:paraId="54ABEAF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tc>
      </w:tr>
      <w:tr w:rsidR="003328F9" w:rsidRPr="00DD0D1F" w14:paraId="241F8AAF" w14:textId="77777777" w:rsidTr="003328F9">
        <w:trPr>
          <w:trHeight w:val="1173"/>
        </w:trPr>
        <w:tc>
          <w:tcPr>
            <w:tcW w:w="192" w:type="pct"/>
            <w:tcBorders>
              <w:top w:val="single" w:sz="6" w:space="0" w:color="auto"/>
              <w:left w:val="single" w:sz="4" w:space="0" w:color="auto"/>
              <w:bottom w:val="single" w:sz="4" w:space="0" w:color="auto"/>
              <w:right w:val="single" w:sz="6" w:space="0" w:color="auto"/>
            </w:tcBorders>
            <w:vAlign w:val="center"/>
          </w:tcPr>
          <w:p w14:paraId="0964B6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384" w:type="pct"/>
            <w:tcBorders>
              <w:top w:val="single" w:sz="6" w:space="0" w:color="auto"/>
              <w:left w:val="single" w:sz="6" w:space="0" w:color="auto"/>
              <w:bottom w:val="single" w:sz="4" w:space="0" w:color="auto"/>
              <w:right w:val="single" w:sz="6" w:space="0" w:color="auto"/>
            </w:tcBorders>
            <w:vAlign w:val="center"/>
          </w:tcPr>
          <w:p w14:paraId="77BC65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830" w:type="pct"/>
            <w:vMerge/>
            <w:tcBorders>
              <w:left w:val="single" w:sz="6" w:space="0" w:color="auto"/>
              <w:bottom w:val="single" w:sz="4" w:space="0" w:color="auto"/>
              <w:right w:val="single" w:sz="6" w:space="0" w:color="auto"/>
            </w:tcBorders>
            <w:vAlign w:val="center"/>
          </w:tcPr>
          <w:p w14:paraId="118B68B4" w14:textId="77777777" w:rsidR="003328F9" w:rsidRPr="00DD0D1F" w:rsidRDefault="003328F9" w:rsidP="003328F9">
            <w:pPr>
              <w:adjustRightInd w:val="0"/>
              <w:spacing w:line="240" w:lineRule="auto"/>
              <w:ind w:left="74" w:right="74"/>
              <w:rPr>
                <w:rFonts w:cs="Times New Roman"/>
                <w:szCs w:val="24"/>
                <w:lang w:val="tr-TR"/>
              </w:rPr>
            </w:pPr>
          </w:p>
        </w:tc>
        <w:tc>
          <w:tcPr>
            <w:tcW w:w="1594" w:type="pct"/>
            <w:tcBorders>
              <w:top w:val="single" w:sz="6" w:space="0" w:color="auto"/>
              <w:left w:val="single" w:sz="6" w:space="0" w:color="auto"/>
              <w:bottom w:val="single" w:sz="4" w:space="0" w:color="auto"/>
              <w:right w:val="single" w:sz="4" w:space="0" w:color="auto"/>
            </w:tcBorders>
            <w:vAlign w:val="center"/>
          </w:tcPr>
          <w:p w14:paraId="2C3C89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96457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p w14:paraId="0979E3A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ve tesis yapısına göre kısıtlanabilir.</w:t>
            </w:r>
          </w:p>
        </w:tc>
      </w:tr>
    </w:tbl>
    <w:bookmarkEnd w:id="103"/>
    <w:p w14:paraId="69182F91" w14:textId="3E12A9DE" w:rsidR="003328F9" w:rsidRPr="00DD0D1F" w:rsidRDefault="003328F9" w:rsidP="003328F9">
      <w:pPr>
        <w:spacing w:before="240"/>
        <w:rPr>
          <w:rFonts w:cs="Times New Roman"/>
          <w:b/>
          <w:bCs/>
          <w:szCs w:val="24"/>
          <w:lang w:val="tr-TR"/>
        </w:rPr>
      </w:pPr>
      <w:r w:rsidRPr="00DD0D1F">
        <w:rPr>
          <w:rFonts w:cs="Times New Roman"/>
          <w:b/>
          <w:bCs/>
          <w:szCs w:val="24"/>
          <w:lang w:val="tr-TR"/>
        </w:rPr>
        <w:t>MET 48</w:t>
      </w:r>
      <w:bookmarkStart w:id="104" w:name="_Hlk137397076"/>
      <w:r w:rsidRPr="00DD0D1F">
        <w:rPr>
          <w:rFonts w:cs="Times New Roman"/>
          <w:b/>
          <w:bCs/>
          <w:szCs w:val="24"/>
          <w:lang w:val="tr-TR"/>
        </w:rPr>
        <w:t xml:space="preserve">: </w:t>
      </w:r>
      <w:r w:rsidRPr="00DD0D1F">
        <w:rPr>
          <w:rFonts w:cs="Times New Roman"/>
          <w:bCs/>
          <w:szCs w:val="24"/>
          <w:lang w:val="tr-TR"/>
        </w:rPr>
        <w:t>Demir ve çelik proses gazlarının CCGT'lerde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aşağıda verilen tekniklerin biri veya bunların bir birleşimi kullan</w:t>
      </w:r>
      <w:r w:rsidR="004E663B" w:rsidRPr="00DD0D1F">
        <w:rPr>
          <w:rFonts w:cs="Times New Roman"/>
          <w:bCs/>
          <w:szCs w:val="24"/>
          <w:lang w:val="tr-TR"/>
        </w:rPr>
        <w:t>ılır.</w:t>
      </w:r>
      <w:bookmarkEnd w:id="104"/>
    </w:p>
    <w:tbl>
      <w:tblPr>
        <w:tblpPr w:leftFromText="141" w:rightFromText="141" w:vertAnchor="text" w:horzAnchor="margin" w:tblpX="35" w:tblpY="223"/>
        <w:tblW w:w="4928" w:type="pct"/>
        <w:tblCellMar>
          <w:left w:w="40" w:type="dxa"/>
          <w:right w:w="40" w:type="dxa"/>
        </w:tblCellMar>
        <w:tblLook w:val="0000" w:firstRow="0" w:lastRow="0" w:firstColumn="0" w:lastColumn="0" w:noHBand="0" w:noVBand="0"/>
      </w:tblPr>
      <w:tblGrid>
        <w:gridCol w:w="495"/>
        <w:gridCol w:w="2151"/>
        <w:gridCol w:w="3135"/>
        <w:gridCol w:w="3165"/>
      </w:tblGrid>
      <w:tr w:rsidR="003328F9" w:rsidRPr="00DD0D1F" w14:paraId="18E2DD70" w14:textId="77777777" w:rsidTr="003328F9">
        <w:trPr>
          <w:trHeight w:val="361"/>
          <w:tblHeader/>
        </w:trPr>
        <w:tc>
          <w:tcPr>
            <w:tcW w:w="277" w:type="pct"/>
            <w:tcBorders>
              <w:top w:val="single" w:sz="4" w:space="0" w:color="auto"/>
              <w:left w:val="single" w:sz="4" w:space="0" w:color="auto"/>
              <w:bottom w:val="single" w:sz="6" w:space="0" w:color="auto"/>
              <w:right w:val="single" w:sz="6" w:space="0" w:color="auto"/>
            </w:tcBorders>
            <w:vAlign w:val="center"/>
          </w:tcPr>
          <w:p w14:paraId="5FE5BF4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202" w:type="pct"/>
            <w:tcBorders>
              <w:top w:val="single" w:sz="4" w:space="0" w:color="auto"/>
              <w:left w:val="single" w:sz="4" w:space="0" w:color="auto"/>
              <w:bottom w:val="single" w:sz="6" w:space="0" w:color="auto"/>
              <w:right w:val="single" w:sz="6" w:space="0" w:color="auto"/>
            </w:tcBorders>
            <w:vAlign w:val="center"/>
          </w:tcPr>
          <w:p w14:paraId="0BE77BA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752" w:type="pct"/>
            <w:tcBorders>
              <w:top w:val="single" w:sz="4" w:space="0" w:color="auto"/>
              <w:left w:val="single" w:sz="6" w:space="0" w:color="auto"/>
              <w:bottom w:val="single" w:sz="6" w:space="0" w:color="auto"/>
              <w:right w:val="single" w:sz="6" w:space="0" w:color="auto"/>
            </w:tcBorders>
            <w:vAlign w:val="center"/>
          </w:tcPr>
          <w:p w14:paraId="4A7EA6D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69" w:type="pct"/>
            <w:tcBorders>
              <w:top w:val="single" w:sz="4" w:space="0" w:color="auto"/>
              <w:left w:val="single" w:sz="6" w:space="0" w:color="auto"/>
              <w:bottom w:val="single" w:sz="6" w:space="0" w:color="auto"/>
              <w:right w:val="single" w:sz="4" w:space="0" w:color="auto"/>
            </w:tcBorders>
            <w:vAlign w:val="center"/>
          </w:tcPr>
          <w:p w14:paraId="77D3F17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D8FB2D5" w14:textId="77777777" w:rsidTr="003328F9">
        <w:trPr>
          <w:trHeight w:val="50"/>
        </w:trPr>
        <w:tc>
          <w:tcPr>
            <w:tcW w:w="277" w:type="pct"/>
            <w:tcBorders>
              <w:top w:val="single" w:sz="6" w:space="0" w:color="auto"/>
              <w:left w:val="single" w:sz="4" w:space="0" w:color="auto"/>
              <w:bottom w:val="single" w:sz="6" w:space="0" w:color="auto"/>
              <w:right w:val="single" w:sz="6" w:space="0" w:color="auto"/>
            </w:tcBorders>
            <w:vAlign w:val="center"/>
          </w:tcPr>
          <w:p w14:paraId="5255D38C" w14:textId="77777777" w:rsidR="003328F9" w:rsidRPr="00DD0D1F" w:rsidRDefault="003328F9" w:rsidP="003328F9">
            <w:pPr>
              <w:adjustRightInd w:val="0"/>
              <w:spacing w:line="240" w:lineRule="auto"/>
              <w:ind w:left="74" w:right="74"/>
              <w:rPr>
                <w:rFonts w:cs="Times New Roman"/>
                <w:szCs w:val="24"/>
                <w:lang w:val="tr-TR"/>
              </w:rPr>
            </w:pPr>
            <w:bookmarkStart w:id="105" w:name="_Hlk137397090"/>
            <w:r w:rsidRPr="00DD0D1F">
              <w:rPr>
                <w:rFonts w:cs="Times New Roman"/>
                <w:szCs w:val="24"/>
                <w:lang w:val="tr-TR"/>
              </w:rPr>
              <w:t>a</w:t>
            </w:r>
          </w:p>
        </w:tc>
        <w:tc>
          <w:tcPr>
            <w:tcW w:w="1202" w:type="pct"/>
            <w:tcBorders>
              <w:top w:val="single" w:sz="6" w:space="0" w:color="auto"/>
              <w:left w:val="single" w:sz="6" w:space="0" w:color="auto"/>
              <w:bottom w:val="single" w:sz="6" w:space="0" w:color="auto"/>
              <w:right w:val="single" w:sz="6" w:space="0" w:color="auto"/>
            </w:tcBorders>
            <w:vAlign w:val="center"/>
          </w:tcPr>
          <w:p w14:paraId="41A195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 yönetimi sistemi</w:t>
            </w:r>
          </w:p>
        </w:tc>
        <w:tc>
          <w:tcPr>
            <w:tcW w:w="1752" w:type="pct"/>
            <w:tcBorders>
              <w:top w:val="single" w:sz="6" w:space="0" w:color="auto"/>
              <w:left w:val="single" w:sz="6" w:space="0" w:color="auto"/>
              <w:bottom w:val="single" w:sz="6" w:space="0" w:color="auto"/>
              <w:right w:val="single" w:sz="6" w:space="0" w:color="auto"/>
            </w:tcBorders>
            <w:vAlign w:val="center"/>
          </w:tcPr>
          <w:p w14:paraId="6EE1C7D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769" w:type="pct"/>
            <w:tcBorders>
              <w:top w:val="single" w:sz="6" w:space="0" w:color="auto"/>
              <w:left w:val="single" w:sz="6" w:space="0" w:color="auto"/>
              <w:bottom w:val="single" w:sz="6" w:space="0" w:color="auto"/>
              <w:right w:val="single" w:sz="4" w:space="0" w:color="auto"/>
            </w:tcBorders>
            <w:vAlign w:val="center"/>
          </w:tcPr>
          <w:p w14:paraId="66BD0C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bulunmasıyla ilişkili kısıtlamalar dahilinde uygulanabilir.</w:t>
            </w:r>
          </w:p>
        </w:tc>
      </w:tr>
      <w:tr w:rsidR="003328F9" w:rsidRPr="00DD0D1F" w14:paraId="16AC76FC" w14:textId="77777777" w:rsidTr="003328F9">
        <w:trPr>
          <w:trHeight w:val="232"/>
        </w:trPr>
        <w:tc>
          <w:tcPr>
            <w:tcW w:w="277" w:type="pct"/>
            <w:tcBorders>
              <w:top w:val="single" w:sz="6" w:space="0" w:color="auto"/>
              <w:left w:val="single" w:sz="4" w:space="0" w:color="auto"/>
              <w:bottom w:val="single" w:sz="6" w:space="0" w:color="auto"/>
              <w:right w:val="single" w:sz="6" w:space="0" w:color="auto"/>
            </w:tcBorders>
            <w:vAlign w:val="center"/>
          </w:tcPr>
          <w:p w14:paraId="0CCC82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202" w:type="pct"/>
            <w:tcBorders>
              <w:top w:val="single" w:sz="6" w:space="0" w:color="auto"/>
              <w:left w:val="single" w:sz="6" w:space="0" w:color="auto"/>
              <w:bottom w:val="single" w:sz="6" w:space="0" w:color="auto"/>
              <w:right w:val="single" w:sz="6" w:space="0" w:color="auto"/>
            </w:tcBorders>
            <w:vAlign w:val="center"/>
          </w:tcPr>
          <w:p w14:paraId="1CC7872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752" w:type="pct"/>
            <w:tcBorders>
              <w:top w:val="single" w:sz="6" w:space="0" w:color="auto"/>
              <w:left w:val="single" w:sz="6" w:space="0" w:color="auto"/>
              <w:bottom w:val="single" w:sz="6" w:space="0" w:color="auto"/>
              <w:right w:val="single" w:sz="6" w:space="0" w:color="auto"/>
            </w:tcBorders>
            <w:vAlign w:val="center"/>
          </w:tcPr>
          <w:p w14:paraId="2D98C0D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582A60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diğer teknikler ile birlikte kullanılır.</w:t>
            </w:r>
          </w:p>
        </w:tc>
        <w:tc>
          <w:tcPr>
            <w:tcW w:w="1769" w:type="pct"/>
            <w:tcBorders>
              <w:top w:val="single" w:sz="6" w:space="0" w:color="auto"/>
              <w:left w:val="single" w:sz="6" w:space="0" w:color="auto"/>
              <w:bottom w:val="single" w:sz="6" w:space="0" w:color="auto"/>
              <w:right w:val="single" w:sz="4" w:space="0" w:color="auto"/>
            </w:tcBorders>
            <w:vAlign w:val="center"/>
          </w:tcPr>
          <w:p w14:paraId="6CD085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68502DF3" w14:textId="77777777" w:rsidTr="003328F9">
        <w:trPr>
          <w:trHeight w:val="648"/>
        </w:trPr>
        <w:tc>
          <w:tcPr>
            <w:tcW w:w="277" w:type="pct"/>
            <w:tcBorders>
              <w:top w:val="single" w:sz="6" w:space="0" w:color="auto"/>
              <w:left w:val="single" w:sz="4" w:space="0" w:color="auto"/>
              <w:bottom w:val="single" w:sz="6" w:space="0" w:color="auto"/>
              <w:right w:val="single" w:sz="6" w:space="0" w:color="auto"/>
            </w:tcBorders>
            <w:vAlign w:val="center"/>
          </w:tcPr>
          <w:p w14:paraId="715D533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202" w:type="pct"/>
            <w:tcBorders>
              <w:top w:val="single" w:sz="6" w:space="0" w:color="auto"/>
              <w:left w:val="single" w:sz="6" w:space="0" w:color="auto"/>
              <w:bottom w:val="single" w:sz="6" w:space="0" w:color="auto"/>
              <w:right w:val="single" w:sz="6" w:space="0" w:color="auto"/>
            </w:tcBorders>
            <w:vAlign w:val="center"/>
          </w:tcPr>
          <w:p w14:paraId="244E9B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752" w:type="pct"/>
            <w:tcBorders>
              <w:top w:val="single" w:sz="6" w:space="0" w:color="auto"/>
              <w:left w:val="single" w:sz="6" w:space="0" w:color="auto"/>
              <w:bottom w:val="single" w:sz="6" w:space="0" w:color="auto"/>
              <w:right w:val="single" w:sz="6" w:space="0" w:color="auto"/>
            </w:tcBorders>
            <w:vAlign w:val="center"/>
          </w:tcPr>
          <w:p w14:paraId="76C1CF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043CCF9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proses gazlarının yakıldığı, çift yakıtlı DLN kullanılan gaz türbinlerinde, genel olarak doğalgaz yakılırken su/buhar eklenmesi tekniği kullanılmaktadır.</w:t>
            </w:r>
          </w:p>
        </w:tc>
        <w:tc>
          <w:tcPr>
            <w:tcW w:w="1769" w:type="pct"/>
            <w:tcBorders>
              <w:top w:val="single" w:sz="6" w:space="0" w:color="auto"/>
              <w:left w:val="single" w:sz="6" w:space="0" w:color="auto"/>
              <w:bottom w:val="single" w:sz="6" w:space="0" w:color="auto"/>
              <w:right w:val="single" w:sz="4" w:space="0" w:color="auto"/>
            </w:tcBorders>
            <w:vAlign w:val="center"/>
          </w:tcPr>
          <w:p w14:paraId="2BF4C5A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5C110AA3" w14:textId="77777777" w:rsidTr="003328F9">
        <w:trPr>
          <w:trHeight w:val="552"/>
        </w:trPr>
        <w:tc>
          <w:tcPr>
            <w:tcW w:w="277" w:type="pct"/>
            <w:tcBorders>
              <w:top w:val="single" w:sz="6" w:space="0" w:color="auto"/>
              <w:left w:val="single" w:sz="4" w:space="0" w:color="auto"/>
              <w:bottom w:val="single" w:sz="6" w:space="0" w:color="auto"/>
              <w:right w:val="single" w:sz="6" w:space="0" w:color="auto"/>
            </w:tcBorders>
            <w:vAlign w:val="center"/>
          </w:tcPr>
          <w:p w14:paraId="66FFB4A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202" w:type="pct"/>
            <w:tcBorders>
              <w:top w:val="single" w:sz="6" w:space="0" w:color="auto"/>
              <w:left w:val="single" w:sz="6" w:space="0" w:color="auto"/>
              <w:bottom w:val="single" w:sz="6" w:space="0" w:color="auto"/>
              <w:right w:val="single" w:sz="6" w:space="0" w:color="auto"/>
            </w:tcBorders>
            <w:vAlign w:val="center"/>
          </w:tcPr>
          <w:p w14:paraId="7AC1F0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 xml:space="preserve">X </w:t>
            </w:r>
            <w:r w:rsidRPr="00DD0D1F">
              <w:rPr>
                <w:rFonts w:cs="Times New Roman"/>
                <w:szCs w:val="24"/>
                <w:lang w:val="tr-TR"/>
              </w:rPr>
              <w:t xml:space="preserve"> brülörler (DLN)</w:t>
            </w:r>
          </w:p>
        </w:tc>
        <w:tc>
          <w:tcPr>
            <w:tcW w:w="1752" w:type="pct"/>
            <w:tcBorders>
              <w:top w:val="single" w:sz="6" w:space="0" w:color="auto"/>
              <w:left w:val="single" w:sz="6" w:space="0" w:color="auto"/>
              <w:bottom w:val="single" w:sz="6" w:space="0" w:color="auto"/>
              <w:right w:val="single" w:sz="6" w:space="0" w:color="auto"/>
            </w:tcBorders>
            <w:vAlign w:val="center"/>
          </w:tcPr>
          <w:p w14:paraId="7D45F11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7F3F1C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proses gazları yakan DLN, sadece doğalgaz yakanlardan farklıdır.</w:t>
            </w:r>
          </w:p>
        </w:tc>
        <w:tc>
          <w:tcPr>
            <w:tcW w:w="1769" w:type="pct"/>
            <w:tcBorders>
              <w:top w:val="single" w:sz="6" w:space="0" w:color="auto"/>
              <w:left w:val="single" w:sz="6" w:space="0" w:color="auto"/>
              <w:bottom w:val="single" w:sz="6" w:space="0" w:color="auto"/>
              <w:right w:val="single" w:sz="4" w:space="0" w:color="auto"/>
            </w:tcBorders>
            <w:vAlign w:val="center"/>
          </w:tcPr>
          <w:p w14:paraId="3345B0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Kok fırını gazı gibi demir ve çelik proses gazlarının reaktifliği ile ilişkili kısıtlamalar dahilinde uygulanabilir.</w:t>
            </w:r>
          </w:p>
          <w:p w14:paraId="137DCC3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öngörülmediği durumlarda veya su/buhar ekleme sistemi bulunan türbinlerde uygulanabilirliği sınırlıdır.</w:t>
            </w:r>
          </w:p>
        </w:tc>
      </w:tr>
      <w:tr w:rsidR="003328F9" w:rsidRPr="00DD0D1F" w14:paraId="5A65732F" w14:textId="77777777" w:rsidTr="003328F9">
        <w:trPr>
          <w:trHeight w:val="267"/>
        </w:trPr>
        <w:tc>
          <w:tcPr>
            <w:tcW w:w="277" w:type="pct"/>
            <w:tcBorders>
              <w:top w:val="single" w:sz="6" w:space="0" w:color="auto"/>
              <w:left w:val="single" w:sz="4" w:space="0" w:color="auto"/>
              <w:bottom w:val="single" w:sz="6" w:space="0" w:color="auto"/>
              <w:right w:val="single" w:sz="6" w:space="0" w:color="auto"/>
            </w:tcBorders>
            <w:vAlign w:val="center"/>
          </w:tcPr>
          <w:p w14:paraId="14D1FE30" w14:textId="77777777" w:rsidR="003328F9" w:rsidRPr="00DD0D1F" w:rsidRDefault="003328F9" w:rsidP="003328F9">
            <w:pPr>
              <w:adjustRightInd w:val="0"/>
              <w:spacing w:line="240" w:lineRule="auto"/>
              <w:ind w:left="74" w:right="74"/>
              <w:rPr>
                <w:rFonts w:cs="Times New Roman"/>
                <w:szCs w:val="24"/>
                <w:lang w:val="tr-TR"/>
              </w:rPr>
            </w:pPr>
            <w:bookmarkStart w:id="106" w:name="_Hlk137397100"/>
            <w:bookmarkEnd w:id="105"/>
            <w:r w:rsidRPr="00DD0D1F">
              <w:rPr>
                <w:rFonts w:cs="Times New Roman"/>
                <w:szCs w:val="24"/>
                <w:lang w:val="tr-TR"/>
              </w:rPr>
              <w:t>e</w:t>
            </w:r>
          </w:p>
        </w:tc>
        <w:tc>
          <w:tcPr>
            <w:tcW w:w="1202" w:type="pct"/>
            <w:tcBorders>
              <w:top w:val="single" w:sz="6" w:space="0" w:color="auto"/>
              <w:left w:val="single" w:sz="6" w:space="0" w:color="auto"/>
              <w:bottom w:val="single" w:sz="6" w:space="0" w:color="auto"/>
              <w:right w:val="single" w:sz="6" w:space="0" w:color="auto"/>
            </w:tcBorders>
            <w:vAlign w:val="center"/>
          </w:tcPr>
          <w:p w14:paraId="57112B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752" w:type="pct"/>
            <w:vMerge w:val="restart"/>
            <w:tcBorders>
              <w:top w:val="single" w:sz="6" w:space="0" w:color="auto"/>
              <w:left w:val="single" w:sz="6" w:space="0" w:color="auto"/>
              <w:right w:val="single" w:sz="6" w:space="0" w:color="auto"/>
            </w:tcBorders>
            <w:vAlign w:val="center"/>
          </w:tcPr>
          <w:p w14:paraId="48B684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769" w:type="pct"/>
            <w:tcBorders>
              <w:top w:val="single" w:sz="6" w:space="0" w:color="auto"/>
              <w:left w:val="single" w:sz="6" w:space="0" w:color="auto"/>
              <w:bottom w:val="single" w:sz="6" w:space="0" w:color="auto"/>
              <w:right w:val="single" w:sz="4" w:space="0" w:color="auto"/>
            </w:tcBorders>
            <w:vAlign w:val="center"/>
          </w:tcPr>
          <w:p w14:paraId="1CF4120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kombine çevrim gaz türbinli (CCGT) yakma tesislerinin ısı geri kazanım buhar jeneratörlerine (HRSG'ler) yönelik ek ateşleme sistemine uygulanabilir.</w:t>
            </w:r>
          </w:p>
        </w:tc>
      </w:tr>
      <w:tr w:rsidR="003328F9" w:rsidRPr="00DD0D1F" w14:paraId="68EFEAC3" w14:textId="77777777" w:rsidTr="003328F9">
        <w:trPr>
          <w:trHeight w:val="276"/>
        </w:trPr>
        <w:tc>
          <w:tcPr>
            <w:tcW w:w="277" w:type="pct"/>
            <w:tcBorders>
              <w:top w:val="single" w:sz="6" w:space="0" w:color="auto"/>
              <w:left w:val="single" w:sz="4" w:space="0" w:color="auto"/>
              <w:bottom w:val="single" w:sz="4" w:space="0" w:color="auto"/>
              <w:right w:val="single" w:sz="6" w:space="0" w:color="auto"/>
            </w:tcBorders>
            <w:vAlign w:val="center"/>
          </w:tcPr>
          <w:p w14:paraId="0100B29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202" w:type="pct"/>
            <w:tcBorders>
              <w:top w:val="single" w:sz="6" w:space="0" w:color="auto"/>
              <w:left w:val="single" w:sz="6" w:space="0" w:color="auto"/>
              <w:bottom w:val="single" w:sz="4" w:space="0" w:color="auto"/>
              <w:right w:val="single" w:sz="6" w:space="0" w:color="auto"/>
            </w:tcBorders>
            <w:vAlign w:val="center"/>
          </w:tcPr>
          <w:p w14:paraId="12CFD62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752" w:type="pct"/>
            <w:vMerge/>
            <w:tcBorders>
              <w:left w:val="single" w:sz="6" w:space="0" w:color="auto"/>
              <w:bottom w:val="single" w:sz="4" w:space="0" w:color="auto"/>
              <w:right w:val="single" w:sz="6" w:space="0" w:color="auto"/>
            </w:tcBorders>
            <w:vAlign w:val="center"/>
          </w:tcPr>
          <w:p w14:paraId="4A5819DF" w14:textId="77777777" w:rsidR="003328F9" w:rsidRPr="00DD0D1F" w:rsidRDefault="003328F9" w:rsidP="003328F9">
            <w:pPr>
              <w:adjustRightInd w:val="0"/>
              <w:spacing w:line="240" w:lineRule="auto"/>
              <w:ind w:right="74"/>
              <w:rPr>
                <w:rFonts w:cs="Times New Roman"/>
                <w:szCs w:val="24"/>
                <w:lang w:val="tr-TR"/>
              </w:rPr>
            </w:pPr>
          </w:p>
        </w:tc>
        <w:tc>
          <w:tcPr>
            <w:tcW w:w="1769" w:type="pct"/>
            <w:tcBorders>
              <w:top w:val="single" w:sz="6" w:space="0" w:color="auto"/>
              <w:left w:val="single" w:sz="6" w:space="0" w:color="auto"/>
              <w:bottom w:val="single" w:sz="4" w:space="0" w:color="auto"/>
              <w:right w:val="single" w:sz="4" w:space="0" w:color="auto"/>
            </w:tcBorders>
            <w:vAlign w:val="center"/>
          </w:tcPr>
          <w:p w14:paraId="30E554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tc>
      </w:tr>
    </w:tbl>
    <w:p w14:paraId="570E2576" w14:textId="36938C8E" w:rsidR="003328F9" w:rsidRPr="00DD0D1F" w:rsidRDefault="003328F9" w:rsidP="003328F9">
      <w:pPr>
        <w:spacing w:before="240"/>
        <w:rPr>
          <w:rFonts w:cs="Times New Roman"/>
          <w:b/>
          <w:bCs/>
          <w:szCs w:val="24"/>
          <w:lang w:val="tr-TR"/>
        </w:rPr>
      </w:pPr>
      <w:bookmarkStart w:id="107" w:name="_Hlk137397118"/>
      <w:bookmarkEnd w:id="106"/>
      <w:r w:rsidRPr="00DD0D1F">
        <w:rPr>
          <w:rFonts w:cs="Times New Roman"/>
          <w:b/>
          <w:bCs/>
          <w:szCs w:val="24"/>
          <w:lang w:val="tr-TR"/>
        </w:rPr>
        <w:t xml:space="preserve">MET 49: </w:t>
      </w:r>
      <w:r w:rsidRPr="00DD0D1F">
        <w:rPr>
          <w:rFonts w:cs="Times New Roman"/>
          <w:bCs/>
          <w:szCs w:val="24"/>
          <w:lang w:val="tr-TR"/>
        </w:rPr>
        <w:t>Demir ve çelik proses gazlarının yakılmasından kaynaklanan havaya CO emisyonların</w:t>
      </w:r>
      <w:r w:rsidR="004E663B" w:rsidRPr="00DD0D1F">
        <w:rPr>
          <w:rFonts w:cs="Times New Roman"/>
          <w:bCs/>
          <w:szCs w:val="24"/>
          <w:lang w:val="tr-TR"/>
        </w:rPr>
        <w:t>ı önlemek veya düşürmek için</w:t>
      </w:r>
      <w:r w:rsidRPr="00DD0D1F">
        <w:rPr>
          <w:rFonts w:cs="Times New Roman"/>
          <w:bCs/>
          <w:szCs w:val="24"/>
          <w:lang w:val="tr-TR"/>
        </w:rPr>
        <w:t>, aşa</w:t>
      </w:r>
      <w:r w:rsidR="004E663B" w:rsidRPr="00DD0D1F">
        <w:rPr>
          <w:rFonts w:cs="Times New Roman"/>
          <w:bCs/>
          <w:szCs w:val="24"/>
          <w:lang w:val="tr-TR"/>
        </w:rPr>
        <w:t xml:space="preserve">ğıda verilen tekniklerin biri </w:t>
      </w:r>
      <w:r w:rsidRPr="00DD0D1F">
        <w:rPr>
          <w:rFonts w:cs="Times New Roman"/>
          <w:bCs/>
          <w:szCs w:val="24"/>
          <w:lang w:val="tr-TR"/>
        </w:rPr>
        <w:t>veya</w:t>
      </w:r>
      <w:r w:rsidR="004E663B" w:rsidRPr="00DD0D1F">
        <w:rPr>
          <w:rFonts w:cs="Times New Roman"/>
          <w:bCs/>
          <w:szCs w:val="24"/>
          <w:lang w:val="tr-TR"/>
        </w:rPr>
        <w:t xml:space="preserve"> bunların bir birleşimi</w:t>
      </w:r>
      <w:r w:rsidRPr="00DD0D1F">
        <w:rPr>
          <w:rFonts w:cs="Times New Roman"/>
          <w:bCs/>
          <w:szCs w:val="24"/>
          <w:lang w:val="tr-TR"/>
        </w:rPr>
        <w:t xml:space="preserve"> kullan</w:t>
      </w:r>
      <w:r w:rsidR="004E663B" w:rsidRPr="00DD0D1F">
        <w:rPr>
          <w:rFonts w:cs="Times New Roman"/>
          <w:bCs/>
          <w:szCs w:val="24"/>
          <w:lang w:val="tr-TR"/>
        </w:rPr>
        <w:t>ılır.</w:t>
      </w:r>
      <w:bookmarkEnd w:id="107"/>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
        <w:gridCol w:w="2086"/>
        <w:gridCol w:w="3279"/>
        <w:gridCol w:w="3429"/>
      </w:tblGrid>
      <w:tr w:rsidR="003328F9" w:rsidRPr="00DD0D1F" w14:paraId="62536D22" w14:textId="77777777" w:rsidTr="003328F9">
        <w:trPr>
          <w:trHeight w:val="220"/>
          <w:tblHeader/>
        </w:trPr>
        <w:tc>
          <w:tcPr>
            <w:tcW w:w="156" w:type="pct"/>
            <w:tcBorders>
              <w:right w:val="single" w:sz="4" w:space="0" w:color="auto"/>
            </w:tcBorders>
            <w:vAlign w:val="center"/>
          </w:tcPr>
          <w:p w14:paraId="54C00BEA" w14:textId="77777777" w:rsidR="003328F9" w:rsidRPr="00DD0D1F" w:rsidRDefault="003328F9" w:rsidP="003328F9">
            <w:pPr>
              <w:pStyle w:val="TableParagraph"/>
              <w:ind w:right="74"/>
              <w:jc w:val="center"/>
              <w:rPr>
                <w:b/>
                <w:szCs w:val="24"/>
              </w:rPr>
            </w:pPr>
          </w:p>
        </w:tc>
        <w:tc>
          <w:tcPr>
            <w:tcW w:w="1149" w:type="pct"/>
            <w:tcBorders>
              <w:left w:val="single" w:sz="4" w:space="0" w:color="auto"/>
            </w:tcBorders>
            <w:vAlign w:val="center"/>
          </w:tcPr>
          <w:p w14:paraId="6695E6FF" w14:textId="77777777" w:rsidR="003328F9" w:rsidRPr="00DD0D1F" w:rsidRDefault="003328F9" w:rsidP="003328F9">
            <w:pPr>
              <w:pStyle w:val="TableParagraph"/>
              <w:ind w:left="74" w:right="74"/>
              <w:jc w:val="center"/>
              <w:rPr>
                <w:b/>
                <w:szCs w:val="24"/>
              </w:rPr>
            </w:pPr>
            <w:r w:rsidRPr="00DD0D1F">
              <w:rPr>
                <w:b/>
                <w:szCs w:val="24"/>
              </w:rPr>
              <w:t>Teknik</w:t>
            </w:r>
          </w:p>
        </w:tc>
        <w:tc>
          <w:tcPr>
            <w:tcW w:w="1806" w:type="pct"/>
            <w:vAlign w:val="center"/>
          </w:tcPr>
          <w:p w14:paraId="1FCBC06C" w14:textId="77777777" w:rsidR="003328F9" w:rsidRPr="00DD0D1F" w:rsidRDefault="003328F9" w:rsidP="003328F9">
            <w:pPr>
              <w:pStyle w:val="TableParagraph"/>
              <w:ind w:left="74" w:right="74"/>
              <w:jc w:val="center"/>
              <w:rPr>
                <w:b/>
                <w:szCs w:val="24"/>
              </w:rPr>
            </w:pPr>
            <w:r w:rsidRPr="00DD0D1F">
              <w:rPr>
                <w:b/>
                <w:szCs w:val="24"/>
              </w:rPr>
              <w:t>Açıklama</w:t>
            </w:r>
          </w:p>
        </w:tc>
        <w:tc>
          <w:tcPr>
            <w:tcW w:w="1889" w:type="pct"/>
            <w:vAlign w:val="center"/>
          </w:tcPr>
          <w:p w14:paraId="66A1A568"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6548D194" w14:textId="77777777" w:rsidTr="003328F9">
        <w:trPr>
          <w:trHeight w:val="219"/>
          <w:tblHeader/>
        </w:trPr>
        <w:tc>
          <w:tcPr>
            <w:tcW w:w="156" w:type="pct"/>
            <w:tcBorders>
              <w:top w:val="single" w:sz="6" w:space="0" w:color="auto"/>
              <w:left w:val="single" w:sz="4" w:space="0" w:color="auto"/>
              <w:bottom w:val="single" w:sz="6" w:space="0" w:color="auto"/>
              <w:right w:val="single" w:sz="4" w:space="0" w:color="auto"/>
            </w:tcBorders>
            <w:vAlign w:val="center"/>
          </w:tcPr>
          <w:p w14:paraId="358E8FD6" w14:textId="77777777" w:rsidR="003328F9" w:rsidRPr="00DD0D1F" w:rsidRDefault="003328F9" w:rsidP="003328F9">
            <w:pPr>
              <w:adjustRightInd w:val="0"/>
              <w:spacing w:line="240" w:lineRule="auto"/>
              <w:ind w:left="74" w:right="74"/>
              <w:rPr>
                <w:rFonts w:cs="Times New Roman"/>
                <w:szCs w:val="24"/>
                <w:lang w:val="tr-TR"/>
              </w:rPr>
            </w:pPr>
            <w:bookmarkStart w:id="108" w:name="_Hlk137397128"/>
            <w:r w:rsidRPr="00DD0D1F">
              <w:rPr>
                <w:rFonts w:cs="Times New Roman"/>
                <w:szCs w:val="24"/>
                <w:lang w:val="tr-TR"/>
              </w:rPr>
              <w:t>a</w:t>
            </w:r>
          </w:p>
        </w:tc>
        <w:tc>
          <w:tcPr>
            <w:tcW w:w="1149" w:type="pct"/>
            <w:tcBorders>
              <w:top w:val="single" w:sz="6" w:space="0" w:color="auto"/>
              <w:left w:val="single" w:sz="4" w:space="0" w:color="auto"/>
              <w:bottom w:val="single" w:sz="6" w:space="0" w:color="auto"/>
              <w:right w:val="single" w:sz="6" w:space="0" w:color="auto"/>
            </w:tcBorders>
            <w:vAlign w:val="center"/>
          </w:tcPr>
          <w:p w14:paraId="3930E0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806" w:type="pct"/>
            <w:vMerge w:val="restart"/>
            <w:tcBorders>
              <w:top w:val="single" w:sz="6" w:space="0" w:color="auto"/>
              <w:left w:val="single" w:sz="6" w:space="0" w:color="auto"/>
              <w:right w:val="single" w:sz="6" w:space="0" w:color="auto"/>
            </w:tcBorders>
            <w:vAlign w:val="center"/>
          </w:tcPr>
          <w:p w14:paraId="231FA89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889" w:type="pct"/>
            <w:tcBorders>
              <w:top w:val="single" w:sz="6" w:space="0" w:color="auto"/>
              <w:left w:val="single" w:sz="6" w:space="0" w:color="auto"/>
              <w:bottom w:val="single" w:sz="6" w:space="0" w:color="auto"/>
              <w:right w:val="single" w:sz="4" w:space="0" w:color="auto"/>
            </w:tcBorders>
            <w:vAlign w:val="center"/>
          </w:tcPr>
          <w:p w14:paraId="1092A8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CC17351" w14:textId="77777777" w:rsidTr="003328F9">
        <w:trPr>
          <w:trHeight w:val="882"/>
          <w:tblHeader/>
        </w:trPr>
        <w:tc>
          <w:tcPr>
            <w:tcW w:w="156" w:type="pct"/>
            <w:tcBorders>
              <w:top w:val="single" w:sz="6" w:space="0" w:color="auto"/>
              <w:left w:val="single" w:sz="4" w:space="0" w:color="auto"/>
              <w:bottom w:val="single" w:sz="4" w:space="0" w:color="auto"/>
              <w:right w:val="single" w:sz="6" w:space="0" w:color="auto"/>
            </w:tcBorders>
            <w:vAlign w:val="center"/>
          </w:tcPr>
          <w:p w14:paraId="359D0191" w14:textId="77777777" w:rsidR="003328F9" w:rsidRPr="00DD0D1F" w:rsidRDefault="003328F9" w:rsidP="003328F9">
            <w:pPr>
              <w:pStyle w:val="TableParagraph"/>
              <w:ind w:left="74" w:right="74"/>
              <w:jc w:val="both"/>
              <w:rPr>
                <w:szCs w:val="24"/>
              </w:rPr>
            </w:pPr>
            <w:r w:rsidRPr="00DD0D1F">
              <w:rPr>
                <w:szCs w:val="24"/>
              </w:rPr>
              <w:t>b</w:t>
            </w:r>
          </w:p>
        </w:tc>
        <w:tc>
          <w:tcPr>
            <w:tcW w:w="1149" w:type="pct"/>
            <w:tcBorders>
              <w:top w:val="single" w:sz="6" w:space="0" w:color="auto"/>
              <w:left w:val="single" w:sz="6" w:space="0" w:color="auto"/>
              <w:bottom w:val="single" w:sz="4" w:space="0" w:color="auto"/>
              <w:right w:val="single" w:sz="6" w:space="0" w:color="auto"/>
            </w:tcBorders>
            <w:vAlign w:val="center"/>
          </w:tcPr>
          <w:p w14:paraId="6351F99B" w14:textId="77777777" w:rsidR="003328F9" w:rsidRPr="00DD0D1F" w:rsidRDefault="003328F9" w:rsidP="003328F9">
            <w:pPr>
              <w:pStyle w:val="TableParagraph"/>
              <w:ind w:left="74" w:right="74"/>
              <w:jc w:val="both"/>
              <w:rPr>
                <w:szCs w:val="24"/>
              </w:rPr>
            </w:pPr>
            <w:r w:rsidRPr="00DD0D1F">
              <w:rPr>
                <w:szCs w:val="24"/>
              </w:rPr>
              <w:t>Oksidasyon katalizörleri</w:t>
            </w:r>
          </w:p>
        </w:tc>
        <w:tc>
          <w:tcPr>
            <w:tcW w:w="1806" w:type="pct"/>
            <w:vMerge/>
            <w:tcBorders>
              <w:left w:val="single" w:sz="6" w:space="0" w:color="auto"/>
              <w:bottom w:val="single" w:sz="4" w:space="0" w:color="auto"/>
              <w:right w:val="single" w:sz="6" w:space="0" w:color="auto"/>
            </w:tcBorders>
            <w:vAlign w:val="center"/>
          </w:tcPr>
          <w:p w14:paraId="5AE198A8" w14:textId="77777777" w:rsidR="003328F9" w:rsidRPr="00DD0D1F" w:rsidRDefault="003328F9" w:rsidP="003328F9">
            <w:pPr>
              <w:spacing w:line="240" w:lineRule="auto"/>
              <w:ind w:left="74" w:right="74"/>
              <w:rPr>
                <w:rFonts w:cs="Times New Roman"/>
                <w:szCs w:val="24"/>
                <w:lang w:val="tr-TR"/>
              </w:rPr>
            </w:pPr>
          </w:p>
        </w:tc>
        <w:tc>
          <w:tcPr>
            <w:tcW w:w="1889" w:type="pct"/>
            <w:tcBorders>
              <w:top w:val="single" w:sz="6" w:space="0" w:color="auto"/>
              <w:left w:val="single" w:sz="6" w:space="0" w:color="auto"/>
              <w:bottom w:val="single" w:sz="4" w:space="0" w:color="auto"/>
              <w:right w:val="single" w:sz="4" w:space="0" w:color="auto"/>
            </w:tcBorders>
            <w:vAlign w:val="center"/>
          </w:tcPr>
          <w:p w14:paraId="1BAA4DB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CCGT'lere uygulanabilir.</w:t>
            </w:r>
          </w:p>
          <w:p w14:paraId="6F73E913" w14:textId="77777777" w:rsidR="003328F9" w:rsidRPr="00DD0D1F" w:rsidRDefault="003328F9" w:rsidP="003328F9">
            <w:pPr>
              <w:pStyle w:val="TableParagraph"/>
              <w:ind w:left="74" w:right="74"/>
              <w:jc w:val="both"/>
              <w:rPr>
                <w:szCs w:val="24"/>
              </w:rPr>
            </w:pPr>
            <w:r w:rsidRPr="00DD0D1F">
              <w:rPr>
                <w:szCs w:val="24"/>
              </w:rPr>
              <w:t>Uygulanabilirlik, alan darlığı, yük gereklilikleri ve yakıtın kükürt içeriği ile sınırlanabilir.</w:t>
            </w:r>
          </w:p>
        </w:tc>
      </w:tr>
    </w:tbl>
    <w:bookmarkEnd w:id="108"/>
    <w:p w14:paraId="3471B62E"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demir ve çelik proses gazlarının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358"/>
        <w:gridCol w:w="1590"/>
        <w:gridCol w:w="1908"/>
        <w:gridCol w:w="3221"/>
      </w:tblGrid>
      <w:tr w:rsidR="003328F9" w:rsidRPr="00DD0D1F" w14:paraId="75EF758B" w14:textId="77777777" w:rsidTr="003328F9">
        <w:trPr>
          <w:trHeight w:val="48"/>
          <w:tblHeader/>
        </w:trPr>
        <w:tc>
          <w:tcPr>
            <w:tcW w:w="1299" w:type="pct"/>
            <w:vMerge w:val="restart"/>
            <w:tcBorders>
              <w:top w:val="single" w:sz="4" w:space="0" w:color="auto"/>
              <w:left w:val="single" w:sz="4" w:space="0" w:color="auto"/>
              <w:right w:val="single" w:sz="6" w:space="0" w:color="auto"/>
            </w:tcBorders>
            <w:vAlign w:val="center"/>
          </w:tcPr>
          <w:p w14:paraId="0966CEB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876" w:type="pct"/>
            <w:vMerge w:val="restart"/>
            <w:tcBorders>
              <w:top w:val="single" w:sz="4" w:space="0" w:color="auto"/>
              <w:left w:val="single" w:sz="6" w:space="0" w:color="auto"/>
              <w:right w:val="single" w:sz="6" w:space="0" w:color="auto"/>
            </w:tcBorders>
            <w:vAlign w:val="center"/>
          </w:tcPr>
          <w:p w14:paraId="481416D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O</w:t>
            </w:r>
            <w:r w:rsidRPr="00DD0D1F">
              <w:rPr>
                <w:rFonts w:cs="Times New Roman"/>
                <w:b/>
                <w:szCs w:val="24"/>
                <w:vertAlign w:val="subscript"/>
                <w:lang w:val="tr-TR"/>
              </w:rPr>
              <w:t>2</w:t>
            </w:r>
            <w:r w:rsidRPr="00DD0D1F">
              <w:rPr>
                <w:rFonts w:cs="Times New Roman"/>
                <w:b/>
                <w:szCs w:val="24"/>
                <w:lang w:val="tr-TR"/>
              </w:rPr>
              <w:t xml:space="preserve"> referans seviyesi </w:t>
            </w:r>
          </w:p>
          <w:p w14:paraId="45BC4AC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(hacimsel %)</w:t>
            </w:r>
          </w:p>
        </w:tc>
        <w:tc>
          <w:tcPr>
            <w:tcW w:w="2825" w:type="pct"/>
            <w:gridSpan w:val="2"/>
            <w:tcBorders>
              <w:top w:val="single" w:sz="4" w:space="0" w:color="auto"/>
              <w:left w:val="single" w:sz="6" w:space="0" w:color="auto"/>
              <w:bottom w:val="single" w:sz="6" w:space="0" w:color="auto"/>
              <w:right w:val="single" w:sz="4" w:space="0" w:color="auto"/>
            </w:tcBorders>
            <w:vAlign w:val="center"/>
          </w:tcPr>
          <w:p w14:paraId="638EBCD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28D6B3AB" w14:textId="77777777" w:rsidTr="003328F9">
        <w:trPr>
          <w:trHeight w:val="48"/>
          <w:tblHeader/>
        </w:trPr>
        <w:tc>
          <w:tcPr>
            <w:tcW w:w="1299" w:type="pct"/>
            <w:vMerge/>
            <w:tcBorders>
              <w:left w:val="single" w:sz="4" w:space="0" w:color="auto"/>
              <w:bottom w:val="single" w:sz="6" w:space="0" w:color="auto"/>
              <w:right w:val="single" w:sz="6" w:space="0" w:color="auto"/>
            </w:tcBorders>
            <w:vAlign w:val="center"/>
          </w:tcPr>
          <w:p w14:paraId="7E7D55D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76" w:type="pct"/>
            <w:vMerge/>
            <w:tcBorders>
              <w:left w:val="single" w:sz="6" w:space="0" w:color="auto"/>
              <w:bottom w:val="single" w:sz="6" w:space="0" w:color="auto"/>
              <w:right w:val="single" w:sz="6" w:space="0" w:color="auto"/>
            </w:tcBorders>
            <w:vAlign w:val="center"/>
          </w:tcPr>
          <w:p w14:paraId="2953458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51" w:type="pct"/>
            <w:tcBorders>
              <w:top w:val="single" w:sz="6" w:space="0" w:color="auto"/>
              <w:left w:val="single" w:sz="6" w:space="0" w:color="auto"/>
              <w:bottom w:val="single" w:sz="6" w:space="0" w:color="auto"/>
              <w:right w:val="single" w:sz="6" w:space="0" w:color="auto"/>
            </w:tcBorders>
            <w:vAlign w:val="center"/>
          </w:tcPr>
          <w:p w14:paraId="7A9EB12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74" w:type="pct"/>
            <w:tcBorders>
              <w:top w:val="single" w:sz="6" w:space="0" w:color="auto"/>
              <w:left w:val="single" w:sz="6" w:space="0" w:color="auto"/>
              <w:bottom w:val="single" w:sz="6" w:space="0" w:color="auto"/>
              <w:right w:val="single" w:sz="4" w:space="0" w:color="auto"/>
            </w:tcBorders>
            <w:vAlign w:val="center"/>
          </w:tcPr>
          <w:p w14:paraId="34FEAA4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5748A0C0" w14:textId="77777777" w:rsidTr="003328F9">
        <w:trPr>
          <w:trHeight w:val="48"/>
        </w:trPr>
        <w:tc>
          <w:tcPr>
            <w:tcW w:w="1299" w:type="pct"/>
            <w:tcBorders>
              <w:top w:val="single" w:sz="6" w:space="0" w:color="auto"/>
              <w:left w:val="single" w:sz="4" w:space="0" w:color="auto"/>
              <w:bottom w:val="single" w:sz="6" w:space="0" w:color="auto"/>
              <w:right w:val="single" w:sz="6" w:space="0" w:color="auto"/>
            </w:tcBorders>
            <w:vAlign w:val="center"/>
          </w:tcPr>
          <w:p w14:paraId="4FB76D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Yeni kazan</w:t>
            </w:r>
          </w:p>
        </w:tc>
        <w:tc>
          <w:tcPr>
            <w:tcW w:w="876" w:type="pct"/>
            <w:tcBorders>
              <w:top w:val="single" w:sz="6" w:space="0" w:color="auto"/>
              <w:left w:val="single" w:sz="6" w:space="0" w:color="auto"/>
              <w:bottom w:val="single" w:sz="6" w:space="0" w:color="auto"/>
              <w:right w:val="single" w:sz="6" w:space="0" w:color="auto"/>
            </w:tcBorders>
            <w:vAlign w:val="center"/>
          </w:tcPr>
          <w:p w14:paraId="4AE1714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w:t>
            </w:r>
          </w:p>
        </w:tc>
        <w:tc>
          <w:tcPr>
            <w:tcW w:w="1051" w:type="pct"/>
            <w:tcBorders>
              <w:top w:val="single" w:sz="6" w:space="0" w:color="auto"/>
              <w:left w:val="single" w:sz="6" w:space="0" w:color="auto"/>
              <w:bottom w:val="single" w:sz="6" w:space="0" w:color="auto"/>
              <w:right w:val="single" w:sz="6" w:space="0" w:color="auto"/>
            </w:tcBorders>
            <w:vAlign w:val="center"/>
          </w:tcPr>
          <w:p w14:paraId="45C4CEF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15-65</w:t>
            </w:r>
          </w:p>
        </w:tc>
        <w:tc>
          <w:tcPr>
            <w:tcW w:w="1774" w:type="pct"/>
            <w:tcBorders>
              <w:top w:val="single" w:sz="6" w:space="0" w:color="auto"/>
              <w:left w:val="single" w:sz="6" w:space="0" w:color="auto"/>
              <w:bottom w:val="single" w:sz="6" w:space="0" w:color="auto"/>
              <w:right w:val="single" w:sz="4" w:space="0" w:color="auto"/>
            </w:tcBorders>
            <w:vAlign w:val="center"/>
          </w:tcPr>
          <w:p w14:paraId="2A45EAA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22-100</w:t>
            </w:r>
          </w:p>
        </w:tc>
      </w:tr>
      <w:tr w:rsidR="003328F9" w:rsidRPr="00DD0D1F" w14:paraId="79D5B2CE" w14:textId="77777777" w:rsidTr="003328F9">
        <w:trPr>
          <w:trHeight w:val="48"/>
        </w:trPr>
        <w:tc>
          <w:tcPr>
            <w:tcW w:w="1299" w:type="pct"/>
            <w:tcBorders>
              <w:top w:val="single" w:sz="6" w:space="0" w:color="auto"/>
              <w:left w:val="single" w:sz="4" w:space="0" w:color="auto"/>
              <w:bottom w:val="single" w:sz="6" w:space="0" w:color="auto"/>
              <w:right w:val="single" w:sz="6" w:space="0" w:color="auto"/>
            </w:tcBorders>
            <w:vAlign w:val="center"/>
          </w:tcPr>
          <w:p w14:paraId="184BBE8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Mevcut kazan</w:t>
            </w:r>
          </w:p>
        </w:tc>
        <w:tc>
          <w:tcPr>
            <w:tcW w:w="876" w:type="pct"/>
            <w:tcBorders>
              <w:top w:val="single" w:sz="6" w:space="0" w:color="auto"/>
              <w:left w:val="single" w:sz="6" w:space="0" w:color="auto"/>
              <w:bottom w:val="single" w:sz="6" w:space="0" w:color="auto"/>
              <w:right w:val="single" w:sz="6" w:space="0" w:color="auto"/>
            </w:tcBorders>
            <w:vAlign w:val="center"/>
          </w:tcPr>
          <w:p w14:paraId="2CD997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w:t>
            </w:r>
          </w:p>
        </w:tc>
        <w:tc>
          <w:tcPr>
            <w:tcW w:w="1051" w:type="pct"/>
            <w:tcBorders>
              <w:top w:val="single" w:sz="6" w:space="0" w:color="auto"/>
              <w:left w:val="single" w:sz="6" w:space="0" w:color="auto"/>
              <w:bottom w:val="single" w:sz="6" w:space="0" w:color="auto"/>
              <w:right w:val="single" w:sz="6" w:space="0" w:color="auto"/>
            </w:tcBorders>
            <w:vAlign w:val="center"/>
          </w:tcPr>
          <w:p w14:paraId="328FAAF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20-100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c>
          <w:tcPr>
            <w:tcW w:w="1774" w:type="pct"/>
            <w:tcBorders>
              <w:top w:val="single" w:sz="6" w:space="0" w:color="auto"/>
              <w:left w:val="single" w:sz="6" w:space="0" w:color="auto"/>
              <w:bottom w:val="single" w:sz="6" w:space="0" w:color="auto"/>
              <w:right w:val="single" w:sz="4" w:space="0" w:color="auto"/>
            </w:tcBorders>
            <w:vAlign w:val="center"/>
          </w:tcPr>
          <w:p w14:paraId="4C9E8EB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22-110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EB7491" w:rsidRPr="00DD0D1F" w14:paraId="1A945AC1" w14:textId="77777777" w:rsidTr="00F0225F">
        <w:trPr>
          <w:trHeight w:val="534"/>
        </w:trPr>
        <w:tc>
          <w:tcPr>
            <w:tcW w:w="1299" w:type="pct"/>
            <w:tcBorders>
              <w:top w:val="single" w:sz="6" w:space="0" w:color="auto"/>
              <w:left w:val="single" w:sz="4" w:space="0" w:color="auto"/>
              <w:bottom w:val="single" w:sz="6" w:space="0" w:color="auto"/>
              <w:right w:val="single" w:sz="6" w:space="0" w:color="auto"/>
            </w:tcBorders>
            <w:vAlign w:val="center"/>
          </w:tcPr>
          <w:p w14:paraId="16398F1C" w14:textId="73602844" w:rsidR="003328F9" w:rsidRPr="00DD0D1F" w:rsidRDefault="003328F9" w:rsidP="00F0225F">
            <w:pPr>
              <w:adjustRightInd w:val="0"/>
              <w:spacing w:line="240" w:lineRule="auto"/>
              <w:ind w:left="74" w:right="74"/>
              <w:rPr>
                <w:rFonts w:cs="Times New Roman"/>
                <w:szCs w:val="24"/>
                <w:lang w:val="tr-TR"/>
              </w:rPr>
            </w:pPr>
            <w:r w:rsidRPr="00DD0D1F">
              <w:rPr>
                <w:rFonts w:cs="Times New Roman"/>
                <w:szCs w:val="24"/>
                <w:lang w:val="tr-TR"/>
              </w:rPr>
              <w:t xml:space="preserve">        Yeni </w:t>
            </w:r>
            <w:r w:rsidR="00F0225F" w:rsidRPr="00DD0D1F">
              <w:rPr>
                <w:rFonts w:cs="Times New Roman"/>
                <w:szCs w:val="24"/>
                <w:lang w:val="tr-TR"/>
              </w:rPr>
              <w:t>kombine çevrim gaz türbini</w:t>
            </w:r>
          </w:p>
        </w:tc>
        <w:tc>
          <w:tcPr>
            <w:tcW w:w="876" w:type="pct"/>
            <w:tcBorders>
              <w:top w:val="single" w:sz="6" w:space="0" w:color="auto"/>
              <w:left w:val="single" w:sz="6" w:space="0" w:color="auto"/>
              <w:bottom w:val="single" w:sz="6" w:space="0" w:color="auto"/>
              <w:right w:val="single" w:sz="6" w:space="0" w:color="auto"/>
            </w:tcBorders>
            <w:vAlign w:val="center"/>
          </w:tcPr>
          <w:p w14:paraId="3933EBD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51" w:type="pct"/>
            <w:tcBorders>
              <w:top w:val="single" w:sz="6" w:space="0" w:color="auto"/>
              <w:left w:val="single" w:sz="6" w:space="0" w:color="auto"/>
              <w:bottom w:val="single" w:sz="6" w:space="0" w:color="auto"/>
              <w:right w:val="single" w:sz="6" w:space="0" w:color="auto"/>
            </w:tcBorders>
            <w:vAlign w:val="center"/>
          </w:tcPr>
          <w:p w14:paraId="17EB08D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20-35</w:t>
            </w:r>
          </w:p>
        </w:tc>
        <w:tc>
          <w:tcPr>
            <w:tcW w:w="1774" w:type="pct"/>
            <w:tcBorders>
              <w:top w:val="single" w:sz="6" w:space="0" w:color="auto"/>
              <w:left w:val="single" w:sz="6" w:space="0" w:color="auto"/>
              <w:bottom w:val="single" w:sz="6" w:space="0" w:color="auto"/>
              <w:right w:val="single" w:sz="4" w:space="0" w:color="auto"/>
            </w:tcBorders>
            <w:vAlign w:val="center"/>
          </w:tcPr>
          <w:p w14:paraId="2EC0193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30-50</w:t>
            </w:r>
          </w:p>
        </w:tc>
      </w:tr>
      <w:tr w:rsidR="003328F9" w:rsidRPr="00DD0D1F" w14:paraId="6F0DE110" w14:textId="77777777" w:rsidTr="003328F9">
        <w:trPr>
          <w:trHeight w:val="48"/>
        </w:trPr>
        <w:tc>
          <w:tcPr>
            <w:tcW w:w="1299" w:type="pct"/>
            <w:tcBorders>
              <w:top w:val="single" w:sz="6" w:space="0" w:color="auto"/>
              <w:left w:val="single" w:sz="4" w:space="0" w:color="auto"/>
              <w:bottom w:val="single" w:sz="6" w:space="0" w:color="auto"/>
              <w:right w:val="single" w:sz="6" w:space="0" w:color="auto"/>
            </w:tcBorders>
            <w:vAlign w:val="center"/>
          </w:tcPr>
          <w:p w14:paraId="486A56AF" w14:textId="5B22EFFA" w:rsidR="003328F9" w:rsidRPr="00DD0D1F" w:rsidRDefault="003328F9" w:rsidP="00F0225F">
            <w:pPr>
              <w:adjustRightInd w:val="0"/>
              <w:spacing w:line="240" w:lineRule="auto"/>
              <w:ind w:left="74" w:right="74"/>
              <w:jc w:val="center"/>
              <w:rPr>
                <w:rFonts w:cs="Times New Roman"/>
                <w:szCs w:val="24"/>
                <w:lang w:val="tr-TR"/>
              </w:rPr>
            </w:pPr>
            <w:r w:rsidRPr="00DD0D1F">
              <w:rPr>
                <w:rFonts w:cs="Times New Roman"/>
                <w:szCs w:val="24"/>
                <w:lang w:val="tr-TR"/>
              </w:rPr>
              <w:t xml:space="preserve">Mevcut </w:t>
            </w:r>
            <w:r w:rsidR="00F0225F" w:rsidRPr="00DD0D1F">
              <w:rPr>
                <w:rFonts w:cs="Times New Roman"/>
                <w:szCs w:val="24"/>
                <w:lang w:val="tr-TR"/>
              </w:rPr>
              <w:t>kombine çevrim gaz türbini</w:t>
            </w:r>
          </w:p>
        </w:tc>
        <w:tc>
          <w:tcPr>
            <w:tcW w:w="876" w:type="pct"/>
            <w:tcBorders>
              <w:top w:val="single" w:sz="6" w:space="0" w:color="auto"/>
              <w:left w:val="single" w:sz="6" w:space="0" w:color="auto"/>
              <w:bottom w:val="single" w:sz="6" w:space="0" w:color="auto"/>
              <w:right w:val="single" w:sz="6" w:space="0" w:color="auto"/>
            </w:tcBorders>
            <w:vAlign w:val="center"/>
          </w:tcPr>
          <w:p w14:paraId="328C56B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51" w:type="pct"/>
            <w:tcBorders>
              <w:top w:val="single" w:sz="6" w:space="0" w:color="auto"/>
              <w:left w:val="single" w:sz="6" w:space="0" w:color="auto"/>
              <w:bottom w:val="single" w:sz="6" w:space="0" w:color="auto"/>
              <w:right w:val="single" w:sz="6" w:space="0" w:color="auto"/>
            </w:tcBorders>
            <w:vAlign w:val="center"/>
          </w:tcPr>
          <w:p w14:paraId="4CE837F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20-50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c>
          <w:tcPr>
            <w:tcW w:w="1774" w:type="pct"/>
            <w:tcBorders>
              <w:top w:val="single" w:sz="6" w:space="0" w:color="auto"/>
              <w:left w:val="single" w:sz="6" w:space="0" w:color="auto"/>
              <w:bottom w:val="single" w:sz="6" w:space="0" w:color="auto"/>
              <w:right w:val="single" w:sz="4" w:space="0" w:color="auto"/>
            </w:tcBorders>
            <w:vAlign w:val="center"/>
          </w:tcPr>
          <w:p w14:paraId="03B919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30-55 (</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6</w:t>
            </w:r>
            <w:r w:rsidRPr="00DD0D1F">
              <w:rPr>
                <w:rFonts w:cs="Times New Roman"/>
                <w:szCs w:val="24"/>
                <w:lang w:val="tr-TR"/>
              </w:rPr>
              <w:t>)</w:t>
            </w:r>
          </w:p>
        </w:tc>
      </w:tr>
      <w:tr w:rsidR="003328F9" w:rsidRPr="00DD0D1F" w14:paraId="7A8D82C4" w14:textId="77777777" w:rsidTr="003328F9">
        <w:trPr>
          <w:trHeight w:val="189"/>
        </w:trPr>
        <w:tc>
          <w:tcPr>
            <w:tcW w:w="5000" w:type="pct"/>
            <w:gridSpan w:val="4"/>
            <w:tcBorders>
              <w:top w:val="single" w:sz="6" w:space="0" w:color="auto"/>
              <w:left w:val="single" w:sz="4" w:space="0" w:color="auto"/>
              <w:bottom w:val="single" w:sz="4" w:space="0" w:color="auto"/>
              <w:right w:val="single" w:sz="4" w:space="0" w:color="auto"/>
            </w:tcBorders>
          </w:tcPr>
          <w:p w14:paraId="02802771" w14:textId="4A0E33E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Eşdeğer LHV &gt;20 MJ/Nm3 olan gaz karışımı yakan tesislerde, MET-İES aralıklarının üst </w:t>
            </w:r>
            <w:r w:rsidR="00A504E5" w:rsidRPr="00DD0D1F">
              <w:rPr>
                <w:rFonts w:cs="Times New Roman"/>
                <w:szCs w:val="24"/>
                <w:lang w:val="tr-TR"/>
              </w:rPr>
              <w:t>sınırı</w:t>
            </w:r>
            <w:r w:rsidRPr="00DD0D1F">
              <w:rPr>
                <w:rFonts w:cs="Times New Roman"/>
                <w:szCs w:val="24"/>
                <w:lang w:val="tr-TR"/>
              </w:rPr>
              <w:t>nda emisyonlar beklenir.</w:t>
            </w:r>
          </w:p>
          <w:p w14:paraId="0975BAA6" w14:textId="37EE077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MET-İES aralığının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n</w:t>
            </w:r>
            <w:r w:rsidR="008214A3" w:rsidRPr="00DD0D1F">
              <w:rPr>
                <w:rFonts w:cs="Times New Roman"/>
                <w:szCs w:val="24"/>
                <w:lang w:val="tr-TR"/>
              </w:rPr>
              <w:t>a</w:t>
            </w:r>
            <w:r w:rsidRPr="00DD0D1F">
              <w:rPr>
                <w:rFonts w:cs="Times New Roman"/>
                <w:szCs w:val="24"/>
                <w:lang w:val="tr-TR"/>
              </w:rPr>
              <w:t xml:space="preserve"> SCR kullanılarak ulaşılabilir.</w:t>
            </w:r>
          </w:p>
          <w:p w14:paraId="0486265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&lt;1500 saat/yıl çalıştırılan tesisler için bu MET-İES’ler uygulanmaz. </w:t>
            </w:r>
          </w:p>
          <w:p w14:paraId="2978716B" w14:textId="5BC95FE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r>
            <w:r w:rsidR="00ED0A26" w:rsidRPr="00DD0D1F">
              <w:rPr>
                <w:rFonts w:cs="Times New Roman"/>
                <w:szCs w:val="24"/>
                <w:lang w:val="tr-TR"/>
              </w:rPr>
              <w:t xml:space="preserve">1 Aralık 2025 </w:t>
            </w:r>
            <w:r w:rsidRPr="00DD0D1F">
              <w:rPr>
                <w:rFonts w:cs="Times New Roman"/>
                <w:szCs w:val="24"/>
                <w:lang w:val="tr-TR"/>
              </w:rPr>
              <w:t xml:space="preserve">tarihinden önce devreye alınan tesisler söz konusu olduğunda, MET-İES aralığının üst </w:t>
            </w:r>
            <w:r w:rsidR="00A504E5" w:rsidRPr="00DD0D1F">
              <w:rPr>
                <w:rFonts w:cs="Times New Roman"/>
                <w:szCs w:val="24"/>
                <w:lang w:val="tr-TR"/>
              </w:rPr>
              <w:t>sınırı</w:t>
            </w:r>
            <w:r w:rsidRPr="00DD0D1F">
              <w:rPr>
                <w:rFonts w:cs="Times New Roman"/>
                <w:szCs w:val="24"/>
                <w:lang w:val="tr-TR"/>
              </w:rPr>
              <w:t xml:space="preserve"> 160 mg/Nm</w:t>
            </w:r>
            <w:r w:rsidRPr="00DD0D1F">
              <w:rPr>
                <w:rFonts w:cs="Times New Roman"/>
                <w:szCs w:val="24"/>
                <w:vertAlign w:val="superscript"/>
                <w:lang w:val="tr-TR"/>
              </w:rPr>
              <w:t>3</w:t>
            </w:r>
            <w:r w:rsidRPr="00DD0D1F">
              <w:rPr>
                <w:rFonts w:cs="Times New Roman"/>
                <w:szCs w:val="24"/>
                <w:lang w:val="tr-TR"/>
              </w:rPr>
              <w:t xml:space="preserve">'tür. Ayrıca, SCR kullanılamadığı durumlarda ve yüksek COG (ör.  &gt;%50) oranı kullanılırken ve/veya nispeten yüksek H2 seviyeli COG yakarken MET-İES aralığının üst </w:t>
            </w:r>
            <w:r w:rsidR="004E47CC" w:rsidRPr="00DD0D1F">
              <w:rPr>
                <w:rFonts w:cs="Times New Roman"/>
                <w:szCs w:val="24"/>
                <w:lang w:val="tr-TR"/>
              </w:rPr>
              <w:t>sınırı</w:t>
            </w:r>
            <w:r w:rsidRPr="00DD0D1F">
              <w:rPr>
                <w:rFonts w:cs="Times New Roman"/>
                <w:szCs w:val="24"/>
                <w:lang w:val="tr-TR"/>
              </w:rPr>
              <w:t xml:space="preserve"> aşılabilir. Bu durumda, MET-İES aralığının üst </w:t>
            </w:r>
            <w:r w:rsidR="00A504E5" w:rsidRPr="00DD0D1F">
              <w:rPr>
                <w:rFonts w:cs="Times New Roman"/>
                <w:szCs w:val="24"/>
                <w:lang w:val="tr-TR"/>
              </w:rPr>
              <w:t>sınırı</w:t>
            </w:r>
            <w:r w:rsidRPr="00DD0D1F">
              <w:rPr>
                <w:rFonts w:cs="Times New Roman"/>
                <w:szCs w:val="24"/>
                <w:lang w:val="tr-TR"/>
              </w:rPr>
              <w:t>, 220 mg/Nm</w:t>
            </w:r>
            <w:r w:rsidRPr="00DD0D1F">
              <w:rPr>
                <w:rFonts w:cs="Times New Roman"/>
                <w:szCs w:val="24"/>
                <w:vertAlign w:val="superscript"/>
                <w:lang w:val="tr-TR"/>
              </w:rPr>
              <w:t>3</w:t>
            </w:r>
            <w:r w:rsidRPr="00DD0D1F">
              <w:rPr>
                <w:rFonts w:cs="Times New Roman"/>
                <w:szCs w:val="24"/>
                <w:lang w:val="tr-TR"/>
              </w:rPr>
              <w:t>'tür.</w:t>
            </w:r>
          </w:p>
          <w:p w14:paraId="0CA3E075"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05E69923" w14:textId="420A1BCF"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r>
            <w:r w:rsidR="00ED0A26" w:rsidRPr="00DD0D1F">
              <w:rPr>
                <w:rFonts w:cs="Times New Roman"/>
                <w:szCs w:val="24"/>
                <w:lang w:val="tr-TR"/>
              </w:rPr>
              <w:t xml:space="preserve">1 Aralık 2025 </w:t>
            </w:r>
            <w:r w:rsidRPr="00DD0D1F">
              <w:rPr>
                <w:rFonts w:cs="Times New Roman"/>
                <w:szCs w:val="24"/>
                <w:lang w:val="tr-TR"/>
              </w:rPr>
              <w:t xml:space="preserve">tarihinden önce devreye alınan tesisler söz konusu olduğunda, MET-İES aralığının üst </w:t>
            </w:r>
            <w:r w:rsidR="00A504E5" w:rsidRPr="00DD0D1F">
              <w:rPr>
                <w:rFonts w:cs="Times New Roman"/>
                <w:szCs w:val="24"/>
                <w:lang w:val="tr-TR"/>
              </w:rPr>
              <w:t xml:space="preserve">sınırı </w:t>
            </w:r>
            <w:r w:rsidRPr="00DD0D1F">
              <w:rPr>
                <w:rFonts w:cs="Times New Roman"/>
                <w:szCs w:val="24"/>
                <w:lang w:val="tr-TR"/>
              </w:rPr>
              <w:t>70 mg/Nm</w:t>
            </w:r>
            <w:r w:rsidRPr="00DD0D1F">
              <w:rPr>
                <w:rFonts w:cs="Times New Roman"/>
                <w:szCs w:val="24"/>
                <w:vertAlign w:val="superscript"/>
                <w:lang w:val="tr-TR"/>
              </w:rPr>
              <w:t>3</w:t>
            </w:r>
            <w:r w:rsidRPr="00DD0D1F">
              <w:rPr>
                <w:rFonts w:cs="Times New Roman"/>
                <w:szCs w:val="24"/>
                <w:lang w:val="tr-TR"/>
              </w:rPr>
              <w:t>'tür.</w:t>
            </w:r>
          </w:p>
        </w:tc>
      </w:tr>
    </w:tbl>
    <w:p w14:paraId="21DE9C1B"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741777DF"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kazanlar için &lt;5-100 mg/Nm3’tür,</w:t>
      </w:r>
    </w:p>
    <w:p w14:paraId="435E8B77"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Yeni kazanlar için &lt;5-35 mg/Nm3’tür,</w:t>
      </w:r>
    </w:p>
    <w:p w14:paraId="1D192BF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CCGT'ler için veya yeni CCGT'ler için &lt;5-20 mg/Nm3’tür.</w:t>
      </w:r>
    </w:p>
    <w:p w14:paraId="69B8BDD4" w14:textId="77777777" w:rsidR="003328F9" w:rsidRPr="00DD0D1F" w:rsidRDefault="003328F9" w:rsidP="00FF111D">
      <w:pPr>
        <w:pStyle w:val="Balk3"/>
        <w:numPr>
          <w:ilvl w:val="2"/>
          <w:numId w:val="73"/>
        </w:numPr>
        <w:rPr>
          <w:rFonts w:cs="Times New Roman"/>
        </w:rPr>
      </w:pPr>
      <w:bookmarkStart w:id="109" w:name="_Toc137367329"/>
      <w:r w:rsidRPr="00DD0D1F">
        <w:rPr>
          <w:rFonts w:cs="Times New Roman"/>
        </w:rPr>
        <w:t>Havaya SO</w:t>
      </w:r>
      <w:r w:rsidRPr="00DD0D1F">
        <w:rPr>
          <w:rFonts w:cs="Times New Roman"/>
          <w:vertAlign w:val="subscript"/>
        </w:rPr>
        <w:t>X</w:t>
      </w:r>
      <w:r w:rsidRPr="00DD0D1F">
        <w:rPr>
          <w:rFonts w:cs="Times New Roman"/>
        </w:rPr>
        <w:t xml:space="preserve"> Emisyonları</w:t>
      </w:r>
      <w:bookmarkEnd w:id="109"/>
    </w:p>
    <w:p w14:paraId="6F576E11" w14:textId="74264B56" w:rsidR="003328F9" w:rsidRPr="00DD0D1F" w:rsidRDefault="003328F9" w:rsidP="003328F9">
      <w:pPr>
        <w:spacing w:before="240"/>
        <w:rPr>
          <w:rFonts w:cs="Times New Roman"/>
          <w:b/>
          <w:bCs/>
          <w:szCs w:val="24"/>
        </w:rPr>
      </w:pPr>
      <w:r w:rsidRPr="00DD0D1F">
        <w:rPr>
          <w:rFonts w:cs="Times New Roman"/>
          <w:b/>
          <w:bCs/>
          <w:szCs w:val="24"/>
        </w:rPr>
        <w:t>MET 50</w:t>
      </w:r>
      <w:bookmarkStart w:id="110" w:name="_Hlk137397233"/>
      <w:r w:rsidRPr="00DD0D1F">
        <w:rPr>
          <w:rFonts w:cs="Times New Roman"/>
          <w:b/>
          <w:bCs/>
          <w:szCs w:val="24"/>
        </w:rPr>
        <w:t xml:space="preserve">: </w:t>
      </w:r>
      <w:r w:rsidRPr="00DD0D1F">
        <w:rPr>
          <w:rFonts w:cs="Times New Roman"/>
          <w:bCs/>
          <w:szCs w:val="24"/>
        </w:rPr>
        <w:t>Demir ve çelik proses gazlarının yakılmasından kaynaklanan, havaya SOX emisyonlarını önlemek veya düşürmek için, aşağıda ver</w:t>
      </w:r>
      <w:r w:rsidR="004E663B" w:rsidRPr="00DD0D1F">
        <w:rPr>
          <w:rFonts w:cs="Times New Roman"/>
          <w:bCs/>
          <w:szCs w:val="24"/>
        </w:rPr>
        <w:t>ilen tekniklerin bir birleşimi</w:t>
      </w:r>
      <w:r w:rsidRPr="00DD0D1F">
        <w:rPr>
          <w:rFonts w:cs="Times New Roman"/>
          <w:bCs/>
          <w:szCs w:val="24"/>
        </w:rPr>
        <w:t xml:space="preserve"> kullan</w:t>
      </w:r>
      <w:r w:rsidR="004E663B" w:rsidRPr="00DD0D1F">
        <w:rPr>
          <w:rFonts w:cs="Times New Roman"/>
          <w:bCs/>
          <w:szCs w:val="24"/>
        </w:rPr>
        <w:t>ılır.</w:t>
      </w:r>
      <w:bookmarkEnd w:id="110"/>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49"/>
        <w:gridCol w:w="1982"/>
        <w:gridCol w:w="4375"/>
        <w:gridCol w:w="2371"/>
      </w:tblGrid>
      <w:tr w:rsidR="003328F9" w:rsidRPr="00DD0D1F" w14:paraId="37819909" w14:textId="77777777" w:rsidTr="003328F9">
        <w:trPr>
          <w:trHeight w:val="367"/>
          <w:tblHeader/>
        </w:trPr>
        <w:tc>
          <w:tcPr>
            <w:tcW w:w="192" w:type="pct"/>
            <w:tcBorders>
              <w:right w:val="single" w:sz="4" w:space="0" w:color="auto"/>
            </w:tcBorders>
            <w:vAlign w:val="center"/>
          </w:tcPr>
          <w:p w14:paraId="08266C47" w14:textId="77777777" w:rsidR="003328F9" w:rsidRPr="00DD0D1F" w:rsidRDefault="003328F9" w:rsidP="003328F9">
            <w:pPr>
              <w:adjustRightInd w:val="0"/>
              <w:spacing w:line="240" w:lineRule="auto"/>
              <w:ind w:right="74"/>
              <w:jc w:val="center"/>
              <w:rPr>
                <w:rFonts w:cs="Times New Roman"/>
                <w:b/>
                <w:szCs w:val="24"/>
                <w:lang w:val="tr-TR"/>
              </w:rPr>
            </w:pPr>
          </w:p>
        </w:tc>
        <w:tc>
          <w:tcPr>
            <w:tcW w:w="1092" w:type="pct"/>
            <w:tcBorders>
              <w:left w:val="single" w:sz="4" w:space="0" w:color="auto"/>
            </w:tcBorders>
            <w:vAlign w:val="center"/>
          </w:tcPr>
          <w:p w14:paraId="45149B10" w14:textId="77777777" w:rsidR="003328F9" w:rsidRPr="00DD0D1F" w:rsidRDefault="003328F9" w:rsidP="003328F9">
            <w:pPr>
              <w:adjustRightInd w:val="0"/>
              <w:spacing w:line="240" w:lineRule="auto"/>
              <w:ind w:right="74"/>
              <w:jc w:val="center"/>
              <w:rPr>
                <w:rFonts w:cs="Times New Roman"/>
                <w:b/>
                <w:szCs w:val="24"/>
                <w:lang w:val="tr-TR"/>
              </w:rPr>
            </w:pPr>
            <w:r w:rsidRPr="00DD0D1F">
              <w:rPr>
                <w:rFonts w:cs="Times New Roman"/>
                <w:b/>
                <w:szCs w:val="24"/>
                <w:lang w:val="tr-TR"/>
              </w:rPr>
              <w:t>Teknik</w:t>
            </w:r>
          </w:p>
        </w:tc>
        <w:tc>
          <w:tcPr>
            <w:tcW w:w="2410" w:type="pct"/>
            <w:vAlign w:val="center"/>
          </w:tcPr>
          <w:p w14:paraId="428D824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306" w:type="pct"/>
            <w:vAlign w:val="center"/>
          </w:tcPr>
          <w:p w14:paraId="49CC23A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BE8C102" w14:textId="77777777" w:rsidTr="003328F9">
        <w:trPr>
          <w:trHeight w:val="845"/>
        </w:trPr>
        <w:tc>
          <w:tcPr>
            <w:tcW w:w="192" w:type="pct"/>
            <w:vAlign w:val="center"/>
          </w:tcPr>
          <w:p w14:paraId="01D8CB69" w14:textId="77777777" w:rsidR="003328F9" w:rsidRPr="00DD0D1F" w:rsidRDefault="003328F9" w:rsidP="003328F9">
            <w:pPr>
              <w:adjustRightInd w:val="0"/>
              <w:spacing w:line="240" w:lineRule="auto"/>
              <w:ind w:left="74" w:right="74"/>
              <w:rPr>
                <w:rFonts w:cs="Times New Roman"/>
                <w:szCs w:val="24"/>
                <w:lang w:val="tr-TR"/>
              </w:rPr>
            </w:pPr>
            <w:bookmarkStart w:id="111" w:name="_Hlk137397245"/>
            <w:r w:rsidRPr="00DD0D1F">
              <w:rPr>
                <w:rFonts w:cs="Times New Roman"/>
                <w:szCs w:val="24"/>
                <w:lang w:val="tr-TR"/>
              </w:rPr>
              <w:t>a</w:t>
            </w:r>
          </w:p>
        </w:tc>
        <w:tc>
          <w:tcPr>
            <w:tcW w:w="1092" w:type="pct"/>
            <w:vAlign w:val="center"/>
          </w:tcPr>
          <w:p w14:paraId="7500262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gazı  yönetim sistemi ve yardımcı yakıt seçimi</w:t>
            </w:r>
          </w:p>
        </w:tc>
        <w:tc>
          <w:tcPr>
            <w:tcW w:w="2410" w:type="pct"/>
            <w:vAlign w:val="center"/>
          </w:tcPr>
          <w:p w14:paraId="21C48A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0BF0E4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işlerinin izin verdiği ölçüde, aşağıdakilerin kullanımı arttırılır.</w:t>
            </w:r>
          </w:p>
          <w:p w14:paraId="336A6E17" w14:textId="77777777" w:rsidR="003328F9" w:rsidRPr="00DD0D1F" w:rsidRDefault="003328F9" w:rsidP="00FF111D">
            <w:pPr>
              <w:pStyle w:val="ListeParagraf"/>
              <w:numPr>
                <w:ilvl w:val="0"/>
                <w:numId w:val="69"/>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Yakıt beslenmesinde düşük kükürt içerikli yüksek fırın gazı miktarının çoğunluğu,</w:t>
            </w:r>
          </w:p>
          <w:p w14:paraId="150E433F" w14:textId="77777777" w:rsidR="003328F9" w:rsidRPr="00DD0D1F" w:rsidRDefault="003328F9" w:rsidP="00FF111D">
            <w:pPr>
              <w:pStyle w:val="ListeParagraf"/>
              <w:numPr>
                <w:ilvl w:val="0"/>
                <w:numId w:val="69"/>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ortalama kükürt içeriği düşük olan yakıt birleşimi, örneğin aşağıdakiler gibi düşük kükürt içerikli bağımsız proses yakıtları:</w:t>
            </w:r>
          </w:p>
          <w:p w14:paraId="5F368806" w14:textId="77777777" w:rsidR="003328F9" w:rsidRPr="00DD0D1F" w:rsidRDefault="003328F9" w:rsidP="00FF111D">
            <w:pPr>
              <w:pStyle w:val="ListeParagraf"/>
              <w:numPr>
                <w:ilvl w:val="0"/>
                <w:numId w:val="70"/>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&lt;10 mg/Nm</w:t>
            </w:r>
            <w:r w:rsidRPr="00DD0D1F">
              <w:rPr>
                <w:rFonts w:cs="Times New Roman"/>
                <w:szCs w:val="24"/>
                <w:vertAlign w:val="superscript"/>
                <w:lang w:val="tr-TR"/>
              </w:rPr>
              <w:t>3</w:t>
            </w:r>
            <w:r w:rsidRPr="00DD0D1F">
              <w:rPr>
                <w:rFonts w:cs="Times New Roman"/>
                <w:szCs w:val="24"/>
                <w:lang w:val="tr-TR"/>
              </w:rPr>
              <w:t xml:space="preserve"> kükürt içerikli yüksek fırın gazı,</w:t>
            </w:r>
          </w:p>
          <w:p w14:paraId="4A0D3A9A" w14:textId="77777777" w:rsidR="003328F9" w:rsidRPr="00DD0D1F" w:rsidRDefault="003328F9" w:rsidP="00FF111D">
            <w:pPr>
              <w:pStyle w:val="ListeParagraf"/>
              <w:numPr>
                <w:ilvl w:val="0"/>
                <w:numId w:val="70"/>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&lt;300 mg/Nm</w:t>
            </w:r>
            <w:r w:rsidRPr="00DD0D1F">
              <w:rPr>
                <w:rFonts w:cs="Times New Roman"/>
                <w:szCs w:val="24"/>
                <w:vertAlign w:val="superscript"/>
                <w:lang w:val="tr-TR"/>
              </w:rPr>
              <w:t>3</w:t>
            </w:r>
            <w:r w:rsidRPr="00DD0D1F">
              <w:rPr>
                <w:rFonts w:cs="Times New Roman"/>
                <w:szCs w:val="24"/>
                <w:lang w:val="tr-TR"/>
              </w:rPr>
              <w:t xml:space="preserve"> kükürt içerikli kok fırını gazı,</w:t>
            </w:r>
          </w:p>
          <w:p w14:paraId="788DF96A" w14:textId="77777777" w:rsidR="003328F9" w:rsidRPr="00DD0D1F" w:rsidRDefault="003328F9" w:rsidP="00FF111D">
            <w:pPr>
              <w:pStyle w:val="ListeParagraf"/>
              <w:numPr>
                <w:ilvl w:val="0"/>
                <w:numId w:val="68"/>
              </w:numPr>
              <w:autoSpaceDE w:val="0"/>
              <w:autoSpaceDN w:val="0"/>
              <w:adjustRightInd w:val="0"/>
              <w:spacing w:line="240" w:lineRule="auto"/>
              <w:ind w:left="216" w:right="74" w:hanging="142"/>
              <w:rPr>
                <w:rFonts w:cs="Times New Roman"/>
                <w:szCs w:val="24"/>
                <w:lang w:val="tr-TR"/>
              </w:rPr>
            </w:pPr>
            <w:r w:rsidRPr="00DD0D1F">
              <w:rPr>
                <w:rFonts w:cs="Times New Roman"/>
                <w:szCs w:val="24"/>
                <w:lang w:val="tr-TR"/>
              </w:rPr>
              <w:t>ve aşağıdakiler gibi yardımcı yakıtlar:</w:t>
            </w:r>
          </w:p>
          <w:p w14:paraId="79A63EAE" w14:textId="77777777" w:rsidR="003328F9" w:rsidRPr="00DD0D1F" w:rsidRDefault="003328F9" w:rsidP="00FF111D">
            <w:pPr>
              <w:pStyle w:val="ListeParagraf"/>
              <w:numPr>
                <w:ilvl w:val="0"/>
                <w:numId w:val="71"/>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doğalgaz,</w:t>
            </w:r>
          </w:p>
          <w:p w14:paraId="79BF9E0E" w14:textId="77777777" w:rsidR="003328F9" w:rsidRPr="00DD0D1F" w:rsidRDefault="003328F9" w:rsidP="00FF111D">
            <w:pPr>
              <w:pStyle w:val="ListeParagraf"/>
              <w:numPr>
                <w:ilvl w:val="0"/>
                <w:numId w:val="71"/>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kükürt içeriği ≤%0,4 olan sıvı yakıtlar (kazanlarda)</w:t>
            </w:r>
          </w:p>
          <w:p w14:paraId="471F81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Daha yüksek kükürt içerikli sınırlı yakıt miktarı kullanımı</w:t>
            </w:r>
          </w:p>
        </w:tc>
        <w:tc>
          <w:tcPr>
            <w:tcW w:w="1306" w:type="pct"/>
            <w:vAlign w:val="center"/>
          </w:tcPr>
          <w:p w14:paraId="1EADC8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bulunmasıyla ilişkili kısıtlamalar dahilinde uygulanabilir.</w:t>
            </w:r>
          </w:p>
        </w:tc>
      </w:tr>
      <w:tr w:rsidR="003328F9" w:rsidRPr="00DD0D1F" w14:paraId="4FB2C4B4" w14:textId="77777777" w:rsidTr="003328F9">
        <w:trPr>
          <w:trHeight w:val="480"/>
        </w:trPr>
        <w:tc>
          <w:tcPr>
            <w:tcW w:w="192" w:type="pct"/>
            <w:vAlign w:val="center"/>
          </w:tcPr>
          <w:p w14:paraId="7B4117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92" w:type="pct"/>
            <w:vAlign w:val="center"/>
          </w:tcPr>
          <w:p w14:paraId="0B242F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işlerinde kok fırını gazının ön işlemi</w:t>
            </w:r>
          </w:p>
        </w:tc>
        <w:tc>
          <w:tcPr>
            <w:tcW w:w="2410" w:type="pct"/>
            <w:vAlign w:val="center"/>
          </w:tcPr>
          <w:p w14:paraId="064EC7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Aşağıdaki tekniklerden birisinin kullanımı:</w:t>
            </w:r>
          </w:p>
          <w:p w14:paraId="174C1D23" w14:textId="77777777" w:rsidR="003328F9" w:rsidRPr="00DD0D1F" w:rsidRDefault="003328F9" w:rsidP="00FF111D">
            <w:pPr>
              <w:pStyle w:val="ListeParagraf"/>
              <w:numPr>
                <w:ilvl w:val="0"/>
                <w:numId w:val="68"/>
              </w:numPr>
              <w:autoSpaceDE w:val="0"/>
              <w:autoSpaceDN w:val="0"/>
              <w:adjustRightInd w:val="0"/>
              <w:spacing w:line="240" w:lineRule="auto"/>
              <w:ind w:left="216" w:right="74" w:hanging="142"/>
              <w:rPr>
                <w:rFonts w:cs="Times New Roman"/>
                <w:szCs w:val="24"/>
                <w:lang w:val="tr-TR"/>
              </w:rPr>
            </w:pPr>
            <w:r w:rsidRPr="00DD0D1F">
              <w:rPr>
                <w:rFonts w:cs="Times New Roman"/>
                <w:szCs w:val="24"/>
                <w:lang w:val="tr-TR"/>
              </w:rPr>
              <w:t>emme sistemleri ile kükürt giderme,</w:t>
            </w:r>
          </w:p>
          <w:p w14:paraId="5E069869" w14:textId="77777777" w:rsidR="003328F9" w:rsidRPr="00DD0D1F" w:rsidRDefault="003328F9" w:rsidP="00FF111D">
            <w:pPr>
              <w:pStyle w:val="ListeParagraf"/>
              <w:numPr>
                <w:ilvl w:val="0"/>
                <w:numId w:val="68"/>
              </w:numPr>
              <w:autoSpaceDE w:val="0"/>
              <w:autoSpaceDN w:val="0"/>
              <w:adjustRightInd w:val="0"/>
              <w:spacing w:line="240" w:lineRule="auto"/>
              <w:ind w:left="216" w:right="74" w:hanging="142"/>
              <w:rPr>
                <w:rFonts w:cs="Times New Roman"/>
                <w:szCs w:val="24"/>
                <w:lang w:val="tr-TR"/>
              </w:rPr>
            </w:pPr>
            <w:r w:rsidRPr="00DD0D1F">
              <w:rPr>
                <w:rFonts w:cs="Times New Roman"/>
                <w:szCs w:val="24"/>
                <w:lang w:val="tr-TR"/>
              </w:rPr>
              <w:t>yaş oksidatif kükürt giderme</w:t>
            </w:r>
          </w:p>
        </w:tc>
        <w:tc>
          <w:tcPr>
            <w:tcW w:w="1306" w:type="pct"/>
            <w:vAlign w:val="center"/>
          </w:tcPr>
          <w:p w14:paraId="3E11E6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kok fırını gazı yakma tesislerine uygulanabilir.</w:t>
            </w:r>
          </w:p>
        </w:tc>
      </w:tr>
    </w:tbl>
    <w:bookmarkEnd w:id="111"/>
    <w:p w14:paraId="18311AA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demir ve çelik proses gazlarının yakılmasından kaynaklanan, havaya SO</w:t>
      </w:r>
      <w:r w:rsidRPr="00DD0D1F">
        <w:rPr>
          <w:rFonts w:cs="Times New Roman"/>
          <w:color w:val="auto"/>
          <w:szCs w:val="24"/>
          <w:vertAlign w:val="subscript"/>
          <w:lang w:val="tr-TR"/>
        </w:rPr>
        <w:t>2</w:t>
      </w:r>
      <w:r w:rsidRPr="00DD0D1F">
        <w:rPr>
          <w:rFonts w:cs="Times New Roman"/>
          <w:color w:val="auto"/>
          <w:szCs w:val="24"/>
          <w:lang w:val="tr-TR"/>
        </w:rPr>
        <w:t xml:space="preserve"> emisyonlarına yönelik MET ile ilişkili emisyon seviyeleri (MET-İES’leri)</w:t>
      </w:r>
    </w:p>
    <w:tbl>
      <w:tblPr>
        <w:tblpPr w:leftFromText="141" w:rightFromText="141" w:vertAnchor="text" w:tblpY="329"/>
        <w:tblW w:w="5000" w:type="pct"/>
        <w:tblCellMar>
          <w:left w:w="40" w:type="dxa"/>
          <w:right w:w="40" w:type="dxa"/>
        </w:tblCellMar>
        <w:tblLook w:val="0000" w:firstRow="0" w:lastRow="0" w:firstColumn="0" w:lastColumn="0" w:noHBand="0" w:noVBand="0"/>
      </w:tblPr>
      <w:tblGrid>
        <w:gridCol w:w="2826"/>
        <w:gridCol w:w="1489"/>
        <w:gridCol w:w="1935"/>
        <w:gridCol w:w="2827"/>
      </w:tblGrid>
      <w:tr w:rsidR="003328F9" w:rsidRPr="00DD0D1F" w14:paraId="5BDDD76F" w14:textId="77777777" w:rsidTr="003328F9">
        <w:trPr>
          <w:trHeight w:val="49"/>
        </w:trPr>
        <w:tc>
          <w:tcPr>
            <w:tcW w:w="1557" w:type="pct"/>
            <w:vMerge w:val="restart"/>
            <w:tcBorders>
              <w:top w:val="single" w:sz="4" w:space="0" w:color="auto"/>
              <w:left w:val="single" w:sz="4" w:space="0" w:color="auto"/>
              <w:right w:val="single" w:sz="6" w:space="0" w:color="auto"/>
            </w:tcBorders>
            <w:vAlign w:val="center"/>
          </w:tcPr>
          <w:p w14:paraId="2ED7B29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820" w:type="pct"/>
            <w:vMerge w:val="restart"/>
            <w:tcBorders>
              <w:top w:val="single" w:sz="4" w:space="0" w:color="auto"/>
              <w:left w:val="single" w:sz="6" w:space="0" w:color="auto"/>
              <w:right w:val="single" w:sz="6" w:space="0" w:color="auto"/>
            </w:tcBorders>
            <w:vAlign w:val="center"/>
          </w:tcPr>
          <w:p w14:paraId="23EBEA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O</w:t>
            </w:r>
            <w:r w:rsidRPr="00DD0D1F">
              <w:rPr>
                <w:rFonts w:cs="Times New Roman"/>
                <w:b/>
                <w:szCs w:val="24"/>
                <w:vertAlign w:val="subscript"/>
                <w:lang w:val="tr-TR"/>
              </w:rPr>
              <w:t>2</w:t>
            </w:r>
            <w:r w:rsidRPr="00DD0D1F">
              <w:rPr>
                <w:rFonts w:cs="Times New Roman"/>
                <w:b/>
                <w:szCs w:val="24"/>
                <w:lang w:val="tr-TR"/>
              </w:rPr>
              <w:t xml:space="preserve"> referans seviyesi (%)</w:t>
            </w:r>
          </w:p>
        </w:tc>
        <w:tc>
          <w:tcPr>
            <w:tcW w:w="2623" w:type="pct"/>
            <w:gridSpan w:val="2"/>
            <w:tcBorders>
              <w:top w:val="single" w:sz="4" w:space="0" w:color="auto"/>
              <w:left w:val="single" w:sz="6" w:space="0" w:color="auto"/>
              <w:bottom w:val="single" w:sz="6" w:space="0" w:color="auto"/>
              <w:right w:val="single" w:sz="4" w:space="0" w:color="auto"/>
            </w:tcBorders>
            <w:vAlign w:val="center"/>
          </w:tcPr>
          <w:p w14:paraId="2C9E9C4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SO</w:t>
            </w:r>
            <w:r w:rsidRPr="00DD0D1F">
              <w:rPr>
                <w:rFonts w:cs="Times New Roman"/>
                <w:b/>
                <w:szCs w:val="24"/>
                <w:vertAlign w:val="subscript"/>
                <w:lang w:val="tr-TR"/>
              </w:rPr>
              <w:t>2</w:t>
            </w:r>
            <w:r w:rsidRPr="00DD0D1F">
              <w:rPr>
                <w:rFonts w:cs="Times New Roman"/>
                <w:b/>
                <w:szCs w:val="24"/>
                <w:lang w:val="tr-TR"/>
              </w:rPr>
              <w:t xml:space="preserve"> için</w:t>
            </w:r>
            <w:r w:rsidRPr="00DD0D1F">
              <w:rPr>
                <w:rFonts w:cs="Times New Roman"/>
                <w:b/>
                <w:szCs w:val="24"/>
                <w:vertAlign w:val="subscript"/>
                <w:lang w:val="tr-TR"/>
              </w:rPr>
              <w:t xml:space="preserve"> </w:t>
            </w: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4082C3C4" w14:textId="77777777" w:rsidTr="003328F9">
        <w:trPr>
          <w:trHeight w:val="49"/>
        </w:trPr>
        <w:tc>
          <w:tcPr>
            <w:tcW w:w="1557" w:type="pct"/>
            <w:vMerge/>
            <w:tcBorders>
              <w:left w:val="single" w:sz="4" w:space="0" w:color="auto"/>
              <w:bottom w:val="single" w:sz="6" w:space="0" w:color="auto"/>
              <w:right w:val="single" w:sz="6" w:space="0" w:color="auto"/>
            </w:tcBorders>
            <w:vAlign w:val="center"/>
          </w:tcPr>
          <w:p w14:paraId="689EAB64" w14:textId="77777777" w:rsidR="003328F9" w:rsidRPr="00DD0D1F" w:rsidRDefault="003328F9" w:rsidP="003328F9">
            <w:pPr>
              <w:adjustRightInd w:val="0"/>
              <w:spacing w:line="240" w:lineRule="auto"/>
              <w:ind w:right="74"/>
              <w:rPr>
                <w:rFonts w:cs="Times New Roman"/>
                <w:b/>
                <w:szCs w:val="24"/>
                <w:lang w:val="tr-TR"/>
              </w:rPr>
            </w:pPr>
          </w:p>
        </w:tc>
        <w:tc>
          <w:tcPr>
            <w:tcW w:w="820" w:type="pct"/>
            <w:vMerge/>
            <w:tcBorders>
              <w:left w:val="single" w:sz="6" w:space="0" w:color="auto"/>
              <w:bottom w:val="single" w:sz="6" w:space="0" w:color="auto"/>
              <w:right w:val="single" w:sz="6" w:space="0" w:color="auto"/>
            </w:tcBorders>
            <w:vAlign w:val="center"/>
          </w:tcPr>
          <w:p w14:paraId="2A22150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66" w:type="pct"/>
            <w:tcBorders>
              <w:top w:val="single" w:sz="6" w:space="0" w:color="auto"/>
              <w:left w:val="single" w:sz="6" w:space="0" w:color="auto"/>
              <w:bottom w:val="single" w:sz="6" w:space="0" w:color="auto"/>
              <w:right w:val="single" w:sz="6" w:space="0" w:color="auto"/>
            </w:tcBorders>
            <w:vAlign w:val="center"/>
          </w:tcPr>
          <w:p w14:paraId="788CED5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Yıllık ortalama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1557" w:type="pct"/>
            <w:tcBorders>
              <w:top w:val="single" w:sz="6" w:space="0" w:color="auto"/>
              <w:left w:val="single" w:sz="6" w:space="0" w:color="auto"/>
              <w:bottom w:val="single" w:sz="6" w:space="0" w:color="auto"/>
              <w:right w:val="single" w:sz="4" w:space="0" w:color="auto"/>
            </w:tcBorders>
            <w:vAlign w:val="center"/>
          </w:tcPr>
          <w:p w14:paraId="5179962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r w:rsidRPr="00DD0D1F">
              <w:rPr>
                <w:rFonts w:cs="Times New Roman"/>
                <w:szCs w:val="24"/>
                <w:lang w:val="tr-TR"/>
              </w:rPr>
              <w:t xml:space="preserve"> (</w:t>
            </w:r>
            <w:r w:rsidRPr="00DD0D1F">
              <w:rPr>
                <w:rFonts w:cs="Times New Roman"/>
                <w:szCs w:val="24"/>
                <w:vertAlign w:val="superscript"/>
                <w:lang w:val="tr-TR"/>
              </w:rPr>
              <w:t>2</w:t>
            </w:r>
            <w:r w:rsidRPr="00DD0D1F">
              <w:rPr>
                <w:rFonts w:cs="Times New Roman"/>
                <w:szCs w:val="24"/>
                <w:lang w:val="tr-TR"/>
              </w:rPr>
              <w:t>)</w:t>
            </w:r>
          </w:p>
        </w:tc>
      </w:tr>
      <w:tr w:rsidR="003328F9" w:rsidRPr="00DD0D1F" w14:paraId="76848C1E" w14:textId="77777777" w:rsidTr="003328F9">
        <w:trPr>
          <w:trHeight w:val="49"/>
        </w:trPr>
        <w:tc>
          <w:tcPr>
            <w:tcW w:w="1557" w:type="pct"/>
            <w:tcBorders>
              <w:top w:val="single" w:sz="6" w:space="0" w:color="auto"/>
              <w:left w:val="single" w:sz="4" w:space="0" w:color="auto"/>
              <w:bottom w:val="single" w:sz="6" w:space="0" w:color="auto"/>
              <w:right w:val="single" w:sz="6" w:space="0" w:color="auto"/>
            </w:tcBorders>
            <w:vAlign w:val="center"/>
          </w:tcPr>
          <w:p w14:paraId="739D0F5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kazan</w:t>
            </w:r>
          </w:p>
        </w:tc>
        <w:tc>
          <w:tcPr>
            <w:tcW w:w="820" w:type="pct"/>
            <w:tcBorders>
              <w:top w:val="single" w:sz="6" w:space="0" w:color="auto"/>
              <w:left w:val="single" w:sz="6" w:space="0" w:color="auto"/>
              <w:bottom w:val="single" w:sz="6" w:space="0" w:color="auto"/>
              <w:right w:val="single" w:sz="6" w:space="0" w:color="auto"/>
            </w:tcBorders>
            <w:vAlign w:val="center"/>
          </w:tcPr>
          <w:p w14:paraId="6B6368D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w:t>
            </w:r>
          </w:p>
        </w:tc>
        <w:tc>
          <w:tcPr>
            <w:tcW w:w="1066" w:type="pct"/>
            <w:tcBorders>
              <w:top w:val="single" w:sz="6" w:space="0" w:color="auto"/>
              <w:left w:val="single" w:sz="6" w:space="0" w:color="auto"/>
              <w:bottom w:val="single" w:sz="6" w:space="0" w:color="auto"/>
              <w:right w:val="single" w:sz="6" w:space="0" w:color="auto"/>
            </w:tcBorders>
            <w:vAlign w:val="center"/>
          </w:tcPr>
          <w:p w14:paraId="5FB98B9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25-150</w:t>
            </w:r>
          </w:p>
        </w:tc>
        <w:tc>
          <w:tcPr>
            <w:tcW w:w="1557" w:type="pct"/>
            <w:tcBorders>
              <w:top w:val="single" w:sz="6" w:space="0" w:color="auto"/>
              <w:left w:val="single" w:sz="6" w:space="0" w:color="auto"/>
              <w:bottom w:val="single" w:sz="6" w:space="0" w:color="auto"/>
              <w:right w:val="single" w:sz="4" w:space="0" w:color="auto"/>
            </w:tcBorders>
            <w:vAlign w:val="center"/>
          </w:tcPr>
          <w:p w14:paraId="6C2C31E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50-200 (</w:t>
            </w:r>
            <w:r w:rsidRPr="00DD0D1F">
              <w:rPr>
                <w:rFonts w:cs="Times New Roman"/>
                <w:szCs w:val="24"/>
                <w:vertAlign w:val="superscript"/>
                <w:lang w:val="tr-TR"/>
              </w:rPr>
              <w:t>3</w:t>
            </w:r>
            <w:r w:rsidRPr="00DD0D1F">
              <w:rPr>
                <w:rFonts w:cs="Times New Roman"/>
                <w:szCs w:val="24"/>
                <w:lang w:val="tr-TR"/>
              </w:rPr>
              <w:t>)</w:t>
            </w:r>
          </w:p>
        </w:tc>
      </w:tr>
      <w:tr w:rsidR="003328F9" w:rsidRPr="00DD0D1F" w14:paraId="15C53F0D" w14:textId="77777777" w:rsidTr="003328F9">
        <w:trPr>
          <w:trHeight w:val="49"/>
        </w:trPr>
        <w:tc>
          <w:tcPr>
            <w:tcW w:w="1557" w:type="pct"/>
            <w:tcBorders>
              <w:top w:val="single" w:sz="6" w:space="0" w:color="auto"/>
              <w:left w:val="single" w:sz="4" w:space="0" w:color="auto"/>
              <w:bottom w:val="single" w:sz="6" w:space="0" w:color="auto"/>
              <w:right w:val="single" w:sz="6" w:space="0" w:color="auto"/>
            </w:tcBorders>
            <w:vAlign w:val="center"/>
          </w:tcPr>
          <w:p w14:paraId="560043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CCGT</w:t>
            </w:r>
          </w:p>
        </w:tc>
        <w:tc>
          <w:tcPr>
            <w:tcW w:w="820" w:type="pct"/>
            <w:tcBorders>
              <w:top w:val="single" w:sz="6" w:space="0" w:color="auto"/>
              <w:left w:val="single" w:sz="6" w:space="0" w:color="auto"/>
              <w:bottom w:val="single" w:sz="6" w:space="0" w:color="auto"/>
              <w:right w:val="single" w:sz="6" w:space="0" w:color="auto"/>
            </w:tcBorders>
            <w:vAlign w:val="center"/>
          </w:tcPr>
          <w:p w14:paraId="631BEF9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66" w:type="pct"/>
            <w:tcBorders>
              <w:top w:val="single" w:sz="6" w:space="0" w:color="auto"/>
              <w:left w:val="single" w:sz="6" w:space="0" w:color="auto"/>
              <w:bottom w:val="single" w:sz="6" w:space="0" w:color="auto"/>
              <w:right w:val="single" w:sz="6" w:space="0" w:color="auto"/>
            </w:tcBorders>
            <w:vAlign w:val="center"/>
          </w:tcPr>
          <w:p w14:paraId="41C2C92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10-45</w:t>
            </w:r>
          </w:p>
        </w:tc>
        <w:tc>
          <w:tcPr>
            <w:tcW w:w="1557" w:type="pct"/>
            <w:tcBorders>
              <w:top w:val="single" w:sz="6" w:space="0" w:color="auto"/>
              <w:left w:val="single" w:sz="6" w:space="0" w:color="auto"/>
              <w:bottom w:val="single" w:sz="6" w:space="0" w:color="auto"/>
              <w:right w:val="single" w:sz="4" w:space="0" w:color="auto"/>
            </w:tcBorders>
            <w:vAlign w:val="center"/>
          </w:tcPr>
          <w:p w14:paraId="68AB7C1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20-70</w:t>
            </w:r>
          </w:p>
        </w:tc>
      </w:tr>
      <w:tr w:rsidR="003328F9" w:rsidRPr="00DD0D1F" w14:paraId="7A1C6D64" w14:textId="77777777" w:rsidTr="003328F9">
        <w:trPr>
          <w:trHeight w:val="440"/>
        </w:trPr>
        <w:tc>
          <w:tcPr>
            <w:tcW w:w="5000" w:type="pct"/>
            <w:gridSpan w:val="4"/>
            <w:tcBorders>
              <w:top w:val="single" w:sz="6" w:space="0" w:color="auto"/>
              <w:left w:val="single" w:sz="4" w:space="0" w:color="auto"/>
              <w:bottom w:val="single" w:sz="4" w:space="0" w:color="auto"/>
              <w:right w:val="single" w:sz="4" w:space="0" w:color="auto"/>
            </w:tcBorders>
          </w:tcPr>
          <w:p w14:paraId="4B10996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&lt;1500 saat/yıl çalıştırılan mevcut tesisler için bu MET-İES’ler geçerli değildir.</w:t>
            </w:r>
          </w:p>
          <w:p w14:paraId="56D91F4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6291454C" w14:textId="683744F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 xml:space="preserve"> sınırı </w:t>
            </w:r>
            <w:r w:rsidRPr="00DD0D1F">
              <w:rPr>
                <w:rFonts w:cs="Times New Roman"/>
                <w:szCs w:val="24"/>
                <w:lang w:val="tr-TR"/>
              </w:rPr>
              <w:t xml:space="preserve"> yüksek bir COG payı kullanılırken (örneğin &gt;%50) aşılabilir. Bu durumda, MET-İES aralığının üst </w:t>
            </w:r>
            <w:r w:rsidR="00A504E5" w:rsidRPr="00DD0D1F">
              <w:rPr>
                <w:rFonts w:cs="Times New Roman"/>
                <w:szCs w:val="24"/>
                <w:lang w:val="tr-TR"/>
              </w:rPr>
              <w:t xml:space="preserve"> sınırı </w:t>
            </w:r>
            <w:r w:rsidRPr="00DD0D1F">
              <w:rPr>
                <w:rFonts w:cs="Times New Roman"/>
                <w:szCs w:val="24"/>
                <w:lang w:val="tr-TR"/>
              </w:rPr>
              <w:t>, 300 mg/Nm</w:t>
            </w:r>
            <w:r w:rsidRPr="00DD0D1F">
              <w:rPr>
                <w:rFonts w:cs="Times New Roman"/>
                <w:szCs w:val="24"/>
                <w:vertAlign w:val="superscript"/>
                <w:lang w:val="tr-TR"/>
              </w:rPr>
              <w:t>3</w:t>
            </w:r>
            <w:r w:rsidRPr="00DD0D1F">
              <w:rPr>
                <w:rFonts w:cs="Times New Roman"/>
                <w:szCs w:val="24"/>
                <w:lang w:val="tr-TR"/>
              </w:rPr>
              <w:t>'tür.</w:t>
            </w:r>
          </w:p>
        </w:tc>
      </w:tr>
    </w:tbl>
    <w:p w14:paraId="2F9D8E0A" w14:textId="77777777" w:rsidR="003328F9" w:rsidRPr="00DD0D1F" w:rsidRDefault="003328F9" w:rsidP="003328F9">
      <w:pPr>
        <w:rPr>
          <w:rFonts w:cs="Times New Roman"/>
          <w:szCs w:val="24"/>
        </w:rPr>
      </w:pPr>
    </w:p>
    <w:p w14:paraId="4A5EE116" w14:textId="77777777" w:rsidR="003328F9" w:rsidRPr="00DD0D1F" w:rsidRDefault="003328F9" w:rsidP="00FF111D">
      <w:pPr>
        <w:pStyle w:val="Balk3"/>
        <w:numPr>
          <w:ilvl w:val="2"/>
          <w:numId w:val="73"/>
        </w:numPr>
        <w:rPr>
          <w:rFonts w:cs="Times New Roman"/>
        </w:rPr>
      </w:pPr>
      <w:bookmarkStart w:id="112" w:name="_Toc137367330"/>
      <w:r w:rsidRPr="00DD0D1F">
        <w:rPr>
          <w:rFonts w:cs="Times New Roman"/>
        </w:rPr>
        <w:t>Havaya Toz Emisyonları</w:t>
      </w:r>
      <w:bookmarkEnd w:id="112"/>
    </w:p>
    <w:p w14:paraId="34EDDF76" w14:textId="7D778DC2" w:rsidR="003328F9" w:rsidRPr="00DD0D1F" w:rsidRDefault="003328F9" w:rsidP="003328F9">
      <w:pPr>
        <w:spacing w:before="240"/>
        <w:rPr>
          <w:rFonts w:cs="Times New Roman"/>
          <w:b/>
          <w:bCs/>
          <w:szCs w:val="24"/>
        </w:rPr>
      </w:pPr>
      <w:r w:rsidRPr="00DD0D1F">
        <w:rPr>
          <w:rFonts w:cs="Times New Roman"/>
          <w:b/>
          <w:bCs/>
          <w:szCs w:val="24"/>
        </w:rPr>
        <w:t>MET 51</w:t>
      </w:r>
      <w:bookmarkStart w:id="113" w:name="_Hlk137397276"/>
      <w:r w:rsidRPr="00DD0D1F">
        <w:rPr>
          <w:rFonts w:cs="Times New Roman"/>
          <w:b/>
          <w:bCs/>
          <w:szCs w:val="24"/>
        </w:rPr>
        <w:t xml:space="preserve">: </w:t>
      </w:r>
      <w:r w:rsidRPr="00DD0D1F">
        <w:rPr>
          <w:rFonts w:cs="Times New Roman"/>
          <w:bCs/>
          <w:szCs w:val="24"/>
        </w:rPr>
        <w:t>Demir ve çelik proses gazlarının yakılmasından kaynaklanan, havaya toz emisyonlarını düşürmek için, a</w:t>
      </w:r>
      <w:r w:rsidR="004E663B" w:rsidRPr="00DD0D1F">
        <w:rPr>
          <w:rFonts w:cs="Times New Roman"/>
          <w:bCs/>
          <w:szCs w:val="24"/>
        </w:rPr>
        <w:t>şağıda verilen tekniklerin biri veya bunların bir birleşimi</w:t>
      </w:r>
      <w:r w:rsidRPr="00DD0D1F">
        <w:rPr>
          <w:rFonts w:cs="Times New Roman"/>
          <w:bCs/>
          <w:szCs w:val="24"/>
        </w:rPr>
        <w:t xml:space="preserve"> kullan</w:t>
      </w:r>
      <w:r w:rsidR="004E663B" w:rsidRPr="00DD0D1F">
        <w:rPr>
          <w:rFonts w:cs="Times New Roman"/>
          <w:bCs/>
          <w:szCs w:val="24"/>
        </w:rPr>
        <w:t>ılır.</w:t>
      </w:r>
    </w:p>
    <w:bookmarkEnd w:id="113"/>
    <w:tbl>
      <w:tblPr>
        <w:tblW w:w="5000" w:type="pct"/>
        <w:tblCellMar>
          <w:left w:w="40" w:type="dxa"/>
          <w:right w:w="40" w:type="dxa"/>
        </w:tblCellMar>
        <w:tblLook w:val="0000" w:firstRow="0" w:lastRow="0" w:firstColumn="0" w:lastColumn="0" w:noHBand="0" w:noVBand="0"/>
      </w:tblPr>
      <w:tblGrid>
        <w:gridCol w:w="351"/>
        <w:gridCol w:w="2514"/>
        <w:gridCol w:w="3404"/>
        <w:gridCol w:w="2808"/>
      </w:tblGrid>
      <w:tr w:rsidR="003328F9" w:rsidRPr="00DD0D1F" w14:paraId="17F79D69" w14:textId="77777777" w:rsidTr="003328F9">
        <w:trPr>
          <w:trHeight w:val="370"/>
          <w:tblHeader/>
        </w:trPr>
        <w:tc>
          <w:tcPr>
            <w:tcW w:w="193" w:type="pct"/>
            <w:tcBorders>
              <w:top w:val="single" w:sz="4" w:space="0" w:color="auto"/>
              <w:left w:val="single" w:sz="4" w:space="0" w:color="auto"/>
              <w:bottom w:val="single" w:sz="6" w:space="0" w:color="auto"/>
              <w:right w:val="single" w:sz="4" w:space="0" w:color="auto"/>
            </w:tcBorders>
            <w:vAlign w:val="center"/>
          </w:tcPr>
          <w:p w14:paraId="24A27CDF" w14:textId="77777777" w:rsidR="003328F9" w:rsidRPr="00DD0D1F" w:rsidRDefault="003328F9" w:rsidP="003328F9">
            <w:pPr>
              <w:adjustRightInd w:val="0"/>
              <w:spacing w:line="240" w:lineRule="auto"/>
              <w:ind w:right="74"/>
              <w:jc w:val="center"/>
              <w:rPr>
                <w:rFonts w:cs="Times New Roman"/>
                <w:b/>
                <w:szCs w:val="24"/>
                <w:lang w:val="tr-TR"/>
              </w:rPr>
            </w:pPr>
          </w:p>
        </w:tc>
        <w:tc>
          <w:tcPr>
            <w:tcW w:w="1385" w:type="pct"/>
            <w:tcBorders>
              <w:top w:val="single" w:sz="4" w:space="0" w:color="auto"/>
              <w:left w:val="single" w:sz="4" w:space="0" w:color="auto"/>
              <w:bottom w:val="single" w:sz="6" w:space="0" w:color="auto"/>
              <w:right w:val="single" w:sz="6" w:space="0" w:color="auto"/>
            </w:tcBorders>
            <w:vAlign w:val="center"/>
          </w:tcPr>
          <w:p w14:paraId="089D4A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75" w:type="pct"/>
            <w:tcBorders>
              <w:top w:val="single" w:sz="4" w:space="0" w:color="auto"/>
              <w:left w:val="single" w:sz="6" w:space="0" w:color="auto"/>
              <w:bottom w:val="single" w:sz="6" w:space="0" w:color="auto"/>
              <w:right w:val="single" w:sz="6" w:space="0" w:color="auto"/>
            </w:tcBorders>
            <w:vAlign w:val="center"/>
          </w:tcPr>
          <w:p w14:paraId="152DF8A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47" w:type="pct"/>
            <w:tcBorders>
              <w:top w:val="single" w:sz="4" w:space="0" w:color="auto"/>
              <w:left w:val="single" w:sz="6" w:space="0" w:color="auto"/>
              <w:bottom w:val="single" w:sz="6" w:space="0" w:color="auto"/>
              <w:right w:val="single" w:sz="4" w:space="0" w:color="auto"/>
            </w:tcBorders>
            <w:vAlign w:val="center"/>
          </w:tcPr>
          <w:p w14:paraId="1FA855F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6DFC9DAA" w14:textId="77777777" w:rsidTr="003328F9">
        <w:trPr>
          <w:trHeight w:val="341"/>
        </w:trPr>
        <w:tc>
          <w:tcPr>
            <w:tcW w:w="193" w:type="pct"/>
            <w:tcBorders>
              <w:top w:val="single" w:sz="6" w:space="0" w:color="auto"/>
              <w:left w:val="single" w:sz="4" w:space="0" w:color="auto"/>
              <w:bottom w:val="single" w:sz="6" w:space="0" w:color="auto"/>
              <w:right w:val="single" w:sz="4" w:space="0" w:color="auto"/>
            </w:tcBorders>
            <w:vAlign w:val="center"/>
          </w:tcPr>
          <w:p w14:paraId="115E7819" w14:textId="77777777" w:rsidR="003328F9" w:rsidRPr="00DD0D1F" w:rsidRDefault="003328F9" w:rsidP="003328F9">
            <w:pPr>
              <w:adjustRightInd w:val="0"/>
              <w:spacing w:line="240" w:lineRule="auto"/>
              <w:ind w:left="74" w:right="74"/>
              <w:rPr>
                <w:rFonts w:cs="Times New Roman"/>
                <w:szCs w:val="24"/>
                <w:lang w:val="tr-TR"/>
              </w:rPr>
            </w:pPr>
            <w:bookmarkStart w:id="114" w:name="_Hlk137397294"/>
            <w:r w:rsidRPr="00DD0D1F">
              <w:rPr>
                <w:rFonts w:cs="Times New Roman"/>
                <w:szCs w:val="24"/>
                <w:lang w:val="tr-TR"/>
              </w:rPr>
              <w:t>a</w:t>
            </w:r>
          </w:p>
        </w:tc>
        <w:tc>
          <w:tcPr>
            <w:tcW w:w="1385" w:type="pct"/>
            <w:tcBorders>
              <w:top w:val="single" w:sz="6" w:space="0" w:color="auto"/>
              <w:left w:val="single" w:sz="4" w:space="0" w:color="auto"/>
              <w:bottom w:val="single" w:sz="6" w:space="0" w:color="auto"/>
              <w:right w:val="single" w:sz="6" w:space="0" w:color="auto"/>
            </w:tcBorders>
            <w:vAlign w:val="center"/>
          </w:tcPr>
          <w:p w14:paraId="70321E5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seçimi/yönetimi</w:t>
            </w:r>
          </w:p>
        </w:tc>
        <w:tc>
          <w:tcPr>
            <w:tcW w:w="1875" w:type="pct"/>
            <w:tcBorders>
              <w:top w:val="single" w:sz="6" w:space="0" w:color="auto"/>
              <w:left w:val="single" w:sz="6" w:space="0" w:color="auto"/>
              <w:bottom w:val="single" w:sz="6" w:space="0" w:color="auto"/>
              <w:right w:val="single" w:sz="6" w:space="0" w:color="auto"/>
            </w:tcBorders>
            <w:vAlign w:val="center"/>
          </w:tcPr>
          <w:p w14:paraId="4DC2BF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toz veya kül içeren yardımcı yakıt ile proses gazlarının birleşiminin kullanılması</w:t>
            </w:r>
          </w:p>
        </w:tc>
        <w:tc>
          <w:tcPr>
            <w:tcW w:w="1547" w:type="pct"/>
            <w:tcBorders>
              <w:top w:val="single" w:sz="6" w:space="0" w:color="auto"/>
              <w:left w:val="single" w:sz="6" w:space="0" w:color="auto"/>
              <w:bottom w:val="single" w:sz="6" w:space="0" w:color="auto"/>
              <w:right w:val="single" w:sz="4" w:space="0" w:color="auto"/>
            </w:tcBorders>
            <w:vAlign w:val="center"/>
          </w:tcPr>
          <w:p w14:paraId="43389D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bulunmasıyla ilişkili kısıtlamalar dahilinde uygulanabilir</w:t>
            </w:r>
          </w:p>
        </w:tc>
      </w:tr>
      <w:tr w:rsidR="003328F9" w:rsidRPr="00DD0D1F" w14:paraId="4C65DB7F" w14:textId="77777777" w:rsidTr="003328F9">
        <w:trPr>
          <w:trHeight w:val="624"/>
        </w:trPr>
        <w:tc>
          <w:tcPr>
            <w:tcW w:w="193" w:type="pct"/>
            <w:tcBorders>
              <w:top w:val="single" w:sz="6" w:space="0" w:color="auto"/>
              <w:left w:val="single" w:sz="4" w:space="0" w:color="auto"/>
              <w:bottom w:val="single" w:sz="6" w:space="0" w:color="auto"/>
              <w:right w:val="single" w:sz="6" w:space="0" w:color="auto"/>
            </w:tcBorders>
            <w:vAlign w:val="center"/>
          </w:tcPr>
          <w:p w14:paraId="0F3963A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85" w:type="pct"/>
            <w:tcBorders>
              <w:top w:val="single" w:sz="6" w:space="0" w:color="auto"/>
              <w:left w:val="single" w:sz="6" w:space="0" w:color="auto"/>
              <w:bottom w:val="single" w:sz="6" w:space="0" w:color="auto"/>
              <w:right w:val="single" w:sz="6" w:space="0" w:color="auto"/>
            </w:tcBorders>
            <w:vAlign w:val="center"/>
          </w:tcPr>
          <w:p w14:paraId="27B05F2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işlerinde yüksek fırın gazlarının ön işlemi</w:t>
            </w:r>
          </w:p>
        </w:tc>
        <w:tc>
          <w:tcPr>
            <w:tcW w:w="1875" w:type="pct"/>
            <w:tcBorders>
              <w:top w:val="single" w:sz="6" w:space="0" w:color="auto"/>
              <w:left w:val="single" w:sz="6" w:space="0" w:color="auto"/>
              <w:bottom w:val="single" w:sz="6" w:space="0" w:color="auto"/>
              <w:right w:val="single" w:sz="6" w:space="0" w:color="auto"/>
            </w:tcBorders>
            <w:vAlign w:val="center"/>
          </w:tcPr>
          <w:p w14:paraId="343FF799" w14:textId="3352F3AD" w:rsidR="003328F9" w:rsidRPr="00DD0D1F" w:rsidRDefault="003328F9" w:rsidP="00353734">
            <w:pPr>
              <w:adjustRightInd w:val="0"/>
              <w:spacing w:line="240" w:lineRule="auto"/>
              <w:ind w:left="74" w:right="74"/>
              <w:rPr>
                <w:rFonts w:cs="Times New Roman"/>
                <w:szCs w:val="24"/>
                <w:lang w:val="tr-TR"/>
              </w:rPr>
            </w:pPr>
            <w:r w:rsidRPr="00DD0D1F">
              <w:rPr>
                <w:rFonts w:cs="Times New Roman"/>
                <w:szCs w:val="24"/>
                <w:lang w:val="tr-TR"/>
              </w:rPr>
              <w:t xml:space="preserve">Bir toz giderme cihazı kullanılması veya kuru toz giderme cihazı (örneğin deflektörler, toz tutucular, </w:t>
            </w:r>
            <w:r w:rsidR="009A6605" w:rsidRPr="00DD0D1F">
              <w:rPr>
                <w:rFonts w:cs="Times New Roman"/>
                <w:szCs w:val="24"/>
                <w:lang w:val="tr-TR"/>
              </w:rPr>
              <w:t xml:space="preserve">siklonlar, elektrostatik çöktürücü) ve/veya </w:t>
            </w:r>
            <w:r w:rsidR="00353734" w:rsidRPr="00DD0D1F">
              <w:rPr>
                <w:rFonts w:cs="Times New Roman"/>
                <w:szCs w:val="24"/>
                <w:lang w:val="tr-TR"/>
              </w:rPr>
              <w:t xml:space="preserve">müteakip </w:t>
            </w:r>
            <w:r w:rsidRPr="00DD0D1F">
              <w:rPr>
                <w:rFonts w:cs="Times New Roman"/>
                <w:szCs w:val="24"/>
                <w:lang w:val="tr-TR"/>
              </w:rPr>
              <w:t>toz azaltma cihazlarının (venturi yıkayıcılar, engel tipi yıkayıcılar, yuvarlak açıklıklı yıkayıcılar, yaş elektrostatik ayırıcılar, parçalayıcılar) birlikte kullanılması</w:t>
            </w:r>
          </w:p>
        </w:tc>
        <w:tc>
          <w:tcPr>
            <w:tcW w:w="1547" w:type="pct"/>
            <w:tcBorders>
              <w:top w:val="single" w:sz="6" w:space="0" w:color="auto"/>
              <w:left w:val="single" w:sz="6" w:space="0" w:color="auto"/>
              <w:bottom w:val="single" w:sz="6" w:space="0" w:color="auto"/>
              <w:right w:val="single" w:sz="4" w:space="0" w:color="auto"/>
            </w:tcBorders>
            <w:vAlign w:val="center"/>
          </w:tcPr>
          <w:p w14:paraId="150A6F8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fırın gazı yakılıyorsa uygulanabilir.</w:t>
            </w:r>
          </w:p>
        </w:tc>
      </w:tr>
      <w:tr w:rsidR="003328F9" w:rsidRPr="00DD0D1F" w14:paraId="6D805DDE" w14:textId="77777777" w:rsidTr="003328F9">
        <w:trPr>
          <w:trHeight w:val="680"/>
        </w:trPr>
        <w:tc>
          <w:tcPr>
            <w:tcW w:w="193" w:type="pct"/>
            <w:tcBorders>
              <w:top w:val="single" w:sz="6" w:space="0" w:color="auto"/>
              <w:left w:val="single" w:sz="4" w:space="0" w:color="auto"/>
              <w:bottom w:val="single" w:sz="6" w:space="0" w:color="auto"/>
              <w:right w:val="single" w:sz="6" w:space="0" w:color="auto"/>
            </w:tcBorders>
            <w:vAlign w:val="center"/>
          </w:tcPr>
          <w:p w14:paraId="7AA273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85" w:type="pct"/>
            <w:tcBorders>
              <w:top w:val="single" w:sz="6" w:space="0" w:color="auto"/>
              <w:left w:val="single" w:sz="6" w:space="0" w:color="auto"/>
              <w:bottom w:val="single" w:sz="6" w:space="0" w:color="auto"/>
              <w:right w:val="single" w:sz="6" w:space="0" w:color="auto"/>
            </w:tcBorders>
            <w:vAlign w:val="center"/>
          </w:tcPr>
          <w:p w14:paraId="452B349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işlerinde bazik oksijen fırını gazının ön işlemi</w:t>
            </w:r>
          </w:p>
        </w:tc>
        <w:tc>
          <w:tcPr>
            <w:tcW w:w="1875" w:type="pct"/>
            <w:tcBorders>
              <w:top w:val="single" w:sz="6" w:space="0" w:color="auto"/>
              <w:left w:val="single" w:sz="6" w:space="0" w:color="auto"/>
              <w:bottom w:val="single" w:sz="6" w:space="0" w:color="auto"/>
              <w:right w:val="single" w:sz="6" w:space="0" w:color="auto"/>
            </w:tcBorders>
            <w:vAlign w:val="center"/>
          </w:tcPr>
          <w:p w14:paraId="258E3BE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(örneğin ESP veya torba filtre) veya yaş (örneğin yaş ESP veya yıkayıcı) toz giderme kullanımı.  Detaylı açıklamalar Demir ve Çelik ile ilgili MET-Ref’te yer almaktadır.</w:t>
            </w:r>
          </w:p>
        </w:tc>
        <w:tc>
          <w:tcPr>
            <w:tcW w:w="1547" w:type="pct"/>
            <w:tcBorders>
              <w:top w:val="single" w:sz="6" w:space="0" w:color="auto"/>
              <w:left w:val="single" w:sz="6" w:space="0" w:color="auto"/>
              <w:bottom w:val="single" w:sz="6" w:space="0" w:color="auto"/>
              <w:right w:val="single" w:sz="4" w:space="0" w:color="auto"/>
            </w:tcBorders>
            <w:vAlign w:val="center"/>
          </w:tcPr>
          <w:p w14:paraId="5C9C269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Bazik oksijen fırını gazı yakılıyorsa uygulanabilir.</w:t>
            </w:r>
          </w:p>
        </w:tc>
      </w:tr>
      <w:tr w:rsidR="003328F9" w:rsidRPr="00DD0D1F" w14:paraId="64CD2EC5" w14:textId="77777777" w:rsidTr="003328F9">
        <w:trPr>
          <w:trHeight w:val="51"/>
        </w:trPr>
        <w:tc>
          <w:tcPr>
            <w:tcW w:w="193" w:type="pct"/>
            <w:tcBorders>
              <w:top w:val="single" w:sz="6" w:space="0" w:color="auto"/>
              <w:left w:val="single" w:sz="4" w:space="0" w:color="auto"/>
              <w:bottom w:val="single" w:sz="6" w:space="0" w:color="auto"/>
              <w:right w:val="single" w:sz="6" w:space="0" w:color="auto"/>
            </w:tcBorders>
            <w:vAlign w:val="center"/>
          </w:tcPr>
          <w:p w14:paraId="709DFBA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85" w:type="pct"/>
            <w:tcBorders>
              <w:top w:val="single" w:sz="6" w:space="0" w:color="auto"/>
              <w:left w:val="single" w:sz="6" w:space="0" w:color="auto"/>
              <w:bottom w:val="single" w:sz="6" w:space="0" w:color="auto"/>
              <w:right w:val="single" w:sz="6" w:space="0" w:color="auto"/>
            </w:tcBorders>
            <w:vAlign w:val="center"/>
          </w:tcPr>
          <w:p w14:paraId="77CBB54A" w14:textId="738C8C12" w:rsidR="003328F9" w:rsidRPr="00DD0D1F" w:rsidRDefault="009A6605" w:rsidP="009A6605">
            <w:pPr>
              <w:adjustRightInd w:val="0"/>
              <w:spacing w:line="240" w:lineRule="auto"/>
              <w:ind w:left="74" w:right="74"/>
              <w:rPr>
                <w:rFonts w:cs="Times New Roman"/>
                <w:szCs w:val="24"/>
                <w:lang w:val="tr-TR"/>
              </w:rPr>
            </w:pPr>
            <w:r w:rsidRPr="00DD0D1F">
              <w:rPr>
                <w:rFonts w:cs="Times New Roman"/>
                <w:szCs w:val="24"/>
                <w:lang w:val="tr-TR"/>
              </w:rPr>
              <w:t xml:space="preserve">Elektrostatik çöktürücü  </w:t>
            </w:r>
            <w:r w:rsidR="003328F9" w:rsidRPr="00DD0D1F">
              <w:rPr>
                <w:rFonts w:cs="Times New Roman"/>
                <w:szCs w:val="24"/>
                <w:lang w:val="tr-TR"/>
              </w:rPr>
              <w:t>(ESP)</w:t>
            </w:r>
          </w:p>
        </w:tc>
        <w:tc>
          <w:tcPr>
            <w:tcW w:w="1875" w:type="pct"/>
            <w:vMerge w:val="restart"/>
            <w:tcBorders>
              <w:top w:val="single" w:sz="6" w:space="0" w:color="auto"/>
              <w:left w:val="single" w:sz="6" w:space="0" w:color="auto"/>
              <w:right w:val="single" w:sz="6" w:space="0" w:color="auto"/>
            </w:tcBorders>
            <w:vAlign w:val="center"/>
          </w:tcPr>
          <w:p w14:paraId="5CF6DB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tc>
        <w:tc>
          <w:tcPr>
            <w:tcW w:w="1547" w:type="pct"/>
            <w:vMerge w:val="restart"/>
            <w:tcBorders>
              <w:top w:val="single" w:sz="6" w:space="0" w:color="auto"/>
              <w:left w:val="single" w:sz="6" w:space="0" w:color="auto"/>
              <w:right w:val="single" w:sz="4" w:space="0" w:color="auto"/>
            </w:tcBorders>
            <w:vAlign w:val="center"/>
          </w:tcPr>
          <w:p w14:paraId="05568F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kül içerikli yardımcı yakıtların yüksek oranda yakıldığı yakma tesislerinde uygulanabilir.</w:t>
            </w:r>
          </w:p>
        </w:tc>
      </w:tr>
      <w:tr w:rsidR="003328F9" w:rsidRPr="00DD0D1F" w14:paraId="45E3DDAD" w14:textId="77777777" w:rsidTr="003328F9">
        <w:trPr>
          <w:trHeight w:val="211"/>
        </w:trPr>
        <w:tc>
          <w:tcPr>
            <w:tcW w:w="193" w:type="pct"/>
            <w:tcBorders>
              <w:top w:val="single" w:sz="6" w:space="0" w:color="auto"/>
              <w:left w:val="single" w:sz="4" w:space="0" w:color="auto"/>
              <w:bottom w:val="single" w:sz="4" w:space="0" w:color="auto"/>
              <w:right w:val="single" w:sz="6" w:space="0" w:color="auto"/>
            </w:tcBorders>
            <w:vAlign w:val="center"/>
          </w:tcPr>
          <w:p w14:paraId="2E8817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85" w:type="pct"/>
            <w:tcBorders>
              <w:top w:val="single" w:sz="6" w:space="0" w:color="auto"/>
              <w:left w:val="single" w:sz="6" w:space="0" w:color="auto"/>
              <w:bottom w:val="single" w:sz="4" w:space="0" w:color="auto"/>
              <w:right w:val="single" w:sz="6" w:space="0" w:color="auto"/>
            </w:tcBorders>
            <w:vAlign w:val="center"/>
          </w:tcPr>
          <w:p w14:paraId="360044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875" w:type="pct"/>
            <w:vMerge/>
            <w:tcBorders>
              <w:left w:val="single" w:sz="6" w:space="0" w:color="auto"/>
              <w:bottom w:val="single" w:sz="4" w:space="0" w:color="auto"/>
              <w:right w:val="single" w:sz="6" w:space="0" w:color="auto"/>
            </w:tcBorders>
          </w:tcPr>
          <w:p w14:paraId="43538C40" w14:textId="77777777" w:rsidR="003328F9" w:rsidRPr="00DD0D1F" w:rsidRDefault="003328F9" w:rsidP="003328F9">
            <w:pPr>
              <w:adjustRightInd w:val="0"/>
              <w:spacing w:line="240" w:lineRule="auto"/>
              <w:ind w:left="74" w:right="74"/>
              <w:rPr>
                <w:rFonts w:cs="Times New Roman"/>
                <w:szCs w:val="24"/>
                <w:lang w:val="tr-TR"/>
              </w:rPr>
            </w:pPr>
          </w:p>
        </w:tc>
        <w:tc>
          <w:tcPr>
            <w:tcW w:w="1547" w:type="pct"/>
            <w:vMerge/>
            <w:tcBorders>
              <w:left w:val="single" w:sz="6" w:space="0" w:color="auto"/>
              <w:bottom w:val="single" w:sz="4" w:space="0" w:color="auto"/>
              <w:right w:val="single" w:sz="4" w:space="0" w:color="auto"/>
            </w:tcBorders>
          </w:tcPr>
          <w:p w14:paraId="77384CB6" w14:textId="77777777" w:rsidR="003328F9" w:rsidRPr="00DD0D1F" w:rsidRDefault="003328F9" w:rsidP="003328F9">
            <w:pPr>
              <w:adjustRightInd w:val="0"/>
              <w:spacing w:line="240" w:lineRule="auto"/>
              <w:ind w:left="74" w:right="74"/>
              <w:rPr>
                <w:rFonts w:cs="Times New Roman"/>
                <w:szCs w:val="24"/>
                <w:lang w:val="tr-TR"/>
              </w:rPr>
            </w:pPr>
          </w:p>
        </w:tc>
      </w:tr>
    </w:tbl>
    <w:bookmarkEnd w:id="114"/>
    <w:p w14:paraId="51BBFD8E"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demir ve çelik proses gazlarının yakılmasından kaynaklanan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3168"/>
        <w:gridCol w:w="2625"/>
        <w:gridCol w:w="3284"/>
      </w:tblGrid>
      <w:tr w:rsidR="003328F9" w:rsidRPr="00DD0D1F" w14:paraId="6B0738F7" w14:textId="77777777" w:rsidTr="003328F9">
        <w:trPr>
          <w:trHeight w:val="49"/>
        </w:trPr>
        <w:tc>
          <w:tcPr>
            <w:tcW w:w="1745" w:type="pct"/>
            <w:vMerge w:val="restart"/>
            <w:tcBorders>
              <w:top w:val="single" w:sz="4" w:space="0" w:color="auto"/>
              <w:left w:val="single" w:sz="4" w:space="0" w:color="auto"/>
              <w:right w:val="single" w:sz="6" w:space="0" w:color="auto"/>
            </w:tcBorders>
            <w:vAlign w:val="center"/>
          </w:tcPr>
          <w:p w14:paraId="33FB03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3255" w:type="pct"/>
            <w:gridSpan w:val="2"/>
            <w:tcBorders>
              <w:top w:val="single" w:sz="4" w:space="0" w:color="auto"/>
              <w:left w:val="single" w:sz="6" w:space="0" w:color="auto"/>
              <w:bottom w:val="single" w:sz="6" w:space="0" w:color="auto"/>
              <w:right w:val="single" w:sz="4" w:space="0" w:color="auto"/>
            </w:tcBorders>
            <w:vAlign w:val="center"/>
          </w:tcPr>
          <w:p w14:paraId="3FD1B48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18A9B959" w14:textId="77777777" w:rsidTr="003328F9">
        <w:trPr>
          <w:trHeight w:val="49"/>
        </w:trPr>
        <w:tc>
          <w:tcPr>
            <w:tcW w:w="1745" w:type="pct"/>
            <w:vMerge/>
            <w:tcBorders>
              <w:left w:val="single" w:sz="4" w:space="0" w:color="auto"/>
              <w:bottom w:val="single" w:sz="6" w:space="0" w:color="auto"/>
              <w:right w:val="single" w:sz="6" w:space="0" w:color="auto"/>
            </w:tcBorders>
            <w:vAlign w:val="center"/>
          </w:tcPr>
          <w:p w14:paraId="0F21561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446" w:type="pct"/>
            <w:tcBorders>
              <w:top w:val="single" w:sz="6" w:space="0" w:color="auto"/>
              <w:left w:val="single" w:sz="6" w:space="0" w:color="auto"/>
              <w:bottom w:val="single" w:sz="6" w:space="0" w:color="auto"/>
              <w:right w:val="single" w:sz="6" w:space="0" w:color="auto"/>
            </w:tcBorders>
            <w:vAlign w:val="center"/>
          </w:tcPr>
          <w:p w14:paraId="0CF07BA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1809" w:type="pct"/>
            <w:tcBorders>
              <w:top w:val="single" w:sz="6" w:space="0" w:color="auto"/>
              <w:left w:val="single" w:sz="6" w:space="0" w:color="auto"/>
              <w:bottom w:val="single" w:sz="6" w:space="0" w:color="auto"/>
              <w:right w:val="single" w:sz="4" w:space="0" w:color="auto"/>
            </w:tcBorders>
            <w:vAlign w:val="center"/>
          </w:tcPr>
          <w:p w14:paraId="00C4CAE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5D137751" w14:textId="77777777" w:rsidTr="003328F9">
        <w:trPr>
          <w:trHeight w:val="49"/>
        </w:trPr>
        <w:tc>
          <w:tcPr>
            <w:tcW w:w="1745" w:type="pct"/>
            <w:tcBorders>
              <w:top w:val="single" w:sz="6" w:space="0" w:color="auto"/>
              <w:left w:val="single" w:sz="4" w:space="0" w:color="auto"/>
              <w:bottom w:val="single" w:sz="6" w:space="0" w:color="auto"/>
              <w:right w:val="single" w:sz="6" w:space="0" w:color="auto"/>
            </w:tcBorders>
            <w:vAlign w:val="center"/>
          </w:tcPr>
          <w:p w14:paraId="4238373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kazan</w:t>
            </w:r>
          </w:p>
        </w:tc>
        <w:tc>
          <w:tcPr>
            <w:tcW w:w="1446" w:type="pct"/>
            <w:tcBorders>
              <w:top w:val="single" w:sz="6" w:space="0" w:color="auto"/>
              <w:left w:val="single" w:sz="6" w:space="0" w:color="auto"/>
              <w:bottom w:val="single" w:sz="6" w:space="0" w:color="auto"/>
              <w:right w:val="single" w:sz="6" w:space="0" w:color="auto"/>
            </w:tcBorders>
            <w:vAlign w:val="center"/>
          </w:tcPr>
          <w:p w14:paraId="01AC157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2-7</w:t>
            </w:r>
          </w:p>
        </w:tc>
        <w:tc>
          <w:tcPr>
            <w:tcW w:w="1809" w:type="pct"/>
            <w:tcBorders>
              <w:top w:val="single" w:sz="6" w:space="0" w:color="auto"/>
              <w:left w:val="single" w:sz="6" w:space="0" w:color="auto"/>
              <w:bottom w:val="single" w:sz="6" w:space="0" w:color="auto"/>
              <w:right w:val="single" w:sz="4" w:space="0" w:color="auto"/>
            </w:tcBorders>
            <w:vAlign w:val="center"/>
          </w:tcPr>
          <w:p w14:paraId="41BF25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r>
      <w:tr w:rsidR="003328F9" w:rsidRPr="00DD0D1F" w14:paraId="7AE88390" w14:textId="77777777" w:rsidTr="003328F9">
        <w:trPr>
          <w:trHeight w:val="49"/>
        </w:trPr>
        <w:tc>
          <w:tcPr>
            <w:tcW w:w="1745" w:type="pct"/>
            <w:tcBorders>
              <w:top w:val="single" w:sz="6" w:space="0" w:color="auto"/>
              <w:left w:val="single" w:sz="4" w:space="0" w:color="auto"/>
              <w:bottom w:val="single" w:sz="6" w:space="0" w:color="auto"/>
              <w:right w:val="single" w:sz="6" w:space="0" w:color="auto"/>
            </w:tcBorders>
            <w:vAlign w:val="center"/>
          </w:tcPr>
          <w:p w14:paraId="4ED5497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CCGT</w:t>
            </w:r>
          </w:p>
        </w:tc>
        <w:tc>
          <w:tcPr>
            <w:tcW w:w="1446" w:type="pct"/>
            <w:tcBorders>
              <w:top w:val="single" w:sz="6" w:space="0" w:color="auto"/>
              <w:left w:val="single" w:sz="6" w:space="0" w:color="auto"/>
              <w:bottom w:val="single" w:sz="6" w:space="0" w:color="auto"/>
              <w:right w:val="single" w:sz="6" w:space="0" w:color="auto"/>
            </w:tcBorders>
            <w:vAlign w:val="center"/>
          </w:tcPr>
          <w:p w14:paraId="67717C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1809" w:type="pct"/>
            <w:tcBorders>
              <w:top w:val="single" w:sz="6" w:space="0" w:color="auto"/>
              <w:left w:val="single" w:sz="6" w:space="0" w:color="auto"/>
              <w:bottom w:val="single" w:sz="6" w:space="0" w:color="auto"/>
              <w:right w:val="single" w:sz="4" w:space="0" w:color="auto"/>
            </w:tcBorders>
            <w:vAlign w:val="center"/>
          </w:tcPr>
          <w:p w14:paraId="07C7111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r>
      <w:tr w:rsidR="003328F9" w:rsidRPr="00DD0D1F" w14:paraId="1C584A49" w14:textId="77777777" w:rsidTr="003328F9">
        <w:trPr>
          <w:trHeight w:val="49"/>
        </w:trPr>
        <w:tc>
          <w:tcPr>
            <w:tcW w:w="5000" w:type="pct"/>
            <w:gridSpan w:val="3"/>
            <w:tcBorders>
              <w:top w:val="single" w:sz="6" w:space="0" w:color="auto"/>
              <w:left w:val="single" w:sz="4" w:space="0" w:color="auto"/>
              <w:bottom w:val="single" w:sz="4" w:space="0" w:color="auto"/>
              <w:right w:val="single" w:sz="4" w:space="0" w:color="auto"/>
            </w:tcBorders>
          </w:tcPr>
          <w:p w14:paraId="450C1915"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&lt;1500 saat/yıl çalıştırılan mevcut tesislerde bu MET-İES’ler uygulanmaz. </w:t>
            </w:r>
          </w:p>
          <w:p w14:paraId="7C2B188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02268D31" w14:textId="77777777" w:rsidR="003328F9" w:rsidRPr="00DD0D1F" w:rsidRDefault="003328F9" w:rsidP="005A4911">
      <w:pPr>
        <w:pStyle w:val="Normaltext"/>
        <w:rPr>
          <w:rFonts w:cs="Times New Roman"/>
          <w:szCs w:val="24"/>
        </w:rPr>
      </w:pPr>
      <w:bookmarkStart w:id="115" w:name="_Toc137367331"/>
    </w:p>
    <w:p w14:paraId="1C034CE5" w14:textId="6FCE0A04" w:rsidR="003328F9" w:rsidRPr="00DD0D1F" w:rsidRDefault="003328F9" w:rsidP="00FF111D">
      <w:pPr>
        <w:pStyle w:val="Balk2"/>
        <w:numPr>
          <w:ilvl w:val="1"/>
          <w:numId w:val="73"/>
        </w:numPr>
        <w:rPr>
          <w:rFonts w:cs="Times New Roman"/>
          <w:szCs w:val="24"/>
          <w:lang w:val="tr-TR"/>
        </w:rPr>
      </w:pPr>
      <w:r w:rsidRPr="00DD0D1F">
        <w:rPr>
          <w:rFonts w:cs="Times New Roman"/>
          <w:szCs w:val="24"/>
          <w:lang w:val="tr-TR"/>
        </w:rPr>
        <w:t>Gaz ve/veya Sıvı Yakıtların Açık Deniz Platformlarında Yakılmasına  İlişkin MET</w:t>
      </w:r>
      <w:bookmarkEnd w:id="115"/>
    </w:p>
    <w:p w14:paraId="45A9BA98" w14:textId="241E7C08" w:rsidR="003328F9" w:rsidRPr="00DD0D1F" w:rsidRDefault="00A13BD5" w:rsidP="003328F9">
      <w:pPr>
        <w:spacing w:before="240"/>
        <w:rPr>
          <w:rFonts w:cs="Times New Roman"/>
          <w:szCs w:val="24"/>
          <w:lang w:val="nl-NL"/>
        </w:rPr>
      </w:pPr>
      <w:r>
        <w:rPr>
          <w:rFonts w:cs="Times New Roman"/>
          <w:szCs w:val="24"/>
          <w:lang w:val="tr-TR"/>
        </w:rPr>
        <w:t>Bu bölüm</w:t>
      </w:r>
      <w:r w:rsidR="003328F9" w:rsidRPr="00DD0D1F">
        <w:rPr>
          <w:rFonts w:cs="Times New Roman"/>
          <w:szCs w:val="24"/>
          <w:lang w:val="tr-TR"/>
        </w:rPr>
        <w:t xml:space="preserve">de yer alan MET açık deniz platformlarında gaz ve/veya sıvı yakıtların yakılması ile ilgili uygulanır. </w:t>
      </w:r>
      <w:r w:rsidR="003328F9" w:rsidRPr="00DD0D1F">
        <w:rPr>
          <w:rFonts w:cs="Times New Roman"/>
          <w:szCs w:val="24"/>
          <w:lang w:val="nl-NL"/>
        </w:rPr>
        <w:t>Bu MET, Başlık  1’de belirtilen genel MET sonuçlarına ek olarak geçerlidir.</w:t>
      </w:r>
    </w:p>
    <w:p w14:paraId="1B683C0D" w14:textId="5EF9FC5B" w:rsidR="003328F9" w:rsidRPr="00DD0D1F" w:rsidRDefault="003328F9" w:rsidP="003328F9">
      <w:pPr>
        <w:spacing w:before="240"/>
        <w:rPr>
          <w:rFonts w:cs="Times New Roman"/>
          <w:b/>
          <w:bCs/>
          <w:szCs w:val="24"/>
          <w:lang w:val="nl-NL"/>
        </w:rPr>
      </w:pPr>
      <w:r w:rsidRPr="00DD0D1F">
        <w:rPr>
          <w:rFonts w:cs="Times New Roman"/>
          <w:b/>
          <w:bCs/>
          <w:szCs w:val="24"/>
          <w:lang w:val="nl-NL"/>
        </w:rPr>
        <w:t>MET 52</w:t>
      </w:r>
      <w:bookmarkStart w:id="116" w:name="_Hlk137397311"/>
      <w:r w:rsidRPr="00DD0D1F">
        <w:rPr>
          <w:rFonts w:cs="Times New Roman"/>
          <w:b/>
          <w:bCs/>
          <w:szCs w:val="24"/>
          <w:lang w:val="nl-NL"/>
        </w:rPr>
        <w:t xml:space="preserve">:  </w:t>
      </w:r>
      <w:r w:rsidRPr="00DD0D1F">
        <w:rPr>
          <w:rFonts w:cs="Times New Roman"/>
          <w:bCs/>
          <w:szCs w:val="24"/>
          <w:lang w:val="nl-NL"/>
        </w:rPr>
        <w:t>Açık deniz platformlarında gaz ve/veya sıvı yakıtların yakıldığı tesislerin genel çevresel performansını iyileştirmek için, aşağıda verile</w:t>
      </w:r>
      <w:r w:rsidR="00794E22" w:rsidRPr="00DD0D1F">
        <w:rPr>
          <w:rFonts w:cs="Times New Roman"/>
          <w:bCs/>
          <w:szCs w:val="24"/>
          <w:lang w:val="nl-NL"/>
        </w:rPr>
        <w:t xml:space="preserve">n tekniklerin bir birleşimi </w:t>
      </w:r>
      <w:r w:rsidRPr="00DD0D1F">
        <w:rPr>
          <w:rFonts w:cs="Times New Roman"/>
          <w:bCs/>
          <w:szCs w:val="24"/>
          <w:lang w:val="nl-NL"/>
        </w:rPr>
        <w:t>kullan</w:t>
      </w:r>
      <w:r w:rsidR="00794E22" w:rsidRPr="00DD0D1F">
        <w:rPr>
          <w:rFonts w:cs="Times New Roman"/>
          <w:bCs/>
          <w:szCs w:val="24"/>
          <w:lang w:val="nl-NL"/>
        </w:rPr>
        <w:t>ılır.</w:t>
      </w:r>
    </w:p>
    <w:bookmarkEnd w:id="116"/>
    <w:tbl>
      <w:tblPr>
        <w:tblW w:w="5000" w:type="pct"/>
        <w:tblCellMar>
          <w:left w:w="40" w:type="dxa"/>
          <w:right w:w="40" w:type="dxa"/>
        </w:tblCellMar>
        <w:tblLook w:val="0000" w:firstRow="0" w:lastRow="0" w:firstColumn="0" w:lastColumn="0" w:noHBand="0" w:noVBand="0"/>
      </w:tblPr>
      <w:tblGrid>
        <w:gridCol w:w="349"/>
        <w:gridCol w:w="2102"/>
        <w:gridCol w:w="4068"/>
        <w:gridCol w:w="2558"/>
      </w:tblGrid>
      <w:tr w:rsidR="003328F9" w:rsidRPr="00DD0D1F" w14:paraId="35739AAA" w14:textId="77777777" w:rsidTr="003328F9">
        <w:trPr>
          <w:trHeight w:val="368"/>
          <w:tblHeader/>
        </w:trPr>
        <w:tc>
          <w:tcPr>
            <w:tcW w:w="192" w:type="pct"/>
            <w:tcBorders>
              <w:top w:val="single" w:sz="4" w:space="0" w:color="auto"/>
              <w:left w:val="single" w:sz="4" w:space="0" w:color="auto"/>
              <w:bottom w:val="single" w:sz="6" w:space="0" w:color="auto"/>
              <w:right w:val="single" w:sz="4" w:space="0" w:color="auto"/>
            </w:tcBorders>
            <w:vAlign w:val="center"/>
          </w:tcPr>
          <w:p w14:paraId="08D4889B" w14:textId="77777777" w:rsidR="003328F9" w:rsidRPr="00DD0D1F" w:rsidRDefault="003328F9" w:rsidP="003328F9">
            <w:pPr>
              <w:adjustRightInd w:val="0"/>
              <w:spacing w:line="240" w:lineRule="auto"/>
              <w:ind w:right="74"/>
              <w:jc w:val="center"/>
              <w:rPr>
                <w:rFonts w:cs="Times New Roman"/>
                <w:b/>
                <w:szCs w:val="24"/>
                <w:lang w:val="tr-TR"/>
              </w:rPr>
            </w:pPr>
          </w:p>
        </w:tc>
        <w:tc>
          <w:tcPr>
            <w:tcW w:w="1158" w:type="pct"/>
            <w:tcBorders>
              <w:top w:val="single" w:sz="4" w:space="0" w:color="auto"/>
              <w:left w:val="single" w:sz="4" w:space="0" w:color="auto"/>
              <w:bottom w:val="single" w:sz="6" w:space="0" w:color="auto"/>
              <w:right w:val="single" w:sz="6" w:space="0" w:color="auto"/>
            </w:tcBorders>
            <w:vAlign w:val="center"/>
          </w:tcPr>
          <w:p w14:paraId="5C8959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Teknikler</w:t>
            </w:r>
          </w:p>
        </w:tc>
        <w:tc>
          <w:tcPr>
            <w:tcW w:w="2241" w:type="pct"/>
            <w:tcBorders>
              <w:top w:val="single" w:sz="4" w:space="0" w:color="auto"/>
              <w:left w:val="single" w:sz="6" w:space="0" w:color="auto"/>
              <w:bottom w:val="single" w:sz="6" w:space="0" w:color="auto"/>
              <w:right w:val="single" w:sz="6" w:space="0" w:color="auto"/>
            </w:tcBorders>
            <w:vAlign w:val="center"/>
          </w:tcPr>
          <w:p w14:paraId="1C3C8B3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409" w:type="pct"/>
            <w:tcBorders>
              <w:top w:val="single" w:sz="4" w:space="0" w:color="auto"/>
              <w:left w:val="single" w:sz="6" w:space="0" w:color="auto"/>
              <w:bottom w:val="single" w:sz="6" w:space="0" w:color="auto"/>
              <w:right w:val="single" w:sz="4" w:space="0" w:color="auto"/>
            </w:tcBorders>
            <w:vAlign w:val="center"/>
          </w:tcPr>
          <w:p w14:paraId="59B5FB3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6CD131B9" w14:textId="77777777" w:rsidTr="003328F9">
        <w:trPr>
          <w:trHeight w:val="354"/>
        </w:trPr>
        <w:tc>
          <w:tcPr>
            <w:tcW w:w="192" w:type="pct"/>
            <w:tcBorders>
              <w:top w:val="single" w:sz="6" w:space="0" w:color="auto"/>
              <w:left w:val="single" w:sz="4" w:space="0" w:color="auto"/>
              <w:bottom w:val="single" w:sz="6" w:space="0" w:color="auto"/>
              <w:right w:val="single" w:sz="4" w:space="0" w:color="auto"/>
            </w:tcBorders>
            <w:vAlign w:val="center"/>
          </w:tcPr>
          <w:p w14:paraId="2F01473F" w14:textId="77777777" w:rsidR="003328F9" w:rsidRPr="00DD0D1F" w:rsidRDefault="003328F9" w:rsidP="003328F9">
            <w:pPr>
              <w:adjustRightInd w:val="0"/>
              <w:spacing w:line="240" w:lineRule="auto"/>
              <w:ind w:left="74" w:right="74"/>
              <w:rPr>
                <w:rFonts w:cs="Times New Roman"/>
                <w:szCs w:val="24"/>
                <w:lang w:val="tr-TR"/>
              </w:rPr>
            </w:pPr>
            <w:bookmarkStart w:id="117" w:name="_Hlk137397324"/>
            <w:r w:rsidRPr="00DD0D1F">
              <w:rPr>
                <w:rFonts w:cs="Times New Roman"/>
                <w:szCs w:val="24"/>
                <w:lang w:val="tr-TR"/>
              </w:rPr>
              <w:t>a</w:t>
            </w:r>
          </w:p>
        </w:tc>
        <w:tc>
          <w:tcPr>
            <w:tcW w:w="1158" w:type="pct"/>
            <w:tcBorders>
              <w:top w:val="single" w:sz="6" w:space="0" w:color="auto"/>
              <w:left w:val="single" w:sz="4" w:space="0" w:color="auto"/>
              <w:bottom w:val="single" w:sz="6" w:space="0" w:color="auto"/>
              <w:right w:val="single" w:sz="6" w:space="0" w:color="auto"/>
            </w:tcBorders>
            <w:vAlign w:val="center"/>
          </w:tcPr>
          <w:p w14:paraId="5F170D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optimizasyonu</w:t>
            </w:r>
          </w:p>
        </w:tc>
        <w:tc>
          <w:tcPr>
            <w:tcW w:w="2241" w:type="pct"/>
            <w:tcBorders>
              <w:top w:val="single" w:sz="6" w:space="0" w:color="auto"/>
              <w:left w:val="single" w:sz="6" w:space="0" w:color="auto"/>
              <w:bottom w:val="single" w:sz="6" w:space="0" w:color="auto"/>
              <w:right w:val="single" w:sz="6" w:space="0" w:color="auto"/>
            </w:tcBorders>
            <w:vAlign w:val="center"/>
          </w:tcPr>
          <w:p w14:paraId="126A40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Mekanik güç gerekliliklerini asgariye indirmek için prosesin optimize edilmesi</w:t>
            </w:r>
          </w:p>
        </w:tc>
        <w:tc>
          <w:tcPr>
            <w:tcW w:w="1409" w:type="pct"/>
            <w:vMerge w:val="restart"/>
            <w:tcBorders>
              <w:top w:val="single" w:sz="6" w:space="0" w:color="auto"/>
              <w:left w:val="single" w:sz="6" w:space="0" w:color="auto"/>
              <w:right w:val="single" w:sz="4" w:space="0" w:color="auto"/>
            </w:tcBorders>
            <w:vAlign w:val="center"/>
          </w:tcPr>
          <w:p w14:paraId="113D04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94C7A95" w14:textId="77777777" w:rsidTr="003328F9">
        <w:trPr>
          <w:trHeight w:val="106"/>
        </w:trPr>
        <w:tc>
          <w:tcPr>
            <w:tcW w:w="192" w:type="pct"/>
            <w:tcBorders>
              <w:top w:val="single" w:sz="6" w:space="0" w:color="auto"/>
              <w:left w:val="single" w:sz="4" w:space="0" w:color="auto"/>
              <w:bottom w:val="single" w:sz="6" w:space="0" w:color="auto"/>
              <w:right w:val="single" w:sz="6" w:space="0" w:color="auto"/>
            </w:tcBorders>
            <w:vAlign w:val="center"/>
          </w:tcPr>
          <w:p w14:paraId="306D7F9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58" w:type="pct"/>
            <w:tcBorders>
              <w:top w:val="single" w:sz="6" w:space="0" w:color="auto"/>
              <w:left w:val="single" w:sz="6" w:space="0" w:color="auto"/>
              <w:bottom w:val="single" w:sz="6" w:space="0" w:color="auto"/>
              <w:right w:val="single" w:sz="6" w:space="0" w:color="auto"/>
            </w:tcBorders>
            <w:vAlign w:val="center"/>
          </w:tcPr>
          <w:p w14:paraId="73C4A7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Basınç kayıplarının kontrolü</w:t>
            </w:r>
          </w:p>
        </w:tc>
        <w:tc>
          <w:tcPr>
            <w:tcW w:w="2241" w:type="pct"/>
            <w:tcBorders>
              <w:top w:val="single" w:sz="6" w:space="0" w:color="auto"/>
              <w:left w:val="single" w:sz="6" w:space="0" w:color="auto"/>
              <w:bottom w:val="single" w:sz="6" w:space="0" w:color="auto"/>
              <w:right w:val="single" w:sz="6" w:space="0" w:color="auto"/>
            </w:tcBorders>
            <w:vAlign w:val="center"/>
          </w:tcPr>
          <w:p w14:paraId="5A5DF64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Giriş ve çıkış sistemlerinin, basınç kayıplarını mümkün olduğunca düşük tutacak şekilde optimize edilmesi ve sürdürülmesi</w:t>
            </w:r>
          </w:p>
        </w:tc>
        <w:tc>
          <w:tcPr>
            <w:tcW w:w="1409" w:type="pct"/>
            <w:vMerge/>
            <w:tcBorders>
              <w:left w:val="single" w:sz="6" w:space="0" w:color="auto"/>
              <w:right w:val="single" w:sz="4" w:space="0" w:color="auto"/>
            </w:tcBorders>
            <w:vAlign w:val="center"/>
          </w:tcPr>
          <w:p w14:paraId="61BD6159"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8B21EFF" w14:textId="77777777" w:rsidTr="003328F9">
        <w:trPr>
          <w:trHeight w:val="255"/>
        </w:trPr>
        <w:tc>
          <w:tcPr>
            <w:tcW w:w="192" w:type="pct"/>
            <w:tcBorders>
              <w:top w:val="single" w:sz="6" w:space="0" w:color="auto"/>
              <w:left w:val="single" w:sz="4" w:space="0" w:color="auto"/>
              <w:bottom w:val="single" w:sz="6" w:space="0" w:color="auto"/>
              <w:right w:val="single" w:sz="6" w:space="0" w:color="auto"/>
            </w:tcBorders>
            <w:vAlign w:val="center"/>
          </w:tcPr>
          <w:p w14:paraId="46078B8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58" w:type="pct"/>
            <w:tcBorders>
              <w:top w:val="single" w:sz="6" w:space="0" w:color="auto"/>
              <w:left w:val="single" w:sz="6" w:space="0" w:color="auto"/>
              <w:bottom w:val="single" w:sz="6" w:space="0" w:color="auto"/>
              <w:right w:val="single" w:sz="6" w:space="0" w:color="auto"/>
            </w:tcBorders>
            <w:vAlign w:val="center"/>
          </w:tcPr>
          <w:p w14:paraId="2A7FCA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 kontrolü</w:t>
            </w:r>
          </w:p>
        </w:tc>
        <w:tc>
          <w:tcPr>
            <w:tcW w:w="2241" w:type="pct"/>
            <w:tcBorders>
              <w:top w:val="single" w:sz="6" w:space="0" w:color="auto"/>
              <w:left w:val="single" w:sz="6" w:space="0" w:color="auto"/>
              <w:bottom w:val="single" w:sz="6" w:space="0" w:color="auto"/>
              <w:right w:val="single" w:sz="6" w:space="0" w:color="auto"/>
            </w:tcBorders>
            <w:vAlign w:val="center"/>
          </w:tcPr>
          <w:p w14:paraId="0395D1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Emisyonları asgariye indiren yük noktalarında birden çok jeneratör veya kompresör takımlarının çalıştırılması</w:t>
            </w:r>
          </w:p>
        </w:tc>
        <w:tc>
          <w:tcPr>
            <w:tcW w:w="1409" w:type="pct"/>
            <w:vMerge/>
            <w:tcBorders>
              <w:left w:val="single" w:sz="6" w:space="0" w:color="auto"/>
              <w:right w:val="single" w:sz="4" w:space="0" w:color="auto"/>
            </w:tcBorders>
            <w:vAlign w:val="center"/>
          </w:tcPr>
          <w:p w14:paraId="259CBAA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7A411FC" w14:textId="77777777" w:rsidTr="003328F9">
        <w:trPr>
          <w:trHeight w:val="571"/>
        </w:trPr>
        <w:tc>
          <w:tcPr>
            <w:tcW w:w="192" w:type="pct"/>
            <w:tcBorders>
              <w:top w:val="single" w:sz="6" w:space="0" w:color="auto"/>
              <w:left w:val="single" w:sz="4" w:space="0" w:color="auto"/>
              <w:bottom w:val="single" w:sz="6" w:space="0" w:color="auto"/>
              <w:right w:val="single" w:sz="6" w:space="0" w:color="auto"/>
            </w:tcBorders>
            <w:vAlign w:val="center"/>
          </w:tcPr>
          <w:p w14:paraId="345BCD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58" w:type="pct"/>
            <w:tcBorders>
              <w:top w:val="single" w:sz="6" w:space="0" w:color="auto"/>
              <w:left w:val="single" w:sz="6" w:space="0" w:color="auto"/>
              <w:bottom w:val="single" w:sz="6" w:space="0" w:color="auto"/>
              <w:right w:val="single" w:sz="6" w:space="0" w:color="auto"/>
            </w:tcBorders>
            <w:vAlign w:val="center"/>
          </w:tcPr>
          <w:p w14:paraId="40DB9F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'Döner rezervin' en aza indirilmesi</w:t>
            </w:r>
          </w:p>
        </w:tc>
        <w:tc>
          <w:tcPr>
            <w:tcW w:w="2241" w:type="pct"/>
            <w:tcBorders>
              <w:top w:val="single" w:sz="6" w:space="0" w:color="auto"/>
              <w:left w:val="single" w:sz="6" w:space="0" w:color="auto"/>
              <w:bottom w:val="single" w:sz="6" w:space="0" w:color="auto"/>
              <w:right w:val="single" w:sz="6" w:space="0" w:color="auto"/>
            </w:tcBorders>
            <w:vAlign w:val="center"/>
          </w:tcPr>
          <w:p w14:paraId="44793A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İşletimsel güvenilirlik nedenleriyle döner rezerv ile çalışırken, ek türbinlerin sayısı istisnai koşullar haricinde asgariye indirilir.</w:t>
            </w:r>
          </w:p>
        </w:tc>
        <w:tc>
          <w:tcPr>
            <w:tcW w:w="1409" w:type="pct"/>
            <w:vMerge/>
            <w:tcBorders>
              <w:left w:val="single" w:sz="6" w:space="0" w:color="auto"/>
              <w:right w:val="single" w:sz="4" w:space="0" w:color="auto"/>
            </w:tcBorders>
            <w:vAlign w:val="center"/>
          </w:tcPr>
          <w:p w14:paraId="79D5BC4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807044B" w14:textId="77777777" w:rsidTr="003328F9">
        <w:trPr>
          <w:trHeight w:val="707"/>
        </w:trPr>
        <w:tc>
          <w:tcPr>
            <w:tcW w:w="192" w:type="pct"/>
            <w:tcBorders>
              <w:top w:val="single" w:sz="6" w:space="0" w:color="auto"/>
              <w:left w:val="single" w:sz="4" w:space="0" w:color="auto"/>
              <w:bottom w:val="single" w:sz="6" w:space="0" w:color="auto"/>
              <w:right w:val="single" w:sz="6" w:space="0" w:color="auto"/>
            </w:tcBorders>
            <w:vAlign w:val="center"/>
          </w:tcPr>
          <w:p w14:paraId="0C52BA8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58" w:type="pct"/>
            <w:tcBorders>
              <w:top w:val="single" w:sz="6" w:space="0" w:color="auto"/>
              <w:left w:val="single" w:sz="6" w:space="0" w:color="auto"/>
              <w:bottom w:val="single" w:sz="6" w:space="0" w:color="auto"/>
              <w:right w:val="single" w:sz="6" w:space="0" w:color="auto"/>
            </w:tcBorders>
            <w:vAlign w:val="center"/>
          </w:tcPr>
          <w:p w14:paraId="5CC9A5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2241" w:type="pct"/>
            <w:tcBorders>
              <w:top w:val="single" w:sz="6" w:space="0" w:color="auto"/>
              <w:left w:val="single" w:sz="6" w:space="0" w:color="auto"/>
              <w:bottom w:val="single" w:sz="6" w:space="0" w:color="auto"/>
              <w:right w:val="single" w:sz="6" w:space="0" w:color="auto"/>
            </w:tcBorders>
            <w:vAlign w:val="center"/>
          </w:tcPr>
          <w:p w14:paraId="3ECDDAC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SO</w:t>
            </w:r>
            <w:r w:rsidRPr="00DD0D1F">
              <w:rPr>
                <w:rFonts w:cs="Times New Roman"/>
                <w:szCs w:val="24"/>
                <w:vertAlign w:val="subscript"/>
                <w:lang w:val="tr-TR"/>
              </w:rPr>
              <w:t>2</w:t>
            </w:r>
            <w:r w:rsidRPr="00DD0D1F">
              <w:rPr>
                <w:rFonts w:cs="Times New Roman"/>
                <w:szCs w:val="24"/>
                <w:lang w:val="tr-TR"/>
              </w:rPr>
              <w:t xml:space="preserve"> oluşumunu asgariye indirmek için örneğin kalorifik değer ve kükürtlü bileşiklerin asgari konsantrasyonları gibi asgari yakıt gazı yanma parametreleri aralığı sunan yağ ve gaz prosesinin tepesindeki bir noktadan yakıt gazı kaynağının sağlanması. Sıvı damıtık yakıtlar için düşük kükürtlü yakıtlar tercih edilmektedir.</w:t>
            </w:r>
          </w:p>
        </w:tc>
        <w:tc>
          <w:tcPr>
            <w:tcW w:w="1409" w:type="pct"/>
            <w:vMerge/>
            <w:tcBorders>
              <w:left w:val="single" w:sz="6" w:space="0" w:color="auto"/>
              <w:right w:val="single" w:sz="4" w:space="0" w:color="auto"/>
            </w:tcBorders>
            <w:vAlign w:val="center"/>
          </w:tcPr>
          <w:p w14:paraId="7A4F1C8B"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6D27199"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503C9E9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158" w:type="pct"/>
            <w:tcBorders>
              <w:top w:val="single" w:sz="6" w:space="0" w:color="auto"/>
              <w:left w:val="single" w:sz="6" w:space="0" w:color="auto"/>
              <w:bottom w:val="single" w:sz="6" w:space="0" w:color="auto"/>
              <w:right w:val="single" w:sz="6" w:space="0" w:color="auto"/>
            </w:tcBorders>
            <w:vAlign w:val="center"/>
          </w:tcPr>
          <w:p w14:paraId="409BFB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Enjeksiyon zamanlaması</w:t>
            </w:r>
          </w:p>
        </w:tc>
        <w:tc>
          <w:tcPr>
            <w:tcW w:w="2241" w:type="pct"/>
            <w:tcBorders>
              <w:top w:val="single" w:sz="6" w:space="0" w:color="auto"/>
              <w:left w:val="single" w:sz="6" w:space="0" w:color="auto"/>
              <w:bottom w:val="single" w:sz="6" w:space="0" w:color="auto"/>
              <w:right w:val="single" w:sz="6" w:space="0" w:color="auto"/>
            </w:tcBorders>
            <w:vAlign w:val="center"/>
          </w:tcPr>
          <w:p w14:paraId="3AFA8A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Motorlarda enjeksiyon zamanlamasının optimize edilmesi</w:t>
            </w:r>
          </w:p>
        </w:tc>
        <w:tc>
          <w:tcPr>
            <w:tcW w:w="1409" w:type="pct"/>
            <w:vMerge/>
            <w:tcBorders>
              <w:left w:val="single" w:sz="6" w:space="0" w:color="auto"/>
              <w:bottom w:val="single" w:sz="6" w:space="0" w:color="auto"/>
              <w:right w:val="single" w:sz="4" w:space="0" w:color="auto"/>
            </w:tcBorders>
            <w:vAlign w:val="center"/>
          </w:tcPr>
          <w:p w14:paraId="38A897C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CB49E75" w14:textId="77777777" w:rsidTr="003328F9">
        <w:trPr>
          <w:trHeight w:val="1024"/>
        </w:trPr>
        <w:tc>
          <w:tcPr>
            <w:tcW w:w="192" w:type="pct"/>
            <w:tcBorders>
              <w:top w:val="single" w:sz="6" w:space="0" w:color="auto"/>
              <w:left w:val="single" w:sz="4" w:space="0" w:color="auto"/>
              <w:bottom w:val="single" w:sz="6" w:space="0" w:color="auto"/>
              <w:right w:val="single" w:sz="6" w:space="0" w:color="auto"/>
            </w:tcBorders>
            <w:vAlign w:val="center"/>
          </w:tcPr>
          <w:p w14:paraId="425CD4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158" w:type="pct"/>
            <w:tcBorders>
              <w:top w:val="single" w:sz="6" w:space="0" w:color="auto"/>
              <w:left w:val="single" w:sz="6" w:space="0" w:color="auto"/>
              <w:bottom w:val="single" w:sz="6" w:space="0" w:color="auto"/>
              <w:right w:val="single" w:sz="6" w:space="0" w:color="auto"/>
            </w:tcBorders>
            <w:vAlign w:val="center"/>
          </w:tcPr>
          <w:p w14:paraId="7E3FA5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Isı geri kazanımı</w:t>
            </w:r>
          </w:p>
        </w:tc>
        <w:tc>
          <w:tcPr>
            <w:tcW w:w="2241" w:type="pct"/>
            <w:tcBorders>
              <w:top w:val="single" w:sz="6" w:space="0" w:color="auto"/>
              <w:left w:val="single" w:sz="6" w:space="0" w:color="auto"/>
              <w:bottom w:val="single" w:sz="6" w:space="0" w:color="auto"/>
              <w:right w:val="single" w:sz="6" w:space="0" w:color="auto"/>
            </w:tcBorders>
            <w:vAlign w:val="center"/>
          </w:tcPr>
          <w:p w14:paraId="6ABF003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Platform ısıtma amacıyla gaz türbini/motor egzozu ısısının kullanılması</w:t>
            </w:r>
          </w:p>
        </w:tc>
        <w:tc>
          <w:tcPr>
            <w:tcW w:w="1409" w:type="pct"/>
            <w:tcBorders>
              <w:top w:val="single" w:sz="6" w:space="0" w:color="auto"/>
              <w:left w:val="single" w:sz="6" w:space="0" w:color="auto"/>
              <w:bottom w:val="single" w:sz="6" w:space="0" w:color="auto"/>
              <w:right w:val="single" w:sz="4" w:space="0" w:color="auto"/>
            </w:tcBorders>
            <w:vAlign w:val="center"/>
          </w:tcPr>
          <w:p w14:paraId="3C7830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yakma tesislerine uygulanabilir.</w:t>
            </w:r>
          </w:p>
          <w:p w14:paraId="69F0FA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tesislerinde uygulanabilirlik, ısı talebi seviyesi ve yakma tesisinin yerleşim planı (alanı) ile kısıtlanabilir.</w:t>
            </w:r>
          </w:p>
        </w:tc>
      </w:tr>
      <w:tr w:rsidR="003328F9" w:rsidRPr="00DD0D1F" w14:paraId="1E5BBE38" w14:textId="77777777" w:rsidTr="003328F9">
        <w:trPr>
          <w:trHeight w:val="562"/>
        </w:trPr>
        <w:tc>
          <w:tcPr>
            <w:tcW w:w="192" w:type="pct"/>
            <w:tcBorders>
              <w:top w:val="single" w:sz="6" w:space="0" w:color="auto"/>
              <w:left w:val="single" w:sz="4" w:space="0" w:color="auto"/>
              <w:bottom w:val="single" w:sz="4" w:space="0" w:color="auto"/>
              <w:right w:val="single" w:sz="6" w:space="0" w:color="auto"/>
            </w:tcBorders>
            <w:vAlign w:val="center"/>
          </w:tcPr>
          <w:p w14:paraId="182FC606" w14:textId="77777777" w:rsidR="003328F9" w:rsidRPr="00DD0D1F" w:rsidRDefault="003328F9" w:rsidP="003328F9">
            <w:pPr>
              <w:adjustRightInd w:val="0"/>
              <w:spacing w:line="240" w:lineRule="auto"/>
              <w:ind w:left="74" w:right="74"/>
              <w:rPr>
                <w:rFonts w:cs="Times New Roman"/>
                <w:szCs w:val="24"/>
                <w:lang w:val="tr-TR"/>
              </w:rPr>
            </w:pPr>
          </w:p>
          <w:p w14:paraId="7BCC8DA5" w14:textId="77777777" w:rsidR="003328F9" w:rsidRPr="00DD0D1F" w:rsidRDefault="003328F9" w:rsidP="003328F9">
            <w:pPr>
              <w:adjustRightInd w:val="0"/>
              <w:spacing w:line="240" w:lineRule="auto"/>
              <w:ind w:left="74" w:right="74"/>
              <w:rPr>
                <w:rFonts w:cs="Times New Roman"/>
                <w:szCs w:val="24"/>
                <w:lang w:val="tr-TR"/>
              </w:rPr>
            </w:pPr>
          </w:p>
          <w:p w14:paraId="7162FF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158" w:type="pct"/>
            <w:tcBorders>
              <w:top w:val="single" w:sz="6" w:space="0" w:color="auto"/>
              <w:left w:val="single" w:sz="6" w:space="0" w:color="auto"/>
              <w:bottom w:val="single" w:sz="4" w:space="0" w:color="auto"/>
              <w:right w:val="single" w:sz="6" w:space="0" w:color="auto"/>
            </w:tcBorders>
            <w:vAlign w:val="center"/>
          </w:tcPr>
          <w:p w14:paraId="7DEB2F2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Birden çok gaz sahası/petrol sahasının güç entegrasyonu</w:t>
            </w:r>
          </w:p>
        </w:tc>
        <w:tc>
          <w:tcPr>
            <w:tcW w:w="2241" w:type="pct"/>
            <w:tcBorders>
              <w:top w:val="single" w:sz="6" w:space="0" w:color="auto"/>
              <w:left w:val="single" w:sz="6" w:space="0" w:color="auto"/>
              <w:bottom w:val="single" w:sz="4" w:space="0" w:color="auto"/>
              <w:right w:val="single" w:sz="6" w:space="0" w:color="auto"/>
            </w:tcBorders>
            <w:vAlign w:val="center"/>
          </w:tcPr>
          <w:p w14:paraId="427DF1E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Farklı gaz sahaları/petrol sahalarında bulunan bir dizi katılımcı platforma güç vermek için merkezi bir güç kaynağı kullanımı</w:t>
            </w:r>
          </w:p>
        </w:tc>
        <w:tc>
          <w:tcPr>
            <w:tcW w:w="1409" w:type="pct"/>
            <w:tcBorders>
              <w:top w:val="single" w:sz="6" w:space="0" w:color="auto"/>
              <w:left w:val="single" w:sz="6" w:space="0" w:color="auto"/>
              <w:bottom w:val="single" w:sz="4" w:space="0" w:color="auto"/>
              <w:right w:val="single" w:sz="4" w:space="0" w:color="auto"/>
            </w:tcBorders>
            <w:vAlign w:val="center"/>
          </w:tcPr>
          <w:p w14:paraId="74B6A8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farklı gaz sahaları/petrol sahalarının konumuna, farklı katılımcı platformların organizasyonuna, ayrıca üretim planlaması, başlaması ve durmasına ilişkin programların uyuşmasına göre sınırlanabilir.</w:t>
            </w:r>
          </w:p>
        </w:tc>
      </w:tr>
    </w:tbl>
    <w:bookmarkEnd w:id="117"/>
    <w:p w14:paraId="409D3CFD" w14:textId="27A98963" w:rsidR="003328F9" w:rsidRPr="00DD0D1F" w:rsidRDefault="003328F9" w:rsidP="003328F9">
      <w:pPr>
        <w:spacing w:before="240"/>
        <w:rPr>
          <w:rFonts w:cs="Times New Roman"/>
          <w:b/>
          <w:bCs/>
          <w:szCs w:val="24"/>
          <w:lang w:val="tr-TR"/>
        </w:rPr>
      </w:pPr>
      <w:r w:rsidRPr="00DD0D1F">
        <w:rPr>
          <w:rFonts w:cs="Times New Roman"/>
          <w:b/>
          <w:bCs/>
          <w:szCs w:val="24"/>
          <w:lang w:val="tr-TR"/>
        </w:rPr>
        <w:t>MET 53</w:t>
      </w:r>
      <w:bookmarkStart w:id="118" w:name="_Hlk137397392"/>
      <w:r w:rsidRPr="00DD0D1F">
        <w:rPr>
          <w:rFonts w:cs="Times New Roman"/>
          <w:b/>
          <w:bCs/>
          <w:szCs w:val="24"/>
          <w:lang w:val="tr-TR"/>
        </w:rPr>
        <w:t xml:space="preserve">: </w:t>
      </w:r>
      <w:r w:rsidRPr="00DD0D1F">
        <w:rPr>
          <w:rFonts w:cs="Times New Roman"/>
          <w:bCs/>
          <w:szCs w:val="24"/>
          <w:lang w:val="tr-TR"/>
        </w:rPr>
        <w:t>Gaz ve/veya sıvı yakıtların açık deniz platformlarında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w:t>
      </w:r>
      <w:r w:rsidR="001644A7" w:rsidRPr="00DD0D1F">
        <w:rPr>
          <w:rFonts w:cs="Times New Roman"/>
          <w:bCs/>
          <w:szCs w:val="24"/>
          <w:lang w:val="tr-TR"/>
        </w:rPr>
        <w:t>şağıda verilen tekniklerin biri</w:t>
      </w:r>
      <w:r w:rsidRPr="00DD0D1F">
        <w:rPr>
          <w:rFonts w:cs="Times New Roman"/>
          <w:bCs/>
          <w:szCs w:val="24"/>
          <w:lang w:val="tr-TR"/>
        </w:rPr>
        <w:t xml:space="preserve"> veya bunların bir birleşimi kullan</w:t>
      </w:r>
      <w:r w:rsidR="001644A7" w:rsidRPr="00DD0D1F">
        <w:rPr>
          <w:rFonts w:cs="Times New Roman"/>
          <w:bCs/>
          <w:szCs w:val="24"/>
          <w:lang w:val="tr-TR"/>
        </w:rPr>
        <w:t>ılır.</w:t>
      </w:r>
      <w:bookmarkEnd w:id="118"/>
    </w:p>
    <w:tbl>
      <w:tblPr>
        <w:tblW w:w="5000" w:type="pct"/>
        <w:tblCellMar>
          <w:left w:w="40" w:type="dxa"/>
          <w:right w:w="40" w:type="dxa"/>
        </w:tblCellMar>
        <w:tblLook w:val="0000" w:firstRow="0" w:lastRow="0" w:firstColumn="0" w:lastColumn="0" w:noHBand="0" w:noVBand="0"/>
      </w:tblPr>
      <w:tblGrid>
        <w:gridCol w:w="352"/>
        <w:gridCol w:w="2010"/>
        <w:gridCol w:w="2589"/>
        <w:gridCol w:w="4126"/>
      </w:tblGrid>
      <w:tr w:rsidR="003328F9" w:rsidRPr="00DD0D1F" w14:paraId="3BE5EB64" w14:textId="77777777" w:rsidTr="003328F9">
        <w:trPr>
          <w:trHeight w:val="360"/>
          <w:tblHeader/>
        </w:trPr>
        <w:tc>
          <w:tcPr>
            <w:tcW w:w="194" w:type="pct"/>
            <w:tcBorders>
              <w:top w:val="single" w:sz="4" w:space="0" w:color="auto"/>
              <w:left w:val="single" w:sz="4" w:space="0" w:color="auto"/>
              <w:bottom w:val="single" w:sz="6" w:space="0" w:color="auto"/>
              <w:right w:val="single" w:sz="4" w:space="0" w:color="auto"/>
            </w:tcBorders>
            <w:vAlign w:val="center"/>
          </w:tcPr>
          <w:p w14:paraId="6B399D29" w14:textId="77777777" w:rsidR="003328F9" w:rsidRPr="00DD0D1F" w:rsidRDefault="003328F9" w:rsidP="003328F9">
            <w:pPr>
              <w:adjustRightInd w:val="0"/>
              <w:spacing w:line="240" w:lineRule="auto"/>
              <w:ind w:right="74"/>
              <w:jc w:val="center"/>
              <w:rPr>
                <w:rFonts w:cs="Times New Roman"/>
                <w:b/>
                <w:szCs w:val="24"/>
                <w:lang w:val="tr-TR"/>
              </w:rPr>
            </w:pPr>
          </w:p>
        </w:tc>
        <w:tc>
          <w:tcPr>
            <w:tcW w:w="1107" w:type="pct"/>
            <w:tcBorders>
              <w:top w:val="single" w:sz="4" w:space="0" w:color="auto"/>
              <w:left w:val="single" w:sz="4" w:space="0" w:color="auto"/>
              <w:bottom w:val="single" w:sz="6" w:space="0" w:color="auto"/>
              <w:right w:val="single" w:sz="6" w:space="0" w:color="auto"/>
            </w:tcBorders>
            <w:vAlign w:val="center"/>
          </w:tcPr>
          <w:p w14:paraId="1C4F134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26" w:type="pct"/>
            <w:tcBorders>
              <w:top w:val="single" w:sz="4" w:space="0" w:color="auto"/>
              <w:left w:val="single" w:sz="6" w:space="0" w:color="auto"/>
              <w:bottom w:val="single" w:sz="6" w:space="0" w:color="auto"/>
              <w:right w:val="single" w:sz="6" w:space="0" w:color="auto"/>
            </w:tcBorders>
            <w:vAlign w:val="center"/>
          </w:tcPr>
          <w:p w14:paraId="20A3352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273" w:type="pct"/>
            <w:tcBorders>
              <w:top w:val="single" w:sz="4" w:space="0" w:color="auto"/>
              <w:left w:val="single" w:sz="6" w:space="0" w:color="auto"/>
              <w:bottom w:val="single" w:sz="6" w:space="0" w:color="auto"/>
              <w:right w:val="single" w:sz="4" w:space="0" w:color="auto"/>
            </w:tcBorders>
            <w:vAlign w:val="center"/>
          </w:tcPr>
          <w:p w14:paraId="3039FE8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FD99557" w14:textId="77777777" w:rsidTr="003328F9">
        <w:trPr>
          <w:trHeight w:val="1125"/>
        </w:trPr>
        <w:tc>
          <w:tcPr>
            <w:tcW w:w="194" w:type="pct"/>
            <w:tcBorders>
              <w:top w:val="single" w:sz="6" w:space="0" w:color="auto"/>
              <w:left w:val="single" w:sz="4" w:space="0" w:color="auto"/>
              <w:bottom w:val="single" w:sz="6" w:space="0" w:color="auto"/>
              <w:right w:val="single" w:sz="4" w:space="0" w:color="auto"/>
            </w:tcBorders>
            <w:vAlign w:val="center"/>
          </w:tcPr>
          <w:p w14:paraId="7E842235" w14:textId="77777777" w:rsidR="003328F9" w:rsidRPr="00DD0D1F" w:rsidRDefault="003328F9" w:rsidP="003328F9">
            <w:pPr>
              <w:adjustRightInd w:val="0"/>
              <w:spacing w:line="240" w:lineRule="auto"/>
              <w:ind w:left="74" w:right="74"/>
              <w:rPr>
                <w:rFonts w:cs="Times New Roman"/>
                <w:szCs w:val="24"/>
                <w:lang w:val="tr-TR"/>
              </w:rPr>
            </w:pPr>
            <w:bookmarkStart w:id="119" w:name="_Hlk137397404"/>
            <w:r w:rsidRPr="00DD0D1F">
              <w:rPr>
                <w:rFonts w:cs="Times New Roman"/>
                <w:szCs w:val="24"/>
                <w:lang w:val="tr-TR"/>
              </w:rPr>
              <w:t>a</w:t>
            </w:r>
          </w:p>
        </w:tc>
        <w:tc>
          <w:tcPr>
            <w:tcW w:w="1107" w:type="pct"/>
            <w:tcBorders>
              <w:top w:val="single" w:sz="6" w:space="0" w:color="auto"/>
              <w:left w:val="single" w:sz="4" w:space="0" w:color="auto"/>
              <w:bottom w:val="single" w:sz="6" w:space="0" w:color="auto"/>
              <w:right w:val="single" w:sz="6" w:space="0" w:color="auto"/>
            </w:tcBorders>
            <w:vAlign w:val="center"/>
          </w:tcPr>
          <w:p w14:paraId="2E21450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426" w:type="pct"/>
            <w:vMerge w:val="restart"/>
            <w:tcBorders>
              <w:top w:val="single" w:sz="6" w:space="0" w:color="auto"/>
              <w:left w:val="single" w:sz="6" w:space="0" w:color="auto"/>
              <w:right w:val="single" w:sz="6" w:space="0" w:color="auto"/>
            </w:tcBorders>
            <w:vAlign w:val="center"/>
          </w:tcPr>
          <w:p w14:paraId="4D61645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273" w:type="pct"/>
            <w:tcBorders>
              <w:top w:val="single" w:sz="6" w:space="0" w:color="auto"/>
              <w:left w:val="single" w:sz="6" w:space="0" w:color="auto"/>
              <w:bottom w:val="single" w:sz="6" w:space="0" w:color="auto"/>
              <w:right w:val="single" w:sz="4" w:space="0" w:color="auto"/>
            </w:tcBorders>
            <w:vAlign w:val="center"/>
          </w:tcPr>
          <w:p w14:paraId="2C547A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687AD9B7" w14:textId="77777777" w:rsidTr="003328F9">
        <w:trPr>
          <w:trHeight w:val="918"/>
        </w:trPr>
        <w:tc>
          <w:tcPr>
            <w:tcW w:w="194" w:type="pct"/>
            <w:tcBorders>
              <w:top w:val="single" w:sz="6" w:space="0" w:color="auto"/>
              <w:left w:val="single" w:sz="4" w:space="0" w:color="auto"/>
              <w:bottom w:val="single" w:sz="6" w:space="0" w:color="auto"/>
              <w:right w:val="single" w:sz="6" w:space="0" w:color="auto"/>
            </w:tcBorders>
            <w:vAlign w:val="center"/>
          </w:tcPr>
          <w:p w14:paraId="1942F2B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07" w:type="pct"/>
            <w:tcBorders>
              <w:top w:val="single" w:sz="6" w:space="0" w:color="auto"/>
              <w:left w:val="single" w:sz="6" w:space="0" w:color="auto"/>
              <w:bottom w:val="single" w:sz="6" w:space="0" w:color="auto"/>
              <w:right w:val="single" w:sz="6" w:space="0" w:color="auto"/>
            </w:tcBorders>
            <w:vAlign w:val="center"/>
          </w:tcPr>
          <w:p w14:paraId="386519B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seviyeli brülörler (DLN)</w:t>
            </w:r>
          </w:p>
        </w:tc>
        <w:tc>
          <w:tcPr>
            <w:tcW w:w="1426" w:type="pct"/>
            <w:vMerge/>
            <w:tcBorders>
              <w:left w:val="single" w:sz="6" w:space="0" w:color="auto"/>
              <w:right w:val="single" w:sz="6" w:space="0" w:color="auto"/>
            </w:tcBorders>
            <w:vAlign w:val="center"/>
          </w:tcPr>
          <w:p w14:paraId="19992C4C" w14:textId="77777777" w:rsidR="003328F9" w:rsidRPr="00DD0D1F" w:rsidRDefault="003328F9" w:rsidP="003328F9">
            <w:pPr>
              <w:adjustRightInd w:val="0"/>
              <w:spacing w:line="240" w:lineRule="auto"/>
              <w:ind w:left="74" w:right="74"/>
              <w:rPr>
                <w:rFonts w:cs="Times New Roman"/>
                <w:szCs w:val="24"/>
                <w:lang w:val="tr-TR"/>
              </w:rPr>
            </w:pPr>
          </w:p>
        </w:tc>
        <w:tc>
          <w:tcPr>
            <w:tcW w:w="2273" w:type="pct"/>
            <w:tcBorders>
              <w:top w:val="single" w:sz="6" w:space="0" w:color="auto"/>
              <w:left w:val="single" w:sz="6" w:space="0" w:color="auto"/>
              <w:bottom w:val="single" w:sz="6" w:space="0" w:color="auto"/>
              <w:right w:val="single" w:sz="4" w:space="0" w:color="auto"/>
            </w:tcBorders>
            <w:vAlign w:val="center"/>
          </w:tcPr>
          <w:p w14:paraId="244521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kalitesi değişiklikleri ile ilişkili kısıtlamalar dahilinde yeni gaz türbinlerine uygulanabilir (standart ekipman).</w:t>
            </w:r>
          </w:p>
          <w:p w14:paraId="0B2D6B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(düşük yüklü işletme için) açısından uygunluğu, platform organizasyonun karmaşıklığı ve alan müsaitliği ile ilişkili olarak mevcut gaz türbinlerde uygulanabilirliği sınırlıdır.</w:t>
            </w:r>
          </w:p>
        </w:tc>
      </w:tr>
      <w:tr w:rsidR="003328F9" w:rsidRPr="00DD0D1F" w14:paraId="2D7EED24" w14:textId="77777777" w:rsidTr="003328F9">
        <w:trPr>
          <w:trHeight w:val="64"/>
        </w:trPr>
        <w:tc>
          <w:tcPr>
            <w:tcW w:w="194" w:type="pct"/>
            <w:tcBorders>
              <w:top w:val="single" w:sz="6" w:space="0" w:color="auto"/>
              <w:left w:val="single" w:sz="4" w:space="0" w:color="auto"/>
              <w:bottom w:val="single" w:sz="6" w:space="0" w:color="auto"/>
              <w:right w:val="single" w:sz="6" w:space="0" w:color="auto"/>
            </w:tcBorders>
            <w:vAlign w:val="center"/>
          </w:tcPr>
          <w:p w14:paraId="4BFF32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07" w:type="pct"/>
            <w:tcBorders>
              <w:top w:val="single" w:sz="6" w:space="0" w:color="auto"/>
              <w:left w:val="single" w:sz="6" w:space="0" w:color="auto"/>
              <w:bottom w:val="single" w:sz="6" w:space="0" w:color="auto"/>
              <w:right w:val="single" w:sz="6" w:space="0" w:color="auto"/>
            </w:tcBorders>
            <w:vAlign w:val="center"/>
          </w:tcPr>
          <w:p w14:paraId="184BA1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konsepti</w:t>
            </w:r>
          </w:p>
        </w:tc>
        <w:tc>
          <w:tcPr>
            <w:tcW w:w="1426" w:type="pct"/>
            <w:vMerge/>
            <w:tcBorders>
              <w:left w:val="single" w:sz="6" w:space="0" w:color="auto"/>
              <w:right w:val="single" w:sz="6" w:space="0" w:color="auto"/>
            </w:tcBorders>
            <w:vAlign w:val="center"/>
          </w:tcPr>
          <w:p w14:paraId="28920209" w14:textId="77777777" w:rsidR="003328F9" w:rsidRPr="00DD0D1F" w:rsidRDefault="003328F9" w:rsidP="003328F9">
            <w:pPr>
              <w:adjustRightInd w:val="0"/>
              <w:spacing w:line="240" w:lineRule="auto"/>
              <w:ind w:left="74" w:right="74"/>
              <w:rPr>
                <w:rFonts w:cs="Times New Roman"/>
                <w:szCs w:val="24"/>
                <w:lang w:val="tr-TR"/>
              </w:rPr>
            </w:pPr>
          </w:p>
        </w:tc>
        <w:tc>
          <w:tcPr>
            <w:tcW w:w="2273" w:type="pct"/>
            <w:tcBorders>
              <w:top w:val="single" w:sz="6" w:space="0" w:color="auto"/>
              <w:left w:val="single" w:sz="6" w:space="0" w:color="auto"/>
              <w:bottom w:val="single" w:sz="6" w:space="0" w:color="auto"/>
              <w:right w:val="single" w:sz="4" w:space="0" w:color="auto"/>
            </w:tcBorders>
            <w:vAlign w:val="center"/>
          </w:tcPr>
          <w:p w14:paraId="0464E3A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gazla çalışan yeni tesislere uygulanabilir.</w:t>
            </w:r>
          </w:p>
        </w:tc>
      </w:tr>
      <w:tr w:rsidR="003328F9" w:rsidRPr="00DD0D1F" w14:paraId="6237304C" w14:textId="77777777" w:rsidTr="003328F9">
        <w:trPr>
          <w:trHeight w:val="111"/>
        </w:trPr>
        <w:tc>
          <w:tcPr>
            <w:tcW w:w="194" w:type="pct"/>
            <w:tcBorders>
              <w:top w:val="single" w:sz="6" w:space="0" w:color="auto"/>
              <w:left w:val="single" w:sz="4" w:space="0" w:color="auto"/>
              <w:bottom w:val="single" w:sz="6" w:space="0" w:color="auto"/>
              <w:right w:val="single" w:sz="6" w:space="0" w:color="auto"/>
            </w:tcBorders>
            <w:vAlign w:val="center"/>
          </w:tcPr>
          <w:p w14:paraId="795C45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07" w:type="pct"/>
            <w:tcBorders>
              <w:top w:val="single" w:sz="6" w:space="0" w:color="auto"/>
              <w:left w:val="single" w:sz="6" w:space="0" w:color="auto"/>
              <w:bottom w:val="single" w:sz="6" w:space="0" w:color="auto"/>
              <w:right w:val="single" w:sz="6" w:space="0" w:color="auto"/>
            </w:tcBorders>
            <w:vAlign w:val="center"/>
          </w:tcPr>
          <w:p w14:paraId="63E8439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426" w:type="pct"/>
            <w:vMerge/>
            <w:tcBorders>
              <w:left w:val="single" w:sz="6" w:space="0" w:color="auto"/>
              <w:bottom w:val="single" w:sz="6" w:space="0" w:color="auto"/>
              <w:right w:val="single" w:sz="6" w:space="0" w:color="auto"/>
            </w:tcBorders>
            <w:vAlign w:val="center"/>
          </w:tcPr>
          <w:p w14:paraId="60762636" w14:textId="77777777" w:rsidR="003328F9" w:rsidRPr="00DD0D1F" w:rsidRDefault="003328F9" w:rsidP="003328F9">
            <w:pPr>
              <w:adjustRightInd w:val="0"/>
              <w:spacing w:line="240" w:lineRule="auto"/>
              <w:ind w:right="74"/>
              <w:rPr>
                <w:rFonts w:cs="Times New Roman"/>
                <w:szCs w:val="24"/>
                <w:lang w:val="tr-TR"/>
              </w:rPr>
            </w:pPr>
          </w:p>
        </w:tc>
        <w:tc>
          <w:tcPr>
            <w:tcW w:w="2273" w:type="pct"/>
            <w:tcBorders>
              <w:top w:val="single" w:sz="6" w:space="0" w:color="auto"/>
              <w:left w:val="single" w:sz="6" w:space="0" w:color="auto"/>
              <w:bottom w:val="single" w:sz="6" w:space="0" w:color="auto"/>
              <w:right w:val="single" w:sz="4" w:space="0" w:color="auto"/>
            </w:tcBorders>
            <w:vAlign w:val="center"/>
          </w:tcPr>
          <w:p w14:paraId="2FA4D9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kazanlara uygulanabilir.</w:t>
            </w:r>
          </w:p>
        </w:tc>
      </w:tr>
    </w:tbl>
    <w:bookmarkEnd w:id="119"/>
    <w:p w14:paraId="7A44C8CB" w14:textId="177E9D8A" w:rsidR="003328F9" w:rsidRPr="00DD0D1F" w:rsidRDefault="003328F9" w:rsidP="003328F9">
      <w:pPr>
        <w:spacing w:before="240"/>
        <w:rPr>
          <w:rFonts w:cs="Times New Roman"/>
          <w:bCs/>
          <w:szCs w:val="24"/>
        </w:rPr>
      </w:pPr>
      <w:r w:rsidRPr="00DD0D1F">
        <w:rPr>
          <w:rFonts w:cs="Times New Roman"/>
          <w:b/>
          <w:bCs/>
          <w:szCs w:val="24"/>
        </w:rPr>
        <w:t>MET 54</w:t>
      </w:r>
      <w:bookmarkStart w:id="120" w:name="_Hlk137397429"/>
      <w:r w:rsidRPr="00DD0D1F">
        <w:rPr>
          <w:rFonts w:cs="Times New Roman"/>
          <w:b/>
          <w:bCs/>
          <w:szCs w:val="24"/>
        </w:rPr>
        <w:t xml:space="preserve">: </w:t>
      </w:r>
      <w:r w:rsidRPr="00DD0D1F">
        <w:rPr>
          <w:rFonts w:cs="Times New Roman"/>
          <w:bCs/>
          <w:szCs w:val="24"/>
        </w:rPr>
        <w:t>Gaz ve/veya sıvı yakıtların açık deniz platformlarında gaz türbinlerinde yakılmasından kaynaklanan havaya CO emisyonlarını önlemek veya düşürmek için, aşağıda verilen tekniklerin biri</w:t>
      </w:r>
      <w:r w:rsidR="0070132C" w:rsidRPr="00DD0D1F">
        <w:rPr>
          <w:rFonts w:cs="Times New Roman"/>
          <w:bCs/>
          <w:szCs w:val="24"/>
        </w:rPr>
        <w:t xml:space="preserve"> veya bunların bir birleşimi</w:t>
      </w:r>
      <w:r w:rsidRPr="00DD0D1F">
        <w:rPr>
          <w:rFonts w:cs="Times New Roman"/>
          <w:bCs/>
          <w:szCs w:val="24"/>
        </w:rPr>
        <w:t xml:space="preserve"> kullan</w:t>
      </w:r>
      <w:r w:rsidR="0070132C" w:rsidRPr="00DD0D1F">
        <w:rPr>
          <w:rFonts w:cs="Times New Roman"/>
          <w:bCs/>
          <w:szCs w:val="24"/>
        </w:rPr>
        <w:t>ılır.</w:t>
      </w:r>
    </w:p>
    <w:bookmarkEnd w:id="120"/>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
        <w:gridCol w:w="2385"/>
        <w:gridCol w:w="2469"/>
        <w:gridCol w:w="3941"/>
      </w:tblGrid>
      <w:tr w:rsidR="003328F9" w:rsidRPr="00DD0D1F" w14:paraId="529A7157" w14:textId="77777777" w:rsidTr="003328F9">
        <w:trPr>
          <w:trHeight w:val="230"/>
        </w:trPr>
        <w:tc>
          <w:tcPr>
            <w:tcW w:w="155" w:type="pct"/>
            <w:tcBorders>
              <w:top w:val="single" w:sz="4" w:space="0" w:color="auto"/>
              <w:right w:val="single" w:sz="4" w:space="0" w:color="auto"/>
            </w:tcBorders>
          </w:tcPr>
          <w:p w14:paraId="3BD8173F" w14:textId="77777777" w:rsidR="003328F9" w:rsidRPr="00DD0D1F" w:rsidRDefault="003328F9" w:rsidP="003328F9">
            <w:pPr>
              <w:pStyle w:val="TableParagraph"/>
              <w:ind w:right="74"/>
              <w:jc w:val="center"/>
              <w:rPr>
                <w:b/>
                <w:szCs w:val="24"/>
              </w:rPr>
            </w:pPr>
          </w:p>
        </w:tc>
        <w:tc>
          <w:tcPr>
            <w:tcW w:w="1314" w:type="pct"/>
            <w:tcBorders>
              <w:top w:val="single" w:sz="4" w:space="0" w:color="auto"/>
              <w:left w:val="single" w:sz="4" w:space="0" w:color="auto"/>
            </w:tcBorders>
          </w:tcPr>
          <w:p w14:paraId="6C009D55" w14:textId="77777777" w:rsidR="003328F9" w:rsidRPr="00DD0D1F" w:rsidRDefault="003328F9" w:rsidP="003328F9">
            <w:pPr>
              <w:pStyle w:val="TableParagraph"/>
              <w:ind w:left="74" w:right="74"/>
              <w:jc w:val="center"/>
              <w:rPr>
                <w:b/>
                <w:szCs w:val="24"/>
              </w:rPr>
            </w:pPr>
            <w:r w:rsidRPr="00DD0D1F">
              <w:rPr>
                <w:b/>
                <w:szCs w:val="24"/>
              </w:rPr>
              <w:t>Teknik</w:t>
            </w:r>
          </w:p>
        </w:tc>
        <w:tc>
          <w:tcPr>
            <w:tcW w:w="1360" w:type="pct"/>
          </w:tcPr>
          <w:p w14:paraId="6EA0B0B9" w14:textId="77777777" w:rsidR="003328F9" w:rsidRPr="00DD0D1F" w:rsidRDefault="003328F9" w:rsidP="003328F9">
            <w:pPr>
              <w:pStyle w:val="TableParagraph"/>
              <w:ind w:left="74" w:right="74"/>
              <w:jc w:val="center"/>
              <w:rPr>
                <w:b/>
                <w:szCs w:val="24"/>
              </w:rPr>
            </w:pPr>
            <w:r w:rsidRPr="00DD0D1F">
              <w:rPr>
                <w:b/>
                <w:szCs w:val="24"/>
              </w:rPr>
              <w:t>Açıklama</w:t>
            </w:r>
          </w:p>
        </w:tc>
        <w:tc>
          <w:tcPr>
            <w:tcW w:w="2171" w:type="pct"/>
          </w:tcPr>
          <w:p w14:paraId="25A8AA4F"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1FDD2843" w14:textId="77777777" w:rsidTr="003328F9">
        <w:trPr>
          <w:trHeight w:val="350"/>
        </w:trPr>
        <w:tc>
          <w:tcPr>
            <w:tcW w:w="155" w:type="pct"/>
            <w:tcBorders>
              <w:top w:val="single" w:sz="6" w:space="0" w:color="auto"/>
              <w:left w:val="single" w:sz="4" w:space="0" w:color="auto"/>
              <w:bottom w:val="single" w:sz="6" w:space="0" w:color="auto"/>
              <w:right w:val="single" w:sz="6" w:space="0" w:color="auto"/>
            </w:tcBorders>
            <w:vAlign w:val="center"/>
          </w:tcPr>
          <w:p w14:paraId="09FAEBE1" w14:textId="77777777" w:rsidR="003328F9" w:rsidRPr="00DD0D1F" w:rsidRDefault="003328F9" w:rsidP="003328F9">
            <w:pPr>
              <w:adjustRightInd w:val="0"/>
              <w:spacing w:line="240" w:lineRule="auto"/>
              <w:ind w:left="74" w:right="74"/>
              <w:rPr>
                <w:rFonts w:cs="Times New Roman"/>
                <w:szCs w:val="24"/>
                <w:lang w:val="tr-TR"/>
              </w:rPr>
            </w:pPr>
            <w:bookmarkStart w:id="121" w:name="_Hlk137397439"/>
            <w:r w:rsidRPr="00DD0D1F">
              <w:rPr>
                <w:rFonts w:cs="Times New Roman"/>
                <w:szCs w:val="24"/>
                <w:lang w:val="tr-TR"/>
              </w:rPr>
              <w:t>a</w:t>
            </w:r>
          </w:p>
        </w:tc>
        <w:tc>
          <w:tcPr>
            <w:tcW w:w="1314" w:type="pct"/>
            <w:tcBorders>
              <w:top w:val="single" w:sz="6" w:space="0" w:color="auto"/>
              <w:left w:val="single" w:sz="6" w:space="0" w:color="auto"/>
              <w:bottom w:val="single" w:sz="6" w:space="0" w:color="auto"/>
              <w:right w:val="single" w:sz="6" w:space="0" w:color="auto"/>
            </w:tcBorders>
            <w:vAlign w:val="center"/>
          </w:tcPr>
          <w:p w14:paraId="7A37BEF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360" w:type="pct"/>
            <w:vMerge w:val="restart"/>
            <w:tcBorders>
              <w:top w:val="single" w:sz="6" w:space="0" w:color="auto"/>
              <w:left w:val="single" w:sz="6" w:space="0" w:color="auto"/>
              <w:bottom w:val="nil"/>
              <w:right w:val="single" w:sz="6" w:space="0" w:color="auto"/>
            </w:tcBorders>
            <w:vAlign w:val="center"/>
          </w:tcPr>
          <w:p w14:paraId="47A645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171" w:type="pct"/>
            <w:tcBorders>
              <w:top w:val="single" w:sz="6" w:space="0" w:color="auto"/>
              <w:left w:val="single" w:sz="6" w:space="0" w:color="auto"/>
              <w:bottom w:val="single" w:sz="6" w:space="0" w:color="auto"/>
              <w:right w:val="single" w:sz="4" w:space="0" w:color="auto"/>
            </w:tcBorders>
            <w:vAlign w:val="center"/>
          </w:tcPr>
          <w:p w14:paraId="50B3E1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FB0E6A7" w14:textId="77777777" w:rsidTr="003328F9">
        <w:trPr>
          <w:trHeight w:val="1149"/>
        </w:trPr>
        <w:tc>
          <w:tcPr>
            <w:tcW w:w="155" w:type="pct"/>
            <w:tcBorders>
              <w:top w:val="single" w:sz="6" w:space="0" w:color="auto"/>
              <w:left w:val="single" w:sz="4" w:space="0" w:color="auto"/>
              <w:bottom w:val="single" w:sz="4" w:space="0" w:color="auto"/>
              <w:right w:val="single" w:sz="6" w:space="0" w:color="auto"/>
            </w:tcBorders>
            <w:vAlign w:val="center"/>
          </w:tcPr>
          <w:p w14:paraId="025E5541" w14:textId="77777777" w:rsidR="003328F9" w:rsidRPr="00DD0D1F" w:rsidRDefault="003328F9" w:rsidP="003328F9">
            <w:pPr>
              <w:pStyle w:val="TableParagraph"/>
              <w:ind w:left="74" w:right="74"/>
              <w:jc w:val="both"/>
              <w:rPr>
                <w:szCs w:val="24"/>
              </w:rPr>
            </w:pPr>
            <w:r w:rsidRPr="00DD0D1F">
              <w:rPr>
                <w:szCs w:val="24"/>
              </w:rPr>
              <w:t>b</w:t>
            </w:r>
          </w:p>
        </w:tc>
        <w:tc>
          <w:tcPr>
            <w:tcW w:w="1314" w:type="pct"/>
            <w:tcBorders>
              <w:top w:val="single" w:sz="6" w:space="0" w:color="auto"/>
              <w:left w:val="single" w:sz="6" w:space="0" w:color="auto"/>
              <w:bottom w:val="single" w:sz="4" w:space="0" w:color="auto"/>
              <w:right w:val="single" w:sz="6" w:space="0" w:color="auto"/>
            </w:tcBorders>
            <w:vAlign w:val="center"/>
          </w:tcPr>
          <w:p w14:paraId="77F959F4" w14:textId="77777777" w:rsidR="003328F9" w:rsidRPr="00DD0D1F" w:rsidRDefault="003328F9" w:rsidP="003328F9">
            <w:pPr>
              <w:pStyle w:val="TableParagraph"/>
              <w:ind w:left="74" w:right="74"/>
              <w:jc w:val="both"/>
              <w:rPr>
                <w:szCs w:val="24"/>
              </w:rPr>
            </w:pPr>
            <w:r w:rsidRPr="00DD0D1F">
              <w:rPr>
                <w:szCs w:val="24"/>
              </w:rPr>
              <w:t>Oksidasyon katalizörleri</w:t>
            </w:r>
          </w:p>
        </w:tc>
        <w:tc>
          <w:tcPr>
            <w:tcW w:w="1360" w:type="pct"/>
            <w:vMerge/>
            <w:tcBorders>
              <w:top w:val="nil"/>
              <w:left w:val="single" w:sz="6" w:space="0" w:color="auto"/>
              <w:bottom w:val="single" w:sz="4" w:space="0" w:color="auto"/>
              <w:right w:val="single" w:sz="6" w:space="0" w:color="auto"/>
            </w:tcBorders>
            <w:vAlign w:val="center"/>
          </w:tcPr>
          <w:p w14:paraId="33FCE074" w14:textId="77777777" w:rsidR="003328F9" w:rsidRPr="00DD0D1F" w:rsidRDefault="003328F9" w:rsidP="003328F9">
            <w:pPr>
              <w:spacing w:line="240" w:lineRule="auto"/>
              <w:ind w:left="74" w:right="74"/>
              <w:rPr>
                <w:rFonts w:cs="Times New Roman"/>
                <w:szCs w:val="24"/>
                <w:lang w:val="tr-TR"/>
              </w:rPr>
            </w:pPr>
          </w:p>
        </w:tc>
        <w:tc>
          <w:tcPr>
            <w:tcW w:w="2171" w:type="pct"/>
            <w:tcBorders>
              <w:top w:val="single" w:sz="6" w:space="0" w:color="auto"/>
              <w:left w:val="single" w:sz="6" w:space="0" w:color="auto"/>
              <w:bottom w:val="single" w:sz="4" w:space="0" w:color="auto"/>
              <w:right w:val="single" w:sz="4" w:space="0" w:color="auto"/>
            </w:tcBorders>
            <w:vAlign w:val="center"/>
          </w:tcPr>
          <w:p w14:paraId="073B81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10E22BA4" w14:textId="77777777" w:rsidR="003328F9" w:rsidRPr="00DD0D1F" w:rsidRDefault="003328F9" w:rsidP="003328F9">
            <w:pPr>
              <w:pStyle w:val="TableParagraph"/>
              <w:ind w:left="74" w:right="74"/>
              <w:jc w:val="both"/>
              <w:rPr>
                <w:szCs w:val="24"/>
              </w:rPr>
            </w:pPr>
            <w:r w:rsidRPr="00DD0D1F">
              <w:rPr>
                <w:szCs w:val="24"/>
              </w:rPr>
              <w:t>Mevcut yakma tesislerinin iyileştirilmesi, yeterli alan durumuna ve ağırlık kısıtlamalarına göre sınırlanabilir.</w:t>
            </w:r>
          </w:p>
        </w:tc>
      </w:tr>
      <w:bookmarkEnd w:id="121"/>
    </w:tbl>
    <w:p w14:paraId="508D77B9" w14:textId="77777777" w:rsidR="003328F9" w:rsidRPr="00DD0D1F" w:rsidRDefault="003328F9" w:rsidP="003328F9">
      <w:pPr>
        <w:pStyle w:val="ResimYazs"/>
        <w:spacing w:before="240"/>
        <w:rPr>
          <w:rFonts w:cs="Times New Roman"/>
          <w:color w:val="auto"/>
          <w:szCs w:val="24"/>
          <w:lang w:val="tr-TR"/>
        </w:rPr>
      </w:pPr>
    </w:p>
    <w:p w14:paraId="5E36D2F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Gaz yakıtların açık deniz platformlarında açık çevrim gaz türbinlerde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4553"/>
        <w:gridCol w:w="4524"/>
      </w:tblGrid>
      <w:tr w:rsidR="003328F9" w:rsidRPr="00DD0D1F" w14:paraId="3BC94F4B" w14:textId="77777777" w:rsidTr="003328F9">
        <w:trPr>
          <w:trHeight w:val="51"/>
        </w:trPr>
        <w:tc>
          <w:tcPr>
            <w:tcW w:w="2508" w:type="pct"/>
            <w:vMerge w:val="restart"/>
            <w:tcBorders>
              <w:top w:val="single" w:sz="4" w:space="0" w:color="auto"/>
              <w:left w:val="single" w:sz="4" w:space="0" w:color="auto"/>
              <w:right w:val="single" w:sz="6" w:space="0" w:color="auto"/>
            </w:tcBorders>
            <w:vAlign w:val="center"/>
          </w:tcPr>
          <w:p w14:paraId="78492B7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2492" w:type="pct"/>
            <w:tcBorders>
              <w:top w:val="single" w:sz="4" w:space="0" w:color="auto"/>
              <w:left w:val="single" w:sz="6" w:space="0" w:color="auto"/>
              <w:bottom w:val="single" w:sz="6" w:space="0" w:color="auto"/>
              <w:right w:val="single" w:sz="4" w:space="0" w:color="auto"/>
            </w:tcBorders>
            <w:vAlign w:val="center"/>
          </w:tcPr>
          <w:p w14:paraId="2A167D1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r>
      <w:tr w:rsidR="003328F9" w:rsidRPr="00DD0D1F" w14:paraId="4178C1D1" w14:textId="77777777" w:rsidTr="003328F9">
        <w:trPr>
          <w:trHeight w:val="308"/>
        </w:trPr>
        <w:tc>
          <w:tcPr>
            <w:tcW w:w="2508" w:type="pct"/>
            <w:vMerge/>
            <w:tcBorders>
              <w:left w:val="single" w:sz="4" w:space="0" w:color="auto"/>
              <w:bottom w:val="single" w:sz="6" w:space="0" w:color="auto"/>
              <w:right w:val="single" w:sz="6" w:space="0" w:color="auto"/>
            </w:tcBorders>
            <w:vAlign w:val="center"/>
          </w:tcPr>
          <w:p w14:paraId="34F3C0B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492" w:type="pct"/>
            <w:tcBorders>
              <w:top w:val="single" w:sz="6" w:space="0" w:color="auto"/>
              <w:left w:val="single" w:sz="6" w:space="0" w:color="auto"/>
              <w:bottom w:val="single" w:sz="6" w:space="0" w:color="auto"/>
              <w:right w:val="single" w:sz="4" w:space="0" w:color="auto"/>
            </w:tcBorders>
            <w:vAlign w:val="center"/>
          </w:tcPr>
          <w:p w14:paraId="06352FD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027B8812" w14:textId="77777777" w:rsidTr="003328F9">
        <w:trPr>
          <w:trHeight w:val="51"/>
        </w:trPr>
        <w:tc>
          <w:tcPr>
            <w:tcW w:w="2508" w:type="pct"/>
            <w:tcBorders>
              <w:top w:val="single" w:sz="6" w:space="0" w:color="auto"/>
              <w:left w:val="single" w:sz="4" w:space="0" w:color="auto"/>
              <w:bottom w:val="single" w:sz="6" w:space="0" w:color="auto"/>
              <w:right w:val="single" w:sz="6" w:space="0" w:color="auto"/>
            </w:tcBorders>
            <w:vAlign w:val="center"/>
          </w:tcPr>
          <w:p w14:paraId="50B034A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yakıtlar yakan yeni gaz türbini (</w:t>
            </w:r>
            <w:r w:rsidRPr="00DD0D1F">
              <w:rPr>
                <w:rFonts w:cs="Times New Roman"/>
                <w:szCs w:val="24"/>
                <w:vertAlign w:val="superscript"/>
                <w:lang w:val="tr-TR"/>
              </w:rPr>
              <w:t>2</w:t>
            </w:r>
            <w:r w:rsidRPr="00DD0D1F">
              <w:rPr>
                <w:rFonts w:cs="Times New Roman"/>
                <w:szCs w:val="24"/>
                <w:lang w:val="tr-TR"/>
              </w:rPr>
              <w:t>)</w:t>
            </w:r>
          </w:p>
        </w:tc>
        <w:tc>
          <w:tcPr>
            <w:tcW w:w="2492" w:type="pct"/>
            <w:tcBorders>
              <w:top w:val="single" w:sz="6" w:space="0" w:color="auto"/>
              <w:left w:val="single" w:sz="6" w:space="0" w:color="auto"/>
              <w:bottom w:val="single" w:sz="6" w:space="0" w:color="auto"/>
              <w:right w:val="single" w:sz="4" w:space="0" w:color="auto"/>
            </w:tcBorders>
            <w:vAlign w:val="center"/>
          </w:tcPr>
          <w:p w14:paraId="12E1FB8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15-50 (</w:t>
            </w:r>
            <w:r w:rsidRPr="00DD0D1F">
              <w:rPr>
                <w:rFonts w:cs="Times New Roman"/>
                <w:szCs w:val="24"/>
                <w:vertAlign w:val="superscript"/>
                <w:lang w:val="tr-TR"/>
              </w:rPr>
              <w:t>3</w:t>
            </w:r>
            <w:r w:rsidRPr="00DD0D1F">
              <w:rPr>
                <w:rFonts w:cs="Times New Roman"/>
                <w:szCs w:val="24"/>
                <w:lang w:val="tr-TR"/>
              </w:rPr>
              <w:t>)</w:t>
            </w:r>
          </w:p>
        </w:tc>
      </w:tr>
      <w:tr w:rsidR="003328F9" w:rsidRPr="00DD0D1F" w14:paraId="74294E88" w14:textId="77777777" w:rsidTr="003328F9">
        <w:trPr>
          <w:trHeight w:val="51"/>
        </w:trPr>
        <w:tc>
          <w:tcPr>
            <w:tcW w:w="2508" w:type="pct"/>
            <w:tcBorders>
              <w:top w:val="single" w:sz="6" w:space="0" w:color="auto"/>
              <w:left w:val="single" w:sz="4" w:space="0" w:color="auto"/>
              <w:bottom w:val="single" w:sz="6" w:space="0" w:color="auto"/>
              <w:right w:val="single" w:sz="6" w:space="0" w:color="auto"/>
            </w:tcBorders>
            <w:vAlign w:val="center"/>
          </w:tcPr>
          <w:p w14:paraId="581FD1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yakıtlar yakan mevcut gaz türbini (</w:t>
            </w:r>
            <w:r w:rsidRPr="00DD0D1F">
              <w:rPr>
                <w:rFonts w:cs="Times New Roman"/>
                <w:szCs w:val="24"/>
                <w:vertAlign w:val="superscript"/>
                <w:lang w:val="tr-TR"/>
              </w:rPr>
              <w:t>2</w:t>
            </w:r>
            <w:r w:rsidRPr="00DD0D1F">
              <w:rPr>
                <w:rFonts w:cs="Times New Roman"/>
                <w:szCs w:val="24"/>
                <w:lang w:val="tr-TR"/>
              </w:rPr>
              <w:t>)</w:t>
            </w:r>
          </w:p>
        </w:tc>
        <w:tc>
          <w:tcPr>
            <w:tcW w:w="2492" w:type="pct"/>
            <w:tcBorders>
              <w:top w:val="single" w:sz="6" w:space="0" w:color="auto"/>
              <w:left w:val="single" w:sz="6" w:space="0" w:color="auto"/>
              <w:bottom w:val="single" w:sz="6" w:space="0" w:color="auto"/>
              <w:right w:val="single" w:sz="4" w:space="0" w:color="auto"/>
            </w:tcBorders>
            <w:vAlign w:val="center"/>
          </w:tcPr>
          <w:p w14:paraId="57A51BD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&lt;50-350 (</w:t>
            </w:r>
            <w:r w:rsidRPr="00DD0D1F">
              <w:rPr>
                <w:rFonts w:cs="Times New Roman"/>
                <w:szCs w:val="24"/>
                <w:vertAlign w:val="superscript"/>
                <w:lang w:val="tr-TR"/>
              </w:rPr>
              <w:t>4</w:t>
            </w:r>
            <w:r w:rsidRPr="00DD0D1F">
              <w:rPr>
                <w:rFonts w:cs="Times New Roman"/>
                <w:szCs w:val="24"/>
                <w:lang w:val="tr-TR"/>
              </w:rPr>
              <w:t>)</w:t>
            </w:r>
          </w:p>
        </w:tc>
      </w:tr>
      <w:tr w:rsidR="003328F9" w:rsidRPr="00DD0D1F" w14:paraId="518AA7C0" w14:textId="77777777" w:rsidTr="003328F9">
        <w:trPr>
          <w:trHeight w:val="245"/>
        </w:trPr>
        <w:tc>
          <w:tcPr>
            <w:tcW w:w="5000" w:type="pct"/>
            <w:gridSpan w:val="2"/>
            <w:tcBorders>
              <w:top w:val="single" w:sz="6" w:space="0" w:color="auto"/>
              <w:left w:val="single" w:sz="4" w:space="0" w:color="auto"/>
              <w:bottom w:val="single" w:sz="4" w:space="0" w:color="auto"/>
              <w:right w:val="single" w:sz="4" w:space="0" w:color="auto"/>
            </w:tcBorders>
          </w:tcPr>
          <w:p w14:paraId="6FB6B24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gün içinde mevcut olan temel yük gücün &gt;%70'ine dayanmaktadır.</w:t>
            </w:r>
          </w:p>
          <w:p w14:paraId="4EE29686"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Buna tek yakıtlı ve çift yakıtlı türbinler dahildir.</w:t>
            </w:r>
          </w:p>
          <w:p w14:paraId="65B58432" w14:textId="265FE2D3"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DLN brülörleri uygulanabilir değilse MET-İES aralığının üst </w:t>
            </w:r>
            <w:r w:rsidR="00A504E5" w:rsidRPr="00DD0D1F">
              <w:rPr>
                <w:rFonts w:cs="Times New Roman"/>
                <w:szCs w:val="24"/>
                <w:lang w:val="tr-TR"/>
              </w:rPr>
              <w:t>sınırı</w:t>
            </w:r>
            <w:r w:rsidRPr="00DD0D1F">
              <w:rPr>
                <w:rFonts w:cs="Times New Roman"/>
                <w:szCs w:val="24"/>
                <w:lang w:val="tr-TR"/>
              </w:rPr>
              <w:t xml:space="preserve"> 250 mg/Nm</w:t>
            </w:r>
            <w:r w:rsidRPr="00DD0D1F">
              <w:rPr>
                <w:rFonts w:cs="Times New Roman"/>
                <w:szCs w:val="24"/>
                <w:vertAlign w:val="superscript"/>
                <w:lang w:val="tr-TR"/>
              </w:rPr>
              <w:t>3</w:t>
            </w:r>
            <w:r w:rsidRPr="00DD0D1F">
              <w:rPr>
                <w:rFonts w:cs="Times New Roman"/>
                <w:szCs w:val="24"/>
                <w:lang w:val="tr-TR"/>
              </w:rPr>
              <w:t>'tür.</w:t>
            </w:r>
          </w:p>
          <w:p w14:paraId="7F9D531E" w14:textId="060B6168" w:rsidR="003328F9" w:rsidRPr="00DD0D1F" w:rsidRDefault="003328F9" w:rsidP="008214A3">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DLN brülörler ile MET-İES aralığının </w:t>
            </w:r>
            <w:r w:rsidR="006B2679" w:rsidRPr="00DD0D1F">
              <w:rPr>
                <w:rFonts w:cs="Times New Roman"/>
                <w:szCs w:val="24"/>
                <w:lang w:val="tr-TR"/>
              </w:rPr>
              <w:t xml:space="preserve">alt </w:t>
            </w:r>
            <w:r w:rsidR="008214A3" w:rsidRPr="00DD0D1F">
              <w:rPr>
                <w:rFonts w:cs="Times New Roman"/>
                <w:szCs w:val="24"/>
                <w:lang w:val="tr-TR"/>
              </w:rPr>
              <w:t>sınırı</w:t>
            </w:r>
            <w:r w:rsidR="006B2679" w:rsidRPr="00DD0D1F">
              <w:rPr>
                <w:rFonts w:cs="Times New Roman"/>
                <w:szCs w:val="24"/>
                <w:lang w:val="tr-TR"/>
              </w:rPr>
              <w:t>n</w:t>
            </w:r>
            <w:r w:rsidR="008214A3" w:rsidRPr="00DD0D1F">
              <w:rPr>
                <w:rFonts w:cs="Times New Roman"/>
                <w:szCs w:val="24"/>
                <w:lang w:val="tr-TR"/>
              </w:rPr>
              <w:t>a</w:t>
            </w:r>
            <w:r w:rsidRPr="00DD0D1F">
              <w:rPr>
                <w:rFonts w:cs="Times New Roman"/>
                <w:szCs w:val="24"/>
                <w:lang w:val="tr-TR"/>
              </w:rPr>
              <w:t xml:space="preserve"> ulaşılabilir.</w:t>
            </w:r>
          </w:p>
        </w:tc>
      </w:tr>
    </w:tbl>
    <w:p w14:paraId="4F524259"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numune alma periyodunda ortalama CO emisyon seviyeleri genelde aşağıdaki gibi olacaktır:</w:t>
      </w:r>
    </w:p>
    <w:p w14:paraId="21C822C1"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açık deniz platformlarındaki gaz yakıt yakan mevcut gaz türbinleri için &lt;100 mg/Nm</w:t>
      </w:r>
      <w:r w:rsidRPr="00DD0D1F">
        <w:rPr>
          <w:rFonts w:cs="Times New Roman"/>
          <w:szCs w:val="24"/>
          <w:vertAlign w:val="superscript"/>
          <w:lang w:val="tr-TR"/>
        </w:rPr>
        <w:t>3</w:t>
      </w:r>
      <w:r w:rsidRPr="00DD0D1F">
        <w:rPr>
          <w:rFonts w:cs="Times New Roman"/>
          <w:szCs w:val="24"/>
          <w:lang w:val="tr-TR"/>
        </w:rPr>
        <w:t xml:space="preserve">’tür. </w:t>
      </w:r>
    </w:p>
    <w:p w14:paraId="15EA1876"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Açık deniz platformlarındaki gaz yakıt yakan yeni gaz türbinleri için &lt;75 mg/Nm</w:t>
      </w:r>
      <w:r w:rsidRPr="00DD0D1F">
        <w:rPr>
          <w:rFonts w:cs="Times New Roman"/>
          <w:szCs w:val="24"/>
          <w:vertAlign w:val="superscript"/>
          <w:lang w:val="tr-TR"/>
        </w:rPr>
        <w:t>3</w:t>
      </w:r>
      <w:r w:rsidRPr="00DD0D1F">
        <w:rPr>
          <w:rFonts w:cs="Times New Roman"/>
          <w:szCs w:val="24"/>
          <w:lang w:val="tr-TR"/>
        </w:rPr>
        <w:t>’tür.</w:t>
      </w:r>
    </w:p>
    <w:p w14:paraId="50B9323F" w14:textId="6B788080" w:rsidR="003328F9" w:rsidRPr="00DD0D1F" w:rsidRDefault="00F0225F" w:rsidP="00FF111D">
      <w:pPr>
        <w:pStyle w:val="Balk1"/>
        <w:numPr>
          <w:ilvl w:val="0"/>
          <w:numId w:val="73"/>
        </w:numPr>
        <w:spacing w:before="240"/>
        <w:rPr>
          <w:rFonts w:cs="Times New Roman"/>
          <w:szCs w:val="24"/>
        </w:rPr>
      </w:pPr>
      <w:bookmarkStart w:id="122" w:name="_Toc137367332"/>
      <w:r w:rsidRPr="00DD0D1F">
        <w:rPr>
          <w:rFonts w:cs="Times New Roman"/>
          <w:szCs w:val="24"/>
        </w:rPr>
        <w:t>ÇOK</w:t>
      </w:r>
      <w:r w:rsidR="00570906" w:rsidRPr="00DD0D1F">
        <w:rPr>
          <w:rFonts w:cs="Times New Roman"/>
          <w:szCs w:val="24"/>
        </w:rPr>
        <w:t>LU</w:t>
      </w:r>
      <w:r w:rsidR="003328F9" w:rsidRPr="00DD0D1F">
        <w:rPr>
          <w:rFonts w:cs="Times New Roman"/>
          <w:szCs w:val="24"/>
        </w:rPr>
        <w:t xml:space="preserve"> YAKITLA ÇALIŞAN TESİSLERE İLİŞKİN MET</w:t>
      </w:r>
      <w:bookmarkEnd w:id="122"/>
    </w:p>
    <w:p w14:paraId="6BC96A62" w14:textId="1D3A4025" w:rsidR="003328F9" w:rsidRPr="00DD0D1F" w:rsidRDefault="003328F9" w:rsidP="00FF111D">
      <w:pPr>
        <w:pStyle w:val="Balk2"/>
        <w:numPr>
          <w:ilvl w:val="1"/>
          <w:numId w:val="73"/>
        </w:numPr>
        <w:rPr>
          <w:rFonts w:cs="Times New Roman"/>
          <w:szCs w:val="24"/>
        </w:rPr>
      </w:pPr>
      <w:bookmarkStart w:id="123" w:name="_Toc137367333"/>
      <w:r w:rsidRPr="00DD0D1F">
        <w:rPr>
          <w:rFonts w:cs="Times New Roman"/>
          <w:szCs w:val="24"/>
        </w:rPr>
        <w:t>Kimya Endüstrisinden Kaynaklanan Proses Yakıtlarının Yakılmasına İlişkin MET</w:t>
      </w:r>
      <w:bookmarkEnd w:id="123"/>
    </w:p>
    <w:p w14:paraId="29032717" w14:textId="50584C1E" w:rsidR="003328F9" w:rsidRPr="00DD0D1F" w:rsidRDefault="00A13BD5" w:rsidP="003328F9">
      <w:pPr>
        <w:spacing w:before="240"/>
        <w:rPr>
          <w:rFonts w:cs="Times New Roman"/>
          <w:szCs w:val="24"/>
          <w:lang w:val="nl-NL"/>
        </w:rPr>
      </w:pPr>
      <w:r>
        <w:rPr>
          <w:rFonts w:cs="Times New Roman"/>
          <w:szCs w:val="24"/>
        </w:rPr>
        <w:t>B</w:t>
      </w:r>
      <w:r w:rsidR="003328F9" w:rsidRPr="00DD0D1F">
        <w:rPr>
          <w:rFonts w:cs="Times New Roman"/>
          <w:szCs w:val="24"/>
        </w:rPr>
        <w:t xml:space="preserve">u </w:t>
      </w:r>
      <w:r>
        <w:rPr>
          <w:rFonts w:cs="Times New Roman"/>
          <w:szCs w:val="24"/>
        </w:rPr>
        <w:t xml:space="preserve">bölümde </w:t>
      </w:r>
      <w:r w:rsidR="003328F9" w:rsidRPr="00DD0D1F">
        <w:rPr>
          <w:rFonts w:cs="Times New Roman"/>
          <w:szCs w:val="24"/>
        </w:rPr>
        <w:t xml:space="preserve">yer alan MET genel olarak kimya endüstrisinden kaynaklanan proses yakıtlarının tek başına yakılması ve diğer gaz ve/veya sıvı yakıtlarla birlikte veya eşzamanlı yakılması ile ilgilidir. </w:t>
      </w:r>
      <w:r w:rsidR="003328F9" w:rsidRPr="00DD0D1F">
        <w:rPr>
          <w:rFonts w:cs="Times New Roman"/>
          <w:szCs w:val="24"/>
          <w:lang w:val="nl-NL"/>
        </w:rPr>
        <w:t>Bu MET, Başlık  1’de belirtilen genel MET ek olarak geçerlidir.</w:t>
      </w:r>
    </w:p>
    <w:p w14:paraId="78FF7000" w14:textId="77777777" w:rsidR="003328F9" w:rsidRPr="00DD0D1F" w:rsidRDefault="003328F9" w:rsidP="00FF111D">
      <w:pPr>
        <w:pStyle w:val="Balk3"/>
        <w:numPr>
          <w:ilvl w:val="2"/>
          <w:numId w:val="73"/>
        </w:numPr>
        <w:rPr>
          <w:rFonts w:cs="Times New Roman"/>
        </w:rPr>
      </w:pPr>
      <w:bookmarkStart w:id="124" w:name="_Toc137367334"/>
      <w:r w:rsidRPr="00DD0D1F">
        <w:rPr>
          <w:rFonts w:cs="Times New Roman"/>
        </w:rPr>
        <w:t>Genel Çevre Performansı</w:t>
      </w:r>
      <w:bookmarkEnd w:id="124"/>
    </w:p>
    <w:p w14:paraId="7A78973F" w14:textId="1B96B3C7" w:rsidR="003328F9" w:rsidRPr="00DD0D1F" w:rsidRDefault="003328F9" w:rsidP="003328F9">
      <w:pPr>
        <w:spacing w:before="240"/>
        <w:rPr>
          <w:rFonts w:cs="Times New Roman"/>
          <w:b/>
          <w:bCs/>
          <w:szCs w:val="24"/>
        </w:rPr>
      </w:pPr>
      <w:r w:rsidRPr="00DD0D1F">
        <w:rPr>
          <w:rFonts w:cs="Times New Roman"/>
          <w:b/>
          <w:bCs/>
          <w:szCs w:val="24"/>
        </w:rPr>
        <w:t>MET 55</w:t>
      </w:r>
      <w:bookmarkStart w:id="125" w:name="_Hlk137397551"/>
      <w:r w:rsidRPr="00DD0D1F">
        <w:rPr>
          <w:rFonts w:cs="Times New Roman"/>
          <w:b/>
          <w:bCs/>
          <w:szCs w:val="24"/>
        </w:rPr>
        <w:t xml:space="preserve">: </w:t>
      </w:r>
      <w:r w:rsidRPr="00DD0D1F">
        <w:rPr>
          <w:rFonts w:cs="Times New Roman"/>
          <w:bCs/>
          <w:szCs w:val="24"/>
        </w:rPr>
        <w:t xml:space="preserve">Kimya endüstrisinden kaynaklanan proses yakıtlarının kazanlarda yakılmasına ilişkin genel çevre performansını iyileştirmek için, MET 6'da yer alan tekniklerin ve aşağıda verilen </w:t>
      </w:r>
      <w:r w:rsidR="00DC221E" w:rsidRPr="00DD0D1F">
        <w:rPr>
          <w:rFonts w:cs="Times New Roman"/>
          <w:bCs/>
          <w:szCs w:val="24"/>
        </w:rPr>
        <w:t>tekniklerin uygun bir birleşimi</w:t>
      </w:r>
      <w:r w:rsidRPr="00DD0D1F">
        <w:rPr>
          <w:rFonts w:cs="Times New Roman"/>
          <w:bCs/>
          <w:szCs w:val="24"/>
        </w:rPr>
        <w:t xml:space="preserve"> kullan</w:t>
      </w:r>
      <w:r w:rsidR="00DC221E" w:rsidRPr="00DD0D1F">
        <w:rPr>
          <w:rFonts w:cs="Times New Roman"/>
          <w:bCs/>
          <w:szCs w:val="24"/>
        </w:rPr>
        <w:t>ılır.</w:t>
      </w:r>
    </w:p>
    <w:bookmarkEnd w:id="125"/>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
        <w:gridCol w:w="2336"/>
        <w:gridCol w:w="3858"/>
        <w:gridCol w:w="2618"/>
      </w:tblGrid>
      <w:tr w:rsidR="003328F9" w:rsidRPr="00DD0D1F" w14:paraId="2C863747" w14:textId="77777777" w:rsidTr="003328F9">
        <w:trPr>
          <w:trHeight w:val="230"/>
        </w:trPr>
        <w:tc>
          <w:tcPr>
            <w:tcW w:w="146" w:type="pct"/>
            <w:tcBorders>
              <w:right w:val="single" w:sz="4" w:space="0" w:color="auto"/>
            </w:tcBorders>
          </w:tcPr>
          <w:p w14:paraId="21E74BEE" w14:textId="77777777" w:rsidR="003328F9" w:rsidRPr="00DD0D1F" w:rsidRDefault="003328F9" w:rsidP="003328F9">
            <w:pPr>
              <w:pStyle w:val="TableParagraph"/>
              <w:ind w:right="74"/>
              <w:jc w:val="center"/>
              <w:rPr>
                <w:b/>
                <w:szCs w:val="24"/>
              </w:rPr>
            </w:pPr>
          </w:p>
        </w:tc>
        <w:tc>
          <w:tcPr>
            <w:tcW w:w="1287" w:type="pct"/>
            <w:tcBorders>
              <w:left w:val="single" w:sz="4" w:space="0" w:color="auto"/>
            </w:tcBorders>
          </w:tcPr>
          <w:p w14:paraId="4158ACD2" w14:textId="77777777" w:rsidR="003328F9" w:rsidRPr="00DD0D1F" w:rsidRDefault="003328F9" w:rsidP="003328F9">
            <w:pPr>
              <w:pStyle w:val="TableParagraph"/>
              <w:ind w:left="74" w:right="74"/>
              <w:jc w:val="center"/>
              <w:rPr>
                <w:b/>
                <w:szCs w:val="24"/>
              </w:rPr>
            </w:pPr>
            <w:r w:rsidRPr="00DD0D1F">
              <w:rPr>
                <w:b/>
                <w:szCs w:val="24"/>
              </w:rPr>
              <w:t>Teknik</w:t>
            </w:r>
          </w:p>
        </w:tc>
        <w:tc>
          <w:tcPr>
            <w:tcW w:w="2125" w:type="pct"/>
          </w:tcPr>
          <w:p w14:paraId="01EAD972" w14:textId="77777777" w:rsidR="003328F9" w:rsidRPr="00DD0D1F" w:rsidRDefault="003328F9" w:rsidP="003328F9">
            <w:pPr>
              <w:pStyle w:val="TableParagraph"/>
              <w:ind w:left="74" w:right="74"/>
              <w:jc w:val="center"/>
              <w:rPr>
                <w:b/>
                <w:szCs w:val="24"/>
              </w:rPr>
            </w:pPr>
            <w:r w:rsidRPr="00DD0D1F">
              <w:rPr>
                <w:b/>
                <w:szCs w:val="24"/>
              </w:rPr>
              <w:t>Açıklama</w:t>
            </w:r>
          </w:p>
        </w:tc>
        <w:tc>
          <w:tcPr>
            <w:tcW w:w="1442" w:type="pct"/>
          </w:tcPr>
          <w:p w14:paraId="29A4A622"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0A70A1C9" w14:textId="77777777" w:rsidTr="003328F9">
        <w:trPr>
          <w:trHeight w:val="921"/>
        </w:trPr>
        <w:tc>
          <w:tcPr>
            <w:tcW w:w="146" w:type="pct"/>
            <w:tcBorders>
              <w:right w:val="single" w:sz="4" w:space="0" w:color="auto"/>
            </w:tcBorders>
            <w:vAlign w:val="center"/>
          </w:tcPr>
          <w:p w14:paraId="34036F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287" w:type="pct"/>
            <w:tcBorders>
              <w:left w:val="single" w:sz="4" w:space="0" w:color="auto"/>
            </w:tcBorders>
            <w:vAlign w:val="center"/>
          </w:tcPr>
          <w:p w14:paraId="02E75FA9" w14:textId="77777777" w:rsidR="003328F9" w:rsidRPr="00DD0D1F" w:rsidRDefault="003328F9" w:rsidP="003328F9">
            <w:pPr>
              <w:adjustRightInd w:val="0"/>
              <w:spacing w:line="240" w:lineRule="auto"/>
              <w:ind w:left="74" w:right="74"/>
              <w:rPr>
                <w:rFonts w:cs="Times New Roman"/>
                <w:szCs w:val="24"/>
                <w:lang w:val="tr-TR"/>
              </w:rPr>
            </w:pPr>
            <w:bookmarkStart w:id="126" w:name="_Hlk137397562"/>
            <w:r w:rsidRPr="00DD0D1F">
              <w:rPr>
                <w:rFonts w:cs="Times New Roman"/>
                <w:szCs w:val="24"/>
                <w:lang w:val="tr-TR"/>
              </w:rPr>
              <w:t>Kimya endüstrisinden kaynaklanan proses yakıtının ön işlemi</w:t>
            </w:r>
            <w:bookmarkEnd w:id="126"/>
          </w:p>
        </w:tc>
        <w:tc>
          <w:tcPr>
            <w:tcW w:w="2125" w:type="pct"/>
            <w:vAlign w:val="center"/>
          </w:tcPr>
          <w:p w14:paraId="014D78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yanmasının çevresel performansını iyileştirmek için yakma tesisi sahasında ve/veya dışında yakıt ön işleminin gerçekleştirilmesi</w:t>
            </w:r>
          </w:p>
        </w:tc>
        <w:tc>
          <w:tcPr>
            <w:tcW w:w="1442" w:type="pct"/>
            <w:vAlign w:val="center"/>
          </w:tcPr>
          <w:p w14:paraId="14227F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yakıtı özellikleri ve yerin müsait olmasıyla ilişkili kısıtlamalar dahilinde uygulanabilir.</w:t>
            </w:r>
          </w:p>
        </w:tc>
      </w:tr>
    </w:tbl>
    <w:p w14:paraId="1DFB45BD" w14:textId="77777777" w:rsidR="003328F9" w:rsidRPr="00DD0D1F" w:rsidRDefault="003328F9" w:rsidP="00FF111D">
      <w:pPr>
        <w:pStyle w:val="Balk3"/>
        <w:numPr>
          <w:ilvl w:val="2"/>
          <w:numId w:val="73"/>
        </w:numPr>
        <w:rPr>
          <w:rFonts w:cs="Times New Roman"/>
        </w:rPr>
      </w:pPr>
      <w:bookmarkStart w:id="127" w:name="_Toc137367335"/>
      <w:r w:rsidRPr="00DD0D1F">
        <w:rPr>
          <w:rFonts w:cs="Times New Roman"/>
        </w:rPr>
        <w:t>Enerji Verimliliği</w:t>
      </w:r>
      <w:bookmarkEnd w:id="127"/>
    </w:p>
    <w:p w14:paraId="19445A5A" w14:textId="77777777" w:rsidR="003328F9" w:rsidRPr="00DD0D1F" w:rsidRDefault="003328F9" w:rsidP="003328F9">
      <w:pPr>
        <w:pStyle w:val="ResimYazs"/>
        <w:spacing w:before="240"/>
        <w:rPr>
          <w:rFonts w:cs="Times New Roman"/>
          <w:color w:val="auto"/>
          <w:szCs w:val="24"/>
          <w:lang w:val="fi-FI"/>
        </w:rPr>
      </w:pPr>
      <w:bookmarkStart w:id="128" w:name="_Hlk137397703"/>
      <w:r w:rsidRPr="00DD0D1F">
        <w:rPr>
          <w:rFonts w:cs="Times New Roman"/>
          <w:color w:val="auto"/>
          <w:szCs w:val="24"/>
          <w:lang w:val="fi-FI"/>
        </w:rPr>
        <w:t>Kimya endüstrisinden kaynaklanan proses yakıtlarının kazanlarda yakılmasına yönelik MET ile ilişkili enerji verimliliği seviyeleri</w:t>
      </w:r>
      <w:bookmarkEnd w:id="128"/>
      <w:r w:rsidRPr="00DD0D1F">
        <w:rPr>
          <w:rFonts w:cs="Times New Roman"/>
          <w:color w:val="auto"/>
          <w:szCs w:val="24"/>
          <w:lang w:val="fi-FI"/>
        </w:rPr>
        <w:t xml:space="preserve"> (MET-İEVS’ler)</w:t>
      </w:r>
    </w:p>
    <w:tbl>
      <w:tblPr>
        <w:tblW w:w="5000" w:type="pct"/>
        <w:tblCellMar>
          <w:left w:w="40" w:type="dxa"/>
          <w:right w:w="40" w:type="dxa"/>
        </w:tblCellMar>
        <w:tblLook w:val="0000" w:firstRow="0" w:lastRow="0" w:firstColumn="0" w:lastColumn="0" w:noHBand="0" w:noVBand="0"/>
      </w:tblPr>
      <w:tblGrid>
        <w:gridCol w:w="2696"/>
        <w:gridCol w:w="1451"/>
        <w:gridCol w:w="1452"/>
        <w:gridCol w:w="1739"/>
        <w:gridCol w:w="1739"/>
      </w:tblGrid>
      <w:tr w:rsidR="003328F9" w:rsidRPr="00DD0D1F" w14:paraId="7F835B23" w14:textId="77777777" w:rsidTr="003328F9">
        <w:trPr>
          <w:trHeight w:val="66"/>
        </w:trPr>
        <w:tc>
          <w:tcPr>
            <w:tcW w:w="1485" w:type="pct"/>
            <w:vMerge w:val="restart"/>
            <w:tcBorders>
              <w:top w:val="single" w:sz="4" w:space="0" w:color="auto"/>
              <w:left w:val="single" w:sz="4" w:space="0" w:color="auto"/>
              <w:right w:val="single" w:sz="6" w:space="0" w:color="auto"/>
            </w:tcBorders>
            <w:vAlign w:val="center"/>
          </w:tcPr>
          <w:p w14:paraId="6E4AEAA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515" w:type="pct"/>
            <w:gridSpan w:val="4"/>
            <w:tcBorders>
              <w:top w:val="single" w:sz="4" w:space="0" w:color="auto"/>
              <w:left w:val="single" w:sz="6" w:space="0" w:color="auto"/>
              <w:bottom w:val="single" w:sz="6" w:space="0" w:color="auto"/>
              <w:right w:val="single" w:sz="4" w:space="0" w:color="auto"/>
            </w:tcBorders>
            <w:vAlign w:val="center"/>
          </w:tcPr>
          <w:p w14:paraId="4B18550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111C3B05" w14:textId="77777777" w:rsidTr="003328F9">
        <w:trPr>
          <w:trHeight w:val="66"/>
        </w:trPr>
        <w:tc>
          <w:tcPr>
            <w:tcW w:w="1485" w:type="pct"/>
            <w:vMerge/>
            <w:tcBorders>
              <w:left w:val="single" w:sz="4" w:space="0" w:color="auto"/>
              <w:right w:val="single" w:sz="6" w:space="0" w:color="auto"/>
            </w:tcBorders>
            <w:vAlign w:val="center"/>
          </w:tcPr>
          <w:p w14:paraId="6D4C4D3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599" w:type="pct"/>
            <w:gridSpan w:val="2"/>
            <w:tcBorders>
              <w:top w:val="single" w:sz="6" w:space="0" w:color="auto"/>
              <w:left w:val="single" w:sz="6" w:space="0" w:color="auto"/>
              <w:bottom w:val="single" w:sz="6" w:space="0" w:color="auto"/>
              <w:right w:val="single" w:sz="6" w:space="0" w:color="auto"/>
            </w:tcBorders>
            <w:vAlign w:val="center"/>
          </w:tcPr>
          <w:p w14:paraId="233C235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916" w:type="pct"/>
            <w:gridSpan w:val="2"/>
            <w:tcBorders>
              <w:top w:val="single" w:sz="6" w:space="0" w:color="auto"/>
              <w:left w:val="single" w:sz="6" w:space="0" w:color="auto"/>
              <w:bottom w:val="single" w:sz="6" w:space="0" w:color="auto"/>
              <w:right w:val="single" w:sz="4" w:space="0" w:color="auto"/>
            </w:tcBorders>
            <w:vAlign w:val="center"/>
          </w:tcPr>
          <w:p w14:paraId="5525402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w:t>
            </w:r>
          </w:p>
        </w:tc>
      </w:tr>
      <w:tr w:rsidR="003328F9" w:rsidRPr="00DD0D1F" w14:paraId="6E7D2D18" w14:textId="77777777" w:rsidTr="003328F9">
        <w:trPr>
          <w:trHeight w:val="66"/>
        </w:trPr>
        <w:tc>
          <w:tcPr>
            <w:tcW w:w="1485" w:type="pct"/>
            <w:vMerge/>
            <w:tcBorders>
              <w:left w:val="single" w:sz="4" w:space="0" w:color="auto"/>
              <w:bottom w:val="single" w:sz="6" w:space="0" w:color="auto"/>
              <w:right w:val="single" w:sz="6" w:space="0" w:color="auto"/>
            </w:tcBorders>
            <w:vAlign w:val="center"/>
          </w:tcPr>
          <w:p w14:paraId="0310F088" w14:textId="77777777" w:rsidR="003328F9" w:rsidRPr="00DD0D1F" w:rsidRDefault="003328F9" w:rsidP="003328F9">
            <w:pPr>
              <w:adjustRightInd w:val="0"/>
              <w:spacing w:line="240" w:lineRule="auto"/>
              <w:ind w:right="74"/>
              <w:jc w:val="center"/>
              <w:rPr>
                <w:rFonts w:cs="Times New Roman"/>
                <w:b/>
                <w:szCs w:val="24"/>
                <w:lang w:val="tr-TR"/>
              </w:rPr>
            </w:pPr>
          </w:p>
        </w:tc>
        <w:tc>
          <w:tcPr>
            <w:tcW w:w="799" w:type="pct"/>
            <w:tcBorders>
              <w:top w:val="single" w:sz="6" w:space="0" w:color="auto"/>
              <w:left w:val="single" w:sz="6" w:space="0" w:color="auto"/>
              <w:bottom w:val="single" w:sz="6" w:space="0" w:color="auto"/>
              <w:right w:val="single" w:sz="6" w:space="0" w:color="auto"/>
            </w:tcBorders>
            <w:vAlign w:val="center"/>
          </w:tcPr>
          <w:p w14:paraId="3BE8505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800" w:type="pct"/>
            <w:tcBorders>
              <w:top w:val="single" w:sz="6" w:space="0" w:color="auto"/>
              <w:left w:val="single" w:sz="6" w:space="0" w:color="auto"/>
              <w:bottom w:val="single" w:sz="6" w:space="0" w:color="auto"/>
              <w:right w:val="single" w:sz="6" w:space="0" w:color="auto"/>
            </w:tcBorders>
            <w:vAlign w:val="center"/>
          </w:tcPr>
          <w:p w14:paraId="5A5F2FF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958" w:type="pct"/>
            <w:tcBorders>
              <w:top w:val="single" w:sz="6" w:space="0" w:color="auto"/>
              <w:left w:val="single" w:sz="6" w:space="0" w:color="auto"/>
              <w:bottom w:val="single" w:sz="6" w:space="0" w:color="auto"/>
              <w:right w:val="single" w:sz="6" w:space="0" w:color="auto"/>
            </w:tcBorders>
            <w:vAlign w:val="center"/>
          </w:tcPr>
          <w:p w14:paraId="10C0DC9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958" w:type="pct"/>
            <w:tcBorders>
              <w:top w:val="single" w:sz="6" w:space="0" w:color="auto"/>
              <w:left w:val="single" w:sz="6" w:space="0" w:color="auto"/>
              <w:bottom w:val="single" w:sz="6" w:space="0" w:color="auto"/>
              <w:right w:val="single" w:sz="4" w:space="0" w:color="auto"/>
            </w:tcBorders>
            <w:vAlign w:val="center"/>
          </w:tcPr>
          <w:p w14:paraId="51DB8B5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0ED38625" w14:textId="77777777" w:rsidTr="003328F9">
        <w:trPr>
          <w:trHeight w:val="357"/>
        </w:trPr>
        <w:tc>
          <w:tcPr>
            <w:tcW w:w="1485" w:type="pct"/>
            <w:tcBorders>
              <w:top w:val="single" w:sz="6" w:space="0" w:color="auto"/>
              <w:left w:val="single" w:sz="4" w:space="0" w:color="auto"/>
              <w:bottom w:val="single" w:sz="6" w:space="0" w:color="auto"/>
              <w:right w:val="single" w:sz="6" w:space="0" w:color="auto"/>
            </w:tcBorders>
            <w:vAlign w:val="center"/>
          </w:tcPr>
          <w:p w14:paraId="5337DD2A" w14:textId="00DD7D8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 endüstrisi sıvı proses yakıtlarını (</w:t>
            </w:r>
            <w:r w:rsidR="00F0225F" w:rsidRPr="00DD0D1F">
              <w:rPr>
                <w:rFonts w:cs="Times New Roman"/>
                <w:szCs w:val="24"/>
                <w:lang w:val="tr-TR"/>
              </w:rPr>
              <w:t>SIVI YAKIT</w:t>
            </w:r>
            <w:r w:rsidRPr="00DD0D1F">
              <w:rPr>
                <w:rFonts w:cs="Times New Roman"/>
                <w:szCs w:val="24"/>
                <w:lang w:val="tr-TR"/>
              </w:rPr>
              <w:t>, gaz yağı ve/veya diğer sıyı yakıtlar ile karıştırılması da dahil olmak üzere) kullanan kazan</w:t>
            </w:r>
          </w:p>
        </w:tc>
        <w:tc>
          <w:tcPr>
            <w:tcW w:w="799" w:type="pct"/>
            <w:tcBorders>
              <w:top w:val="single" w:sz="6" w:space="0" w:color="auto"/>
              <w:left w:val="single" w:sz="6" w:space="0" w:color="auto"/>
              <w:bottom w:val="single" w:sz="6" w:space="0" w:color="auto"/>
              <w:right w:val="single" w:sz="6" w:space="0" w:color="auto"/>
            </w:tcBorders>
            <w:vAlign w:val="center"/>
          </w:tcPr>
          <w:p w14:paraId="212C806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&gt;36,4</w:t>
            </w:r>
          </w:p>
        </w:tc>
        <w:tc>
          <w:tcPr>
            <w:tcW w:w="800" w:type="pct"/>
            <w:tcBorders>
              <w:top w:val="single" w:sz="6" w:space="0" w:color="auto"/>
              <w:left w:val="single" w:sz="6" w:space="0" w:color="auto"/>
              <w:bottom w:val="single" w:sz="6" w:space="0" w:color="auto"/>
              <w:right w:val="single" w:sz="6" w:space="0" w:color="auto"/>
            </w:tcBorders>
            <w:vAlign w:val="center"/>
          </w:tcPr>
          <w:p w14:paraId="4345E73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35,6-37,4</w:t>
            </w:r>
          </w:p>
        </w:tc>
        <w:tc>
          <w:tcPr>
            <w:tcW w:w="958" w:type="pct"/>
            <w:tcBorders>
              <w:top w:val="single" w:sz="6" w:space="0" w:color="auto"/>
              <w:left w:val="single" w:sz="6" w:space="0" w:color="auto"/>
              <w:bottom w:val="single" w:sz="6" w:space="0" w:color="auto"/>
              <w:right w:val="single" w:sz="6" w:space="0" w:color="auto"/>
            </w:tcBorders>
            <w:vAlign w:val="center"/>
          </w:tcPr>
          <w:p w14:paraId="6BC360D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c>
          <w:tcPr>
            <w:tcW w:w="958" w:type="pct"/>
            <w:tcBorders>
              <w:top w:val="single" w:sz="6" w:space="0" w:color="auto"/>
              <w:left w:val="single" w:sz="6" w:space="0" w:color="auto"/>
              <w:bottom w:val="single" w:sz="6" w:space="0" w:color="auto"/>
              <w:right w:val="single" w:sz="4" w:space="0" w:color="auto"/>
            </w:tcBorders>
            <w:vAlign w:val="center"/>
          </w:tcPr>
          <w:p w14:paraId="41665B9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r>
      <w:tr w:rsidR="003328F9" w:rsidRPr="00DD0D1F" w14:paraId="3F270397" w14:textId="77777777" w:rsidTr="003328F9">
        <w:trPr>
          <w:trHeight w:val="117"/>
        </w:trPr>
        <w:tc>
          <w:tcPr>
            <w:tcW w:w="1485" w:type="pct"/>
            <w:tcBorders>
              <w:top w:val="single" w:sz="6" w:space="0" w:color="auto"/>
              <w:left w:val="single" w:sz="4" w:space="0" w:color="auto"/>
              <w:bottom w:val="single" w:sz="6" w:space="0" w:color="auto"/>
              <w:right w:val="single" w:sz="6" w:space="0" w:color="auto"/>
            </w:tcBorders>
            <w:vAlign w:val="center"/>
          </w:tcPr>
          <w:p w14:paraId="63CE03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 endüstrisi gaz proses yakıtlarını (doğalgaz ve/veya diğer gaz yakıtlarla karıştırılması da dahil olmak üzere) kullanan kazan</w:t>
            </w:r>
          </w:p>
        </w:tc>
        <w:tc>
          <w:tcPr>
            <w:tcW w:w="799" w:type="pct"/>
            <w:tcBorders>
              <w:top w:val="single" w:sz="6" w:space="0" w:color="auto"/>
              <w:left w:val="single" w:sz="6" w:space="0" w:color="auto"/>
              <w:bottom w:val="single" w:sz="6" w:space="0" w:color="auto"/>
              <w:right w:val="single" w:sz="6" w:space="0" w:color="auto"/>
            </w:tcBorders>
            <w:vAlign w:val="center"/>
          </w:tcPr>
          <w:p w14:paraId="71623E5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39-42,5</w:t>
            </w:r>
          </w:p>
        </w:tc>
        <w:tc>
          <w:tcPr>
            <w:tcW w:w="800" w:type="pct"/>
            <w:tcBorders>
              <w:top w:val="single" w:sz="6" w:space="0" w:color="auto"/>
              <w:left w:val="single" w:sz="6" w:space="0" w:color="auto"/>
              <w:bottom w:val="single" w:sz="6" w:space="0" w:color="auto"/>
              <w:right w:val="single" w:sz="6" w:space="0" w:color="auto"/>
            </w:tcBorders>
            <w:vAlign w:val="center"/>
          </w:tcPr>
          <w:p w14:paraId="60FFBDB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38-40</w:t>
            </w:r>
          </w:p>
        </w:tc>
        <w:tc>
          <w:tcPr>
            <w:tcW w:w="958" w:type="pct"/>
            <w:tcBorders>
              <w:top w:val="single" w:sz="6" w:space="0" w:color="auto"/>
              <w:left w:val="single" w:sz="6" w:space="0" w:color="auto"/>
              <w:bottom w:val="single" w:sz="6" w:space="0" w:color="auto"/>
              <w:right w:val="single" w:sz="6" w:space="0" w:color="auto"/>
            </w:tcBorders>
            <w:vAlign w:val="center"/>
          </w:tcPr>
          <w:p w14:paraId="4E1D20D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78-95</w:t>
            </w:r>
          </w:p>
        </w:tc>
        <w:tc>
          <w:tcPr>
            <w:tcW w:w="958" w:type="pct"/>
            <w:tcBorders>
              <w:top w:val="single" w:sz="6" w:space="0" w:color="auto"/>
              <w:left w:val="single" w:sz="6" w:space="0" w:color="auto"/>
              <w:bottom w:val="single" w:sz="6" w:space="0" w:color="auto"/>
              <w:right w:val="single" w:sz="4" w:space="0" w:color="auto"/>
            </w:tcBorders>
            <w:vAlign w:val="center"/>
          </w:tcPr>
          <w:p w14:paraId="4E80D2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78-95</w:t>
            </w:r>
          </w:p>
        </w:tc>
      </w:tr>
      <w:tr w:rsidR="003328F9" w:rsidRPr="00DD0D1F" w14:paraId="357D7D10" w14:textId="77777777" w:rsidTr="003328F9">
        <w:trPr>
          <w:trHeight w:val="218"/>
        </w:trPr>
        <w:tc>
          <w:tcPr>
            <w:tcW w:w="5000" w:type="pct"/>
            <w:gridSpan w:val="5"/>
            <w:tcBorders>
              <w:top w:val="single" w:sz="6" w:space="0" w:color="auto"/>
              <w:left w:val="single" w:sz="4" w:space="0" w:color="auto"/>
              <w:bottom w:val="single" w:sz="4" w:space="0" w:color="auto"/>
              <w:right w:val="single" w:sz="4" w:space="0" w:color="auto"/>
            </w:tcBorders>
          </w:tcPr>
          <w:p w14:paraId="56C1896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MET-İEVS’ler &lt;1500 saat/yıl çalıştırılan ünitelere uygulanmaz.</w:t>
            </w:r>
          </w:p>
          <w:p w14:paraId="59C019B1"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olandan biri).</w:t>
            </w:r>
          </w:p>
          <w:p w14:paraId="39A671C5"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MET-İEVS seviyeleri, potansiyel ısı talebi çok düşükse elde edilemez.</w:t>
            </w:r>
          </w:p>
          <w:p w14:paraId="41675D9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MET-İEVS'ler sadece elektrik üreten tesislere uygulanmaz.</w:t>
            </w:r>
          </w:p>
        </w:tc>
      </w:tr>
    </w:tbl>
    <w:p w14:paraId="2A338C2E" w14:textId="77777777" w:rsidR="003328F9" w:rsidRPr="00DD0D1F" w:rsidRDefault="003328F9" w:rsidP="00FF111D">
      <w:pPr>
        <w:pStyle w:val="Balk3"/>
        <w:numPr>
          <w:ilvl w:val="2"/>
          <w:numId w:val="73"/>
        </w:numPr>
        <w:rPr>
          <w:rFonts w:cs="Times New Roman"/>
        </w:rPr>
      </w:pPr>
      <w:bookmarkStart w:id="129" w:name="_Toc137367336"/>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129"/>
    </w:p>
    <w:p w14:paraId="1695917D" w14:textId="700694F5" w:rsidR="003328F9" w:rsidRPr="00DD0D1F" w:rsidRDefault="003328F9" w:rsidP="003328F9">
      <w:pPr>
        <w:spacing w:before="240"/>
        <w:rPr>
          <w:rFonts w:cs="Times New Roman"/>
          <w:b/>
          <w:bCs/>
          <w:szCs w:val="24"/>
        </w:rPr>
      </w:pPr>
      <w:r w:rsidRPr="00DD0D1F">
        <w:rPr>
          <w:rFonts w:cs="Times New Roman"/>
          <w:b/>
          <w:bCs/>
          <w:szCs w:val="24"/>
        </w:rPr>
        <w:t>MET 56</w:t>
      </w:r>
      <w:bookmarkStart w:id="130" w:name="_Hlk137397732"/>
      <w:r w:rsidRPr="00DD0D1F">
        <w:rPr>
          <w:rFonts w:cs="Times New Roman"/>
          <w:b/>
          <w:bCs/>
          <w:szCs w:val="24"/>
        </w:rPr>
        <w:t xml:space="preserve">: </w:t>
      </w:r>
      <w:r w:rsidRPr="00DD0D1F">
        <w:rPr>
          <w:rFonts w:cs="Times New Roman"/>
          <w:bCs/>
          <w:szCs w:val="24"/>
        </w:rPr>
        <w:t>Kimya endüstrisinden kaynaklanan proses yakıtlarının yakılmasına ilişkin havaya CO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düşürmek için, aşağıda verilen tekniklerin biri veya bunların bir birleşimi kullan</w:t>
      </w:r>
      <w:r w:rsidR="00C533DB" w:rsidRPr="00DD0D1F">
        <w:rPr>
          <w:rFonts w:cs="Times New Roman"/>
          <w:bCs/>
          <w:szCs w:val="24"/>
        </w:rPr>
        <w:t>ılır.</w:t>
      </w:r>
      <w:bookmarkEnd w:id="130"/>
    </w:p>
    <w:tbl>
      <w:tblPr>
        <w:tblW w:w="5000" w:type="pct"/>
        <w:tblCellMar>
          <w:left w:w="40" w:type="dxa"/>
          <w:right w:w="40" w:type="dxa"/>
        </w:tblCellMar>
        <w:tblLook w:val="0000" w:firstRow="0" w:lastRow="0" w:firstColumn="0" w:lastColumn="0" w:noHBand="0" w:noVBand="0"/>
      </w:tblPr>
      <w:tblGrid>
        <w:gridCol w:w="350"/>
        <w:gridCol w:w="2694"/>
        <w:gridCol w:w="2718"/>
        <w:gridCol w:w="3315"/>
      </w:tblGrid>
      <w:tr w:rsidR="003328F9" w:rsidRPr="00DD0D1F" w14:paraId="474E6E28" w14:textId="77777777" w:rsidTr="003328F9">
        <w:trPr>
          <w:trHeight w:val="237"/>
          <w:tblHeader/>
        </w:trPr>
        <w:tc>
          <w:tcPr>
            <w:tcW w:w="193" w:type="pct"/>
            <w:tcBorders>
              <w:top w:val="single" w:sz="6" w:space="0" w:color="auto"/>
              <w:left w:val="single" w:sz="4" w:space="0" w:color="auto"/>
              <w:bottom w:val="single" w:sz="6" w:space="0" w:color="auto"/>
              <w:right w:val="single" w:sz="4" w:space="0" w:color="auto"/>
            </w:tcBorders>
          </w:tcPr>
          <w:p w14:paraId="02FB148C" w14:textId="77777777" w:rsidR="003328F9" w:rsidRPr="00DD0D1F" w:rsidRDefault="003328F9" w:rsidP="003328F9">
            <w:pPr>
              <w:adjustRightInd w:val="0"/>
              <w:spacing w:line="240" w:lineRule="auto"/>
              <w:ind w:right="74"/>
              <w:jc w:val="center"/>
              <w:rPr>
                <w:rFonts w:cs="Times New Roman"/>
                <w:szCs w:val="24"/>
                <w:lang w:val="tr-TR"/>
              </w:rPr>
            </w:pPr>
          </w:p>
        </w:tc>
        <w:tc>
          <w:tcPr>
            <w:tcW w:w="1484" w:type="pct"/>
            <w:tcBorders>
              <w:top w:val="single" w:sz="6" w:space="0" w:color="auto"/>
              <w:left w:val="single" w:sz="4" w:space="0" w:color="auto"/>
              <w:bottom w:val="single" w:sz="6" w:space="0" w:color="auto"/>
              <w:right w:val="single" w:sz="6" w:space="0" w:color="auto"/>
            </w:tcBorders>
          </w:tcPr>
          <w:p w14:paraId="754FF1CF" w14:textId="77777777" w:rsidR="003328F9" w:rsidRPr="00DD0D1F" w:rsidRDefault="003328F9" w:rsidP="003328F9">
            <w:pPr>
              <w:adjustRightInd w:val="0"/>
              <w:spacing w:line="240" w:lineRule="auto"/>
              <w:ind w:right="74"/>
              <w:jc w:val="center"/>
              <w:rPr>
                <w:rFonts w:cs="Times New Roman"/>
                <w:szCs w:val="24"/>
                <w:lang w:val="tr-TR"/>
              </w:rPr>
            </w:pPr>
            <w:r w:rsidRPr="00DD0D1F">
              <w:rPr>
                <w:rFonts w:cs="Times New Roman"/>
                <w:b/>
                <w:szCs w:val="24"/>
                <w:lang w:val="tr-TR"/>
              </w:rPr>
              <w:t>Teknik</w:t>
            </w:r>
          </w:p>
        </w:tc>
        <w:tc>
          <w:tcPr>
            <w:tcW w:w="1497" w:type="pct"/>
            <w:tcBorders>
              <w:top w:val="single" w:sz="6" w:space="0" w:color="auto"/>
              <w:left w:val="single" w:sz="6" w:space="0" w:color="auto"/>
              <w:right w:val="single" w:sz="6" w:space="0" w:color="auto"/>
            </w:tcBorders>
          </w:tcPr>
          <w:p w14:paraId="16FC7FD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Açıklama</w:t>
            </w:r>
          </w:p>
        </w:tc>
        <w:tc>
          <w:tcPr>
            <w:tcW w:w="1826" w:type="pct"/>
            <w:tcBorders>
              <w:top w:val="single" w:sz="6" w:space="0" w:color="auto"/>
              <w:left w:val="single" w:sz="6" w:space="0" w:color="auto"/>
              <w:right w:val="single" w:sz="4" w:space="0" w:color="auto"/>
            </w:tcBorders>
            <w:vAlign w:val="center"/>
          </w:tcPr>
          <w:p w14:paraId="6FC0822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Uygulanabilirlik</w:t>
            </w:r>
          </w:p>
        </w:tc>
      </w:tr>
      <w:tr w:rsidR="003328F9" w:rsidRPr="00DD0D1F" w14:paraId="4308E358" w14:textId="77777777" w:rsidTr="003328F9">
        <w:trPr>
          <w:trHeight w:val="237"/>
        </w:trPr>
        <w:tc>
          <w:tcPr>
            <w:tcW w:w="193" w:type="pct"/>
            <w:tcBorders>
              <w:top w:val="single" w:sz="6" w:space="0" w:color="auto"/>
              <w:left w:val="single" w:sz="4" w:space="0" w:color="auto"/>
              <w:bottom w:val="single" w:sz="6" w:space="0" w:color="auto"/>
              <w:right w:val="single" w:sz="6" w:space="0" w:color="auto"/>
            </w:tcBorders>
            <w:vAlign w:val="center"/>
          </w:tcPr>
          <w:p w14:paraId="26E4D9C3" w14:textId="77777777" w:rsidR="003328F9" w:rsidRPr="00DD0D1F" w:rsidRDefault="003328F9" w:rsidP="003328F9">
            <w:pPr>
              <w:adjustRightInd w:val="0"/>
              <w:spacing w:line="240" w:lineRule="auto"/>
              <w:ind w:left="74" w:right="74"/>
              <w:rPr>
                <w:rFonts w:cs="Times New Roman"/>
                <w:szCs w:val="24"/>
                <w:lang w:val="tr-TR"/>
              </w:rPr>
            </w:pPr>
            <w:bookmarkStart w:id="131" w:name="_Hlk137397750"/>
            <w:r w:rsidRPr="00DD0D1F">
              <w:rPr>
                <w:rFonts w:cs="Times New Roman"/>
                <w:szCs w:val="24"/>
                <w:lang w:val="tr-TR"/>
              </w:rPr>
              <w:t>a</w:t>
            </w:r>
          </w:p>
        </w:tc>
        <w:tc>
          <w:tcPr>
            <w:tcW w:w="1484" w:type="pct"/>
            <w:tcBorders>
              <w:top w:val="single" w:sz="6" w:space="0" w:color="auto"/>
              <w:left w:val="single" w:sz="6" w:space="0" w:color="auto"/>
              <w:bottom w:val="single" w:sz="6" w:space="0" w:color="auto"/>
              <w:right w:val="single" w:sz="6" w:space="0" w:color="auto"/>
            </w:tcBorders>
            <w:vAlign w:val="center"/>
          </w:tcPr>
          <w:p w14:paraId="3482D08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497" w:type="pct"/>
            <w:vMerge w:val="restart"/>
            <w:tcBorders>
              <w:top w:val="single" w:sz="6" w:space="0" w:color="auto"/>
              <w:left w:val="single" w:sz="6" w:space="0" w:color="auto"/>
              <w:right w:val="single" w:sz="6" w:space="0" w:color="auto"/>
            </w:tcBorders>
            <w:vAlign w:val="center"/>
          </w:tcPr>
          <w:p w14:paraId="198697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826" w:type="pct"/>
            <w:vMerge w:val="restart"/>
            <w:tcBorders>
              <w:top w:val="single" w:sz="6" w:space="0" w:color="auto"/>
              <w:left w:val="single" w:sz="6" w:space="0" w:color="auto"/>
              <w:right w:val="single" w:sz="4" w:space="0" w:color="auto"/>
            </w:tcBorders>
            <w:vAlign w:val="center"/>
          </w:tcPr>
          <w:p w14:paraId="5B7C1A4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Genel olarak uygulanabilir</w:t>
            </w:r>
          </w:p>
        </w:tc>
      </w:tr>
      <w:tr w:rsidR="003328F9" w:rsidRPr="00DD0D1F" w14:paraId="1D35E954" w14:textId="77777777" w:rsidTr="003328F9">
        <w:trPr>
          <w:trHeight w:val="65"/>
        </w:trPr>
        <w:tc>
          <w:tcPr>
            <w:tcW w:w="193" w:type="pct"/>
            <w:tcBorders>
              <w:top w:val="single" w:sz="6" w:space="0" w:color="auto"/>
              <w:left w:val="single" w:sz="4" w:space="0" w:color="auto"/>
              <w:bottom w:val="single" w:sz="6" w:space="0" w:color="auto"/>
              <w:right w:val="single" w:sz="6" w:space="0" w:color="auto"/>
            </w:tcBorders>
            <w:vAlign w:val="center"/>
          </w:tcPr>
          <w:p w14:paraId="470680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84" w:type="pct"/>
            <w:tcBorders>
              <w:top w:val="single" w:sz="6" w:space="0" w:color="auto"/>
              <w:left w:val="single" w:sz="6" w:space="0" w:color="auto"/>
              <w:bottom w:val="single" w:sz="6" w:space="0" w:color="auto"/>
              <w:right w:val="single" w:sz="6" w:space="0" w:color="auto"/>
            </w:tcBorders>
            <w:vAlign w:val="center"/>
          </w:tcPr>
          <w:p w14:paraId="5F8577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497" w:type="pct"/>
            <w:vMerge/>
            <w:tcBorders>
              <w:left w:val="single" w:sz="6" w:space="0" w:color="auto"/>
              <w:bottom w:val="single" w:sz="6" w:space="0" w:color="auto"/>
              <w:right w:val="single" w:sz="6" w:space="0" w:color="auto"/>
            </w:tcBorders>
            <w:vAlign w:val="center"/>
          </w:tcPr>
          <w:p w14:paraId="1E331883" w14:textId="77777777" w:rsidR="003328F9" w:rsidRPr="00DD0D1F" w:rsidRDefault="003328F9" w:rsidP="003328F9">
            <w:pPr>
              <w:adjustRightInd w:val="0"/>
              <w:spacing w:line="240" w:lineRule="auto"/>
              <w:ind w:right="74"/>
              <w:rPr>
                <w:rFonts w:cs="Times New Roman"/>
                <w:szCs w:val="24"/>
                <w:lang w:val="tr-TR"/>
              </w:rPr>
            </w:pPr>
          </w:p>
        </w:tc>
        <w:tc>
          <w:tcPr>
            <w:tcW w:w="1826" w:type="pct"/>
            <w:vMerge/>
            <w:tcBorders>
              <w:left w:val="single" w:sz="6" w:space="0" w:color="auto"/>
              <w:right w:val="single" w:sz="4" w:space="0" w:color="auto"/>
            </w:tcBorders>
            <w:vAlign w:val="center"/>
          </w:tcPr>
          <w:p w14:paraId="29402771" w14:textId="77777777" w:rsidR="003328F9" w:rsidRPr="00DD0D1F" w:rsidRDefault="003328F9" w:rsidP="003328F9">
            <w:pPr>
              <w:adjustRightInd w:val="0"/>
              <w:spacing w:line="240" w:lineRule="auto"/>
              <w:ind w:right="74"/>
              <w:rPr>
                <w:rFonts w:cs="Times New Roman"/>
                <w:szCs w:val="24"/>
                <w:lang w:val="tr-TR"/>
              </w:rPr>
            </w:pPr>
          </w:p>
        </w:tc>
      </w:tr>
      <w:tr w:rsidR="003328F9" w:rsidRPr="00DD0D1F" w14:paraId="774D0379" w14:textId="77777777" w:rsidTr="003328F9">
        <w:trPr>
          <w:trHeight w:val="307"/>
        </w:trPr>
        <w:tc>
          <w:tcPr>
            <w:tcW w:w="193" w:type="pct"/>
            <w:tcBorders>
              <w:top w:val="single" w:sz="6" w:space="0" w:color="auto"/>
              <w:left w:val="single" w:sz="4" w:space="0" w:color="auto"/>
              <w:bottom w:val="single" w:sz="6" w:space="0" w:color="auto"/>
              <w:right w:val="single" w:sz="6" w:space="0" w:color="auto"/>
            </w:tcBorders>
            <w:vAlign w:val="center"/>
          </w:tcPr>
          <w:p w14:paraId="3844F5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84" w:type="pct"/>
            <w:tcBorders>
              <w:top w:val="single" w:sz="6" w:space="0" w:color="auto"/>
              <w:left w:val="single" w:sz="6" w:space="0" w:color="auto"/>
              <w:bottom w:val="single" w:sz="6" w:space="0" w:color="auto"/>
              <w:right w:val="single" w:sz="6" w:space="0" w:color="auto"/>
            </w:tcBorders>
            <w:vAlign w:val="center"/>
          </w:tcPr>
          <w:p w14:paraId="48940C4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497" w:type="pct"/>
            <w:tcBorders>
              <w:top w:val="single" w:sz="6" w:space="0" w:color="auto"/>
              <w:left w:val="single" w:sz="6" w:space="0" w:color="auto"/>
              <w:bottom w:val="single" w:sz="6" w:space="0" w:color="auto"/>
              <w:right w:val="single" w:sz="6" w:space="0" w:color="auto"/>
            </w:tcBorders>
            <w:vAlign w:val="center"/>
          </w:tcPr>
          <w:p w14:paraId="72A8F2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566A88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Sıvı yakıt karışımlarını kullanırken kademeli yakıt beslemenin uygulanması spesifik bir brülör tasarımını gerektirir.</w:t>
            </w:r>
          </w:p>
        </w:tc>
        <w:tc>
          <w:tcPr>
            <w:tcW w:w="1826" w:type="pct"/>
            <w:vMerge/>
            <w:tcBorders>
              <w:left w:val="single" w:sz="6" w:space="0" w:color="auto"/>
              <w:bottom w:val="single" w:sz="6" w:space="0" w:color="auto"/>
              <w:right w:val="single" w:sz="4" w:space="0" w:color="auto"/>
            </w:tcBorders>
            <w:vAlign w:val="center"/>
          </w:tcPr>
          <w:p w14:paraId="500F556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3827FB4" w14:textId="77777777" w:rsidTr="003328F9">
        <w:trPr>
          <w:trHeight w:val="131"/>
        </w:trPr>
        <w:tc>
          <w:tcPr>
            <w:tcW w:w="193" w:type="pct"/>
            <w:tcBorders>
              <w:top w:val="single" w:sz="6" w:space="0" w:color="auto"/>
              <w:left w:val="single" w:sz="4" w:space="0" w:color="auto"/>
              <w:bottom w:val="single" w:sz="6" w:space="0" w:color="auto"/>
              <w:right w:val="single" w:sz="6" w:space="0" w:color="auto"/>
            </w:tcBorders>
            <w:vAlign w:val="center"/>
          </w:tcPr>
          <w:p w14:paraId="608B20B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84" w:type="pct"/>
            <w:tcBorders>
              <w:top w:val="single" w:sz="6" w:space="0" w:color="auto"/>
              <w:left w:val="single" w:sz="6" w:space="0" w:color="auto"/>
              <w:bottom w:val="single" w:sz="6" w:space="0" w:color="auto"/>
              <w:right w:val="single" w:sz="6" w:space="0" w:color="auto"/>
            </w:tcBorders>
            <w:vAlign w:val="center"/>
          </w:tcPr>
          <w:p w14:paraId="547395CD" w14:textId="4B126FDA"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tc>
        <w:tc>
          <w:tcPr>
            <w:tcW w:w="1497" w:type="pct"/>
            <w:vMerge w:val="restart"/>
            <w:tcBorders>
              <w:top w:val="single" w:sz="6" w:space="0" w:color="auto"/>
              <w:left w:val="single" w:sz="6" w:space="0" w:color="auto"/>
              <w:right w:val="single" w:sz="6" w:space="0" w:color="auto"/>
            </w:tcBorders>
            <w:vAlign w:val="center"/>
          </w:tcPr>
          <w:p w14:paraId="7146BA9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826" w:type="pct"/>
            <w:tcBorders>
              <w:top w:val="single" w:sz="6" w:space="0" w:color="auto"/>
              <w:left w:val="single" w:sz="6" w:space="0" w:color="auto"/>
              <w:bottom w:val="single" w:sz="6" w:space="0" w:color="auto"/>
              <w:right w:val="single" w:sz="4" w:space="0" w:color="auto"/>
            </w:tcBorders>
            <w:vAlign w:val="center"/>
          </w:tcPr>
          <w:p w14:paraId="4170A9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yakma tesislerine uygulanabilir.</w:t>
            </w:r>
          </w:p>
          <w:p w14:paraId="1A1786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tesis güvenliğiyle ilişkili kısıtlamalar dahilinde mevcut yakma tesislerine uygulanabilir.</w:t>
            </w:r>
          </w:p>
        </w:tc>
      </w:tr>
      <w:tr w:rsidR="003328F9" w:rsidRPr="00DD0D1F" w14:paraId="0FE4DC49"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1069E7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84" w:type="pct"/>
            <w:tcBorders>
              <w:top w:val="single" w:sz="6" w:space="0" w:color="auto"/>
              <w:left w:val="single" w:sz="6" w:space="0" w:color="auto"/>
              <w:bottom w:val="single" w:sz="6" w:space="0" w:color="auto"/>
              <w:right w:val="single" w:sz="6" w:space="0" w:color="auto"/>
            </w:tcBorders>
            <w:vAlign w:val="center"/>
          </w:tcPr>
          <w:p w14:paraId="49EA603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497" w:type="pct"/>
            <w:vMerge/>
            <w:tcBorders>
              <w:left w:val="single" w:sz="6" w:space="0" w:color="auto"/>
              <w:right w:val="single" w:sz="6" w:space="0" w:color="auto"/>
            </w:tcBorders>
            <w:vAlign w:val="center"/>
          </w:tcPr>
          <w:p w14:paraId="3F793169"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27695B6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bulunması ile ilişkili olarak uygulanabilirliği sınırlıdır.</w:t>
            </w:r>
          </w:p>
        </w:tc>
      </w:tr>
      <w:tr w:rsidR="003328F9" w:rsidRPr="00DD0D1F" w14:paraId="5346A341" w14:textId="77777777" w:rsidTr="003328F9">
        <w:trPr>
          <w:trHeight w:val="65"/>
        </w:trPr>
        <w:tc>
          <w:tcPr>
            <w:tcW w:w="193" w:type="pct"/>
            <w:tcBorders>
              <w:top w:val="single" w:sz="6" w:space="0" w:color="auto"/>
              <w:left w:val="single" w:sz="4" w:space="0" w:color="auto"/>
              <w:bottom w:val="single" w:sz="6" w:space="0" w:color="auto"/>
              <w:right w:val="single" w:sz="6" w:space="0" w:color="auto"/>
            </w:tcBorders>
            <w:vAlign w:val="center"/>
          </w:tcPr>
          <w:p w14:paraId="59E389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84" w:type="pct"/>
            <w:tcBorders>
              <w:top w:val="single" w:sz="6" w:space="0" w:color="auto"/>
              <w:left w:val="single" w:sz="6" w:space="0" w:color="auto"/>
              <w:bottom w:val="single" w:sz="6" w:space="0" w:color="auto"/>
              <w:right w:val="single" w:sz="6" w:space="0" w:color="auto"/>
            </w:tcBorders>
            <w:vAlign w:val="center"/>
          </w:tcPr>
          <w:p w14:paraId="092966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497" w:type="pct"/>
            <w:vMerge/>
            <w:tcBorders>
              <w:left w:val="single" w:sz="6" w:space="0" w:color="auto"/>
              <w:right w:val="single" w:sz="6" w:space="0" w:color="auto"/>
            </w:tcBorders>
            <w:vAlign w:val="center"/>
          </w:tcPr>
          <w:p w14:paraId="143C8A2B"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718D42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Farklı yakıt türlerinin bulunmasıyla ve/veya proses yakıtının alternatif kullanımıyla ilişkili kısıtlamalar dahilinde uygulanabilir.</w:t>
            </w:r>
          </w:p>
        </w:tc>
      </w:tr>
      <w:tr w:rsidR="003328F9" w:rsidRPr="00DD0D1F" w14:paraId="05AFA0AE" w14:textId="77777777" w:rsidTr="003328F9">
        <w:trPr>
          <w:trHeight w:val="362"/>
        </w:trPr>
        <w:tc>
          <w:tcPr>
            <w:tcW w:w="193" w:type="pct"/>
            <w:tcBorders>
              <w:top w:val="single" w:sz="6" w:space="0" w:color="auto"/>
              <w:left w:val="single" w:sz="4" w:space="0" w:color="auto"/>
              <w:bottom w:val="single" w:sz="6" w:space="0" w:color="auto"/>
              <w:right w:val="single" w:sz="6" w:space="0" w:color="auto"/>
            </w:tcBorders>
            <w:vAlign w:val="center"/>
          </w:tcPr>
          <w:p w14:paraId="57F1D6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84" w:type="pct"/>
            <w:tcBorders>
              <w:top w:val="single" w:sz="6" w:space="0" w:color="auto"/>
              <w:left w:val="single" w:sz="6" w:space="0" w:color="auto"/>
              <w:bottom w:val="single" w:sz="6" w:space="0" w:color="auto"/>
              <w:right w:val="single" w:sz="6" w:space="0" w:color="auto"/>
            </w:tcBorders>
            <w:vAlign w:val="center"/>
          </w:tcPr>
          <w:p w14:paraId="73CBFB5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497" w:type="pct"/>
            <w:vMerge/>
            <w:tcBorders>
              <w:left w:val="single" w:sz="6" w:space="0" w:color="auto"/>
              <w:right w:val="single" w:sz="6" w:space="0" w:color="auto"/>
            </w:tcBorders>
            <w:vAlign w:val="center"/>
          </w:tcPr>
          <w:p w14:paraId="73759DB4"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022FFA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kısıtlı olabilir.</w:t>
            </w:r>
          </w:p>
        </w:tc>
      </w:tr>
      <w:tr w:rsidR="003328F9" w:rsidRPr="00DD0D1F" w14:paraId="5AF64F85" w14:textId="77777777" w:rsidTr="003328F9">
        <w:trPr>
          <w:trHeight w:val="839"/>
        </w:trPr>
        <w:tc>
          <w:tcPr>
            <w:tcW w:w="193" w:type="pct"/>
            <w:tcBorders>
              <w:top w:val="single" w:sz="6" w:space="0" w:color="auto"/>
              <w:left w:val="single" w:sz="4" w:space="0" w:color="auto"/>
              <w:bottom w:val="single" w:sz="6" w:space="0" w:color="auto"/>
              <w:right w:val="single" w:sz="6" w:space="0" w:color="auto"/>
            </w:tcBorders>
            <w:vAlign w:val="center"/>
          </w:tcPr>
          <w:p w14:paraId="3DB3D5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484" w:type="pct"/>
            <w:tcBorders>
              <w:top w:val="single" w:sz="6" w:space="0" w:color="auto"/>
              <w:left w:val="single" w:sz="6" w:space="0" w:color="auto"/>
              <w:bottom w:val="single" w:sz="6" w:space="0" w:color="auto"/>
              <w:right w:val="single" w:sz="6" w:space="0" w:color="auto"/>
            </w:tcBorders>
            <w:vAlign w:val="center"/>
          </w:tcPr>
          <w:p w14:paraId="371953F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497" w:type="pct"/>
            <w:vMerge/>
            <w:tcBorders>
              <w:left w:val="single" w:sz="6" w:space="0" w:color="auto"/>
              <w:right w:val="single" w:sz="6" w:space="0" w:color="auto"/>
            </w:tcBorders>
            <w:vAlign w:val="center"/>
          </w:tcPr>
          <w:p w14:paraId="61B6D42A"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3DF63A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tesis güvenliğiyle ilişkili kısıtlamalar dahilinde mevcut yakma tesislerine uygulanabilir.</w:t>
            </w:r>
          </w:p>
          <w:p w14:paraId="2A25B8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0415FF7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Sık yakıt değişiklikleri ve sık yük varyasyonlarının olduğu, 500 saat/yıl ila 1500 saat/yıl arası çalıştırılan yakma tesisleri söz konusu olduğunda uygulanabilirliği sınırlanabilir.</w:t>
            </w:r>
          </w:p>
        </w:tc>
      </w:tr>
      <w:tr w:rsidR="003328F9" w:rsidRPr="00DD0D1F" w14:paraId="721F0C9E" w14:textId="77777777" w:rsidTr="003328F9">
        <w:trPr>
          <w:trHeight w:val="498"/>
        </w:trPr>
        <w:tc>
          <w:tcPr>
            <w:tcW w:w="193" w:type="pct"/>
            <w:tcBorders>
              <w:top w:val="single" w:sz="6" w:space="0" w:color="auto"/>
              <w:left w:val="single" w:sz="4" w:space="0" w:color="auto"/>
              <w:bottom w:val="single" w:sz="4" w:space="0" w:color="auto"/>
              <w:right w:val="single" w:sz="6" w:space="0" w:color="auto"/>
            </w:tcBorders>
            <w:vAlign w:val="center"/>
          </w:tcPr>
          <w:p w14:paraId="3655929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484" w:type="pct"/>
            <w:tcBorders>
              <w:top w:val="single" w:sz="6" w:space="0" w:color="auto"/>
              <w:left w:val="single" w:sz="6" w:space="0" w:color="auto"/>
              <w:bottom w:val="single" w:sz="4" w:space="0" w:color="auto"/>
              <w:right w:val="single" w:sz="6" w:space="0" w:color="auto"/>
            </w:tcBorders>
            <w:vAlign w:val="center"/>
          </w:tcPr>
          <w:p w14:paraId="0BE636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497" w:type="pct"/>
            <w:vMerge/>
            <w:tcBorders>
              <w:left w:val="single" w:sz="6" w:space="0" w:color="auto"/>
              <w:bottom w:val="single" w:sz="4" w:space="0" w:color="auto"/>
              <w:right w:val="single" w:sz="6" w:space="0" w:color="auto"/>
            </w:tcBorders>
            <w:vAlign w:val="center"/>
          </w:tcPr>
          <w:p w14:paraId="19CE3F0F"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4" w:space="0" w:color="auto"/>
              <w:right w:val="single" w:sz="4" w:space="0" w:color="auto"/>
            </w:tcBorders>
            <w:vAlign w:val="center"/>
          </w:tcPr>
          <w:p w14:paraId="1855F2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 yapısı, yeterli alan durumu ve kimyasal tesis güvenliğiyle ilişkili kısıtlamalar dahilinde mevcut yakma tesislerine uygulanabilir.</w:t>
            </w:r>
          </w:p>
          <w:p w14:paraId="345244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532826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46637F7F"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tc>
      </w:tr>
    </w:tbl>
    <w:bookmarkEnd w:id="131"/>
    <w:p w14:paraId="2C33EF4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kazanlarda yakılmasından kaynaklanan NO</w:t>
      </w:r>
      <w:r w:rsidRPr="00DD0D1F">
        <w:rPr>
          <w:rFonts w:cs="Times New Roman"/>
          <w:color w:val="auto"/>
          <w:szCs w:val="24"/>
          <w:vertAlign w:val="subscript"/>
          <w:lang w:val="tr-TR"/>
        </w:rPr>
        <w:t>X</w:t>
      </w:r>
      <w:r w:rsidRPr="00DD0D1F">
        <w:rPr>
          <w:rFonts w:cs="Times New Roman"/>
          <w:color w:val="auto"/>
          <w:szCs w:val="24"/>
          <w:lang w:val="tr-TR"/>
        </w:rPr>
        <w:t>’in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825"/>
        <w:gridCol w:w="1543"/>
        <w:gridCol w:w="1561"/>
        <w:gridCol w:w="1552"/>
        <w:gridCol w:w="1596"/>
      </w:tblGrid>
      <w:tr w:rsidR="003328F9" w:rsidRPr="00DD0D1F" w14:paraId="76FDC46F" w14:textId="77777777" w:rsidTr="003328F9">
        <w:trPr>
          <w:trHeight w:val="364"/>
        </w:trPr>
        <w:tc>
          <w:tcPr>
            <w:tcW w:w="1556" w:type="pct"/>
            <w:vMerge w:val="restart"/>
            <w:tcBorders>
              <w:top w:val="single" w:sz="4" w:space="0" w:color="auto"/>
              <w:left w:val="single" w:sz="4" w:space="0" w:color="auto"/>
              <w:right w:val="single" w:sz="6" w:space="0" w:color="auto"/>
            </w:tcBorders>
            <w:vAlign w:val="center"/>
          </w:tcPr>
          <w:p w14:paraId="5F70380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tesisinde kullanılan yakıt fazı</w:t>
            </w:r>
          </w:p>
        </w:tc>
        <w:tc>
          <w:tcPr>
            <w:tcW w:w="3444" w:type="pct"/>
            <w:gridSpan w:val="4"/>
            <w:tcBorders>
              <w:top w:val="single" w:sz="4" w:space="0" w:color="auto"/>
              <w:left w:val="single" w:sz="6" w:space="0" w:color="auto"/>
              <w:bottom w:val="single" w:sz="6" w:space="0" w:color="auto"/>
              <w:right w:val="single" w:sz="4" w:space="0" w:color="auto"/>
            </w:tcBorders>
            <w:vAlign w:val="center"/>
          </w:tcPr>
          <w:p w14:paraId="6F21992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7402D83" w14:textId="77777777" w:rsidTr="003328F9">
        <w:trPr>
          <w:trHeight w:val="63"/>
        </w:trPr>
        <w:tc>
          <w:tcPr>
            <w:tcW w:w="1556" w:type="pct"/>
            <w:vMerge/>
            <w:tcBorders>
              <w:left w:val="single" w:sz="4" w:space="0" w:color="auto"/>
              <w:right w:val="single" w:sz="6" w:space="0" w:color="auto"/>
            </w:tcBorders>
            <w:vAlign w:val="center"/>
          </w:tcPr>
          <w:p w14:paraId="0065D0F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10" w:type="pct"/>
            <w:gridSpan w:val="2"/>
            <w:tcBorders>
              <w:top w:val="single" w:sz="6" w:space="0" w:color="auto"/>
              <w:left w:val="single" w:sz="6" w:space="0" w:color="auto"/>
              <w:bottom w:val="single" w:sz="6" w:space="0" w:color="auto"/>
              <w:right w:val="single" w:sz="6" w:space="0" w:color="auto"/>
            </w:tcBorders>
            <w:vAlign w:val="center"/>
          </w:tcPr>
          <w:p w14:paraId="5D0F145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33" w:type="pct"/>
            <w:gridSpan w:val="2"/>
            <w:tcBorders>
              <w:top w:val="single" w:sz="6" w:space="0" w:color="auto"/>
              <w:left w:val="single" w:sz="6" w:space="0" w:color="auto"/>
              <w:bottom w:val="single" w:sz="6" w:space="0" w:color="auto"/>
              <w:right w:val="single" w:sz="4" w:space="0" w:color="auto"/>
            </w:tcBorders>
            <w:vAlign w:val="center"/>
          </w:tcPr>
          <w:p w14:paraId="268CEBD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0DA92505" w14:textId="77777777" w:rsidTr="003328F9">
        <w:trPr>
          <w:trHeight w:val="364"/>
        </w:trPr>
        <w:tc>
          <w:tcPr>
            <w:tcW w:w="1556" w:type="pct"/>
            <w:vMerge/>
            <w:tcBorders>
              <w:left w:val="single" w:sz="4" w:space="0" w:color="auto"/>
              <w:bottom w:val="single" w:sz="6" w:space="0" w:color="auto"/>
              <w:right w:val="single" w:sz="6" w:space="0" w:color="auto"/>
            </w:tcBorders>
            <w:vAlign w:val="center"/>
          </w:tcPr>
          <w:p w14:paraId="441EB9F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50" w:type="pct"/>
            <w:tcBorders>
              <w:top w:val="single" w:sz="6" w:space="0" w:color="auto"/>
              <w:left w:val="single" w:sz="6" w:space="0" w:color="auto"/>
              <w:bottom w:val="single" w:sz="6" w:space="0" w:color="auto"/>
              <w:right w:val="single" w:sz="6" w:space="0" w:color="auto"/>
            </w:tcBorders>
            <w:vAlign w:val="center"/>
          </w:tcPr>
          <w:p w14:paraId="69D19F4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60" w:type="pct"/>
            <w:tcBorders>
              <w:top w:val="single" w:sz="6" w:space="0" w:color="auto"/>
              <w:left w:val="single" w:sz="6" w:space="0" w:color="auto"/>
              <w:bottom w:val="single" w:sz="6" w:space="0" w:color="auto"/>
              <w:right w:val="single" w:sz="6" w:space="0" w:color="auto"/>
            </w:tcBorders>
            <w:vAlign w:val="center"/>
          </w:tcPr>
          <w:p w14:paraId="29D889D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855" w:type="pct"/>
            <w:tcBorders>
              <w:top w:val="single" w:sz="6" w:space="0" w:color="auto"/>
              <w:left w:val="single" w:sz="6" w:space="0" w:color="auto"/>
              <w:bottom w:val="single" w:sz="6" w:space="0" w:color="auto"/>
              <w:right w:val="single" w:sz="6" w:space="0" w:color="auto"/>
            </w:tcBorders>
            <w:vAlign w:val="center"/>
          </w:tcPr>
          <w:p w14:paraId="732CBA2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78" w:type="pct"/>
            <w:tcBorders>
              <w:top w:val="single" w:sz="6" w:space="0" w:color="auto"/>
              <w:left w:val="single" w:sz="6" w:space="0" w:color="auto"/>
              <w:bottom w:val="single" w:sz="6" w:space="0" w:color="auto"/>
              <w:right w:val="single" w:sz="4" w:space="0" w:color="auto"/>
            </w:tcBorders>
            <w:vAlign w:val="center"/>
          </w:tcPr>
          <w:p w14:paraId="15EF054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r>
      <w:tr w:rsidR="003328F9" w:rsidRPr="00DD0D1F" w14:paraId="258CF090" w14:textId="77777777" w:rsidTr="003328F9">
        <w:trPr>
          <w:trHeight w:val="63"/>
        </w:trPr>
        <w:tc>
          <w:tcPr>
            <w:tcW w:w="1556" w:type="pct"/>
            <w:tcBorders>
              <w:top w:val="single" w:sz="6" w:space="0" w:color="auto"/>
              <w:left w:val="single" w:sz="4" w:space="0" w:color="auto"/>
              <w:bottom w:val="single" w:sz="6" w:space="0" w:color="auto"/>
              <w:right w:val="single" w:sz="6" w:space="0" w:color="auto"/>
            </w:tcBorders>
            <w:vAlign w:val="center"/>
          </w:tcPr>
          <w:p w14:paraId="2CFDF0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ve sıvı karışımı</w:t>
            </w:r>
          </w:p>
        </w:tc>
        <w:tc>
          <w:tcPr>
            <w:tcW w:w="850" w:type="pct"/>
            <w:tcBorders>
              <w:top w:val="single" w:sz="6" w:space="0" w:color="auto"/>
              <w:left w:val="single" w:sz="6" w:space="0" w:color="auto"/>
              <w:bottom w:val="single" w:sz="6" w:space="0" w:color="auto"/>
              <w:right w:val="single" w:sz="6" w:space="0" w:color="auto"/>
            </w:tcBorders>
            <w:vAlign w:val="center"/>
          </w:tcPr>
          <w:p w14:paraId="24F4EE5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30-85</w:t>
            </w:r>
          </w:p>
        </w:tc>
        <w:tc>
          <w:tcPr>
            <w:tcW w:w="860" w:type="pct"/>
            <w:tcBorders>
              <w:top w:val="single" w:sz="6" w:space="0" w:color="auto"/>
              <w:left w:val="single" w:sz="6" w:space="0" w:color="auto"/>
              <w:bottom w:val="single" w:sz="6" w:space="0" w:color="auto"/>
              <w:right w:val="single" w:sz="6" w:space="0" w:color="auto"/>
            </w:tcBorders>
            <w:vAlign w:val="center"/>
          </w:tcPr>
          <w:p w14:paraId="6368EF6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80-290 (</w:t>
            </w:r>
            <w:r w:rsidRPr="00DD0D1F">
              <w:rPr>
                <w:rFonts w:cs="Times New Roman"/>
                <w:szCs w:val="24"/>
                <w:vertAlign w:val="superscript"/>
                <w:lang w:val="tr-TR"/>
              </w:rPr>
              <w:t>3</w:t>
            </w:r>
            <w:r w:rsidRPr="00DD0D1F">
              <w:rPr>
                <w:rFonts w:cs="Times New Roman"/>
                <w:szCs w:val="24"/>
                <w:lang w:val="tr-TR"/>
              </w:rPr>
              <w:t>)</w:t>
            </w:r>
          </w:p>
        </w:tc>
        <w:tc>
          <w:tcPr>
            <w:tcW w:w="855" w:type="pct"/>
            <w:tcBorders>
              <w:top w:val="single" w:sz="6" w:space="0" w:color="auto"/>
              <w:left w:val="single" w:sz="6" w:space="0" w:color="auto"/>
              <w:bottom w:val="single" w:sz="6" w:space="0" w:color="auto"/>
              <w:right w:val="single" w:sz="6" w:space="0" w:color="auto"/>
            </w:tcBorders>
            <w:vAlign w:val="center"/>
          </w:tcPr>
          <w:p w14:paraId="4BB4194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50-110</w:t>
            </w:r>
          </w:p>
        </w:tc>
        <w:tc>
          <w:tcPr>
            <w:tcW w:w="878" w:type="pct"/>
            <w:tcBorders>
              <w:top w:val="single" w:sz="6" w:space="0" w:color="auto"/>
              <w:left w:val="single" w:sz="6" w:space="0" w:color="auto"/>
              <w:bottom w:val="single" w:sz="6" w:space="0" w:color="auto"/>
              <w:right w:val="single" w:sz="4" w:space="0" w:color="auto"/>
            </w:tcBorders>
            <w:vAlign w:val="center"/>
          </w:tcPr>
          <w:p w14:paraId="573BA0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100-330 (</w:t>
            </w:r>
            <w:r w:rsidRPr="00DD0D1F">
              <w:rPr>
                <w:rFonts w:cs="Times New Roman"/>
                <w:szCs w:val="24"/>
                <w:vertAlign w:val="superscript"/>
                <w:lang w:val="tr-TR"/>
              </w:rPr>
              <w:t>3</w:t>
            </w:r>
            <w:r w:rsidRPr="00DD0D1F">
              <w:rPr>
                <w:rFonts w:cs="Times New Roman"/>
                <w:szCs w:val="24"/>
                <w:lang w:val="tr-TR"/>
              </w:rPr>
              <w:t>)</w:t>
            </w:r>
          </w:p>
        </w:tc>
      </w:tr>
      <w:tr w:rsidR="003328F9" w:rsidRPr="00DD0D1F" w14:paraId="459CF4A3" w14:textId="77777777" w:rsidTr="003328F9">
        <w:trPr>
          <w:trHeight w:val="63"/>
        </w:trPr>
        <w:tc>
          <w:tcPr>
            <w:tcW w:w="1556" w:type="pct"/>
            <w:tcBorders>
              <w:top w:val="single" w:sz="6" w:space="0" w:color="auto"/>
              <w:left w:val="single" w:sz="4" w:space="0" w:color="auto"/>
              <w:bottom w:val="single" w:sz="6" w:space="0" w:color="auto"/>
              <w:right w:val="single" w:sz="6" w:space="0" w:color="auto"/>
            </w:tcBorders>
            <w:vAlign w:val="center"/>
          </w:tcPr>
          <w:p w14:paraId="2AF59C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gazlar</w:t>
            </w:r>
          </w:p>
        </w:tc>
        <w:tc>
          <w:tcPr>
            <w:tcW w:w="850" w:type="pct"/>
            <w:tcBorders>
              <w:top w:val="single" w:sz="6" w:space="0" w:color="auto"/>
              <w:left w:val="single" w:sz="6" w:space="0" w:color="auto"/>
              <w:bottom w:val="single" w:sz="6" w:space="0" w:color="auto"/>
              <w:right w:val="single" w:sz="6" w:space="0" w:color="auto"/>
            </w:tcBorders>
            <w:vAlign w:val="center"/>
          </w:tcPr>
          <w:p w14:paraId="2B73735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20-80</w:t>
            </w:r>
          </w:p>
        </w:tc>
        <w:tc>
          <w:tcPr>
            <w:tcW w:w="860" w:type="pct"/>
            <w:tcBorders>
              <w:top w:val="single" w:sz="6" w:space="0" w:color="auto"/>
              <w:left w:val="single" w:sz="6" w:space="0" w:color="auto"/>
              <w:bottom w:val="single" w:sz="6" w:space="0" w:color="auto"/>
              <w:right w:val="single" w:sz="6" w:space="0" w:color="auto"/>
            </w:tcBorders>
            <w:vAlign w:val="center"/>
          </w:tcPr>
          <w:p w14:paraId="071C597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70-100 (</w:t>
            </w:r>
            <w:r w:rsidRPr="00DD0D1F">
              <w:rPr>
                <w:rFonts w:cs="Times New Roman"/>
                <w:szCs w:val="24"/>
                <w:vertAlign w:val="superscript"/>
                <w:lang w:val="tr-TR"/>
              </w:rPr>
              <w:t>4</w:t>
            </w:r>
            <w:r w:rsidRPr="00DD0D1F">
              <w:rPr>
                <w:rFonts w:cs="Times New Roman"/>
                <w:szCs w:val="24"/>
                <w:lang w:val="tr-TR"/>
              </w:rPr>
              <w:t>)</w:t>
            </w:r>
          </w:p>
        </w:tc>
        <w:tc>
          <w:tcPr>
            <w:tcW w:w="855" w:type="pct"/>
            <w:tcBorders>
              <w:top w:val="single" w:sz="6" w:space="0" w:color="auto"/>
              <w:left w:val="single" w:sz="6" w:space="0" w:color="auto"/>
              <w:bottom w:val="single" w:sz="6" w:space="0" w:color="auto"/>
              <w:right w:val="single" w:sz="6" w:space="0" w:color="auto"/>
            </w:tcBorders>
            <w:vAlign w:val="center"/>
          </w:tcPr>
          <w:p w14:paraId="65A054E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30-100</w:t>
            </w:r>
          </w:p>
        </w:tc>
        <w:tc>
          <w:tcPr>
            <w:tcW w:w="878" w:type="pct"/>
            <w:tcBorders>
              <w:top w:val="single" w:sz="6" w:space="0" w:color="auto"/>
              <w:left w:val="single" w:sz="6" w:space="0" w:color="auto"/>
              <w:bottom w:val="single" w:sz="6" w:space="0" w:color="auto"/>
              <w:right w:val="single" w:sz="4" w:space="0" w:color="auto"/>
            </w:tcBorders>
            <w:vAlign w:val="center"/>
          </w:tcPr>
          <w:p w14:paraId="52E5669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85-110 (</w:t>
            </w:r>
            <w:r w:rsidRPr="00DD0D1F">
              <w:rPr>
                <w:rFonts w:cs="Times New Roman"/>
                <w:szCs w:val="24"/>
                <w:vertAlign w:val="superscript"/>
                <w:lang w:val="tr-TR"/>
              </w:rPr>
              <w:t>5</w:t>
            </w:r>
            <w:r w:rsidRPr="00DD0D1F">
              <w:rPr>
                <w:rFonts w:cs="Times New Roman"/>
                <w:szCs w:val="24"/>
                <w:lang w:val="tr-TR"/>
              </w:rPr>
              <w:t>)</w:t>
            </w:r>
          </w:p>
        </w:tc>
      </w:tr>
      <w:tr w:rsidR="003328F9" w:rsidRPr="00DD0D1F" w14:paraId="4B94D06C" w14:textId="77777777" w:rsidTr="003328F9">
        <w:trPr>
          <w:trHeight w:val="137"/>
        </w:trPr>
        <w:tc>
          <w:tcPr>
            <w:tcW w:w="5000" w:type="pct"/>
            <w:gridSpan w:val="5"/>
            <w:tcBorders>
              <w:top w:val="single" w:sz="6" w:space="0" w:color="auto"/>
              <w:left w:val="single" w:sz="4" w:space="0" w:color="auto"/>
              <w:bottom w:val="single" w:sz="4" w:space="0" w:color="auto"/>
              <w:right w:val="single" w:sz="4" w:space="0" w:color="auto"/>
            </w:tcBorders>
          </w:tcPr>
          <w:p w14:paraId="3161E5E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&lt;1500 saat/yıl çalıştırılan tesisler için bu MET-İES’ler uygulanmaz. </w:t>
            </w:r>
          </w:p>
          <w:p w14:paraId="13BCF2A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2B6E669" w14:textId="1C0BEB0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27 Kasım 2003 tarihinden önce devreye alınan azot içeriği ağırlıkça %0,6'dan fazla olan sıvı yakıtlar kullanan ≤500 MW</w:t>
            </w:r>
            <w:r w:rsidRPr="00DD0D1F">
              <w:rPr>
                <w:rFonts w:cs="Times New Roman"/>
                <w:szCs w:val="24"/>
                <w:vertAlign w:val="subscript"/>
                <w:lang w:val="tr-TR"/>
              </w:rPr>
              <w:t>th</w:t>
            </w:r>
            <w:r w:rsidRPr="00DD0D1F">
              <w:rPr>
                <w:rFonts w:cs="Times New Roman"/>
                <w:szCs w:val="24"/>
                <w:lang w:val="tr-TR"/>
              </w:rPr>
              <w:t xml:space="preserve">'lik mevcut tesisler için, MET-İES aralığının üst </w:t>
            </w:r>
            <w:r w:rsidR="00A504E5" w:rsidRPr="00DD0D1F">
              <w:rPr>
                <w:rFonts w:cs="Times New Roman"/>
                <w:szCs w:val="24"/>
                <w:lang w:val="tr-TR"/>
              </w:rPr>
              <w:t>sınırı</w:t>
            </w:r>
            <w:r w:rsidRPr="00DD0D1F">
              <w:rPr>
                <w:rFonts w:cs="Times New Roman"/>
                <w:szCs w:val="24"/>
                <w:lang w:val="tr-TR"/>
              </w:rPr>
              <w:t xml:space="preserve"> 380 mg/Nm</w:t>
            </w:r>
            <w:r w:rsidRPr="00DD0D1F">
              <w:rPr>
                <w:rFonts w:cs="Times New Roman"/>
                <w:szCs w:val="24"/>
                <w:vertAlign w:val="superscript"/>
                <w:lang w:val="tr-TR"/>
              </w:rPr>
              <w:t>3</w:t>
            </w:r>
            <w:r w:rsidRPr="00DD0D1F">
              <w:rPr>
                <w:rFonts w:cs="Times New Roman"/>
                <w:szCs w:val="24"/>
                <w:lang w:val="tr-TR"/>
              </w:rPr>
              <w:t>'tür.</w:t>
            </w:r>
          </w:p>
          <w:p w14:paraId="4DB224E2" w14:textId="21F0A2C6"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1 Aralık 2025</w:t>
            </w:r>
            <w:r w:rsidRPr="00DD0D1F">
              <w:rPr>
                <w:rFonts w:cs="Times New Roman"/>
                <w:szCs w:val="24"/>
                <w:lang w:val="tr-TR"/>
              </w:rPr>
              <w:t xml:space="preserve"> tarihinden önce devreye alınan tesisler için 180 mg/Nm</w:t>
            </w:r>
            <w:r w:rsidRPr="00DD0D1F">
              <w:rPr>
                <w:rFonts w:cs="Times New Roman"/>
                <w:szCs w:val="24"/>
                <w:vertAlign w:val="superscript"/>
                <w:lang w:val="tr-TR"/>
              </w:rPr>
              <w:t>3</w:t>
            </w:r>
            <w:r w:rsidRPr="00DD0D1F">
              <w:rPr>
                <w:rFonts w:cs="Times New Roman"/>
                <w:szCs w:val="24"/>
                <w:lang w:val="tr-TR"/>
              </w:rPr>
              <w:t>'tür.</w:t>
            </w:r>
          </w:p>
          <w:p w14:paraId="463DCAAB" w14:textId="70B3AA79"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 xml:space="preserve">1 Aralık 2025 </w:t>
            </w:r>
            <w:r w:rsidRPr="00DD0D1F">
              <w:rPr>
                <w:rFonts w:cs="Times New Roman"/>
                <w:szCs w:val="24"/>
                <w:lang w:val="tr-TR"/>
              </w:rPr>
              <w:t>tarihinden önce devreye alınan tesisler için 210 mg/Nm</w:t>
            </w:r>
            <w:r w:rsidRPr="00DD0D1F">
              <w:rPr>
                <w:rFonts w:cs="Times New Roman"/>
                <w:szCs w:val="24"/>
                <w:vertAlign w:val="superscript"/>
                <w:lang w:val="tr-TR"/>
              </w:rPr>
              <w:t>3</w:t>
            </w:r>
            <w:r w:rsidRPr="00DD0D1F">
              <w:rPr>
                <w:rFonts w:cs="Times New Roman"/>
                <w:szCs w:val="24"/>
                <w:lang w:val="tr-TR"/>
              </w:rPr>
              <w:t>'tür.</w:t>
            </w:r>
          </w:p>
        </w:tc>
      </w:tr>
    </w:tbl>
    <w:p w14:paraId="270C91F5" w14:textId="77777777" w:rsidR="003328F9" w:rsidRPr="00DD0D1F" w:rsidRDefault="003328F9" w:rsidP="003328F9">
      <w:pPr>
        <w:adjustRightInd w:val="0"/>
        <w:spacing w:before="240"/>
        <w:rPr>
          <w:rFonts w:cs="Times New Roman"/>
          <w:szCs w:val="24"/>
          <w:lang w:val="tr-TR"/>
        </w:rPr>
      </w:pPr>
      <w:r w:rsidRPr="00DD0D1F">
        <w:rPr>
          <w:rFonts w:cs="Times New Roman"/>
          <w:szCs w:val="24"/>
          <w:lang w:val="tr-TR"/>
        </w:rPr>
        <w:t>Bir gösterge olarak, ≥1500 saat/yıl çalıştırılan mevcut tesisler için ve yeni yakma tesisleri için yıllık ortalama CO emisyon seviyeleri genel olarak &lt;5-30 mg/Nm</w:t>
      </w:r>
      <w:r w:rsidRPr="00DD0D1F">
        <w:rPr>
          <w:rFonts w:cs="Times New Roman"/>
          <w:szCs w:val="24"/>
          <w:vertAlign w:val="superscript"/>
          <w:lang w:val="tr-TR"/>
        </w:rPr>
        <w:t>3</w:t>
      </w:r>
      <w:r w:rsidRPr="00DD0D1F">
        <w:rPr>
          <w:rFonts w:cs="Times New Roman"/>
          <w:szCs w:val="24"/>
          <w:lang w:val="tr-TR"/>
        </w:rPr>
        <w:t xml:space="preserve"> olacaktır.</w:t>
      </w:r>
    </w:p>
    <w:p w14:paraId="28482BDD" w14:textId="77777777" w:rsidR="003328F9" w:rsidRPr="00DD0D1F" w:rsidRDefault="003328F9" w:rsidP="00FF111D">
      <w:pPr>
        <w:pStyle w:val="Balk3"/>
        <w:numPr>
          <w:ilvl w:val="2"/>
          <w:numId w:val="73"/>
        </w:numPr>
        <w:rPr>
          <w:rFonts w:cs="Times New Roman"/>
          <w:lang w:val="tr-TR"/>
        </w:rPr>
      </w:pPr>
      <w:bookmarkStart w:id="132" w:name="_Toc137367337"/>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132"/>
    </w:p>
    <w:p w14:paraId="73C7782D" w14:textId="39DDD6A8" w:rsidR="003328F9" w:rsidRPr="00DD0D1F" w:rsidRDefault="003328F9" w:rsidP="003328F9">
      <w:pPr>
        <w:spacing w:before="240"/>
        <w:rPr>
          <w:rFonts w:cs="Times New Roman"/>
          <w:b/>
          <w:bCs/>
          <w:szCs w:val="24"/>
          <w:lang w:val="tr-TR"/>
        </w:rPr>
      </w:pPr>
      <w:r w:rsidRPr="00DD0D1F">
        <w:rPr>
          <w:rFonts w:cs="Times New Roman"/>
          <w:b/>
          <w:bCs/>
          <w:szCs w:val="24"/>
          <w:lang w:val="tr-TR"/>
        </w:rPr>
        <w:t>MET 57</w:t>
      </w:r>
      <w:bookmarkStart w:id="133" w:name="_Hlk137397778"/>
      <w:r w:rsidRPr="00DD0D1F">
        <w:rPr>
          <w:rFonts w:cs="Times New Roman"/>
          <w:b/>
          <w:bCs/>
          <w:szCs w:val="24"/>
          <w:lang w:val="tr-TR"/>
        </w:rPr>
        <w:t xml:space="preserve">: </w:t>
      </w:r>
      <w:r w:rsidRPr="00DD0D1F">
        <w:rPr>
          <w:rFonts w:cs="Times New Roman"/>
          <w:bCs/>
          <w:szCs w:val="24"/>
          <w:lang w:val="tr-TR"/>
        </w:rPr>
        <w:t>Kimya endüstrisinden kaynaklanan proses yakıtlarının kazanlarda yakılmasına ilişkin havaya SO</w:t>
      </w:r>
      <w:r w:rsidRPr="00DD0D1F">
        <w:rPr>
          <w:rFonts w:cs="Times New Roman"/>
          <w:bCs/>
          <w:szCs w:val="24"/>
          <w:vertAlign w:val="subscript"/>
          <w:lang w:val="tr-TR"/>
        </w:rPr>
        <w:t>X</w:t>
      </w:r>
      <w:r w:rsidRPr="00DD0D1F">
        <w:rPr>
          <w:rFonts w:cs="Times New Roman"/>
          <w:bCs/>
          <w:szCs w:val="24"/>
          <w:lang w:val="tr-TR"/>
        </w:rPr>
        <w:t>, HCl ve HF emisyonlarını azaltmak için, aşağıda verilen tekniklerin biri</w:t>
      </w:r>
      <w:r w:rsidR="00C533DB" w:rsidRPr="00DD0D1F">
        <w:rPr>
          <w:rFonts w:cs="Times New Roman"/>
          <w:bCs/>
          <w:szCs w:val="24"/>
          <w:lang w:val="tr-TR"/>
        </w:rPr>
        <w:t xml:space="preserve"> veya bunların bir birleşimi</w:t>
      </w:r>
      <w:r w:rsidRPr="00DD0D1F">
        <w:rPr>
          <w:rFonts w:cs="Times New Roman"/>
          <w:bCs/>
          <w:szCs w:val="24"/>
          <w:lang w:val="tr-TR"/>
        </w:rPr>
        <w:t xml:space="preserve"> kullan</w:t>
      </w:r>
      <w:r w:rsidR="00C533DB" w:rsidRPr="00DD0D1F">
        <w:rPr>
          <w:rFonts w:cs="Times New Roman"/>
          <w:bCs/>
          <w:szCs w:val="24"/>
          <w:lang w:val="tr-TR"/>
        </w:rPr>
        <w:t>ılır.</w:t>
      </w:r>
      <w:bookmarkEnd w:id="133"/>
    </w:p>
    <w:tbl>
      <w:tblPr>
        <w:tblW w:w="5000" w:type="pct"/>
        <w:tblCellMar>
          <w:left w:w="40" w:type="dxa"/>
          <w:right w:w="40" w:type="dxa"/>
        </w:tblCellMar>
        <w:tblLook w:val="0000" w:firstRow="0" w:lastRow="0" w:firstColumn="0" w:lastColumn="0" w:noHBand="0" w:noVBand="0"/>
      </w:tblPr>
      <w:tblGrid>
        <w:gridCol w:w="348"/>
        <w:gridCol w:w="1745"/>
        <w:gridCol w:w="3709"/>
        <w:gridCol w:w="3275"/>
      </w:tblGrid>
      <w:tr w:rsidR="003328F9" w:rsidRPr="00DD0D1F" w14:paraId="2E30BD79" w14:textId="77777777" w:rsidTr="003328F9">
        <w:trPr>
          <w:trHeight w:val="365"/>
          <w:tblHeader/>
        </w:trPr>
        <w:tc>
          <w:tcPr>
            <w:tcW w:w="192" w:type="pct"/>
            <w:tcBorders>
              <w:top w:val="single" w:sz="4" w:space="0" w:color="auto"/>
              <w:left w:val="single" w:sz="4" w:space="0" w:color="auto"/>
              <w:bottom w:val="single" w:sz="6" w:space="0" w:color="auto"/>
              <w:right w:val="single" w:sz="4" w:space="0" w:color="auto"/>
            </w:tcBorders>
            <w:vAlign w:val="center"/>
          </w:tcPr>
          <w:p w14:paraId="465A4DB5" w14:textId="77777777" w:rsidR="003328F9" w:rsidRPr="00DD0D1F" w:rsidRDefault="003328F9" w:rsidP="003328F9">
            <w:pPr>
              <w:adjustRightInd w:val="0"/>
              <w:spacing w:line="240" w:lineRule="auto"/>
              <w:ind w:right="74"/>
              <w:jc w:val="center"/>
              <w:rPr>
                <w:rFonts w:cs="Times New Roman"/>
                <w:b/>
                <w:szCs w:val="24"/>
                <w:lang w:val="tr-TR"/>
              </w:rPr>
            </w:pPr>
          </w:p>
        </w:tc>
        <w:tc>
          <w:tcPr>
            <w:tcW w:w="961" w:type="pct"/>
            <w:tcBorders>
              <w:top w:val="single" w:sz="4" w:space="0" w:color="auto"/>
              <w:left w:val="single" w:sz="4" w:space="0" w:color="auto"/>
              <w:bottom w:val="single" w:sz="6" w:space="0" w:color="auto"/>
              <w:right w:val="single" w:sz="6" w:space="0" w:color="auto"/>
            </w:tcBorders>
            <w:vAlign w:val="center"/>
          </w:tcPr>
          <w:p w14:paraId="1164003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043" w:type="pct"/>
            <w:tcBorders>
              <w:top w:val="single" w:sz="4" w:space="0" w:color="auto"/>
              <w:left w:val="single" w:sz="6" w:space="0" w:color="auto"/>
              <w:bottom w:val="single" w:sz="6" w:space="0" w:color="auto"/>
              <w:right w:val="single" w:sz="6" w:space="0" w:color="auto"/>
            </w:tcBorders>
            <w:vAlign w:val="center"/>
          </w:tcPr>
          <w:p w14:paraId="4469AB5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04" w:type="pct"/>
            <w:tcBorders>
              <w:top w:val="single" w:sz="4" w:space="0" w:color="auto"/>
              <w:left w:val="single" w:sz="6" w:space="0" w:color="auto"/>
              <w:bottom w:val="single" w:sz="6" w:space="0" w:color="auto"/>
              <w:right w:val="single" w:sz="4" w:space="0" w:color="auto"/>
            </w:tcBorders>
            <w:vAlign w:val="center"/>
          </w:tcPr>
          <w:p w14:paraId="24DF865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4379F539" w14:textId="77777777" w:rsidTr="003328F9">
        <w:trPr>
          <w:trHeight w:val="64"/>
        </w:trPr>
        <w:tc>
          <w:tcPr>
            <w:tcW w:w="192" w:type="pct"/>
            <w:tcBorders>
              <w:top w:val="single" w:sz="6" w:space="0" w:color="auto"/>
              <w:left w:val="single" w:sz="4" w:space="0" w:color="auto"/>
              <w:bottom w:val="single" w:sz="6" w:space="0" w:color="auto"/>
              <w:right w:val="single" w:sz="4" w:space="0" w:color="auto"/>
            </w:tcBorders>
            <w:vAlign w:val="center"/>
          </w:tcPr>
          <w:p w14:paraId="1EE1A1F3" w14:textId="77777777" w:rsidR="003328F9" w:rsidRPr="00DD0D1F" w:rsidRDefault="003328F9" w:rsidP="003328F9">
            <w:pPr>
              <w:adjustRightInd w:val="0"/>
              <w:spacing w:line="240" w:lineRule="auto"/>
              <w:ind w:left="74" w:right="74"/>
              <w:rPr>
                <w:rFonts w:cs="Times New Roman"/>
                <w:szCs w:val="24"/>
                <w:lang w:val="tr-TR"/>
              </w:rPr>
            </w:pPr>
            <w:bookmarkStart w:id="134" w:name="_Hlk137397795"/>
            <w:r w:rsidRPr="00DD0D1F">
              <w:rPr>
                <w:rFonts w:cs="Times New Roman"/>
                <w:szCs w:val="24"/>
                <w:lang w:val="tr-TR"/>
              </w:rPr>
              <w:t>a</w:t>
            </w:r>
          </w:p>
        </w:tc>
        <w:tc>
          <w:tcPr>
            <w:tcW w:w="961" w:type="pct"/>
            <w:tcBorders>
              <w:top w:val="single" w:sz="6" w:space="0" w:color="auto"/>
              <w:left w:val="single" w:sz="4" w:space="0" w:color="auto"/>
              <w:bottom w:val="single" w:sz="6" w:space="0" w:color="auto"/>
              <w:right w:val="single" w:sz="6" w:space="0" w:color="auto"/>
            </w:tcBorders>
            <w:vAlign w:val="center"/>
          </w:tcPr>
          <w:p w14:paraId="510EBC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2043" w:type="pct"/>
            <w:vMerge w:val="restart"/>
            <w:tcBorders>
              <w:top w:val="single" w:sz="6" w:space="0" w:color="auto"/>
              <w:left w:val="single" w:sz="6" w:space="0" w:color="auto"/>
              <w:right w:val="single" w:sz="6" w:space="0" w:color="auto"/>
            </w:tcBorders>
            <w:vAlign w:val="center"/>
          </w:tcPr>
          <w:p w14:paraId="3D69D5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1804" w:type="pct"/>
            <w:tcBorders>
              <w:top w:val="single" w:sz="6" w:space="0" w:color="auto"/>
              <w:left w:val="single" w:sz="6" w:space="0" w:color="auto"/>
              <w:bottom w:val="single" w:sz="6" w:space="0" w:color="auto"/>
              <w:right w:val="single" w:sz="4" w:space="0" w:color="auto"/>
            </w:tcBorders>
            <w:vAlign w:val="center"/>
          </w:tcPr>
          <w:p w14:paraId="2024EBE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Farklı yakıt türlerinin bulunmasıyla ve/veya proses yakıtının alternatif kullanımıyla ilişkili kısıtlamalar dahilinde uygulanabilir.</w:t>
            </w:r>
          </w:p>
        </w:tc>
      </w:tr>
      <w:tr w:rsidR="003328F9" w:rsidRPr="00DD0D1F" w14:paraId="4739AEE9" w14:textId="77777777" w:rsidTr="003328F9">
        <w:trPr>
          <w:trHeight w:val="343"/>
        </w:trPr>
        <w:tc>
          <w:tcPr>
            <w:tcW w:w="192" w:type="pct"/>
            <w:tcBorders>
              <w:top w:val="single" w:sz="6" w:space="0" w:color="auto"/>
              <w:left w:val="single" w:sz="4" w:space="0" w:color="auto"/>
              <w:bottom w:val="single" w:sz="6" w:space="0" w:color="auto"/>
              <w:right w:val="single" w:sz="6" w:space="0" w:color="auto"/>
            </w:tcBorders>
            <w:vAlign w:val="center"/>
          </w:tcPr>
          <w:p w14:paraId="38C167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961" w:type="pct"/>
            <w:tcBorders>
              <w:top w:val="single" w:sz="6" w:space="0" w:color="auto"/>
              <w:left w:val="single" w:sz="6" w:space="0" w:color="auto"/>
              <w:bottom w:val="single" w:sz="6" w:space="0" w:color="auto"/>
              <w:right w:val="single" w:sz="6" w:space="0" w:color="auto"/>
            </w:tcBorders>
            <w:vAlign w:val="center"/>
          </w:tcPr>
          <w:p w14:paraId="042178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p w14:paraId="6EA95A4C" w14:textId="7C31233B" w:rsidR="008D093C" w:rsidRPr="00DD0D1F" w:rsidRDefault="008D093C" w:rsidP="003328F9">
            <w:pPr>
              <w:adjustRightInd w:val="0"/>
              <w:spacing w:line="240" w:lineRule="auto"/>
              <w:ind w:left="74" w:right="74"/>
              <w:rPr>
                <w:rFonts w:cs="Times New Roman"/>
                <w:szCs w:val="24"/>
                <w:lang w:val="tr-TR"/>
              </w:rPr>
            </w:pPr>
          </w:p>
        </w:tc>
        <w:tc>
          <w:tcPr>
            <w:tcW w:w="2043" w:type="pct"/>
            <w:vMerge/>
            <w:tcBorders>
              <w:left w:val="single" w:sz="6" w:space="0" w:color="auto"/>
              <w:right w:val="single" w:sz="6" w:space="0" w:color="auto"/>
            </w:tcBorders>
            <w:vAlign w:val="center"/>
          </w:tcPr>
          <w:p w14:paraId="71F9FB0F"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val="restart"/>
            <w:tcBorders>
              <w:top w:val="single" w:sz="6" w:space="0" w:color="auto"/>
              <w:left w:val="single" w:sz="6" w:space="0" w:color="auto"/>
              <w:right w:val="single" w:sz="4" w:space="0" w:color="auto"/>
            </w:tcBorders>
            <w:vAlign w:val="center"/>
          </w:tcPr>
          <w:p w14:paraId="5802D230" w14:textId="77777777" w:rsidR="008D093C" w:rsidRPr="00DD0D1F" w:rsidRDefault="008D093C" w:rsidP="003328F9">
            <w:pPr>
              <w:adjustRightInd w:val="0"/>
              <w:spacing w:line="240" w:lineRule="auto"/>
              <w:ind w:left="74" w:right="74"/>
              <w:rPr>
                <w:rFonts w:cs="Times New Roman"/>
                <w:szCs w:val="24"/>
                <w:lang w:val="tr-TR"/>
              </w:rPr>
            </w:pPr>
          </w:p>
          <w:p w14:paraId="1E216C8E" w14:textId="5541CA8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 yapısı, yeterli alan durumu ve kimyasal tesis güvenliğiyle ilişkili kısıtlamalar dahilinde mevcut yakma tesislerine uygulanabilir.</w:t>
            </w:r>
          </w:p>
          <w:p w14:paraId="034E52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tesislerinde, yaş FGD ve deniz suyu FGD uygulanmaz.</w:t>
            </w:r>
          </w:p>
          <w:p w14:paraId="6EAE03ED" w14:textId="77777777" w:rsidR="003328F9" w:rsidRPr="00DD0D1F" w:rsidRDefault="003328F9" w:rsidP="003328F9">
            <w:pPr>
              <w:adjustRightInd w:val="0"/>
              <w:spacing w:line="240" w:lineRule="auto"/>
              <w:ind w:left="74" w:right="74"/>
              <w:rPr>
                <w:rFonts w:cs="Times New Roman"/>
                <w:szCs w:val="24"/>
                <w:lang w:val="tr-TR"/>
              </w:rPr>
            </w:pPr>
          </w:p>
          <w:p w14:paraId="24D9811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ve deniz suyu FGD’nin &lt; 300 MW</w:t>
            </w:r>
            <w:r w:rsidRPr="00DD0D1F">
              <w:rPr>
                <w:rFonts w:cs="Times New Roman"/>
                <w:szCs w:val="24"/>
                <w:vertAlign w:val="subscript"/>
                <w:lang w:val="tr-TR"/>
              </w:rPr>
              <w:t>th</w:t>
            </w:r>
            <w:r w:rsidRPr="00DD0D1F">
              <w:rPr>
                <w:rFonts w:cs="Times New Roman"/>
                <w:szCs w:val="24"/>
                <w:lang w:val="tr-TR"/>
              </w:rPr>
              <w:t>’lik yakma tesislerinde uygulanması için ve 500 saat/yıl ila 1500 saat/yıl arası FGD ve deniz suyu FGD ile çalıştırılan yakma tesislerinin iyileştirilmesi için teknik ve ekonomik kısıtlamalar bulunabilir.</w:t>
            </w:r>
          </w:p>
        </w:tc>
      </w:tr>
      <w:tr w:rsidR="003328F9" w:rsidRPr="00DD0D1F" w14:paraId="2A86490F" w14:textId="77777777" w:rsidTr="003328F9">
        <w:trPr>
          <w:trHeight w:val="64"/>
        </w:trPr>
        <w:tc>
          <w:tcPr>
            <w:tcW w:w="192" w:type="pct"/>
            <w:tcBorders>
              <w:top w:val="single" w:sz="6" w:space="0" w:color="auto"/>
              <w:left w:val="single" w:sz="4" w:space="0" w:color="auto"/>
              <w:bottom w:val="single" w:sz="6" w:space="0" w:color="auto"/>
              <w:right w:val="single" w:sz="6" w:space="0" w:color="auto"/>
            </w:tcBorders>
          </w:tcPr>
          <w:p w14:paraId="0AF807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961" w:type="pct"/>
            <w:tcBorders>
              <w:top w:val="single" w:sz="6" w:space="0" w:color="auto"/>
              <w:left w:val="single" w:sz="6" w:space="0" w:color="auto"/>
              <w:bottom w:val="single" w:sz="6" w:space="0" w:color="auto"/>
              <w:right w:val="single" w:sz="6" w:space="0" w:color="auto"/>
            </w:tcBorders>
          </w:tcPr>
          <w:p w14:paraId="1F8B95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w:t>
            </w:r>
          </w:p>
          <w:p w14:paraId="6853C191" w14:textId="60DD2970" w:rsidR="008D093C" w:rsidRPr="00DD0D1F" w:rsidRDefault="008D093C" w:rsidP="003328F9">
            <w:pPr>
              <w:adjustRightInd w:val="0"/>
              <w:spacing w:line="240" w:lineRule="auto"/>
              <w:ind w:left="74" w:right="74"/>
              <w:rPr>
                <w:rFonts w:cs="Times New Roman"/>
                <w:szCs w:val="24"/>
                <w:lang w:val="tr-TR"/>
              </w:rPr>
            </w:pPr>
          </w:p>
        </w:tc>
        <w:tc>
          <w:tcPr>
            <w:tcW w:w="2043" w:type="pct"/>
            <w:vMerge/>
            <w:tcBorders>
              <w:left w:val="single" w:sz="6" w:space="0" w:color="auto"/>
              <w:right w:val="single" w:sz="6" w:space="0" w:color="auto"/>
            </w:tcBorders>
          </w:tcPr>
          <w:p w14:paraId="7035CEA9"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tcBorders>
              <w:left w:val="single" w:sz="6" w:space="0" w:color="auto"/>
              <w:right w:val="single" w:sz="4" w:space="0" w:color="auto"/>
            </w:tcBorders>
          </w:tcPr>
          <w:p w14:paraId="5B46145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B9DE91E" w14:textId="77777777" w:rsidTr="003328F9">
        <w:trPr>
          <w:trHeight w:val="64"/>
        </w:trPr>
        <w:tc>
          <w:tcPr>
            <w:tcW w:w="192" w:type="pct"/>
            <w:tcBorders>
              <w:top w:val="single" w:sz="6" w:space="0" w:color="auto"/>
              <w:left w:val="single" w:sz="4" w:space="0" w:color="auto"/>
              <w:bottom w:val="single" w:sz="6" w:space="0" w:color="auto"/>
              <w:right w:val="single" w:sz="6" w:space="0" w:color="auto"/>
            </w:tcBorders>
          </w:tcPr>
          <w:p w14:paraId="7CAD91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961" w:type="pct"/>
            <w:tcBorders>
              <w:top w:val="single" w:sz="6" w:space="0" w:color="auto"/>
              <w:left w:val="single" w:sz="6" w:space="0" w:color="auto"/>
              <w:bottom w:val="single" w:sz="6" w:space="0" w:color="auto"/>
              <w:right w:val="single" w:sz="6" w:space="0" w:color="auto"/>
            </w:tcBorders>
          </w:tcPr>
          <w:p w14:paraId="6B98FA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p w14:paraId="29C403E5" w14:textId="48F49F88" w:rsidR="008D093C" w:rsidRPr="00DD0D1F" w:rsidRDefault="008D093C" w:rsidP="003328F9">
            <w:pPr>
              <w:adjustRightInd w:val="0"/>
              <w:spacing w:line="240" w:lineRule="auto"/>
              <w:ind w:left="74" w:right="74"/>
              <w:rPr>
                <w:rFonts w:cs="Times New Roman"/>
                <w:szCs w:val="24"/>
                <w:lang w:val="tr-TR"/>
              </w:rPr>
            </w:pPr>
          </w:p>
        </w:tc>
        <w:tc>
          <w:tcPr>
            <w:tcW w:w="2043" w:type="pct"/>
            <w:vMerge/>
            <w:tcBorders>
              <w:left w:val="single" w:sz="6" w:space="0" w:color="auto"/>
              <w:bottom w:val="single" w:sz="6" w:space="0" w:color="auto"/>
              <w:right w:val="single" w:sz="6" w:space="0" w:color="auto"/>
            </w:tcBorders>
          </w:tcPr>
          <w:p w14:paraId="5FD63717"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tcBorders>
              <w:left w:val="single" w:sz="6" w:space="0" w:color="auto"/>
              <w:right w:val="single" w:sz="4" w:space="0" w:color="auto"/>
            </w:tcBorders>
          </w:tcPr>
          <w:p w14:paraId="380C5176"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34DFCFA" w14:textId="77777777" w:rsidTr="003328F9">
        <w:trPr>
          <w:trHeight w:val="267"/>
        </w:trPr>
        <w:tc>
          <w:tcPr>
            <w:tcW w:w="192" w:type="pct"/>
            <w:tcBorders>
              <w:top w:val="single" w:sz="6" w:space="0" w:color="auto"/>
              <w:left w:val="single" w:sz="4" w:space="0" w:color="auto"/>
              <w:bottom w:val="single" w:sz="6" w:space="0" w:color="auto"/>
              <w:right w:val="single" w:sz="6" w:space="0" w:color="auto"/>
            </w:tcBorders>
            <w:vAlign w:val="center"/>
          </w:tcPr>
          <w:p w14:paraId="0405082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961" w:type="pct"/>
            <w:tcBorders>
              <w:top w:val="single" w:sz="6" w:space="0" w:color="auto"/>
              <w:left w:val="single" w:sz="6" w:space="0" w:color="auto"/>
              <w:bottom w:val="single" w:sz="6" w:space="0" w:color="auto"/>
              <w:right w:val="single" w:sz="6" w:space="0" w:color="auto"/>
            </w:tcBorders>
            <w:vAlign w:val="center"/>
          </w:tcPr>
          <w:p w14:paraId="50169B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w:t>
            </w:r>
          </w:p>
        </w:tc>
        <w:tc>
          <w:tcPr>
            <w:tcW w:w="2043" w:type="pct"/>
            <w:tcBorders>
              <w:top w:val="single" w:sz="6" w:space="0" w:color="auto"/>
              <w:left w:val="single" w:sz="6" w:space="0" w:color="auto"/>
              <w:bottom w:val="single" w:sz="6" w:space="0" w:color="auto"/>
              <w:right w:val="single" w:sz="6" w:space="0" w:color="auto"/>
            </w:tcBorders>
          </w:tcPr>
          <w:p w14:paraId="0E52CE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açıklamaya bakınız.</w:t>
            </w:r>
          </w:p>
          <w:p w14:paraId="6EB949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 SO</w:t>
            </w:r>
            <w:r w:rsidRPr="00DD0D1F">
              <w:rPr>
                <w:rFonts w:cs="Times New Roman"/>
                <w:szCs w:val="24"/>
                <w:vertAlign w:val="subscript"/>
                <w:lang w:val="tr-TR"/>
              </w:rPr>
              <w:t>X</w:t>
            </w:r>
            <w:r w:rsidRPr="00DD0D1F">
              <w:rPr>
                <w:rFonts w:cs="Times New Roman"/>
                <w:szCs w:val="24"/>
                <w:lang w:val="tr-TR"/>
              </w:rPr>
              <w:t xml:space="preserve"> emisyonlarını azaltmak için yaş FGD kullanılmadığında HCI ve HF'yi gidermek için kullanılır.</w:t>
            </w:r>
          </w:p>
          <w:p w14:paraId="19B8647B" w14:textId="48909BE4" w:rsidR="008D093C" w:rsidRPr="00DD0D1F" w:rsidRDefault="008D093C" w:rsidP="003328F9">
            <w:pPr>
              <w:adjustRightInd w:val="0"/>
              <w:spacing w:line="240" w:lineRule="auto"/>
              <w:ind w:left="74" w:right="74"/>
              <w:rPr>
                <w:rFonts w:cs="Times New Roman"/>
                <w:szCs w:val="24"/>
                <w:lang w:val="tr-TR"/>
              </w:rPr>
            </w:pPr>
          </w:p>
        </w:tc>
        <w:tc>
          <w:tcPr>
            <w:tcW w:w="1804" w:type="pct"/>
            <w:vMerge/>
            <w:tcBorders>
              <w:left w:val="single" w:sz="6" w:space="0" w:color="auto"/>
              <w:right w:val="single" w:sz="4" w:space="0" w:color="auto"/>
            </w:tcBorders>
          </w:tcPr>
          <w:p w14:paraId="51F3714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A1414A6" w14:textId="77777777" w:rsidTr="003328F9">
        <w:trPr>
          <w:trHeight w:val="258"/>
        </w:trPr>
        <w:tc>
          <w:tcPr>
            <w:tcW w:w="192" w:type="pct"/>
            <w:tcBorders>
              <w:top w:val="single" w:sz="6" w:space="0" w:color="auto"/>
              <w:left w:val="single" w:sz="4" w:space="0" w:color="auto"/>
              <w:bottom w:val="single" w:sz="6" w:space="0" w:color="auto"/>
              <w:right w:val="single" w:sz="6" w:space="0" w:color="auto"/>
            </w:tcBorders>
          </w:tcPr>
          <w:p w14:paraId="61EEB52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961" w:type="pct"/>
            <w:tcBorders>
              <w:top w:val="single" w:sz="6" w:space="0" w:color="auto"/>
              <w:left w:val="single" w:sz="6" w:space="0" w:color="auto"/>
              <w:bottom w:val="single" w:sz="6" w:space="0" w:color="auto"/>
              <w:right w:val="single" w:sz="6" w:space="0" w:color="auto"/>
            </w:tcBorders>
          </w:tcPr>
          <w:p w14:paraId="1DA9353A" w14:textId="7B98198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2043" w:type="pct"/>
            <w:vMerge w:val="restart"/>
            <w:tcBorders>
              <w:top w:val="single" w:sz="6" w:space="0" w:color="auto"/>
              <w:left w:val="single" w:sz="6" w:space="0" w:color="auto"/>
              <w:right w:val="single" w:sz="6" w:space="0" w:color="auto"/>
            </w:tcBorders>
            <w:vAlign w:val="center"/>
          </w:tcPr>
          <w:p w14:paraId="7F6BAD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1804" w:type="pct"/>
            <w:vMerge/>
            <w:tcBorders>
              <w:left w:val="single" w:sz="6" w:space="0" w:color="auto"/>
              <w:right w:val="single" w:sz="4" w:space="0" w:color="auto"/>
            </w:tcBorders>
          </w:tcPr>
          <w:p w14:paraId="60DFF05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019DC0D" w14:textId="77777777" w:rsidTr="003328F9">
        <w:trPr>
          <w:trHeight w:val="888"/>
        </w:trPr>
        <w:tc>
          <w:tcPr>
            <w:tcW w:w="192" w:type="pct"/>
            <w:tcBorders>
              <w:top w:val="single" w:sz="6" w:space="0" w:color="auto"/>
              <w:left w:val="single" w:sz="4" w:space="0" w:color="auto"/>
              <w:bottom w:val="single" w:sz="4" w:space="0" w:color="auto"/>
              <w:right w:val="single" w:sz="6" w:space="0" w:color="auto"/>
            </w:tcBorders>
            <w:vAlign w:val="center"/>
          </w:tcPr>
          <w:p w14:paraId="3F68CC0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961" w:type="pct"/>
            <w:tcBorders>
              <w:top w:val="single" w:sz="6" w:space="0" w:color="auto"/>
              <w:left w:val="single" w:sz="6" w:space="0" w:color="auto"/>
              <w:bottom w:val="single" w:sz="4" w:space="0" w:color="auto"/>
              <w:right w:val="single" w:sz="6" w:space="0" w:color="auto"/>
            </w:tcBorders>
            <w:vAlign w:val="center"/>
          </w:tcPr>
          <w:p w14:paraId="326799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w:t>
            </w:r>
          </w:p>
        </w:tc>
        <w:tc>
          <w:tcPr>
            <w:tcW w:w="2043" w:type="pct"/>
            <w:vMerge/>
            <w:tcBorders>
              <w:left w:val="single" w:sz="6" w:space="0" w:color="auto"/>
              <w:bottom w:val="single" w:sz="4" w:space="0" w:color="auto"/>
              <w:right w:val="single" w:sz="6" w:space="0" w:color="auto"/>
            </w:tcBorders>
          </w:tcPr>
          <w:p w14:paraId="4B7DB012"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tcBorders>
              <w:left w:val="single" w:sz="6" w:space="0" w:color="auto"/>
              <w:bottom w:val="single" w:sz="4" w:space="0" w:color="auto"/>
              <w:right w:val="single" w:sz="4" w:space="0" w:color="auto"/>
            </w:tcBorders>
          </w:tcPr>
          <w:p w14:paraId="2FD882AC" w14:textId="77777777" w:rsidR="003328F9" w:rsidRPr="00DD0D1F" w:rsidRDefault="003328F9" w:rsidP="003328F9">
            <w:pPr>
              <w:adjustRightInd w:val="0"/>
              <w:spacing w:line="240" w:lineRule="auto"/>
              <w:ind w:left="74" w:right="74"/>
              <w:rPr>
                <w:rFonts w:cs="Times New Roman"/>
                <w:szCs w:val="24"/>
                <w:lang w:val="tr-TR"/>
              </w:rPr>
            </w:pPr>
          </w:p>
        </w:tc>
      </w:tr>
    </w:tbl>
    <w:bookmarkEnd w:id="134"/>
    <w:p w14:paraId="1B1B90DA"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kazanlarda yakılmasına ilişkin havaya SO</w:t>
      </w:r>
      <w:r w:rsidRPr="00DD0D1F">
        <w:rPr>
          <w:rFonts w:cs="Times New Roman"/>
          <w:color w:val="auto"/>
          <w:szCs w:val="24"/>
          <w:vertAlign w:val="subscript"/>
          <w:lang w:val="tr-TR"/>
        </w:rPr>
        <w:t>2</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515"/>
        <w:gridCol w:w="2367"/>
        <w:gridCol w:w="4195"/>
      </w:tblGrid>
      <w:tr w:rsidR="003328F9" w:rsidRPr="00DD0D1F" w14:paraId="109A4AF3" w14:textId="77777777" w:rsidTr="003328F9">
        <w:trPr>
          <w:trHeight w:val="60"/>
        </w:trPr>
        <w:tc>
          <w:tcPr>
            <w:tcW w:w="1385" w:type="pct"/>
            <w:vMerge w:val="restart"/>
            <w:tcBorders>
              <w:top w:val="single" w:sz="4" w:space="0" w:color="auto"/>
              <w:left w:val="single" w:sz="4" w:space="0" w:color="auto"/>
              <w:right w:val="single" w:sz="6" w:space="0" w:color="auto"/>
            </w:tcBorders>
            <w:vAlign w:val="center"/>
          </w:tcPr>
          <w:p w14:paraId="0B90C2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3615" w:type="pct"/>
            <w:gridSpan w:val="2"/>
            <w:tcBorders>
              <w:top w:val="single" w:sz="4" w:space="0" w:color="auto"/>
              <w:left w:val="single" w:sz="6" w:space="0" w:color="auto"/>
              <w:bottom w:val="single" w:sz="6" w:space="0" w:color="auto"/>
              <w:right w:val="single" w:sz="4" w:space="0" w:color="auto"/>
            </w:tcBorders>
            <w:vAlign w:val="center"/>
          </w:tcPr>
          <w:p w14:paraId="4B838B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12B6C00D" w14:textId="77777777" w:rsidTr="003328F9">
        <w:trPr>
          <w:trHeight w:val="60"/>
        </w:trPr>
        <w:tc>
          <w:tcPr>
            <w:tcW w:w="1385" w:type="pct"/>
            <w:vMerge/>
            <w:tcBorders>
              <w:left w:val="single" w:sz="4" w:space="0" w:color="auto"/>
              <w:bottom w:val="single" w:sz="6" w:space="0" w:color="auto"/>
              <w:right w:val="single" w:sz="6" w:space="0" w:color="auto"/>
            </w:tcBorders>
            <w:vAlign w:val="center"/>
          </w:tcPr>
          <w:p w14:paraId="0A3A0AB2"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04" w:type="pct"/>
            <w:tcBorders>
              <w:top w:val="single" w:sz="6" w:space="0" w:color="auto"/>
              <w:left w:val="single" w:sz="6" w:space="0" w:color="auto"/>
              <w:bottom w:val="single" w:sz="6" w:space="0" w:color="auto"/>
              <w:right w:val="single" w:sz="6" w:space="0" w:color="auto"/>
            </w:tcBorders>
            <w:vAlign w:val="center"/>
          </w:tcPr>
          <w:p w14:paraId="6FB90DE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2311" w:type="pct"/>
            <w:tcBorders>
              <w:top w:val="single" w:sz="6" w:space="0" w:color="auto"/>
              <w:left w:val="single" w:sz="6" w:space="0" w:color="auto"/>
              <w:bottom w:val="single" w:sz="6" w:space="0" w:color="auto"/>
              <w:right w:val="single" w:sz="4" w:space="0" w:color="auto"/>
            </w:tcBorders>
            <w:vAlign w:val="center"/>
          </w:tcPr>
          <w:p w14:paraId="29573C7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35B02D62" w14:textId="77777777" w:rsidTr="003328F9">
        <w:trPr>
          <w:trHeight w:val="60"/>
        </w:trPr>
        <w:tc>
          <w:tcPr>
            <w:tcW w:w="1385" w:type="pct"/>
            <w:tcBorders>
              <w:top w:val="single" w:sz="6" w:space="0" w:color="auto"/>
              <w:left w:val="single" w:sz="4" w:space="0" w:color="auto"/>
              <w:bottom w:val="single" w:sz="6" w:space="0" w:color="auto"/>
              <w:right w:val="single" w:sz="6" w:space="0" w:color="auto"/>
            </w:tcBorders>
            <w:vAlign w:val="center"/>
          </w:tcPr>
          <w:p w14:paraId="07F276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 mevcut kazanlar</w:t>
            </w:r>
          </w:p>
        </w:tc>
        <w:tc>
          <w:tcPr>
            <w:tcW w:w="1304" w:type="pct"/>
            <w:tcBorders>
              <w:top w:val="single" w:sz="6" w:space="0" w:color="auto"/>
              <w:left w:val="single" w:sz="6" w:space="0" w:color="auto"/>
              <w:bottom w:val="single" w:sz="6" w:space="0" w:color="auto"/>
              <w:right w:val="single" w:sz="6" w:space="0" w:color="auto"/>
            </w:tcBorders>
            <w:vAlign w:val="center"/>
          </w:tcPr>
          <w:p w14:paraId="7BA608E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10-110</w:t>
            </w:r>
          </w:p>
        </w:tc>
        <w:tc>
          <w:tcPr>
            <w:tcW w:w="2311" w:type="pct"/>
            <w:tcBorders>
              <w:top w:val="single" w:sz="6" w:space="0" w:color="auto"/>
              <w:left w:val="single" w:sz="6" w:space="0" w:color="auto"/>
              <w:bottom w:val="single" w:sz="6" w:space="0" w:color="auto"/>
              <w:right w:val="single" w:sz="4" w:space="0" w:color="auto"/>
            </w:tcBorders>
            <w:vAlign w:val="center"/>
          </w:tcPr>
          <w:p w14:paraId="2BB0B8D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90-200</w:t>
            </w:r>
          </w:p>
        </w:tc>
      </w:tr>
      <w:tr w:rsidR="003328F9" w:rsidRPr="00DD0D1F" w14:paraId="1421D3D2" w14:textId="77777777" w:rsidTr="003328F9">
        <w:trPr>
          <w:trHeight w:val="60"/>
        </w:trPr>
        <w:tc>
          <w:tcPr>
            <w:tcW w:w="5000" w:type="pct"/>
            <w:gridSpan w:val="3"/>
            <w:tcBorders>
              <w:top w:val="single" w:sz="6" w:space="0" w:color="auto"/>
              <w:left w:val="single" w:sz="4" w:space="0" w:color="auto"/>
              <w:bottom w:val="single" w:sz="4" w:space="0" w:color="auto"/>
              <w:right w:val="single" w:sz="4" w:space="0" w:color="auto"/>
            </w:tcBorders>
          </w:tcPr>
          <w:p w14:paraId="42C9C631"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&lt;1500 saat/yıl çalıştırılan mevcut tesisler için bu MET-İES’ler geçerli değildir.</w:t>
            </w:r>
          </w:p>
          <w:p w14:paraId="51C52B7A"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70C7D35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Kimya endüstrisinden kaynaklanan proses yakıtlarının kazanlarda yakılmasına ilişkin havaya HCI ve HF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659"/>
        <w:gridCol w:w="1423"/>
        <w:gridCol w:w="1432"/>
        <w:gridCol w:w="1423"/>
        <w:gridCol w:w="2140"/>
      </w:tblGrid>
      <w:tr w:rsidR="003328F9" w:rsidRPr="00DD0D1F" w14:paraId="4557CB99" w14:textId="77777777" w:rsidTr="003328F9">
        <w:trPr>
          <w:trHeight w:val="62"/>
        </w:trPr>
        <w:tc>
          <w:tcPr>
            <w:tcW w:w="1464" w:type="pct"/>
            <w:vMerge w:val="restart"/>
            <w:tcBorders>
              <w:top w:val="single" w:sz="4" w:space="0" w:color="auto"/>
              <w:left w:val="single" w:sz="4" w:space="0" w:color="auto"/>
              <w:right w:val="single" w:sz="6" w:space="0" w:color="auto"/>
            </w:tcBorders>
            <w:vAlign w:val="center"/>
          </w:tcPr>
          <w:p w14:paraId="3D0479D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Yakma tesisi toplam anma ısıl gücü </w:t>
            </w:r>
          </w:p>
          <w:p w14:paraId="6FC30C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(MW</w:t>
            </w:r>
            <w:r w:rsidRPr="00DD0D1F">
              <w:rPr>
                <w:rFonts w:cs="Times New Roman"/>
                <w:b/>
                <w:szCs w:val="24"/>
                <w:vertAlign w:val="subscript"/>
                <w:lang w:val="tr-TR"/>
              </w:rPr>
              <w:t>th</w:t>
            </w:r>
            <w:r w:rsidRPr="00DD0D1F">
              <w:rPr>
                <w:rFonts w:cs="Times New Roman"/>
                <w:b/>
                <w:szCs w:val="24"/>
                <w:lang w:val="tr-TR"/>
              </w:rPr>
              <w:t>)</w:t>
            </w:r>
          </w:p>
        </w:tc>
        <w:tc>
          <w:tcPr>
            <w:tcW w:w="3536" w:type="pct"/>
            <w:gridSpan w:val="4"/>
            <w:tcBorders>
              <w:top w:val="single" w:sz="4" w:space="0" w:color="auto"/>
              <w:left w:val="single" w:sz="6" w:space="0" w:color="auto"/>
              <w:bottom w:val="single" w:sz="6" w:space="0" w:color="auto"/>
              <w:right w:val="single" w:sz="4" w:space="0" w:color="auto"/>
            </w:tcBorders>
            <w:vAlign w:val="center"/>
          </w:tcPr>
          <w:p w14:paraId="28B1BAC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3E020F1F" w14:textId="77777777" w:rsidTr="003328F9">
        <w:trPr>
          <w:trHeight w:val="62"/>
        </w:trPr>
        <w:tc>
          <w:tcPr>
            <w:tcW w:w="1464" w:type="pct"/>
            <w:vMerge/>
            <w:tcBorders>
              <w:left w:val="single" w:sz="4" w:space="0" w:color="auto"/>
              <w:right w:val="single" w:sz="6" w:space="0" w:color="auto"/>
            </w:tcBorders>
            <w:vAlign w:val="center"/>
          </w:tcPr>
          <w:p w14:paraId="542A7BD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573" w:type="pct"/>
            <w:gridSpan w:val="2"/>
            <w:tcBorders>
              <w:top w:val="single" w:sz="6" w:space="0" w:color="auto"/>
              <w:left w:val="single" w:sz="6" w:space="0" w:color="auto"/>
              <w:bottom w:val="single" w:sz="6" w:space="0" w:color="auto"/>
              <w:right w:val="single" w:sz="6" w:space="0" w:color="auto"/>
            </w:tcBorders>
            <w:vAlign w:val="center"/>
          </w:tcPr>
          <w:p w14:paraId="7CDE612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HCl</w:t>
            </w:r>
          </w:p>
        </w:tc>
        <w:tc>
          <w:tcPr>
            <w:tcW w:w="1963" w:type="pct"/>
            <w:gridSpan w:val="2"/>
            <w:tcBorders>
              <w:top w:val="single" w:sz="6" w:space="0" w:color="auto"/>
              <w:left w:val="single" w:sz="6" w:space="0" w:color="auto"/>
              <w:bottom w:val="single" w:sz="6" w:space="0" w:color="auto"/>
              <w:right w:val="single" w:sz="4" w:space="0" w:color="auto"/>
            </w:tcBorders>
            <w:vAlign w:val="center"/>
          </w:tcPr>
          <w:p w14:paraId="7A41811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HF</w:t>
            </w:r>
          </w:p>
        </w:tc>
      </w:tr>
      <w:tr w:rsidR="003328F9" w:rsidRPr="00DD0D1F" w14:paraId="7B267D0D" w14:textId="77777777" w:rsidTr="003328F9">
        <w:trPr>
          <w:trHeight w:val="62"/>
        </w:trPr>
        <w:tc>
          <w:tcPr>
            <w:tcW w:w="1464" w:type="pct"/>
            <w:vMerge/>
            <w:tcBorders>
              <w:left w:val="single" w:sz="4" w:space="0" w:color="auto"/>
              <w:right w:val="single" w:sz="6" w:space="0" w:color="auto"/>
            </w:tcBorders>
            <w:vAlign w:val="center"/>
          </w:tcPr>
          <w:p w14:paraId="700AE1EA"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3536" w:type="pct"/>
            <w:gridSpan w:val="4"/>
            <w:tcBorders>
              <w:top w:val="single" w:sz="6" w:space="0" w:color="auto"/>
              <w:left w:val="single" w:sz="6" w:space="0" w:color="auto"/>
              <w:bottom w:val="single" w:sz="6" w:space="0" w:color="auto"/>
              <w:right w:val="single" w:sz="4" w:space="0" w:color="auto"/>
            </w:tcBorders>
            <w:vAlign w:val="center"/>
          </w:tcPr>
          <w:p w14:paraId="6C89BD0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Bir yılda alınan numunelerin ortalaması</w:t>
            </w:r>
          </w:p>
        </w:tc>
      </w:tr>
      <w:tr w:rsidR="003328F9" w:rsidRPr="00DD0D1F" w14:paraId="290BAD08" w14:textId="77777777" w:rsidTr="003328F9">
        <w:trPr>
          <w:trHeight w:val="62"/>
        </w:trPr>
        <w:tc>
          <w:tcPr>
            <w:tcW w:w="1464" w:type="pct"/>
            <w:vMerge/>
            <w:tcBorders>
              <w:left w:val="single" w:sz="4" w:space="0" w:color="auto"/>
              <w:bottom w:val="single" w:sz="6" w:space="0" w:color="auto"/>
              <w:right w:val="single" w:sz="6" w:space="0" w:color="auto"/>
            </w:tcBorders>
            <w:vAlign w:val="center"/>
          </w:tcPr>
          <w:p w14:paraId="0E985A21"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784" w:type="pct"/>
            <w:tcBorders>
              <w:top w:val="single" w:sz="6" w:space="0" w:color="auto"/>
              <w:left w:val="single" w:sz="6" w:space="0" w:color="auto"/>
              <w:bottom w:val="single" w:sz="6" w:space="0" w:color="auto"/>
              <w:right w:val="single" w:sz="6" w:space="0" w:color="auto"/>
            </w:tcBorders>
            <w:vAlign w:val="center"/>
          </w:tcPr>
          <w:p w14:paraId="05C667F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89" w:type="pct"/>
            <w:tcBorders>
              <w:top w:val="single" w:sz="6" w:space="0" w:color="auto"/>
              <w:left w:val="single" w:sz="6" w:space="0" w:color="auto"/>
              <w:bottom w:val="single" w:sz="6" w:space="0" w:color="auto"/>
              <w:right w:val="single" w:sz="6" w:space="0" w:color="auto"/>
            </w:tcBorders>
            <w:vAlign w:val="center"/>
          </w:tcPr>
          <w:p w14:paraId="278EA57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c>
          <w:tcPr>
            <w:tcW w:w="784" w:type="pct"/>
            <w:tcBorders>
              <w:top w:val="single" w:sz="6" w:space="0" w:color="auto"/>
              <w:left w:val="single" w:sz="6" w:space="0" w:color="auto"/>
              <w:bottom w:val="single" w:sz="6" w:space="0" w:color="auto"/>
              <w:right w:val="single" w:sz="6" w:space="0" w:color="auto"/>
            </w:tcBorders>
            <w:vAlign w:val="center"/>
          </w:tcPr>
          <w:p w14:paraId="266E144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179" w:type="pct"/>
            <w:tcBorders>
              <w:top w:val="single" w:sz="6" w:space="0" w:color="auto"/>
              <w:left w:val="single" w:sz="6" w:space="0" w:color="auto"/>
              <w:bottom w:val="single" w:sz="6" w:space="0" w:color="auto"/>
              <w:right w:val="single" w:sz="4" w:space="0" w:color="auto"/>
            </w:tcBorders>
            <w:vAlign w:val="center"/>
          </w:tcPr>
          <w:p w14:paraId="680BD5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2FCB9CFF" w14:textId="77777777" w:rsidTr="003328F9">
        <w:trPr>
          <w:trHeight w:val="62"/>
        </w:trPr>
        <w:tc>
          <w:tcPr>
            <w:tcW w:w="1464" w:type="pct"/>
            <w:tcBorders>
              <w:top w:val="single" w:sz="6" w:space="0" w:color="auto"/>
              <w:left w:val="single" w:sz="4" w:space="0" w:color="auto"/>
              <w:bottom w:val="single" w:sz="6" w:space="0" w:color="auto"/>
              <w:right w:val="single" w:sz="6" w:space="0" w:color="auto"/>
            </w:tcBorders>
            <w:vAlign w:val="center"/>
          </w:tcPr>
          <w:p w14:paraId="3FF9D19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784" w:type="pct"/>
            <w:tcBorders>
              <w:top w:val="single" w:sz="6" w:space="0" w:color="auto"/>
              <w:left w:val="single" w:sz="6" w:space="0" w:color="auto"/>
              <w:bottom w:val="single" w:sz="6" w:space="0" w:color="auto"/>
              <w:right w:val="single" w:sz="6" w:space="0" w:color="auto"/>
            </w:tcBorders>
            <w:vAlign w:val="center"/>
          </w:tcPr>
          <w:p w14:paraId="6DEA64D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1-7</w:t>
            </w:r>
          </w:p>
        </w:tc>
        <w:tc>
          <w:tcPr>
            <w:tcW w:w="789" w:type="pct"/>
            <w:tcBorders>
              <w:top w:val="single" w:sz="6" w:space="0" w:color="auto"/>
              <w:left w:val="single" w:sz="6" w:space="0" w:color="auto"/>
              <w:bottom w:val="single" w:sz="6" w:space="0" w:color="auto"/>
              <w:right w:val="single" w:sz="6" w:space="0" w:color="auto"/>
            </w:tcBorders>
            <w:vAlign w:val="center"/>
          </w:tcPr>
          <w:p w14:paraId="542BAE4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 (</w:t>
            </w:r>
            <w:r w:rsidRPr="00DD0D1F">
              <w:rPr>
                <w:rFonts w:cs="Times New Roman"/>
                <w:szCs w:val="24"/>
                <w:vertAlign w:val="superscript"/>
                <w:lang w:val="tr-TR"/>
              </w:rPr>
              <w:t>2</w:t>
            </w:r>
            <w:r w:rsidRPr="00DD0D1F">
              <w:rPr>
                <w:rFonts w:cs="Times New Roman"/>
                <w:szCs w:val="24"/>
                <w:lang w:val="tr-TR"/>
              </w:rPr>
              <w:t>)</w:t>
            </w:r>
          </w:p>
        </w:tc>
        <w:tc>
          <w:tcPr>
            <w:tcW w:w="784" w:type="pct"/>
            <w:tcBorders>
              <w:top w:val="single" w:sz="6" w:space="0" w:color="auto"/>
              <w:left w:val="single" w:sz="6" w:space="0" w:color="auto"/>
              <w:bottom w:val="single" w:sz="6" w:space="0" w:color="auto"/>
              <w:right w:val="single" w:sz="6" w:space="0" w:color="auto"/>
            </w:tcBorders>
            <w:vAlign w:val="center"/>
          </w:tcPr>
          <w:p w14:paraId="2AC8A9C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w:t>
            </w:r>
          </w:p>
        </w:tc>
        <w:tc>
          <w:tcPr>
            <w:tcW w:w="1179" w:type="pct"/>
            <w:tcBorders>
              <w:top w:val="single" w:sz="6" w:space="0" w:color="auto"/>
              <w:left w:val="single" w:sz="6" w:space="0" w:color="auto"/>
              <w:bottom w:val="single" w:sz="6" w:space="0" w:color="auto"/>
              <w:right w:val="single" w:sz="4" w:space="0" w:color="auto"/>
            </w:tcBorders>
            <w:vAlign w:val="center"/>
          </w:tcPr>
          <w:p w14:paraId="6F266A5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&lt;1-6 (</w:t>
            </w:r>
            <w:r w:rsidRPr="00DD0D1F">
              <w:rPr>
                <w:rFonts w:cs="Times New Roman"/>
                <w:szCs w:val="24"/>
                <w:vertAlign w:val="superscript"/>
                <w:lang w:val="tr-TR"/>
              </w:rPr>
              <w:t>3</w:t>
            </w:r>
            <w:r w:rsidRPr="00DD0D1F">
              <w:rPr>
                <w:rFonts w:cs="Times New Roman"/>
                <w:szCs w:val="24"/>
                <w:lang w:val="tr-TR"/>
              </w:rPr>
              <w:t>)</w:t>
            </w:r>
          </w:p>
        </w:tc>
      </w:tr>
      <w:tr w:rsidR="003328F9" w:rsidRPr="00DD0D1F" w14:paraId="38ACD585" w14:textId="77777777" w:rsidTr="003328F9">
        <w:trPr>
          <w:trHeight w:val="300"/>
        </w:trPr>
        <w:tc>
          <w:tcPr>
            <w:tcW w:w="1464" w:type="pct"/>
            <w:tcBorders>
              <w:top w:val="single" w:sz="6" w:space="0" w:color="auto"/>
              <w:left w:val="single" w:sz="4" w:space="0" w:color="auto"/>
              <w:bottom w:val="single" w:sz="6" w:space="0" w:color="auto"/>
              <w:right w:val="single" w:sz="6" w:space="0" w:color="auto"/>
            </w:tcBorders>
            <w:vAlign w:val="center"/>
          </w:tcPr>
          <w:p w14:paraId="3152BE6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784" w:type="pct"/>
            <w:tcBorders>
              <w:top w:val="single" w:sz="6" w:space="0" w:color="auto"/>
              <w:left w:val="single" w:sz="6" w:space="0" w:color="auto"/>
              <w:bottom w:val="single" w:sz="6" w:space="0" w:color="auto"/>
              <w:right w:val="single" w:sz="6" w:space="0" w:color="auto"/>
            </w:tcBorders>
            <w:vAlign w:val="center"/>
          </w:tcPr>
          <w:p w14:paraId="4E6022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789" w:type="pct"/>
            <w:tcBorders>
              <w:top w:val="single" w:sz="6" w:space="0" w:color="auto"/>
              <w:left w:val="single" w:sz="6" w:space="0" w:color="auto"/>
              <w:bottom w:val="single" w:sz="6" w:space="0" w:color="auto"/>
              <w:right w:val="single" w:sz="6" w:space="0" w:color="auto"/>
            </w:tcBorders>
            <w:vAlign w:val="center"/>
          </w:tcPr>
          <w:p w14:paraId="591D5BD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1-9 (</w:t>
            </w:r>
            <w:r w:rsidRPr="00DD0D1F">
              <w:rPr>
                <w:rFonts w:cs="Times New Roman"/>
                <w:szCs w:val="24"/>
                <w:vertAlign w:val="superscript"/>
                <w:lang w:val="tr-TR"/>
              </w:rPr>
              <w:t>2</w:t>
            </w:r>
            <w:r w:rsidRPr="00DD0D1F">
              <w:rPr>
                <w:rFonts w:cs="Times New Roman"/>
                <w:szCs w:val="24"/>
                <w:lang w:val="tr-TR"/>
              </w:rPr>
              <w:t>)</w:t>
            </w:r>
          </w:p>
        </w:tc>
        <w:tc>
          <w:tcPr>
            <w:tcW w:w="784" w:type="pct"/>
            <w:tcBorders>
              <w:top w:val="single" w:sz="6" w:space="0" w:color="auto"/>
              <w:left w:val="single" w:sz="6" w:space="0" w:color="auto"/>
              <w:bottom w:val="single" w:sz="6" w:space="0" w:color="auto"/>
              <w:right w:val="single" w:sz="6" w:space="0" w:color="auto"/>
            </w:tcBorders>
            <w:vAlign w:val="center"/>
          </w:tcPr>
          <w:p w14:paraId="56585F4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&lt;1-2</w:t>
            </w:r>
          </w:p>
        </w:tc>
        <w:tc>
          <w:tcPr>
            <w:tcW w:w="1179" w:type="pct"/>
            <w:tcBorders>
              <w:top w:val="single" w:sz="6" w:space="0" w:color="auto"/>
              <w:left w:val="single" w:sz="6" w:space="0" w:color="auto"/>
              <w:bottom w:val="single" w:sz="6" w:space="0" w:color="auto"/>
              <w:right w:val="single" w:sz="4" w:space="0" w:color="auto"/>
            </w:tcBorders>
            <w:vAlign w:val="center"/>
          </w:tcPr>
          <w:p w14:paraId="174B23E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 (</w:t>
            </w:r>
            <w:r w:rsidRPr="00DD0D1F">
              <w:rPr>
                <w:rFonts w:cs="Times New Roman"/>
                <w:szCs w:val="24"/>
                <w:vertAlign w:val="superscript"/>
                <w:lang w:val="tr-TR"/>
              </w:rPr>
              <w:t>3</w:t>
            </w:r>
            <w:r w:rsidRPr="00DD0D1F">
              <w:rPr>
                <w:rFonts w:cs="Times New Roman"/>
                <w:szCs w:val="24"/>
                <w:lang w:val="tr-TR"/>
              </w:rPr>
              <w:t>)</w:t>
            </w:r>
          </w:p>
        </w:tc>
      </w:tr>
      <w:tr w:rsidR="003328F9" w:rsidRPr="00DD0D1F" w14:paraId="267D909C" w14:textId="77777777" w:rsidTr="003328F9">
        <w:trPr>
          <w:trHeight w:val="402"/>
        </w:trPr>
        <w:tc>
          <w:tcPr>
            <w:tcW w:w="5000" w:type="pct"/>
            <w:gridSpan w:val="5"/>
            <w:tcBorders>
              <w:top w:val="single" w:sz="6" w:space="0" w:color="auto"/>
              <w:left w:val="single" w:sz="4" w:space="0" w:color="auto"/>
              <w:bottom w:val="single" w:sz="4" w:space="0" w:color="auto"/>
              <w:right w:val="single" w:sz="4" w:space="0" w:color="auto"/>
            </w:tcBorders>
          </w:tcPr>
          <w:p w14:paraId="5988142D"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47AD96A" w14:textId="0C5426D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&lt;1500 saat/yıl çalıştırılan tesislerde, MET-İES ralığının üst </w:t>
            </w:r>
            <w:r w:rsidR="00A504E5" w:rsidRPr="00DD0D1F">
              <w:rPr>
                <w:rFonts w:cs="Times New Roman"/>
                <w:szCs w:val="24"/>
                <w:lang w:val="tr-TR"/>
              </w:rPr>
              <w:t>sınırı</w:t>
            </w:r>
            <w:r w:rsidRPr="00DD0D1F">
              <w:rPr>
                <w:rFonts w:cs="Times New Roman"/>
                <w:szCs w:val="24"/>
                <w:lang w:val="tr-TR"/>
              </w:rPr>
              <w:t xml:space="preserve"> 20 mg/Nm</w:t>
            </w:r>
            <w:r w:rsidRPr="00DD0D1F">
              <w:rPr>
                <w:rFonts w:cs="Times New Roman"/>
                <w:szCs w:val="24"/>
                <w:vertAlign w:val="superscript"/>
                <w:lang w:val="tr-TR"/>
              </w:rPr>
              <w:t>3</w:t>
            </w:r>
            <w:r w:rsidRPr="00DD0D1F">
              <w:rPr>
                <w:rFonts w:cs="Times New Roman"/>
                <w:szCs w:val="24"/>
                <w:lang w:val="tr-TR"/>
              </w:rPr>
              <w:t>'tür.</w:t>
            </w:r>
          </w:p>
          <w:p w14:paraId="07F393E6" w14:textId="2FFCCE48"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&lt;1500 saat/yıl çalıştırılan tesislerde, MET-İES aralığının üst </w:t>
            </w:r>
            <w:r w:rsidR="00A504E5" w:rsidRPr="00DD0D1F">
              <w:rPr>
                <w:rFonts w:cs="Times New Roman"/>
                <w:szCs w:val="24"/>
                <w:lang w:val="tr-TR"/>
              </w:rPr>
              <w:t>sınırı</w:t>
            </w:r>
            <w:r w:rsidRPr="00DD0D1F">
              <w:rPr>
                <w:rFonts w:cs="Times New Roman"/>
                <w:szCs w:val="24"/>
                <w:lang w:val="tr-TR"/>
              </w:rPr>
              <w:t xml:space="preserve"> 7 mg/Nm</w:t>
            </w:r>
            <w:r w:rsidRPr="00DD0D1F">
              <w:rPr>
                <w:rFonts w:cs="Times New Roman"/>
                <w:szCs w:val="24"/>
                <w:vertAlign w:val="superscript"/>
                <w:lang w:val="tr-TR"/>
              </w:rPr>
              <w:t>3</w:t>
            </w:r>
            <w:r w:rsidRPr="00DD0D1F">
              <w:rPr>
                <w:rFonts w:cs="Times New Roman"/>
                <w:szCs w:val="24"/>
                <w:lang w:val="tr-TR"/>
              </w:rPr>
              <w:t>'tür.</w:t>
            </w:r>
          </w:p>
        </w:tc>
      </w:tr>
    </w:tbl>
    <w:p w14:paraId="3A217109" w14:textId="77777777" w:rsidR="003328F9" w:rsidRPr="00DD0D1F" w:rsidRDefault="003328F9" w:rsidP="00FF111D">
      <w:pPr>
        <w:pStyle w:val="Balk3"/>
        <w:numPr>
          <w:ilvl w:val="2"/>
          <w:numId w:val="73"/>
        </w:numPr>
        <w:rPr>
          <w:rFonts w:cs="Times New Roman"/>
          <w:lang w:val="tr-TR"/>
        </w:rPr>
      </w:pPr>
      <w:bookmarkStart w:id="135" w:name="_Toc137367338"/>
      <w:r w:rsidRPr="00DD0D1F">
        <w:rPr>
          <w:rFonts w:cs="Times New Roman"/>
          <w:lang w:val="tr-TR"/>
        </w:rPr>
        <w:t>Toz Ve Partiküle Bağlı Metallerin Havaya Emisyonları</w:t>
      </w:r>
      <w:bookmarkEnd w:id="135"/>
    </w:p>
    <w:p w14:paraId="2FFA413C" w14:textId="3FBE2995" w:rsidR="003328F9" w:rsidRPr="00DD0D1F" w:rsidRDefault="003328F9" w:rsidP="003328F9">
      <w:pPr>
        <w:rPr>
          <w:rFonts w:cs="Times New Roman"/>
          <w:bCs/>
          <w:szCs w:val="24"/>
          <w:lang w:val="tr-TR"/>
        </w:rPr>
      </w:pPr>
      <w:r w:rsidRPr="00DD0D1F">
        <w:rPr>
          <w:rFonts w:cs="Times New Roman"/>
          <w:b/>
          <w:bCs/>
          <w:szCs w:val="24"/>
          <w:lang w:val="tr-TR"/>
        </w:rPr>
        <w:t>MET 58</w:t>
      </w:r>
      <w:bookmarkStart w:id="136" w:name="_Hlk137397878"/>
      <w:r w:rsidRPr="00DD0D1F">
        <w:rPr>
          <w:rFonts w:cs="Times New Roman"/>
          <w:b/>
          <w:bCs/>
          <w:szCs w:val="24"/>
          <w:lang w:val="tr-TR"/>
        </w:rPr>
        <w:t xml:space="preserve">: </w:t>
      </w:r>
      <w:r w:rsidRPr="00DD0D1F">
        <w:rPr>
          <w:rFonts w:cs="Times New Roman"/>
          <w:bCs/>
          <w:szCs w:val="24"/>
          <w:lang w:val="tr-TR"/>
        </w:rPr>
        <w:t>Kimya endüstrisinden kaynaklanan proses yakıtlarının kazanlarda yakılmasına ilişkin toz, partiküle bağlı metaller ve eser türlerin havaya emisyonlarını azaltmak için, aş</w:t>
      </w:r>
      <w:r w:rsidR="008D093C" w:rsidRPr="00DD0D1F">
        <w:rPr>
          <w:rFonts w:cs="Times New Roman"/>
          <w:bCs/>
          <w:szCs w:val="24"/>
          <w:lang w:val="tr-TR"/>
        </w:rPr>
        <w:t>ağıda verilen tekniklerin biri veya bunların bir birleşimi</w:t>
      </w:r>
      <w:r w:rsidRPr="00DD0D1F">
        <w:rPr>
          <w:rFonts w:cs="Times New Roman"/>
          <w:bCs/>
          <w:szCs w:val="24"/>
          <w:lang w:val="tr-TR"/>
        </w:rPr>
        <w:t xml:space="preserve"> kullan</w:t>
      </w:r>
      <w:r w:rsidR="008D093C" w:rsidRPr="00DD0D1F">
        <w:rPr>
          <w:rFonts w:cs="Times New Roman"/>
          <w:bCs/>
          <w:szCs w:val="24"/>
          <w:lang w:val="tr-TR"/>
        </w:rPr>
        <w:t>ılır.</w:t>
      </w:r>
    </w:p>
    <w:bookmarkEnd w:id="136"/>
    <w:tbl>
      <w:tblPr>
        <w:tblW w:w="4961" w:type="pct"/>
        <w:tblCellMar>
          <w:left w:w="40" w:type="dxa"/>
          <w:right w:w="40" w:type="dxa"/>
        </w:tblCellMar>
        <w:tblLook w:val="0000" w:firstRow="0" w:lastRow="0" w:firstColumn="0" w:lastColumn="0" w:noHBand="0" w:noVBand="0"/>
      </w:tblPr>
      <w:tblGrid>
        <w:gridCol w:w="350"/>
        <w:gridCol w:w="2003"/>
        <w:gridCol w:w="3386"/>
        <w:gridCol w:w="3267"/>
      </w:tblGrid>
      <w:tr w:rsidR="003328F9" w:rsidRPr="00DD0D1F" w14:paraId="7C23CA85" w14:textId="77777777" w:rsidTr="003328F9">
        <w:trPr>
          <w:trHeight w:val="356"/>
        </w:trPr>
        <w:tc>
          <w:tcPr>
            <w:tcW w:w="194" w:type="pct"/>
            <w:tcBorders>
              <w:top w:val="single" w:sz="4" w:space="0" w:color="auto"/>
              <w:left w:val="single" w:sz="4" w:space="0" w:color="auto"/>
              <w:bottom w:val="single" w:sz="6" w:space="0" w:color="auto"/>
              <w:right w:val="single" w:sz="4" w:space="0" w:color="auto"/>
            </w:tcBorders>
            <w:vAlign w:val="center"/>
          </w:tcPr>
          <w:p w14:paraId="2EA561E8" w14:textId="77777777" w:rsidR="003328F9" w:rsidRPr="00DD0D1F" w:rsidRDefault="003328F9" w:rsidP="003328F9">
            <w:pPr>
              <w:adjustRightInd w:val="0"/>
              <w:spacing w:line="240" w:lineRule="auto"/>
              <w:ind w:right="74"/>
              <w:jc w:val="center"/>
              <w:rPr>
                <w:rFonts w:cs="Times New Roman"/>
                <w:b/>
                <w:szCs w:val="24"/>
                <w:lang w:val="tr-TR"/>
              </w:rPr>
            </w:pPr>
          </w:p>
        </w:tc>
        <w:tc>
          <w:tcPr>
            <w:tcW w:w="1112" w:type="pct"/>
            <w:tcBorders>
              <w:top w:val="single" w:sz="4" w:space="0" w:color="auto"/>
              <w:left w:val="single" w:sz="4" w:space="0" w:color="auto"/>
              <w:bottom w:val="single" w:sz="6" w:space="0" w:color="auto"/>
              <w:right w:val="single" w:sz="6" w:space="0" w:color="auto"/>
            </w:tcBorders>
            <w:vAlign w:val="center"/>
          </w:tcPr>
          <w:p w14:paraId="19A9C33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80" w:type="pct"/>
            <w:tcBorders>
              <w:top w:val="single" w:sz="4" w:space="0" w:color="auto"/>
              <w:left w:val="single" w:sz="6" w:space="0" w:color="auto"/>
              <w:bottom w:val="single" w:sz="6" w:space="0" w:color="auto"/>
              <w:right w:val="single" w:sz="6" w:space="0" w:color="auto"/>
            </w:tcBorders>
            <w:vAlign w:val="center"/>
          </w:tcPr>
          <w:p w14:paraId="20B30F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14" w:type="pct"/>
            <w:tcBorders>
              <w:top w:val="single" w:sz="4" w:space="0" w:color="auto"/>
              <w:left w:val="single" w:sz="6" w:space="0" w:color="auto"/>
              <w:bottom w:val="single" w:sz="6" w:space="0" w:color="auto"/>
              <w:right w:val="single" w:sz="4" w:space="0" w:color="auto"/>
            </w:tcBorders>
            <w:vAlign w:val="center"/>
          </w:tcPr>
          <w:p w14:paraId="105A881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5CA2127" w14:textId="77777777" w:rsidTr="003328F9">
        <w:trPr>
          <w:trHeight w:val="70"/>
        </w:trPr>
        <w:tc>
          <w:tcPr>
            <w:tcW w:w="194" w:type="pct"/>
            <w:tcBorders>
              <w:top w:val="single" w:sz="6" w:space="0" w:color="auto"/>
              <w:left w:val="single" w:sz="4" w:space="0" w:color="auto"/>
              <w:bottom w:val="single" w:sz="6" w:space="0" w:color="auto"/>
              <w:right w:val="single" w:sz="4" w:space="0" w:color="auto"/>
            </w:tcBorders>
            <w:vAlign w:val="center"/>
          </w:tcPr>
          <w:p w14:paraId="041D4D4D" w14:textId="77777777" w:rsidR="003328F9" w:rsidRPr="00DD0D1F" w:rsidRDefault="003328F9" w:rsidP="003328F9">
            <w:pPr>
              <w:adjustRightInd w:val="0"/>
              <w:spacing w:line="240" w:lineRule="auto"/>
              <w:ind w:left="74" w:right="74"/>
              <w:rPr>
                <w:rFonts w:cs="Times New Roman"/>
                <w:bCs/>
                <w:szCs w:val="24"/>
                <w:lang w:val="tr-TR"/>
              </w:rPr>
            </w:pPr>
            <w:bookmarkStart w:id="137" w:name="_Hlk137397894"/>
            <w:r w:rsidRPr="00DD0D1F">
              <w:rPr>
                <w:rFonts w:cs="Times New Roman"/>
                <w:bCs/>
                <w:szCs w:val="24"/>
                <w:lang w:val="tr-TR"/>
              </w:rPr>
              <w:t>a</w:t>
            </w:r>
          </w:p>
        </w:tc>
        <w:tc>
          <w:tcPr>
            <w:tcW w:w="1112" w:type="pct"/>
            <w:tcBorders>
              <w:top w:val="single" w:sz="6" w:space="0" w:color="auto"/>
              <w:left w:val="single" w:sz="4" w:space="0" w:color="auto"/>
              <w:bottom w:val="single" w:sz="6" w:space="0" w:color="auto"/>
              <w:right w:val="single" w:sz="6" w:space="0" w:color="auto"/>
            </w:tcBorders>
            <w:vAlign w:val="center"/>
          </w:tcPr>
          <w:p w14:paraId="732B358C" w14:textId="6ED1F5AA" w:rsidR="003328F9" w:rsidRPr="00DD0D1F" w:rsidRDefault="003328F9" w:rsidP="009A6605">
            <w:pPr>
              <w:adjustRightInd w:val="0"/>
              <w:spacing w:line="240" w:lineRule="auto"/>
              <w:ind w:left="74" w:right="74"/>
              <w:rPr>
                <w:rFonts w:cs="Times New Roman"/>
                <w:bCs/>
                <w:szCs w:val="24"/>
                <w:lang w:val="tr-TR"/>
              </w:rPr>
            </w:pPr>
            <w:r w:rsidRPr="00DD0D1F">
              <w:rPr>
                <w:rFonts w:cs="Times New Roman"/>
                <w:bCs/>
                <w:szCs w:val="24"/>
                <w:lang w:val="tr-TR"/>
              </w:rPr>
              <w:t xml:space="preserve">Elektrostatik </w:t>
            </w:r>
            <w:r w:rsidR="009A6605" w:rsidRPr="00DD0D1F">
              <w:rPr>
                <w:rFonts w:cs="Times New Roman"/>
                <w:szCs w:val="24"/>
                <w:lang w:val="tr-TR"/>
              </w:rPr>
              <w:t xml:space="preserve">çöktürücü </w:t>
            </w:r>
            <w:r w:rsidRPr="00DD0D1F">
              <w:rPr>
                <w:rFonts w:cs="Times New Roman"/>
                <w:bCs/>
                <w:szCs w:val="24"/>
                <w:lang w:val="tr-TR"/>
              </w:rPr>
              <w:t>(ESP)</w:t>
            </w:r>
          </w:p>
        </w:tc>
        <w:tc>
          <w:tcPr>
            <w:tcW w:w="1880" w:type="pct"/>
            <w:vMerge w:val="restart"/>
            <w:tcBorders>
              <w:top w:val="single" w:sz="6" w:space="0" w:color="auto"/>
              <w:left w:val="single" w:sz="6" w:space="0" w:color="auto"/>
              <w:right w:val="single" w:sz="6" w:space="0" w:color="auto"/>
            </w:tcBorders>
            <w:vAlign w:val="center"/>
          </w:tcPr>
          <w:p w14:paraId="5BB22D0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açıklamalara bakınız.</w:t>
            </w:r>
          </w:p>
        </w:tc>
        <w:tc>
          <w:tcPr>
            <w:tcW w:w="1814" w:type="pct"/>
            <w:vMerge w:val="restart"/>
            <w:tcBorders>
              <w:top w:val="single" w:sz="6" w:space="0" w:color="auto"/>
              <w:left w:val="single" w:sz="6" w:space="0" w:color="auto"/>
              <w:right w:val="single" w:sz="4" w:space="0" w:color="auto"/>
            </w:tcBorders>
            <w:vAlign w:val="center"/>
          </w:tcPr>
          <w:p w14:paraId="5D753DA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023F15B1" w14:textId="77777777" w:rsidTr="003328F9">
        <w:trPr>
          <w:trHeight w:val="155"/>
        </w:trPr>
        <w:tc>
          <w:tcPr>
            <w:tcW w:w="194" w:type="pct"/>
            <w:tcBorders>
              <w:top w:val="single" w:sz="6" w:space="0" w:color="auto"/>
              <w:left w:val="single" w:sz="4" w:space="0" w:color="auto"/>
              <w:bottom w:val="single" w:sz="6" w:space="0" w:color="auto"/>
              <w:right w:val="single" w:sz="6" w:space="0" w:color="auto"/>
            </w:tcBorders>
            <w:vAlign w:val="center"/>
          </w:tcPr>
          <w:p w14:paraId="6666C2F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112" w:type="pct"/>
            <w:tcBorders>
              <w:top w:val="single" w:sz="6" w:space="0" w:color="auto"/>
              <w:left w:val="single" w:sz="6" w:space="0" w:color="auto"/>
              <w:bottom w:val="single" w:sz="6" w:space="0" w:color="auto"/>
              <w:right w:val="single" w:sz="6" w:space="0" w:color="auto"/>
            </w:tcBorders>
            <w:vAlign w:val="center"/>
          </w:tcPr>
          <w:p w14:paraId="0F514F1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880" w:type="pct"/>
            <w:vMerge/>
            <w:tcBorders>
              <w:left w:val="single" w:sz="6" w:space="0" w:color="auto"/>
              <w:bottom w:val="single" w:sz="6" w:space="0" w:color="auto"/>
              <w:right w:val="single" w:sz="6" w:space="0" w:color="auto"/>
            </w:tcBorders>
            <w:vAlign w:val="center"/>
          </w:tcPr>
          <w:p w14:paraId="3D53563B" w14:textId="77777777" w:rsidR="003328F9" w:rsidRPr="00DD0D1F" w:rsidRDefault="003328F9" w:rsidP="003328F9">
            <w:pPr>
              <w:adjustRightInd w:val="0"/>
              <w:spacing w:line="240" w:lineRule="auto"/>
              <w:ind w:left="74" w:right="74"/>
              <w:rPr>
                <w:rFonts w:cs="Times New Roman"/>
                <w:bCs/>
                <w:szCs w:val="24"/>
                <w:lang w:val="tr-TR"/>
              </w:rPr>
            </w:pPr>
          </w:p>
        </w:tc>
        <w:tc>
          <w:tcPr>
            <w:tcW w:w="1814" w:type="pct"/>
            <w:vMerge/>
            <w:tcBorders>
              <w:left w:val="single" w:sz="6" w:space="0" w:color="auto"/>
              <w:bottom w:val="single" w:sz="6" w:space="0" w:color="auto"/>
              <w:right w:val="single" w:sz="4" w:space="0" w:color="auto"/>
            </w:tcBorders>
            <w:vAlign w:val="center"/>
          </w:tcPr>
          <w:p w14:paraId="411FF677"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77F15157" w14:textId="77777777" w:rsidTr="003328F9">
        <w:trPr>
          <w:trHeight w:val="262"/>
        </w:trPr>
        <w:tc>
          <w:tcPr>
            <w:tcW w:w="194" w:type="pct"/>
            <w:tcBorders>
              <w:top w:val="single" w:sz="6" w:space="0" w:color="auto"/>
              <w:left w:val="single" w:sz="4" w:space="0" w:color="auto"/>
              <w:bottom w:val="single" w:sz="6" w:space="0" w:color="auto"/>
              <w:right w:val="single" w:sz="6" w:space="0" w:color="auto"/>
            </w:tcBorders>
            <w:vAlign w:val="center"/>
          </w:tcPr>
          <w:p w14:paraId="492FCE57"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112" w:type="pct"/>
            <w:tcBorders>
              <w:top w:val="single" w:sz="6" w:space="0" w:color="auto"/>
              <w:left w:val="single" w:sz="6" w:space="0" w:color="auto"/>
              <w:bottom w:val="single" w:sz="6" w:space="0" w:color="auto"/>
              <w:right w:val="single" w:sz="6" w:space="0" w:color="auto"/>
            </w:tcBorders>
            <w:vAlign w:val="center"/>
          </w:tcPr>
          <w:p w14:paraId="4A0BAB6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Yakıt seçimi</w:t>
            </w:r>
          </w:p>
        </w:tc>
        <w:tc>
          <w:tcPr>
            <w:tcW w:w="1880" w:type="pct"/>
            <w:tcBorders>
              <w:top w:val="single" w:sz="6" w:space="0" w:color="auto"/>
              <w:left w:val="single" w:sz="6" w:space="0" w:color="auto"/>
              <w:bottom w:val="single" w:sz="6" w:space="0" w:color="auto"/>
              <w:right w:val="single" w:sz="6" w:space="0" w:color="auto"/>
            </w:tcBorders>
            <w:vAlign w:val="center"/>
          </w:tcPr>
          <w:p w14:paraId="3CBCAB4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 Düşük toz veya kül içeren yardımcı yakıtlar ile kimya endüstrisinden kaynaklanan proses yakıtlarının birleşiminin kullanılması.</w:t>
            </w:r>
          </w:p>
        </w:tc>
        <w:tc>
          <w:tcPr>
            <w:tcW w:w="1814" w:type="pct"/>
            <w:tcBorders>
              <w:top w:val="single" w:sz="6" w:space="0" w:color="auto"/>
              <w:left w:val="single" w:sz="6" w:space="0" w:color="auto"/>
              <w:bottom w:val="single" w:sz="6" w:space="0" w:color="auto"/>
              <w:right w:val="single" w:sz="4" w:space="0" w:color="auto"/>
            </w:tcBorders>
            <w:vAlign w:val="center"/>
          </w:tcPr>
          <w:p w14:paraId="2D03702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Farklı yakıt türlerinin bulunmasıyla ve/veya proses yakıtının alternatif kullanımıyla ilişkili kısıtlamalar dahilinde uygulanabilir</w:t>
            </w:r>
          </w:p>
        </w:tc>
      </w:tr>
      <w:tr w:rsidR="003328F9" w:rsidRPr="00DD0D1F" w14:paraId="5407D269" w14:textId="77777777" w:rsidTr="003328F9">
        <w:trPr>
          <w:trHeight w:val="66"/>
        </w:trPr>
        <w:tc>
          <w:tcPr>
            <w:tcW w:w="194" w:type="pct"/>
            <w:tcBorders>
              <w:top w:val="single" w:sz="6" w:space="0" w:color="auto"/>
              <w:left w:val="single" w:sz="4" w:space="0" w:color="auto"/>
              <w:bottom w:val="single" w:sz="6" w:space="0" w:color="auto"/>
              <w:right w:val="single" w:sz="6" w:space="0" w:color="auto"/>
            </w:tcBorders>
            <w:vAlign w:val="center"/>
          </w:tcPr>
          <w:p w14:paraId="7FCA6F0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112" w:type="pct"/>
            <w:tcBorders>
              <w:top w:val="single" w:sz="6" w:space="0" w:color="auto"/>
              <w:left w:val="single" w:sz="6" w:space="0" w:color="auto"/>
              <w:bottom w:val="single" w:sz="6" w:space="0" w:color="auto"/>
              <w:right w:val="single" w:sz="6" w:space="0" w:color="auto"/>
            </w:tcBorders>
            <w:vAlign w:val="center"/>
          </w:tcPr>
          <w:p w14:paraId="1411C26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880" w:type="pct"/>
            <w:vMerge w:val="restart"/>
            <w:tcBorders>
              <w:top w:val="single" w:sz="6" w:space="0" w:color="auto"/>
              <w:left w:val="single" w:sz="6" w:space="0" w:color="auto"/>
              <w:right w:val="single" w:sz="6" w:space="0" w:color="auto"/>
            </w:tcBorders>
            <w:vAlign w:val="center"/>
          </w:tcPr>
          <w:p w14:paraId="085B83B9"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açıklamalara bakınız. Teknik,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kullanılır.</w:t>
            </w:r>
          </w:p>
        </w:tc>
        <w:tc>
          <w:tcPr>
            <w:tcW w:w="1814" w:type="pct"/>
            <w:vMerge w:val="restart"/>
            <w:tcBorders>
              <w:top w:val="single" w:sz="6" w:space="0" w:color="auto"/>
              <w:left w:val="single" w:sz="6" w:space="0" w:color="auto"/>
              <w:right w:val="single" w:sz="4" w:space="0" w:color="auto"/>
            </w:tcBorders>
            <w:vAlign w:val="center"/>
          </w:tcPr>
          <w:p w14:paraId="39D8FA51" w14:textId="77777777" w:rsidR="003328F9" w:rsidRPr="00DD0D1F" w:rsidRDefault="003328F9" w:rsidP="003328F9">
            <w:pPr>
              <w:adjustRightInd w:val="0"/>
              <w:spacing w:line="240" w:lineRule="auto"/>
              <w:ind w:right="74"/>
              <w:rPr>
                <w:rFonts w:cs="Times New Roman"/>
                <w:bCs/>
                <w:szCs w:val="24"/>
                <w:lang w:val="tr-TR"/>
              </w:rPr>
            </w:pPr>
            <w:r w:rsidRPr="00DD0D1F">
              <w:rPr>
                <w:rFonts w:cs="Times New Roman"/>
                <w:bCs/>
                <w:szCs w:val="24"/>
                <w:lang w:val="tr-TR"/>
              </w:rPr>
              <w:t>MET 57'deki uygulanabilirlik bölümüne bakınız.</w:t>
            </w:r>
          </w:p>
        </w:tc>
      </w:tr>
      <w:tr w:rsidR="003328F9" w:rsidRPr="00DD0D1F" w14:paraId="69CBC107" w14:textId="77777777" w:rsidTr="003328F9">
        <w:trPr>
          <w:trHeight w:val="62"/>
        </w:trPr>
        <w:tc>
          <w:tcPr>
            <w:tcW w:w="194" w:type="pct"/>
            <w:tcBorders>
              <w:top w:val="single" w:sz="6" w:space="0" w:color="auto"/>
              <w:left w:val="single" w:sz="4" w:space="0" w:color="auto"/>
              <w:bottom w:val="single" w:sz="4" w:space="0" w:color="auto"/>
              <w:right w:val="single" w:sz="6" w:space="0" w:color="auto"/>
            </w:tcBorders>
            <w:vAlign w:val="center"/>
          </w:tcPr>
          <w:p w14:paraId="4B1FEFF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e</w:t>
            </w:r>
          </w:p>
        </w:tc>
        <w:tc>
          <w:tcPr>
            <w:tcW w:w="1112" w:type="pct"/>
            <w:tcBorders>
              <w:top w:val="single" w:sz="6" w:space="0" w:color="auto"/>
              <w:left w:val="single" w:sz="6" w:space="0" w:color="auto"/>
              <w:bottom w:val="single" w:sz="4" w:space="0" w:color="auto"/>
              <w:right w:val="single" w:sz="6" w:space="0" w:color="auto"/>
            </w:tcBorders>
          </w:tcPr>
          <w:p w14:paraId="2344DCAD" w14:textId="0E79EF2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1880" w:type="pct"/>
            <w:vMerge/>
            <w:tcBorders>
              <w:left w:val="single" w:sz="6" w:space="0" w:color="auto"/>
              <w:bottom w:val="single" w:sz="4" w:space="0" w:color="auto"/>
              <w:right w:val="single" w:sz="6" w:space="0" w:color="auto"/>
            </w:tcBorders>
          </w:tcPr>
          <w:p w14:paraId="23D29072" w14:textId="77777777" w:rsidR="003328F9" w:rsidRPr="00DD0D1F" w:rsidRDefault="003328F9" w:rsidP="003328F9">
            <w:pPr>
              <w:adjustRightInd w:val="0"/>
              <w:spacing w:line="240" w:lineRule="auto"/>
              <w:ind w:left="74" w:right="74"/>
              <w:rPr>
                <w:rFonts w:cs="Times New Roman"/>
                <w:szCs w:val="24"/>
                <w:lang w:val="tr-TR"/>
              </w:rPr>
            </w:pPr>
          </w:p>
        </w:tc>
        <w:tc>
          <w:tcPr>
            <w:tcW w:w="1814" w:type="pct"/>
            <w:vMerge/>
            <w:tcBorders>
              <w:left w:val="single" w:sz="6" w:space="0" w:color="auto"/>
              <w:bottom w:val="single" w:sz="4" w:space="0" w:color="auto"/>
              <w:right w:val="single" w:sz="4" w:space="0" w:color="auto"/>
            </w:tcBorders>
          </w:tcPr>
          <w:p w14:paraId="5FFC36B6" w14:textId="77777777" w:rsidR="003328F9" w:rsidRPr="00DD0D1F" w:rsidRDefault="003328F9" w:rsidP="003328F9">
            <w:pPr>
              <w:adjustRightInd w:val="0"/>
              <w:spacing w:line="240" w:lineRule="auto"/>
              <w:ind w:left="74" w:right="74"/>
              <w:rPr>
                <w:rFonts w:cs="Times New Roman"/>
                <w:szCs w:val="24"/>
                <w:lang w:val="tr-TR"/>
              </w:rPr>
            </w:pPr>
          </w:p>
        </w:tc>
      </w:tr>
    </w:tbl>
    <w:bookmarkEnd w:id="137"/>
    <w:p w14:paraId="7E1C88C0"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gaz ve sıvı karışımlarının kazanlarda yakılmasına ilişkin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362"/>
        <w:gridCol w:w="1472"/>
        <w:gridCol w:w="1623"/>
        <w:gridCol w:w="1265"/>
        <w:gridCol w:w="2355"/>
      </w:tblGrid>
      <w:tr w:rsidR="003328F9" w:rsidRPr="00DD0D1F" w14:paraId="27945F8E" w14:textId="77777777" w:rsidTr="003328F9">
        <w:trPr>
          <w:trHeight w:val="58"/>
          <w:tblHeader/>
        </w:trPr>
        <w:tc>
          <w:tcPr>
            <w:tcW w:w="1301" w:type="pct"/>
            <w:vMerge w:val="restart"/>
            <w:tcBorders>
              <w:top w:val="single" w:sz="4" w:space="0" w:color="auto"/>
              <w:left w:val="single" w:sz="4" w:space="0" w:color="auto"/>
              <w:right w:val="single" w:sz="6" w:space="0" w:color="auto"/>
            </w:tcBorders>
            <w:vAlign w:val="center"/>
          </w:tcPr>
          <w:p w14:paraId="27B731B3" w14:textId="77777777" w:rsidR="003328F9" w:rsidRPr="00DD0D1F" w:rsidRDefault="003328F9" w:rsidP="003328F9">
            <w:pPr>
              <w:adjustRightInd w:val="0"/>
              <w:spacing w:line="240" w:lineRule="auto"/>
              <w:ind w:left="74" w:right="74"/>
              <w:jc w:val="center"/>
              <w:rPr>
                <w:rFonts w:cs="Times New Roman"/>
                <w:b/>
                <w:szCs w:val="24"/>
                <w:lang w:val="tr-TR"/>
              </w:rPr>
            </w:pPr>
          </w:p>
          <w:p w14:paraId="39FA74E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(MWth)</w:t>
            </w:r>
          </w:p>
          <w:p w14:paraId="586453DB" w14:textId="77777777" w:rsidR="003328F9" w:rsidRPr="00DD0D1F" w:rsidRDefault="003328F9" w:rsidP="003328F9">
            <w:pPr>
              <w:adjustRightInd w:val="0"/>
              <w:spacing w:line="240" w:lineRule="auto"/>
              <w:ind w:right="74"/>
              <w:rPr>
                <w:rFonts w:cs="Times New Roman"/>
                <w:b/>
                <w:szCs w:val="24"/>
                <w:lang w:val="tr-TR"/>
              </w:rPr>
            </w:pPr>
          </w:p>
        </w:tc>
        <w:tc>
          <w:tcPr>
            <w:tcW w:w="3699" w:type="pct"/>
            <w:gridSpan w:val="4"/>
            <w:tcBorders>
              <w:top w:val="single" w:sz="4" w:space="0" w:color="auto"/>
              <w:left w:val="single" w:sz="6" w:space="0" w:color="auto"/>
              <w:bottom w:val="single" w:sz="6" w:space="0" w:color="auto"/>
              <w:right w:val="single" w:sz="4" w:space="0" w:color="auto"/>
            </w:tcBorders>
            <w:vAlign w:val="center"/>
          </w:tcPr>
          <w:p w14:paraId="1BF1D56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Toza ilişkin 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A0D30B0" w14:textId="77777777" w:rsidTr="003328F9">
        <w:trPr>
          <w:trHeight w:val="82"/>
          <w:tblHeader/>
        </w:trPr>
        <w:tc>
          <w:tcPr>
            <w:tcW w:w="1301" w:type="pct"/>
            <w:vMerge/>
            <w:tcBorders>
              <w:left w:val="single" w:sz="4" w:space="0" w:color="auto"/>
              <w:right w:val="single" w:sz="6" w:space="0" w:color="auto"/>
            </w:tcBorders>
            <w:vAlign w:val="center"/>
          </w:tcPr>
          <w:p w14:paraId="0222989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05" w:type="pct"/>
            <w:gridSpan w:val="2"/>
            <w:tcBorders>
              <w:top w:val="single" w:sz="6" w:space="0" w:color="auto"/>
              <w:left w:val="single" w:sz="6" w:space="0" w:color="auto"/>
              <w:bottom w:val="single" w:sz="6" w:space="0" w:color="auto"/>
              <w:right w:val="single" w:sz="6" w:space="0" w:color="auto"/>
            </w:tcBorders>
            <w:vAlign w:val="center"/>
          </w:tcPr>
          <w:p w14:paraId="04448F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994" w:type="pct"/>
            <w:gridSpan w:val="2"/>
            <w:tcBorders>
              <w:top w:val="single" w:sz="6" w:space="0" w:color="auto"/>
              <w:left w:val="single" w:sz="6" w:space="0" w:color="auto"/>
              <w:bottom w:val="single" w:sz="6" w:space="0" w:color="auto"/>
              <w:right w:val="single" w:sz="4" w:space="0" w:color="auto"/>
            </w:tcBorders>
            <w:vAlign w:val="center"/>
          </w:tcPr>
          <w:p w14:paraId="5549C4B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1FC9A118" w14:textId="77777777" w:rsidTr="003328F9">
        <w:trPr>
          <w:trHeight w:val="65"/>
          <w:tblHeader/>
        </w:trPr>
        <w:tc>
          <w:tcPr>
            <w:tcW w:w="1301" w:type="pct"/>
            <w:vMerge/>
            <w:tcBorders>
              <w:left w:val="single" w:sz="4" w:space="0" w:color="auto"/>
              <w:bottom w:val="single" w:sz="6" w:space="0" w:color="auto"/>
              <w:right w:val="single" w:sz="6" w:space="0" w:color="auto"/>
            </w:tcBorders>
            <w:vAlign w:val="center"/>
          </w:tcPr>
          <w:p w14:paraId="371196A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11" w:type="pct"/>
            <w:tcBorders>
              <w:top w:val="single" w:sz="6" w:space="0" w:color="auto"/>
              <w:left w:val="single" w:sz="6" w:space="0" w:color="auto"/>
              <w:bottom w:val="single" w:sz="6" w:space="0" w:color="auto"/>
              <w:right w:val="single" w:sz="6" w:space="0" w:color="auto"/>
            </w:tcBorders>
            <w:vAlign w:val="center"/>
          </w:tcPr>
          <w:p w14:paraId="38CE09F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94" w:type="pct"/>
            <w:tcBorders>
              <w:top w:val="single" w:sz="6" w:space="0" w:color="auto"/>
              <w:left w:val="single" w:sz="6" w:space="0" w:color="auto"/>
              <w:bottom w:val="single" w:sz="6" w:space="0" w:color="auto"/>
              <w:right w:val="single" w:sz="6" w:space="0" w:color="auto"/>
            </w:tcBorders>
            <w:vAlign w:val="center"/>
          </w:tcPr>
          <w:p w14:paraId="53604B0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c>
          <w:tcPr>
            <w:tcW w:w="697" w:type="pct"/>
            <w:tcBorders>
              <w:top w:val="single" w:sz="6" w:space="0" w:color="auto"/>
              <w:left w:val="single" w:sz="6" w:space="0" w:color="auto"/>
              <w:bottom w:val="single" w:sz="6" w:space="0" w:color="auto"/>
              <w:right w:val="single" w:sz="6" w:space="0" w:color="auto"/>
            </w:tcBorders>
            <w:vAlign w:val="center"/>
          </w:tcPr>
          <w:p w14:paraId="302A20C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297" w:type="pct"/>
            <w:tcBorders>
              <w:top w:val="single" w:sz="6" w:space="0" w:color="auto"/>
              <w:left w:val="single" w:sz="6" w:space="0" w:color="auto"/>
              <w:bottom w:val="single" w:sz="6" w:space="0" w:color="auto"/>
              <w:right w:val="single" w:sz="4" w:space="0" w:color="auto"/>
            </w:tcBorders>
            <w:vAlign w:val="center"/>
          </w:tcPr>
          <w:p w14:paraId="5B38741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7FAFF235" w14:textId="77777777" w:rsidTr="003328F9">
        <w:trPr>
          <w:trHeight w:val="65"/>
        </w:trPr>
        <w:tc>
          <w:tcPr>
            <w:tcW w:w="1301" w:type="pct"/>
            <w:tcBorders>
              <w:top w:val="single" w:sz="6" w:space="0" w:color="auto"/>
              <w:left w:val="single" w:sz="4" w:space="0" w:color="auto"/>
              <w:bottom w:val="single" w:sz="6" w:space="0" w:color="auto"/>
              <w:right w:val="single" w:sz="6" w:space="0" w:color="auto"/>
            </w:tcBorders>
            <w:vAlign w:val="center"/>
          </w:tcPr>
          <w:p w14:paraId="1535E54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811" w:type="pct"/>
            <w:tcBorders>
              <w:top w:val="single" w:sz="6" w:space="0" w:color="auto"/>
              <w:left w:val="single" w:sz="6" w:space="0" w:color="auto"/>
              <w:bottom w:val="single" w:sz="6" w:space="0" w:color="auto"/>
              <w:right w:val="single" w:sz="6" w:space="0" w:color="auto"/>
            </w:tcBorders>
            <w:vAlign w:val="center"/>
          </w:tcPr>
          <w:p w14:paraId="4FAA44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894" w:type="pct"/>
            <w:tcBorders>
              <w:top w:val="single" w:sz="6" w:space="0" w:color="auto"/>
              <w:left w:val="single" w:sz="6" w:space="0" w:color="auto"/>
              <w:bottom w:val="single" w:sz="6" w:space="0" w:color="auto"/>
              <w:right w:val="single" w:sz="6" w:space="0" w:color="auto"/>
            </w:tcBorders>
            <w:vAlign w:val="center"/>
          </w:tcPr>
          <w:p w14:paraId="520C8C2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w:t>
            </w:r>
          </w:p>
        </w:tc>
        <w:tc>
          <w:tcPr>
            <w:tcW w:w="697" w:type="pct"/>
            <w:tcBorders>
              <w:top w:val="single" w:sz="6" w:space="0" w:color="auto"/>
              <w:left w:val="single" w:sz="6" w:space="0" w:color="auto"/>
              <w:bottom w:val="single" w:sz="6" w:space="0" w:color="auto"/>
              <w:right w:val="single" w:sz="6" w:space="0" w:color="auto"/>
            </w:tcBorders>
            <w:vAlign w:val="center"/>
          </w:tcPr>
          <w:p w14:paraId="4668B59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1297" w:type="pct"/>
            <w:tcBorders>
              <w:top w:val="single" w:sz="6" w:space="0" w:color="auto"/>
              <w:left w:val="single" w:sz="6" w:space="0" w:color="auto"/>
              <w:bottom w:val="single" w:sz="6" w:space="0" w:color="auto"/>
              <w:right w:val="single" w:sz="4" w:space="0" w:color="auto"/>
            </w:tcBorders>
            <w:vAlign w:val="center"/>
          </w:tcPr>
          <w:p w14:paraId="3A0C29E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2-22 (</w:t>
            </w:r>
            <w:r w:rsidRPr="00DD0D1F">
              <w:rPr>
                <w:rFonts w:cs="Times New Roman"/>
                <w:szCs w:val="24"/>
                <w:vertAlign w:val="superscript"/>
                <w:lang w:val="tr-TR"/>
              </w:rPr>
              <w:t>3</w:t>
            </w:r>
            <w:r w:rsidRPr="00DD0D1F">
              <w:rPr>
                <w:rFonts w:cs="Times New Roman"/>
                <w:szCs w:val="24"/>
                <w:lang w:val="tr-TR"/>
              </w:rPr>
              <w:t>)</w:t>
            </w:r>
          </w:p>
        </w:tc>
      </w:tr>
      <w:tr w:rsidR="003328F9" w:rsidRPr="00DD0D1F" w14:paraId="0AF05B8E" w14:textId="77777777" w:rsidTr="003328F9">
        <w:trPr>
          <w:trHeight w:val="65"/>
        </w:trPr>
        <w:tc>
          <w:tcPr>
            <w:tcW w:w="1301" w:type="pct"/>
            <w:tcBorders>
              <w:top w:val="single" w:sz="6" w:space="0" w:color="auto"/>
              <w:left w:val="single" w:sz="4" w:space="0" w:color="auto"/>
              <w:bottom w:val="single" w:sz="6" w:space="0" w:color="auto"/>
              <w:right w:val="single" w:sz="6" w:space="0" w:color="auto"/>
            </w:tcBorders>
            <w:vAlign w:val="center"/>
          </w:tcPr>
          <w:p w14:paraId="1BEBC80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w w:val="99"/>
                <w:szCs w:val="24"/>
              </w:rPr>
              <w:t>≥</w:t>
            </w:r>
            <w:r w:rsidRPr="00DD0D1F">
              <w:rPr>
                <w:rFonts w:cs="Times New Roman"/>
                <w:szCs w:val="24"/>
                <w:lang w:val="tr-TR"/>
              </w:rPr>
              <w:t>300</w:t>
            </w:r>
          </w:p>
        </w:tc>
        <w:tc>
          <w:tcPr>
            <w:tcW w:w="811" w:type="pct"/>
            <w:tcBorders>
              <w:top w:val="single" w:sz="6" w:space="0" w:color="auto"/>
              <w:left w:val="single" w:sz="6" w:space="0" w:color="auto"/>
              <w:bottom w:val="single" w:sz="6" w:space="0" w:color="auto"/>
              <w:right w:val="single" w:sz="6" w:space="0" w:color="auto"/>
            </w:tcBorders>
            <w:vAlign w:val="center"/>
          </w:tcPr>
          <w:p w14:paraId="3F666AA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894" w:type="pct"/>
            <w:tcBorders>
              <w:top w:val="single" w:sz="6" w:space="0" w:color="auto"/>
              <w:left w:val="single" w:sz="6" w:space="0" w:color="auto"/>
              <w:bottom w:val="single" w:sz="6" w:space="0" w:color="auto"/>
              <w:right w:val="single" w:sz="6" w:space="0" w:color="auto"/>
            </w:tcBorders>
            <w:vAlign w:val="center"/>
          </w:tcPr>
          <w:p w14:paraId="57171B0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 (</w:t>
            </w:r>
            <w:r w:rsidRPr="00DD0D1F">
              <w:rPr>
                <w:rFonts w:cs="Times New Roman"/>
                <w:szCs w:val="24"/>
                <w:vertAlign w:val="superscript"/>
                <w:lang w:val="tr-TR"/>
              </w:rPr>
              <w:t>4</w:t>
            </w:r>
            <w:r w:rsidRPr="00DD0D1F">
              <w:rPr>
                <w:rFonts w:cs="Times New Roman"/>
                <w:szCs w:val="24"/>
                <w:lang w:val="tr-TR"/>
              </w:rPr>
              <w:t>)</w:t>
            </w:r>
          </w:p>
        </w:tc>
        <w:tc>
          <w:tcPr>
            <w:tcW w:w="697" w:type="pct"/>
            <w:tcBorders>
              <w:top w:val="single" w:sz="6" w:space="0" w:color="auto"/>
              <w:left w:val="single" w:sz="6" w:space="0" w:color="auto"/>
              <w:bottom w:val="single" w:sz="6" w:space="0" w:color="auto"/>
              <w:right w:val="single" w:sz="6" w:space="0" w:color="auto"/>
            </w:tcBorders>
            <w:vAlign w:val="center"/>
          </w:tcPr>
          <w:p w14:paraId="2C75C85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1297" w:type="pct"/>
            <w:tcBorders>
              <w:top w:val="single" w:sz="6" w:space="0" w:color="auto"/>
              <w:left w:val="single" w:sz="6" w:space="0" w:color="auto"/>
              <w:bottom w:val="single" w:sz="6" w:space="0" w:color="auto"/>
              <w:right w:val="single" w:sz="4" w:space="0" w:color="auto"/>
            </w:tcBorders>
            <w:vAlign w:val="center"/>
          </w:tcPr>
          <w:p w14:paraId="3D94A7A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2-11 (</w:t>
            </w:r>
            <w:r w:rsidRPr="00DD0D1F">
              <w:rPr>
                <w:rFonts w:cs="Times New Roman"/>
                <w:szCs w:val="24"/>
                <w:vertAlign w:val="superscript"/>
                <w:lang w:val="tr-TR"/>
              </w:rPr>
              <w:t>3</w:t>
            </w:r>
            <w:r w:rsidRPr="00DD0D1F">
              <w:rPr>
                <w:rFonts w:cs="Times New Roman"/>
                <w:szCs w:val="24"/>
                <w:lang w:val="tr-TR"/>
              </w:rPr>
              <w:t>)</w:t>
            </w:r>
          </w:p>
        </w:tc>
      </w:tr>
      <w:tr w:rsidR="003328F9" w:rsidRPr="00DD0D1F" w14:paraId="7935503B" w14:textId="77777777" w:rsidTr="003328F9">
        <w:trPr>
          <w:trHeight w:val="671"/>
        </w:trPr>
        <w:tc>
          <w:tcPr>
            <w:tcW w:w="5000" w:type="pct"/>
            <w:gridSpan w:val="5"/>
            <w:tcBorders>
              <w:top w:val="single" w:sz="6" w:space="0" w:color="auto"/>
              <w:left w:val="single" w:sz="4" w:space="0" w:color="auto"/>
              <w:bottom w:val="single" w:sz="6" w:space="0" w:color="auto"/>
              <w:right w:val="single" w:sz="4" w:space="0" w:color="auto"/>
            </w:tcBorders>
          </w:tcPr>
          <w:p w14:paraId="41F51EA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&lt;1500 saat/yıl çalıştırılan tesisler için bu MET-İES’ler uygulanmaz.</w:t>
            </w:r>
          </w:p>
          <w:p w14:paraId="73A655E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4F3B035E" w14:textId="250D0BA5"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MET-İES aralığının üst </w:t>
            </w:r>
            <w:r w:rsidR="00ED0A26"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 xml:space="preserve">1 Aralık 2025 </w:t>
            </w:r>
            <w:r w:rsidRPr="00DD0D1F">
              <w:rPr>
                <w:rFonts w:cs="Times New Roman"/>
                <w:szCs w:val="24"/>
                <w:lang w:val="tr-TR"/>
              </w:rPr>
              <w:t>tarihinden önce devreye alınan tesisler için 25 mg/Nm</w:t>
            </w:r>
            <w:r w:rsidRPr="00DD0D1F">
              <w:rPr>
                <w:rFonts w:cs="Times New Roman"/>
                <w:szCs w:val="24"/>
                <w:vertAlign w:val="superscript"/>
                <w:lang w:val="tr-TR"/>
              </w:rPr>
              <w:t>3</w:t>
            </w:r>
            <w:r w:rsidRPr="00DD0D1F">
              <w:rPr>
                <w:rFonts w:cs="Times New Roman"/>
                <w:szCs w:val="24"/>
                <w:lang w:val="tr-TR"/>
              </w:rPr>
              <w:t>'tür.</w:t>
            </w:r>
          </w:p>
          <w:p w14:paraId="25FD15AD" w14:textId="7D5445F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MET-İES aralığının üst </w:t>
            </w:r>
            <w:r w:rsidR="00ED0A26"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 xml:space="preserve">1 Aralık 2025 </w:t>
            </w:r>
            <w:r w:rsidRPr="00DD0D1F">
              <w:rPr>
                <w:rFonts w:cs="Times New Roman"/>
                <w:szCs w:val="24"/>
                <w:lang w:val="tr-TR"/>
              </w:rPr>
              <w:t>tarihinden önce devreye alınan tesisler için 15 mg/Nm</w:t>
            </w:r>
            <w:r w:rsidRPr="00DD0D1F">
              <w:rPr>
                <w:rFonts w:cs="Times New Roman"/>
                <w:szCs w:val="24"/>
                <w:vertAlign w:val="superscript"/>
                <w:lang w:val="tr-TR"/>
              </w:rPr>
              <w:t>3</w:t>
            </w:r>
            <w:r w:rsidRPr="00DD0D1F">
              <w:rPr>
                <w:rFonts w:cs="Times New Roman"/>
                <w:szCs w:val="24"/>
                <w:lang w:val="tr-TR"/>
              </w:rPr>
              <w:t>'tür.</w:t>
            </w:r>
          </w:p>
        </w:tc>
      </w:tr>
    </w:tbl>
    <w:p w14:paraId="0D53E517" w14:textId="77777777" w:rsidR="003328F9" w:rsidRPr="00DD0D1F" w:rsidRDefault="003328F9" w:rsidP="00FF111D">
      <w:pPr>
        <w:pStyle w:val="Balk3"/>
        <w:numPr>
          <w:ilvl w:val="2"/>
          <w:numId w:val="73"/>
        </w:numPr>
        <w:rPr>
          <w:rFonts w:cs="Times New Roman"/>
          <w:lang w:val="tr-TR"/>
        </w:rPr>
      </w:pPr>
      <w:bookmarkStart w:id="138" w:name="_Toc137367339"/>
      <w:r w:rsidRPr="00DD0D1F">
        <w:rPr>
          <w:rFonts w:cs="Times New Roman"/>
          <w:lang w:val="tr-TR"/>
        </w:rPr>
        <w:t>Uçucu Organik Bileşik (VOC) ile Poliklorlu Dibenzo-Dioksin ve –Furanın Havaya Emisyonları</w:t>
      </w:r>
      <w:bookmarkEnd w:id="138"/>
    </w:p>
    <w:p w14:paraId="66886E5B" w14:textId="49F756AB" w:rsidR="003328F9" w:rsidRPr="00DD0D1F" w:rsidRDefault="003328F9" w:rsidP="003328F9">
      <w:pPr>
        <w:spacing w:before="240"/>
        <w:rPr>
          <w:rFonts w:cs="Times New Roman"/>
          <w:b/>
          <w:bCs/>
          <w:szCs w:val="24"/>
          <w:lang w:val="tr-TR"/>
        </w:rPr>
      </w:pPr>
      <w:r w:rsidRPr="00DD0D1F">
        <w:rPr>
          <w:rFonts w:cs="Times New Roman"/>
          <w:b/>
          <w:bCs/>
          <w:szCs w:val="24"/>
          <w:lang w:val="tr-TR"/>
        </w:rPr>
        <w:t>MET 59</w:t>
      </w:r>
      <w:bookmarkStart w:id="139" w:name="_Hlk137397918"/>
      <w:r w:rsidRPr="00DD0D1F">
        <w:rPr>
          <w:rFonts w:cs="Times New Roman"/>
          <w:b/>
          <w:bCs/>
          <w:szCs w:val="24"/>
          <w:lang w:val="tr-TR"/>
        </w:rPr>
        <w:t xml:space="preserve">: </w:t>
      </w:r>
      <w:r w:rsidRPr="00DD0D1F">
        <w:rPr>
          <w:rFonts w:cs="Times New Roman"/>
          <w:bCs/>
          <w:szCs w:val="24"/>
          <w:lang w:val="tr-TR"/>
        </w:rPr>
        <w:t>Kimya endüstrisinden kaynaklanan proses yakıtlarının kazanlarda yakılmasına ilişkin uçucu organik bileşik (VOC) ile poliklorlu dibenzo-dioksin ve –furanın havaya emisyonlarını azaltmak için, MET 6'da ve a</w:t>
      </w:r>
      <w:r w:rsidR="008D093C"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8D093C" w:rsidRPr="00DD0D1F">
        <w:rPr>
          <w:rFonts w:cs="Times New Roman"/>
          <w:bCs/>
          <w:szCs w:val="24"/>
          <w:lang w:val="tr-TR"/>
        </w:rPr>
        <w:t>ılır.</w:t>
      </w:r>
      <w:bookmarkEnd w:id="139"/>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
        <w:gridCol w:w="3362"/>
        <w:gridCol w:w="2592"/>
        <w:gridCol w:w="2614"/>
      </w:tblGrid>
      <w:tr w:rsidR="003328F9" w:rsidRPr="00DD0D1F" w14:paraId="508CD4E5" w14:textId="77777777" w:rsidTr="003328F9">
        <w:trPr>
          <w:trHeight w:val="230"/>
        </w:trPr>
        <w:tc>
          <w:tcPr>
            <w:tcW w:w="280" w:type="pct"/>
            <w:tcBorders>
              <w:right w:val="single" w:sz="4" w:space="0" w:color="auto"/>
            </w:tcBorders>
            <w:vAlign w:val="center"/>
          </w:tcPr>
          <w:p w14:paraId="1AFE9272" w14:textId="77777777" w:rsidR="003328F9" w:rsidRPr="00DD0D1F" w:rsidRDefault="003328F9" w:rsidP="003328F9">
            <w:pPr>
              <w:adjustRightInd w:val="0"/>
              <w:spacing w:line="240" w:lineRule="auto"/>
              <w:ind w:right="74"/>
              <w:jc w:val="center"/>
              <w:rPr>
                <w:rFonts w:cs="Times New Roman"/>
                <w:b/>
                <w:szCs w:val="24"/>
                <w:lang w:val="tr-TR"/>
              </w:rPr>
            </w:pPr>
          </w:p>
        </w:tc>
        <w:tc>
          <w:tcPr>
            <w:tcW w:w="1852" w:type="pct"/>
            <w:tcBorders>
              <w:left w:val="single" w:sz="4" w:space="0" w:color="auto"/>
            </w:tcBorders>
            <w:vAlign w:val="center"/>
          </w:tcPr>
          <w:p w14:paraId="3344DCC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28" w:type="pct"/>
            <w:vAlign w:val="center"/>
          </w:tcPr>
          <w:p w14:paraId="73D6B56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440" w:type="pct"/>
            <w:vAlign w:val="center"/>
          </w:tcPr>
          <w:p w14:paraId="0EFB0F76"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6CF5C815" w14:textId="77777777" w:rsidTr="003328F9">
        <w:trPr>
          <w:trHeight w:val="230"/>
        </w:trPr>
        <w:tc>
          <w:tcPr>
            <w:tcW w:w="280" w:type="pct"/>
            <w:tcBorders>
              <w:right w:val="single" w:sz="4" w:space="0" w:color="auto"/>
            </w:tcBorders>
            <w:vAlign w:val="center"/>
          </w:tcPr>
          <w:p w14:paraId="45D0236B" w14:textId="77777777" w:rsidR="003328F9" w:rsidRPr="00DD0D1F" w:rsidRDefault="003328F9" w:rsidP="003328F9">
            <w:pPr>
              <w:adjustRightInd w:val="0"/>
              <w:spacing w:line="240" w:lineRule="auto"/>
              <w:ind w:left="74" w:right="74"/>
              <w:jc w:val="center"/>
              <w:rPr>
                <w:rFonts w:cs="Times New Roman"/>
                <w:bCs/>
                <w:szCs w:val="24"/>
                <w:lang w:val="tr-TR"/>
              </w:rPr>
            </w:pPr>
            <w:bookmarkStart w:id="140" w:name="_Hlk137397932"/>
            <w:r w:rsidRPr="00DD0D1F">
              <w:rPr>
                <w:rFonts w:cs="Times New Roman"/>
                <w:bCs/>
                <w:szCs w:val="24"/>
                <w:lang w:val="tr-TR"/>
              </w:rPr>
              <w:t>a</w:t>
            </w:r>
          </w:p>
        </w:tc>
        <w:tc>
          <w:tcPr>
            <w:tcW w:w="1852" w:type="pct"/>
            <w:tcBorders>
              <w:left w:val="single" w:sz="4" w:space="0" w:color="auto"/>
            </w:tcBorders>
            <w:vAlign w:val="center"/>
          </w:tcPr>
          <w:p w14:paraId="5CEB8B9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Aktif karbon enjeksiyonu</w:t>
            </w:r>
          </w:p>
        </w:tc>
        <w:tc>
          <w:tcPr>
            <w:tcW w:w="1428" w:type="pct"/>
            <w:vAlign w:val="center"/>
          </w:tcPr>
          <w:p w14:paraId="5358451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440" w:type="pct"/>
            <w:vMerge w:val="restart"/>
            <w:vAlign w:val="center"/>
          </w:tcPr>
          <w:p w14:paraId="7C5FD753" w14:textId="30C4ACF2"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Sadece klorlu maddeler içeren kimya proseslerinden kaynaklanan yakıtları kullanan yakma tesislerine uygulanabilir.</w:t>
            </w:r>
          </w:p>
          <w:p w14:paraId="042B9D0E" w14:textId="77777777" w:rsidR="008D093C" w:rsidRPr="00DD0D1F" w:rsidRDefault="008D093C" w:rsidP="003328F9">
            <w:pPr>
              <w:adjustRightInd w:val="0"/>
              <w:spacing w:line="240" w:lineRule="auto"/>
              <w:ind w:left="74" w:right="74"/>
              <w:rPr>
                <w:rFonts w:cs="Times New Roman"/>
                <w:bCs/>
                <w:szCs w:val="24"/>
                <w:lang w:val="tr-TR"/>
              </w:rPr>
            </w:pPr>
          </w:p>
          <w:p w14:paraId="03D4860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SCR ve hızlı suyla soğutma uygulanabilirliği için MET 56 veMET 57’ye bakınız.</w:t>
            </w:r>
          </w:p>
          <w:p w14:paraId="0B26DCEB" w14:textId="77777777" w:rsidR="003328F9" w:rsidRPr="00DD0D1F" w:rsidRDefault="003328F9" w:rsidP="003328F9">
            <w:pPr>
              <w:adjustRightInd w:val="0"/>
              <w:spacing w:line="240" w:lineRule="auto"/>
              <w:ind w:right="74"/>
              <w:rPr>
                <w:rFonts w:cs="Times New Roman"/>
                <w:b/>
                <w:szCs w:val="24"/>
                <w:lang w:val="tr-TR"/>
              </w:rPr>
            </w:pPr>
          </w:p>
        </w:tc>
      </w:tr>
      <w:tr w:rsidR="003328F9" w:rsidRPr="00DD0D1F" w14:paraId="33D40B89" w14:textId="77777777" w:rsidTr="003328F9">
        <w:trPr>
          <w:trHeight w:val="688"/>
        </w:trPr>
        <w:tc>
          <w:tcPr>
            <w:tcW w:w="280" w:type="pct"/>
            <w:vAlign w:val="center"/>
          </w:tcPr>
          <w:p w14:paraId="2C09CDFC" w14:textId="77777777" w:rsidR="003328F9" w:rsidRPr="00DD0D1F" w:rsidRDefault="003328F9" w:rsidP="003328F9">
            <w:pPr>
              <w:adjustRightInd w:val="0"/>
              <w:spacing w:line="240" w:lineRule="auto"/>
              <w:ind w:left="74" w:right="74"/>
              <w:jc w:val="center"/>
              <w:rPr>
                <w:rFonts w:cs="Times New Roman"/>
                <w:bCs/>
                <w:szCs w:val="24"/>
                <w:lang w:val="tr-TR"/>
              </w:rPr>
            </w:pPr>
            <w:r w:rsidRPr="00DD0D1F">
              <w:rPr>
                <w:rFonts w:cs="Times New Roman"/>
                <w:bCs/>
                <w:szCs w:val="24"/>
                <w:lang w:val="tr-TR"/>
              </w:rPr>
              <w:t>b</w:t>
            </w:r>
          </w:p>
        </w:tc>
        <w:tc>
          <w:tcPr>
            <w:tcW w:w="1852" w:type="pct"/>
            <w:vAlign w:val="center"/>
          </w:tcPr>
          <w:p w14:paraId="0F2FF5DF" w14:textId="1DD9043F"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Yaş yıkama/</w:t>
            </w:r>
            <w:r w:rsidR="00E00B0A" w:rsidRPr="00DD0D1F">
              <w:rPr>
                <w:rFonts w:cs="Times New Roman"/>
                <w:bCs/>
                <w:szCs w:val="24"/>
                <w:lang w:val="tr-TR"/>
              </w:rPr>
              <w:t>baca</w:t>
            </w:r>
            <w:r w:rsidRPr="00DD0D1F">
              <w:rPr>
                <w:rFonts w:cs="Times New Roman"/>
                <w:bCs/>
                <w:szCs w:val="24"/>
                <w:lang w:val="tr-TR"/>
              </w:rPr>
              <w:t xml:space="preserve"> gazı kondansatörü kullanarak hızlı suyla soğutma</w:t>
            </w:r>
          </w:p>
        </w:tc>
        <w:tc>
          <w:tcPr>
            <w:tcW w:w="1428" w:type="pct"/>
            <w:vAlign w:val="center"/>
          </w:tcPr>
          <w:p w14:paraId="3DF81DC4" w14:textId="625F70B8"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8.4’teki yaş yıkama/</w:t>
            </w:r>
            <w:r w:rsidR="00E00B0A" w:rsidRPr="00DD0D1F">
              <w:rPr>
                <w:rFonts w:cs="Times New Roman"/>
                <w:bCs/>
                <w:szCs w:val="24"/>
                <w:lang w:val="tr-TR"/>
              </w:rPr>
              <w:t>baca</w:t>
            </w:r>
            <w:r w:rsidRPr="00DD0D1F">
              <w:rPr>
                <w:rFonts w:cs="Times New Roman"/>
                <w:bCs/>
                <w:szCs w:val="24"/>
                <w:lang w:val="tr-TR"/>
              </w:rPr>
              <w:t xml:space="preserve"> gazı kondansatörü açıklamasına bakınız.</w:t>
            </w:r>
          </w:p>
        </w:tc>
        <w:tc>
          <w:tcPr>
            <w:tcW w:w="1440" w:type="pct"/>
            <w:vMerge/>
            <w:vAlign w:val="center"/>
          </w:tcPr>
          <w:p w14:paraId="729AB30E" w14:textId="77777777" w:rsidR="003328F9" w:rsidRPr="00DD0D1F" w:rsidRDefault="003328F9" w:rsidP="003328F9">
            <w:pPr>
              <w:spacing w:line="240" w:lineRule="auto"/>
              <w:ind w:left="74" w:right="74"/>
              <w:jc w:val="center"/>
              <w:rPr>
                <w:rFonts w:cs="Times New Roman"/>
                <w:b/>
                <w:szCs w:val="24"/>
                <w:lang w:val="tr-TR"/>
              </w:rPr>
            </w:pPr>
          </w:p>
        </w:tc>
      </w:tr>
      <w:tr w:rsidR="003328F9" w:rsidRPr="00DD0D1F" w14:paraId="3790EA80" w14:textId="77777777" w:rsidTr="003328F9">
        <w:trPr>
          <w:trHeight w:val="1151"/>
        </w:trPr>
        <w:tc>
          <w:tcPr>
            <w:tcW w:w="280" w:type="pct"/>
            <w:vAlign w:val="center"/>
          </w:tcPr>
          <w:p w14:paraId="68CB4C87" w14:textId="77777777" w:rsidR="003328F9" w:rsidRPr="00DD0D1F" w:rsidRDefault="003328F9" w:rsidP="003328F9">
            <w:pPr>
              <w:adjustRightInd w:val="0"/>
              <w:spacing w:line="240" w:lineRule="auto"/>
              <w:ind w:left="74" w:right="74"/>
              <w:jc w:val="center"/>
              <w:rPr>
                <w:rFonts w:cs="Times New Roman"/>
                <w:bCs/>
                <w:szCs w:val="24"/>
                <w:lang w:val="tr-TR"/>
              </w:rPr>
            </w:pPr>
            <w:r w:rsidRPr="00DD0D1F">
              <w:rPr>
                <w:rFonts w:cs="Times New Roman"/>
                <w:bCs/>
                <w:szCs w:val="24"/>
                <w:lang w:val="tr-TR"/>
              </w:rPr>
              <w:t>c</w:t>
            </w:r>
          </w:p>
        </w:tc>
        <w:tc>
          <w:tcPr>
            <w:tcW w:w="1852" w:type="pct"/>
            <w:vAlign w:val="center"/>
          </w:tcPr>
          <w:p w14:paraId="5A43B50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Seçici katalitik indirgeme (SCR)</w:t>
            </w:r>
          </w:p>
        </w:tc>
        <w:tc>
          <w:tcPr>
            <w:tcW w:w="1428" w:type="pct"/>
            <w:vAlign w:val="center"/>
          </w:tcPr>
          <w:p w14:paraId="7283B8A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8.3’teki açıklamaya bakınız.</w:t>
            </w:r>
          </w:p>
          <w:p w14:paraId="4250084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SCR sistemi uyarlanır ve sadece NO</w:t>
            </w:r>
            <w:r w:rsidRPr="00DD0D1F">
              <w:rPr>
                <w:rFonts w:cs="Times New Roman"/>
                <w:bCs/>
                <w:szCs w:val="24"/>
                <w:vertAlign w:val="subscript"/>
                <w:lang w:val="tr-TR"/>
              </w:rPr>
              <w:t>X</w:t>
            </w:r>
            <w:r w:rsidRPr="00DD0D1F">
              <w:rPr>
                <w:rFonts w:cs="Times New Roman"/>
                <w:bCs/>
                <w:szCs w:val="24"/>
                <w:lang w:val="tr-TR"/>
              </w:rPr>
              <w:t xml:space="preserve"> indirgeme için kullanılan bir SCR sisteminden daha büyüktür.</w:t>
            </w:r>
          </w:p>
        </w:tc>
        <w:tc>
          <w:tcPr>
            <w:tcW w:w="1440" w:type="pct"/>
            <w:vMerge/>
            <w:vAlign w:val="center"/>
          </w:tcPr>
          <w:p w14:paraId="135B7B2B" w14:textId="77777777" w:rsidR="003328F9" w:rsidRPr="00DD0D1F" w:rsidRDefault="003328F9" w:rsidP="003328F9">
            <w:pPr>
              <w:spacing w:line="240" w:lineRule="auto"/>
              <w:ind w:left="74" w:right="74"/>
              <w:jc w:val="center"/>
              <w:rPr>
                <w:rFonts w:cs="Times New Roman"/>
                <w:b/>
                <w:szCs w:val="24"/>
                <w:lang w:val="tr-TR"/>
              </w:rPr>
            </w:pPr>
          </w:p>
        </w:tc>
      </w:tr>
    </w:tbl>
    <w:bookmarkEnd w:id="140"/>
    <w:p w14:paraId="4D810E16"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kazanlarda yakılmasından ortaya çıkan PCDD/F ve TVOC’un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959"/>
        <w:gridCol w:w="1601"/>
        <w:gridCol w:w="4517"/>
      </w:tblGrid>
      <w:tr w:rsidR="003328F9" w:rsidRPr="00DD0D1F" w14:paraId="3BA3B10C" w14:textId="77777777" w:rsidTr="003328F9">
        <w:trPr>
          <w:trHeight w:val="308"/>
          <w:tblHeader/>
        </w:trPr>
        <w:tc>
          <w:tcPr>
            <w:tcW w:w="1630" w:type="pct"/>
            <w:vMerge w:val="restart"/>
            <w:tcBorders>
              <w:top w:val="single" w:sz="4" w:space="0" w:color="auto"/>
              <w:left w:val="single" w:sz="4" w:space="0" w:color="auto"/>
              <w:right w:val="single" w:sz="6" w:space="0" w:color="auto"/>
            </w:tcBorders>
            <w:vAlign w:val="center"/>
          </w:tcPr>
          <w:p w14:paraId="6B0636C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Kirletici</w:t>
            </w:r>
          </w:p>
        </w:tc>
        <w:tc>
          <w:tcPr>
            <w:tcW w:w="882" w:type="pct"/>
            <w:vMerge w:val="restart"/>
            <w:tcBorders>
              <w:top w:val="single" w:sz="4" w:space="0" w:color="auto"/>
              <w:left w:val="single" w:sz="6" w:space="0" w:color="auto"/>
              <w:right w:val="single" w:sz="6" w:space="0" w:color="auto"/>
            </w:tcBorders>
            <w:vAlign w:val="center"/>
          </w:tcPr>
          <w:p w14:paraId="687194B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Birim</w:t>
            </w:r>
          </w:p>
        </w:tc>
        <w:tc>
          <w:tcPr>
            <w:tcW w:w="2488" w:type="pct"/>
            <w:tcBorders>
              <w:top w:val="single" w:sz="4" w:space="0" w:color="auto"/>
              <w:left w:val="single" w:sz="6" w:space="0" w:color="auto"/>
              <w:bottom w:val="single" w:sz="6" w:space="0" w:color="auto"/>
              <w:right w:val="single" w:sz="4" w:space="0" w:color="auto"/>
            </w:tcBorders>
            <w:vAlign w:val="center"/>
          </w:tcPr>
          <w:p w14:paraId="6863118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r>
      <w:tr w:rsidR="003328F9" w:rsidRPr="00DD0D1F" w14:paraId="38B5D1F0" w14:textId="77777777" w:rsidTr="003328F9">
        <w:trPr>
          <w:trHeight w:val="253"/>
          <w:tblHeader/>
        </w:trPr>
        <w:tc>
          <w:tcPr>
            <w:tcW w:w="1630" w:type="pct"/>
            <w:vMerge/>
            <w:tcBorders>
              <w:left w:val="single" w:sz="4" w:space="0" w:color="auto"/>
              <w:bottom w:val="single" w:sz="6" w:space="0" w:color="auto"/>
              <w:right w:val="single" w:sz="6" w:space="0" w:color="auto"/>
            </w:tcBorders>
            <w:vAlign w:val="center"/>
          </w:tcPr>
          <w:p w14:paraId="11CBE6C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82" w:type="pct"/>
            <w:vMerge/>
            <w:tcBorders>
              <w:left w:val="single" w:sz="6" w:space="0" w:color="auto"/>
              <w:bottom w:val="single" w:sz="6" w:space="0" w:color="auto"/>
              <w:right w:val="single" w:sz="6" w:space="0" w:color="auto"/>
            </w:tcBorders>
            <w:vAlign w:val="center"/>
          </w:tcPr>
          <w:p w14:paraId="566092A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488" w:type="pct"/>
            <w:tcBorders>
              <w:top w:val="single" w:sz="6" w:space="0" w:color="auto"/>
              <w:left w:val="single" w:sz="6" w:space="0" w:color="auto"/>
              <w:bottom w:val="single" w:sz="6" w:space="0" w:color="auto"/>
              <w:right w:val="single" w:sz="4" w:space="0" w:color="auto"/>
            </w:tcBorders>
            <w:vAlign w:val="center"/>
          </w:tcPr>
          <w:p w14:paraId="51E77D1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580DBC6E" w14:textId="77777777" w:rsidTr="003328F9">
        <w:trPr>
          <w:trHeight w:val="48"/>
        </w:trPr>
        <w:tc>
          <w:tcPr>
            <w:tcW w:w="1630" w:type="pct"/>
            <w:tcBorders>
              <w:top w:val="single" w:sz="6" w:space="0" w:color="auto"/>
              <w:left w:val="single" w:sz="4" w:space="0" w:color="auto"/>
              <w:bottom w:val="single" w:sz="6" w:space="0" w:color="auto"/>
              <w:right w:val="single" w:sz="6" w:space="0" w:color="auto"/>
            </w:tcBorders>
            <w:vAlign w:val="center"/>
          </w:tcPr>
          <w:p w14:paraId="3243B9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PCDD/F (</w:t>
            </w:r>
            <w:r w:rsidRPr="00DD0D1F">
              <w:rPr>
                <w:rFonts w:cs="Times New Roman"/>
                <w:szCs w:val="24"/>
                <w:vertAlign w:val="superscript"/>
                <w:lang w:val="tr-TR"/>
              </w:rPr>
              <w:t>1</w:t>
            </w:r>
            <w:r w:rsidRPr="00DD0D1F">
              <w:rPr>
                <w:rFonts w:cs="Times New Roman"/>
                <w:szCs w:val="24"/>
                <w:lang w:val="tr-TR"/>
              </w:rPr>
              <w:t>)</w:t>
            </w:r>
          </w:p>
        </w:tc>
        <w:tc>
          <w:tcPr>
            <w:tcW w:w="882" w:type="pct"/>
            <w:tcBorders>
              <w:top w:val="single" w:sz="6" w:space="0" w:color="auto"/>
              <w:left w:val="single" w:sz="6" w:space="0" w:color="auto"/>
              <w:bottom w:val="single" w:sz="6" w:space="0" w:color="auto"/>
              <w:right w:val="single" w:sz="6" w:space="0" w:color="auto"/>
            </w:tcBorders>
            <w:vAlign w:val="center"/>
          </w:tcPr>
          <w:p w14:paraId="6B202CBF" w14:textId="77777777" w:rsidR="003328F9" w:rsidRPr="00DD0D1F" w:rsidRDefault="003328F9" w:rsidP="003328F9">
            <w:pPr>
              <w:adjustRightInd w:val="0"/>
              <w:spacing w:line="240" w:lineRule="auto"/>
              <w:ind w:left="74" w:right="74"/>
              <w:jc w:val="center"/>
              <w:rPr>
                <w:rFonts w:cs="Times New Roman"/>
                <w:szCs w:val="24"/>
                <w:vertAlign w:val="superscript"/>
                <w:lang w:val="tr-TR"/>
              </w:rPr>
            </w:pPr>
            <w:r w:rsidRPr="00DD0D1F">
              <w:rPr>
                <w:rFonts w:cs="Times New Roman"/>
                <w:szCs w:val="24"/>
                <w:lang w:val="tr-TR"/>
              </w:rPr>
              <w:t>ng I-TEQ/Nm</w:t>
            </w:r>
            <w:r w:rsidRPr="00DD0D1F">
              <w:rPr>
                <w:rFonts w:cs="Times New Roman"/>
                <w:szCs w:val="24"/>
                <w:vertAlign w:val="superscript"/>
                <w:lang w:val="tr-TR"/>
              </w:rPr>
              <w:t>3</w:t>
            </w:r>
          </w:p>
        </w:tc>
        <w:tc>
          <w:tcPr>
            <w:tcW w:w="2488" w:type="pct"/>
            <w:tcBorders>
              <w:top w:val="single" w:sz="6" w:space="0" w:color="auto"/>
              <w:left w:val="single" w:sz="6" w:space="0" w:color="auto"/>
              <w:bottom w:val="single" w:sz="6" w:space="0" w:color="auto"/>
              <w:right w:val="single" w:sz="4" w:space="0" w:color="auto"/>
            </w:tcBorders>
            <w:vAlign w:val="center"/>
          </w:tcPr>
          <w:p w14:paraId="4C619E9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&lt;0,012-0,036</w:t>
            </w:r>
          </w:p>
        </w:tc>
      </w:tr>
      <w:tr w:rsidR="003328F9" w:rsidRPr="00DD0D1F" w14:paraId="30392F6D" w14:textId="77777777" w:rsidTr="003328F9">
        <w:trPr>
          <w:trHeight w:val="48"/>
        </w:trPr>
        <w:tc>
          <w:tcPr>
            <w:tcW w:w="1630" w:type="pct"/>
            <w:tcBorders>
              <w:top w:val="single" w:sz="6" w:space="0" w:color="auto"/>
              <w:left w:val="single" w:sz="4" w:space="0" w:color="auto"/>
              <w:bottom w:val="single" w:sz="6" w:space="0" w:color="auto"/>
              <w:right w:val="single" w:sz="6" w:space="0" w:color="auto"/>
            </w:tcBorders>
            <w:vAlign w:val="center"/>
          </w:tcPr>
          <w:p w14:paraId="22029C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TUOB</w:t>
            </w:r>
          </w:p>
        </w:tc>
        <w:tc>
          <w:tcPr>
            <w:tcW w:w="882" w:type="pct"/>
            <w:tcBorders>
              <w:top w:val="single" w:sz="6" w:space="0" w:color="auto"/>
              <w:left w:val="single" w:sz="6" w:space="0" w:color="auto"/>
              <w:bottom w:val="single" w:sz="6" w:space="0" w:color="auto"/>
              <w:right w:val="single" w:sz="6" w:space="0" w:color="auto"/>
            </w:tcBorders>
            <w:vAlign w:val="center"/>
          </w:tcPr>
          <w:p w14:paraId="594B2F8D" w14:textId="77777777" w:rsidR="003328F9" w:rsidRPr="00DD0D1F" w:rsidRDefault="003328F9" w:rsidP="003328F9">
            <w:pPr>
              <w:adjustRightInd w:val="0"/>
              <w:spacing w:line="240" w:lineRule="auto"/>
              <w:ind w:left="74" w:right="74"/>
              <w:jc w:val="center"/>
              <w:rPr>
                <w:rFonts w:cs="Times New Roman"/>
                <w:szCs w:val="24"/>
                <w:vertAlign w:val="superscript"/>
                <w:lang w:val="tr-TR"/>
              </w:rPr>
            </w:pPr>
            <w:r w:rsidRPr="00DD0D1F">
              <w:rPr>
                <w:rFonts w:cs="Times New Roman"/>
                <w:szCs w:val="24"/>
                <w:lang w:val="tr-TR"/>
              </w:rPr>
              <w:t>mg/Nm</w:t>
            </w:r>
            <w:r w:rsidRPr="00DD0D1F">
              <w:rPr>
                <w:rFonts w:cs="Times New Roman"/>
                <w:szCs w:val="24"/>
                <w:vertAlign w:val="superscript"/>
                <w:lang w:val="tr-TR"/>
              </w:rPr>
              <w:t>3</w:t>
            </w:r>
          </w:p>
        </w:tc>
        <w:tc>
          <w:tcPr>
            <w:tcW w:w="2488" w:type="pct"/>
            <w:tcBorders>
              <w:top w:val="single" w:sz="6" w:space="0" w:color="auto"/>
              <w:left w:val="single" w:sz="6" w:space="0" w:color="auto"/>
              <w:bottom w:val="single" w:sz="6" w:space="0" w:color="auto"/>
              <w:right w:val="single" w:sz="4" w:space="0" w:color="auto"/>
            </w:tcBorders>
            <w:vAlign w:val="center"/>
          </w:tcPr>
          <w:p w14:paraId="346C0CF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0,6-12</w:t>
            </w:r>
          </w:p>
        </w:tc>
      </w:tr>
      <w:tr w:rsidR="003328F9" w:rsidRPr="00DD0D1F" w14:paraId="6CFD4EDE" w14:textId="77777777" w:rsidTr="003328F9">
        <w:trPr>
          <w:trHeight w:val="65"/>
        </w:trPr>
        <w:tc>
          <w:tcPr>
            <w:tcW w:w="5000" w:type="pct"/>
            <w:gridSpan w:val="3"/>
            <w:tcBorders>
              <w:top w:val="single" w:sz="6" w:space="0" w:color="auto"/>
              <w:left w:val="single" w:sz="4" w:space="0" w:color="auto"/>
              <w:bottom w:val="single" w:sz="4" w:space="0" w:color="auto"/>
              <w:right w:val="single" w:sz="4" w:space="0" w:color="auto"/>
            </w:tcBorders>
          </w:tcPr>
          <w:p w14:paraId="1CDD331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sadece klorlu maddeler içeren kimyasal proseslerden elde edilen yakıtları kullanan tesisler için geçerlidir.</w:t>
            </w:r>
          </w:p>
        </w:tc>
      </w:tr>
    </w:tbl>
    <w:p w14:paraId="4CC79B3A" w14:textId="30B2AAA0" w:rsidR="003328F9" w:rsidRPr="00DD0D1F" w:rsidRDefault="003328F9" w:rsidP="00FF111D">
      <w:pPr>
        <w:pStyle w:val="Balk1"/>
        <w:numPr>
          <w:ilvl w:val="0"/>
          <w:numId w:val="73"/>
        </w:numPr>
        <w:spacing w:before="240"/>
        <w:rPr>
          <w:rFonts w:cs="Times New Roman"/>
          <w:szCs w:val="24"/>
        </w:rPr>
      </w:pPr>
      <w:bookmarkStart w:id="141" w:name="_Toc137367340"/>
      <w:r w:rsidRPr="00DD0D1F">
        <w:rPr>
          <w:rFonts w:cs="Times New Roman"/>
          <w:szCs w:val="24"/>
        </w:rPr>
        <w:t>ATIKLARIN BERABER YAKILMASINA İLİŞKİN MET</w:t>
      </w:r>
      <w:bookmarkEnd w:id="141"/>
    </w:p>
    <w:p w14:paraId="209ACE39" w14:textId="18823D0C" w:rsidR="003328F9" w:rsidRPr="00DD0D1F" w:rsidRDefault="00316427" w:rsidP="003328F9">
      <w:pPr>
        <w:spacing w:before="240"/>
        <w:rPr>
          <w:rFonts w:cs="Times New Roman"/>
          <w:szCs w:val="24"/>
          <w:lang w:val="nl-NL"/>
        </w:rPr>
      </w:pPr>
      <w:r>
        <w:rPr>
          <w:rFonts w:cs="Times New Roman"/>
          <w:szCs w:val="24"/>
        </w:rPr>
        <w:t>B</w:t>
      </w:r>
      <w:r w:rsidR="003328F9" w:rsidRPr="00DD0D1F">
        <w:rPr>
          <w:rFonts w:cs="Times New Roman"/>
          <w:szCs w:val="24"/>
        </w:rPr>
        <w:t xml:space="preserve">u </w:t>
      </w:r>
      <w:r w:rsidR="00ED0A26" w:rsidRPr="00DD0D1F">
        <w:rPr>
          <w:rFonts w:cs="Times New Roman"/>
          <w:szCs w:val="24"/>
        </w:rPr>
        <w:t>bölümde</w:t>
      </w:r>
      <w:r w:rsidR="003328F9" w:rsidRPr="00DD0D1F">
        <w:rPr>
          <w:rFonts w:cs="Times New Roman"/>
          <w:szCs w:val="24"/>
        </w:rPr>
        <w:t xml:space="preserve"> de yer alan MET sonuçları genel olarak atıkların yakma tesislerinde beraber yakılması ile ilgilidir. </w:t>
      </w:r>
      <w:r w:rsidR="003328F9" w:rsidRPr="00DD0D1F">
        <w:rPr>
          <w:rFonts w:cs="Times New Roman"/>
          <w:szCs w:val="24"/>
          <w:lang w:val="nl-NL"/>
        </w:rPr>
        <w:t>Bu MET, Başlık  1’de belirtilen genel MET sonuçlarına ek olarak geçerlidir.</w:t>
      </w:r>
    </w:p>
    <w:p w14:paraId="6DE6257D" w14:textId="5B102352" w:rsidR="003328F9" w:rsidRPr="00DD0D1F" w:rsidRDefault="003328F9" w:rsidP="003328F9">
      <w:pPr>
        <w:spacing w:before="240"/>
        <w:rPr>
          <w:rFonts w:cs="Times New Roman"/>
          <w:szCs w:val="24"/>
          <w:lang w:val="nl-NL"/>
        </w:rPr>
      </w:pPr>
      <w:r w:rsidRPr="00DD0D1F">
        <w:rPr>
          <w:rFonts w:cs="Times New Roman"/>
          <w:szCs w:val="24"/>
          <w:lang w:val="nl-NL"/>
        </w:rPr>
        <w:t xml:space="preserve">Atıklar beraber yakıldığında, bu Başlık de yer alan MET-İES’ler, oluşan tüm </w:t>
      </w:r>
      <w:r w:rsidR="00E00B0A" w:rsidRPr="00DD0D1F">
        <w:rPr>
          <w:rFonts w:cs="Times New Roman"/>
          <w:szCs w:val="24"/>
          <w:lang w:val="nl-NL"/>
        </w:rPr>
        <w:t>baca</w:t>
      </w:r>
      <w:r w:rsidRPr="00DD0D1F">
        <w:rPr>
          <w:rFonts w:cs="Times New Roman"/>
          <w:szCs w:val="24"/>
          <w:lang w:val="nl-NL"/>
        </w:rPr>
        <w:t xml:space="preserve"> gazına uygulanır.</w:t>
      </w:r>
    </w:p>
    <w:p w14:paraId="313922DF" w14:textId="2ED38690" w:rsidR="003328F9" w:rsidRPr="00DD0D1F" w:rsidRDefault="003328F9" w:rsidP="003328F9">
      <w:pPr>
        <w:rPr>
          <w:rFonts w:cs="Times New Roman"/>
          <w:szCs w:val="24"/>
          <w:lang w:val="nl-NL"/>
        </w:rPr>
      </w:pPr>
      <w:r w:rsidRPr="00DD0D1F">
        <w:rPr>
          <w:rFonts w:cs="Times New Roman"/>
          <w:szCs w:val="24"/>
          <w:lang w:val="nl-NL"/>
        </w:rPr>
        <w:t xml:space="preserve">Ayrıca, atıklar, </w:t>
      </w:r>
      <w:r w:rsidR="004C6D90">
        <w:rPr>
          <w:rFonts w:cs="Times New Roman"/>
          <w:szCs w:val="24"/>
          <w:lang w:val="nl-NL"/>
        </w:rPr>
        <w:t>bu bölüm</w:t>
      </w:r>
      <w:r w:rsidRPr="00DD0D1F">
        <w:rPr>
          <w:rFonts w:cs="Times New Roman"/>
          <w:szCs w:val="24"/>
          <w:lang w:val="nl-NL"/>
        </w:rPr>
        <w:t xml:space="preserve">de belirtilen yakıtlarla beraber yakıldığında, </w:t>
      </w:r>
      <w:r w:rsidR="004C6D90">
        <w:rPr>
          <w:rFonts w:cs="Times New Roman"/>
          <w:szCs w:val="24"/>
          <w:lang w:val="nl-NL"/>
        </w:rPr>
        <w:t>bölümde</w:t>
      </w:r>
      <w:r w:rsidRPr="00DD0D1F">
        <w:rPr>
          <w:rFonts w:cs="Times New Roman"/>
          <w:szCs w:val="24"/>
          <w:lang w:val="nl-NL"/>
        </w:rPr>
        <w:t xml:space="preserve"> belirtilen MET-İES’ler, (i) oluşan tüm </w:t>
      </w:r>
      <w:r w:rsidR="00E00B0A" w:rsidRPr="00DD0D1F">
        <w:rPr>
          <w:rFonts w:cs="Times New Roman"/>
          <w:szCs w:val="24"/>
          <w:lang w:val="nl-NL"/>
        </w:rPr>
        <w:t>baca</w:t>
      </w:r>
      <w:r w:rsidRPr="00DD0D1F">
        <w:rPr>
          <w:rFonts w:cs="Times New Roman"/>
          <w:szCs w:val="24"/>
          <w:lang w:val="nl-NL"/>
        </w:rPr>
        <w:t xml:space="preserve"> gazı hacmine ve (ii) </w:t>
      </w:r>
      <w:r w:rsidR="00094F4A" w:rsidRPr="00DD0D1F">
        <w:rPr>
          <w:rFonts w:cs="Times New Roman"/>
          <w:szCs w:val="24"/>
          <w:lang w:val="nl-NL"/>
        </w:rPr>
        <w:t>Atık Yönetimi Tebliği Atık Yakma</w:t>
      </w:r>
      <w:r w:rsidRPr="00DD0D1F">
        <w:rPr>
          <w:rFonts w:cs="Times New Roman"/>
          <w:szCs w:val="24"/>
          <w:lang w:val="nl-NL"/>
        </w:rPr>
        <w:t xml:space="preserve"> </w:t>
      </w:r>
      <w:r w:rsidR="00094F4A" w:rsidRPr="00DD0D1F">
        <w:rPr>
          <w:rFonts w:cs="Times New Roman"/>
          <w:szCs w:val="24"/>
          <w:lang w:val="nl-NL"/>
        </w:rPr>
        <w:t>bölümünde</w:t>
      </w:r>
      <w:r w:rsidRPr="00DD0D1F">
        <w:rPr>
          <w:rFonts w:cs="Times New Roman"/>
          <w:szCs w:val="24"/>
          <w:lang w:val="nl-NL"/>
        </w:rPr>
        <w:t xml:space="preserve"> yer alan karıştırma kuralı formülü kullanılarak Başlık  2’de belirtilen yakıtların yakılmasından kaynaklanan </w:t>
      </w:r>
      <w:r w:rsidR="00E00B0A" w:rsidRPr="00DD0D1F">
        <w:rPr>
          <w:rFonts w:cs="Times New Roman"/>
          <w:szCs w:val="24"/>
          <w:lang w:val="nl-NL"/>
        </w:rPr>
        <w:t>baca</w:t>
      </w:r>
      <w:r w:rsidRPr="00DD0D1F">
        <w:rPr>
          <w:rFonts w:cs="Times New Roman"/>
          <w:szCs w:val="24"/>
          <w:lang w:val="nl-NL"/>
        </w:rPr>
        <w:t xml:space="preserve"> gazı hacmine uygulanır. Atık yakılmasından kaynaklanan </w:t>
      </w:r>
      <w:r w:rsidR="00E00B0A" w:rsidRPr="00DD0D1F">
        <w:rPr>
          <w:rFonts w:cs="Times New Roman"/>
          <w:szCs w:val="24"/>
          <w:lang w:val="nl-NL"/>
        </w:rPr>
        <w:t>baca</w:t>
      </w:r>
      <w:r w:rsidRPr="00DD0D1F">
        <w:rPr>
          <w:rFonts w:cs="Times New Roman"/>
          <w:szCs w:val="24"/>
          <w:lang w:val="nl-NL"/>
        </w:rPr>
        <w:t xml:space="preserve"> gazı hacmine ilişkin MET-İES’ler, MET 61'e dayanarak belirlenir.</w:t>
      </w:r>
    </w:p>
    <w:p w14:paraId="77FBA597" w14:textId="77777777" w:rsidR="003328F9" w:rsidRPr="00DD0D1F" w:rsidRDefault="003328F9" w:rsidP="00FF111D">
      <w:pPr>
        <w:pStyle w:val="Balk2"/>
        <w:numPr>
          <w:ilvl w:val="1"/>
          <w:numId w:val="73"/>
        </w:numPr>
        <w:rPr>
          <w:rFonts w:cs="Times New Roman"/>
          <w:szCs w:val="24"/>
        </w:rPr>
      </w:pPr>
      <w:bookmarkStart w:id="142" w:name="_Toc137367341"/>
      <w:r w:rsidRPr="00DD0D1F">
        <w:rPr>
          <w:rFonts w:cs="Times New Roman"/>
          <w:szCs w:val="24"/>
        </w:rPr>
        <w:t>Genel Çevre Performansı</w:t>
      </w:r>
      <w:bookmarkEnd w:id="142"/>
      <w:r w:rsidRPr="00DD0D1F">
        <w:rPr>
          <w:rFonts w:cs="Times New Roman"/>
          <w:szCs w:val="24"/>
        </w:rPr>
        <w:t xml:space="preserve"> </w:t>
      </w:r>
    </w:p>
    <w:p w14:paraId="0C0C973B" w14:textId="5B34476C" w:rsidR="003328F9" w:rsidRPr="00DD0D1F" w:rsidRDefault="003328F9" w:rsidP="003328F9">
      <w:pPr>
        <w:spacing w:before="240"/>
        <w:rPr>
          <w:rFonts w:cs="Times New Roman"/>
          <w:b/>
          <w:bCs/>
          <w:szCs w:val="24"/>
        </w:rPr>
      </w:pPr>
      <w:r w:rsidRPr="00DD0D1F">
        <w:rPr>
          <w:rFonts w:cs="Times New Roman"/>
          <w:b/>
          <w:bCs/>
          <w:szCs w:val="24"/>
        </w:rPr>
        <w:t>MET 60</w:t>
      </w:r>
      <w:bookmarkStart w:id="143" w:name="_Hlk137398319"/>
      <w:r w:rsidRPr="00DD0D1F">
        <w:rPr>
          <w:rFonts w:cs="Times New Roman"/>
          <w:b/>
          <w:bCs/>
          <w:szCs w:val="24"/>
        </w:rPr>
        <w:t xml:space="preserve">: </w:t>
      </w:r>
      <w:r w:rsidRPr="00DD0D1F">
        <w:rPr>
          <w:rFonts w:cs="Times New Roman"/>
          <w:bCs/>
          <w:szCs w:val="24"/>
        </w:rPr>
        <w:t>Yakma tesislerinde, atıkların beraber yakılmasının genel çevresel performansını iyileştirmek, kararlı yanma koşullarını sağlamak ve havaya emisyonları azaltmak için, aşağıdaki MET 60 (a) tekniği ile MET 6'da yer alan tekniklerin bir birleşimi ve/veya aşağıdaki diğer teknikler</w:t>
      </w:r>
      <w:r w:rsidR="008D093C" w:rsidRPr="00DD0D1F">
        <w:rPr>
          <w:rFonts w:cs="Times New Roman"/>
          <w:bCs/>
          <w:szCs w:val="24"/>
        </w:rPr>
        <w:t xml:space="preserve"> kullanılır.</w:t>
      </w:r>
      <w:bookmarkEnd w:id="14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2766"/>
        <w:gridCol w:w="3694"/>
        <w:gridCol w:w="2267"/>
      </w:tblGrid>
      <w:tr w:rsidR="003328F9" w:rsidRPr="00DD0D1F" w14:paraId="5904396F" w14:textId="77777777" w:rsidTr="003328F9">
        <w:trPr>
          <w:trHeight w:val="381"/>
          <w:tblHeader/>
        </w:trPr>
        <w:tc>
          <w:tcPr>
            <w:tcW w:w="192" w:type="pct"/>
            <w:tcBorders>
              <w:right w:val="single" w:sz="4" w:space="0" w:color="auto"/>
            </w:tcBorders>
            <w:vAlign w:val="center"/>
          </w:tcPr>
          <w:p w14:paraId="5A127232" w14:textId="77777777" w:rsidR="003328F9" w:rsidRPr="00DD0D1F" w:rsidRDefault="003328F9" w:rsidP="003328F9">
            <w:pPr>
              <w:adjustRightInd w:val="0"/>
              <w:spacing w:line="240" w:lineRule="auto"/>
              <w:ind w:right="74"/>
              <w:jc w:val="center"/>
              <w:rPr>
                <w:rFonts w:cs="Times New Roman"/>
                <w:b/>
                <w:szCs w:val="24"/>
                <w:lang w:val="tr-TR"/>
              </w:rPr>
            </w:pPr>
          </w:p>
        </w:tc>
        <w:tc>
          <w:tcPr>
            <w:tcW w:w="1523" w:type="pct"/>
            <w:tcBorders>
              <w:left w:val="single" w:sz="4" w:space="0" w:color="auto"/>
            </w:tcBorders>
            <w:vAlign w:val="center"/>
          </w:tcPr>
          <w:p w14:paraId="10B3D81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035" w:type="pct"/>
            <w:vAlign w:val="center"/>
          </w:tcPr>
          <w:p w14:paraId="5E766B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249" w:type="pct"/>
            <w:vAlign w:val="center"/>
          </w:tcPr>
          <w:p w14:paraId="0015A26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9816492" w14:textId="77777777" w:rsidTr="003328F9">
        <w:trPr>
          <w:trHeight w:val="582"/>
        </w:trPr>
        <w:tc>
          <w:tcPr>
            <w:tcW w:w="192" w:type="pct"/>
            <w:vAlign w:val="center"/>
          </w:tcPr>
          <w:p w14:paraId="121C465F" w14:textId="77777777" w:rsidR="003328F9" w:rsidRPr="00DD0D1F" w:rsidRDefault="003328F9" w:rsidP="003328F9">
            <w:pPr>
              <w:adjustRightInd w:val="0"/>
              <w:spacing w:line="240" w:lineRule="auto"/>
              <w:ind w:left="74" w:right="74"/>
              <w:rPr>
                <w:rFonts w:cs="Times New Roman"/>
                <w:szCs w:val="24"/>
                <w:lang w:val="tr-TR"/>
              </w:rPr>
            </w:pPr>
            <w:bookmarkStart w:id="144" w:name="_Hlk137398337"/>
            <w:r w:rsidRPr="00DD0D1F">
              <w:rPr>
                <w:rFonts w:cs="Times New Roman"/>
                <w:szCs w:val="24"/>
                <w:lang w:val="tr-TR"/>
              </w:rPr>
              <w:t>a</w:t>
            </w:r>
          </w:p>
        </w:tc>
        <w:tc>
          <w:tcPr>
            <w:tcW w:w="1523" w:type="pct"/>
            <w:vAlign w:val="center"/>
          </w:tcPr>
          <w:p w14:paraId="61C472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ön kabulü ve kabulü</w:t>
            </w:r>
          </w:p>
        </w:tc>
        <w:tc>
          <w:tcPr>
            <w:tcW w:w="2035" w:type="pct"/>
            <w:vAlign w:val="center"/>
          </w:tcPr>
          <w:p w14:paraId="487B605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Arıtılması ilgili MET-Ref’ten ilgili MET'e göre yakma tesisinde herhangi bir atığın teslim alınması için bir prosedürün uygulanması. Kabul kriterleri, ısıtma değeri ve su içeriği, kül, klor ve flor, kükürt ve azot, PCB, metaller (uçucu (örneğin Hg, Tl, Pb, Co, Se) ve uçucu olmayan (örneğin V, Cu, Cd, Cr, Ni)), fosfor ve alkali (hayvan yan ürünleri kullanıldığında) gibi kritik parametreler için belirlenir.</w:t>
            </w:r>
          </w:p>
          <w:p w14:paraId="402CF2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Beraber yakılan atıkların özelliklerini garanti etmek ve tanımlanan kritik parametrelerin değerlerini kontrol etmek amacıyla her atık yükü için kalite güvence sistemlerinin (örneğin tehlikeli olmayan geri kazanılan katı yakıtlar için EN 15358) uygulanması.</w:t>
            </w:r>
          </w:p>
        </w:tc>
        <w:tc>
          <w:tcPr>
            <w:tcW w:w="1249" w:type="pct"/>
            <w:vAlign w:val="center"/>
          </w:tcPr>
          <w:p w14:paraId="176F72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83750C1" w14:textId="77777777" w:rsidTr="003328F9">
        <w:trPr>
          <w:trHeight w:val="653"/>
        </w:trPr>
        <w:tc>
          <w:tcPr>
            <w:tcW w:w="192" w:type="pct"/>
            <w:vAlign w:val="center"/>
          </w:tcPr>
          <w:p w14:paraId="63FBF20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23" w:type="pct"/>
            <w:vAlign w:val="center"/>
          </w:tcPr>
          <w:p w14:paraId="5380F1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seçilmesi/sınırlandırılması</w:t>
            </w:r>
          </w:p>
        </w:tc>
        <w:tc>
          <w:tcPr>
            <w:tcW w:w="2035" w:type="pct"/>
            <w:vAlign w:val="center"/>
          </w:tcPr>
          <w:p w14:paraId="14B218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Beraber yakılabilecek olan en kirli atık yüzdesinin sınırlanmasıyla birlikte atık tipi ve kütle akışının dikkatli seçilmesi. Yakma tesisine giren atıktaki kül, kükürt, flor, cıva ve/veya klor oranının sınırlanması.</w:t>
            </w:r>
          </w:p>
          <w:p w14:paraId="0F67AF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Beraber yakılacak olan atık miktarının sınırlanması.</w:t>
            </w:r>
          </w:p>
        </w:tc>
        <w:tc>
          <w:tcPr>
            <w:tcW w:w="1249" w:type="pct"/>
            <w:vAlign w:val="center"/>
          </w:tcPr>
          <w:p w14:paraId="17D5165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atık yönetimi politikasıyla ilişkili kısıtlamalar dahilinde uygulanabilir.</w:t>
            </w:r>
          </w:p>
          <w:p w14:paraId="64C65853"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8DCE582" w14:textId="77777777" w:rsidTr="003328F9">
        <w:trPr>
          <w:trHeight w:val="65"/>
        </w:trPr>
        <w:tc>
          <w:tcPr>
            <w:tcW w:w="192" w:type="pct"/>
            <w:vAlign w:val="center"/>
          </w:tcPr>
          <w:p w14:paraId="6D21C5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23" w:type="pct"/>
            <w:vAlign w:val="center"/>
          </w:tcPr>
          <w:p w14:paraId="43A15F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ana yakıt ile karıştırılması</w:t>
            </w:r>
          </w:p>
        </w:tc>
        <w:tc>
          <w:tcPr>
            <w:tcW w:w="2035" w:type="pct"/>
            <w:vAlign w:val="center"/>
          </w:tcPr>
          <w:p w14:paraId="20E3AD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Heterojen veya kötü karışmış yakıt akışı veya eşit olmayan bir dağılım şeklinde atık ve ana yakıtın etkili karışımı, kazandaki ateşleme ve yanmayı etkileyebilir ve bundan kaçınılmalıdır.</w:t>
            </w:r>
          </w:p>
        </w:tc>
        <w:tc>
          <w:tcPr>
            <w:tcW w:w="1249" w:type="pct"/>
            <w:vAlign w:val="center"/>
          </w:tcPr>
          <w:p w14:paraId="5989DC7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Karıştırma ancak ana yakıt ve atığın öğütme davranışı benzer olduğunda veya atık miktarı ana yakıta göre çok küçük olduğunda mümkün olmaktadır.</w:t>
            </w:r>
          </w:p>
        </w:tc>
      </w:tr>
      <w:tr w:rsidR="003328F9" w:rsidRPr="00DD0D1F" w14:paraId="3EAAB7F7" w14:textId="77777777" w:rsidTr="003328F9">
        <w:trPr>
          <w:trHeight w:val="65"/>
        </w:trPr>
        <w:tc>
          <w:tcPr>
            <w:tcW w:w="192" w:type="pct"/>
            <w:vAlign w:val="center"/>
          </w:tcPr>
          <w:p w14:paraId="6D5D58E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23" w:type="pct"/>
            <w:vAlign w:val="center"/>
          </w:tcPr>
          <w:p w14:paraId="3127B9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kurutulması</w:t>
            </w:r>
          </w:p>
        </w:tc>
        <w:tc>
          <w:tcPr>
            <w:tcW w:w="2035" w:type="pct"/>
            <w:vAlign w:val="center"/>
          </w:tcPr>
          <w:p w14:paraId="5C10F1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Kazanın yüksek performansının sürdürülmesi amacıyla yanma odasına verilmeden önce atığın ön kurutmadan geçirilmesi.</w:t>
            </w:r>
          </w:p>
        </w:tc>
        <w:tc>
          <w:tcPr>
            <w:tcW w:w="1249" w:type="pct"/>
            <w:vAlign w:val="center"/>
          </w:tcPr>
          <w:p w14:paraId="110317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prosesten geri kazanılabilecek ısının yetersiz olması, gerekli yanma koşulları veya atık nem içeriğinden dolayı sınırlanabilir.</w:t>
            </w:r>
          </w:p>
        </w:tc>
      </w:tr>
      <w:tr w:rsidR="003328F9" w:rsidRPr="00DD0D1F" w14:paraId="0932ED4E" w14:textId="77777777" w:rsidTr="003328F9">
        <w:trPr>
          <w:trHeight w:val="65"/>
        </w:trPr>
        <w:tc>
          <w:tcPr>
            <w:tcW w:w="192" w:type="pct"/>
            <w:vAlign w:val="center"/>
          </w:tcPr>
          <w:p w14:paraId="3660465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523" w:type="pct"/>
            <w:vAlign w:val="center"/>
          </w:tcPr>
          <w:p w14:paraId="26782A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 önişlemi</w:t>
            </w:r>
          </w:p>
        </w:tc>
        <w:tc>
          <w:tcPr>
            <w:tcW w:w="2035" w:type="pct"/>
            <w:vAlign w:val="center"/>
          </w:tcPr>
          <w:p w14:paraId="6AF55E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Arıtılması ve Yakılmasına ilişkin MET-Ref’lerde açıklanan ve aralarında mineral kazanımı, piroliz ile gazlaştırmanın yer aldığı tekniklere bakınız.</w:t>
            </w:r>
          </w:p>
        </w:tc>
        <w:tc>
          <w:tcPr>
            <w:tcW w:w="1249" w:type="pct"/>
            <w:vAlign w:val="center"/>
          </w:tcPr>
          <w:p w14:paraId="6226E52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Arıtılmasına ilişkin MET-Ref ile Atıkların Yakılmasına ilişkin MET-Ref’teki uygulanabilirlik bölümüne bakınız.</w:t>
            </w:r>
          </w:p>
        </w:tc>
      </w:tr>
    </w:tbl>
    <w:bookmarkEnd w:id="144"/>
    <w:p w14:paraId="01C689C7" w14:textId="51952D8D" w:rsidR="003328F9" w:rsidRPr="00DD0D1F" w:rsidRDefault="003328F9" w:rsidP="003328F9">
      <w:pPr>
        <w:spacing w:before="240"/>
        <w:rPr>
          <w:rFonts w:cs="Times New Roman"/>
          <w:b/>
          <w:bCs/>
          <w:szCs w:val="24"/>
          <w:lang w:val="tr-TR"/>
        </w:rPr>
      </w:pPr>
      <w:r w:rsidRPr="00DD0D1F">
        <w:rPr>
          <w:rFonts w:cs="Times New Roman"/>
          <w:b/>
          <w:bCs/>
          <w:szCs w:val="24"/>
          <w:lang w:val="tr-TR"/>
        </w:rPr>
        <w:t>MET 61</w:t>
      </w:r>
      <w:bookmarkStart w:id="145" w:name="_Hlk137398367"/>
      <w:r w:rsidRPr="00DD0D1F">
        <w:rPr>
          <w:rFonts w:cs="Times New Roman"/>
          <w:b/>
          <w:bCs/>
          <w:szCs w:val="24"/>
          <w:lang w:val="tr-TR"/>
        </w:rPr>
        <w:t xml:space="preserve">: </w:t>
      </w:r>
      <w:r w:rsidRPr="00DD0D1F">
        <w:rPr>
          <w:rFonts w:cs="Times New Roman"/>
          <w:bCs/>
          <w:szCs w:val="24"/>
          <w:lang w:val="tr-TR"/>
        </w:rPr>
        <w:t xml:space="preserve">Yakma tesislerinde atıkların beraber yakılmasından kaynaklanan yüksek emisyonları önlemek için, atıkların beraber yakılmasına ilişkin </w:t>
      </w:r>
      <w:r w:rsidR="00E00B0A" w:rsidRPr="00DD0D1F">
        <w:rPr>
          <w:rFonts w:cs="Times New Roman"/>
          <w:bCs/>
          <w:szCs w:val="24"/>
          <w:lang w:val="tr-TR"/>
        </w:rPr>
        <w:t>baca</w:t>
      </w:r>
      <w:r w:rsidRPr="00DD0D1F">
        <w:rPr>
          <w:rFonts w:cs="Times New Roman"/>
          <w:bCs/>
          <w:szCs w:val="24"/>
          <w:lang w:val="tr-TR"/>
        </w:rPr>
        <w:t xml:space="preserve"> gazlarının bir bölümünde bulunan kirletici maddelerin emisyonlarının atıkların yakılmasına ilişkin MET sonuçlarının uygulanmasından kaynaklananlara göre daha yüksek olmamasını sağlamak amacıyla uygun tedbirler al</w:t>
      </w:r>
      <w:r w:rsidR="008D093C" w:rsidRPr="00DD0D1F">
        <w:rPr>
          <w:rFonts w:cs="Times New Roman"/>
          <w:bCs/>
          <w:szCs w:val="24"/>
          <w:lang w:val="tr-TR"/>
        </w:rPr>
        <w:t>ınır.</w:t>
      </w:r>
    </w:p>
    <w:p w14:paraId="38A052DD" w14:textId="4DA1B8E7"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62: </w:t>
      </w:r>
      <w:r w:rsidRPr="00DD0D1F">
        <w:rPr>
          <w:rFonts w:cs="Times New Roman"/>
          <w:bCs/>
          <w:szCs w:val="24"/>
          <w:lang w:val="tr-TR"/>
        </w:rPr>
        <w:t>Yakma tesislerinde atıkların beraber yakılmasının, artıkların geri dönüşümü üzerindeki etkisini asgariye indirmek için, tesis atıkları birlikte yakmadığında bunların geri dönüştürülmesi için belirlenen gerekliliklere göre MET 60'da verilen tekniklerden birisi veya bunların bir birleşimini kullanarak ve/veya beraber yakmayı diğer yanan yakıtlardakilere benzer kirletici konsantrasyonlarına sahip atık fraksiyonlarıyla kısıtlayarak alçıtaşı, küller ve cüruflar ile diğer artıkların iyi kalitesi</w:t>
      </w:r>
      <w:r w:rsidR="00057AEF" w:rsidRPr="00DD0D1F">
        <w:rPr>
          <w:rFonts w:cs="Times New Roman"/>
          <w:bCs/>
          <w:szCs w:val="24"/>
          <w:lang w:val="tr-TR"/>
        </w:rPr>
        <w:t xml:space="preserve"> korunur.</w:t>
      </w:r>
    </w:p>
    <w:p w14:paraId="7997AB45" w14:textId="0675F2CD" w:rsidR="003328F9" w:rsidRPr="00DD0D1F" w:rsidRDefault="003328F9" w:rsidP="00FF111D">
      <w:pPr>
        <w:pStyle w:val="Balk3"/>
        <w:numPr>
          <w:ilvl w:val="2"/>
          <w:numId w:val="75"/>
        </w:numPr>
        <w:rPr>
          <w:rFonts w:cs="Times New Roman"/>
        </w:rPr>
      </w:pPr>
      <w:bookmarkStart w:id="146" w:name="_Toc137367342"/>
      <w:bookmarkEnd w:id="145"/>
      <w:r w:rsidRPr="00DD0D1F">
        <w:rPr>
          <w:rFonts w:cs="Times New Roman"/>
        </w:rPr>
        <w:t>Enerji Verimliliği</w:t>
      </w:r>
      <w:bookmarkEnd w:id="146"/>
    </w:p>
    <w:p w14:paraId="4A9275BE" w14:textId="153E30BC" w:rsidR="003328F9" w:rsidRPr="00DD0D1F" w:rsidRDefault="003328F9" w:rsidP="003328F9">
      <w:pPr>
        <w:spacing w:before="240"/>
        <w:rPr>
          <w:rFonts w:cs="Times New Roman"/>
          <w:b/>
          <w:bCs/>
          <w:szCs w:val="24"/>
        </w:rPr>
      </w:pPr>
      <w:r w:rsidRPr="00DD0D1F">
        <w:rPr>
          <w:rFonts w:cs="Times New Roman"/>
          <w:b/>
          <w:bCs/>
          <w:szCs w:val="24"/>
        </w:rPr>
        <w:t>MET 63</w:t>
      </w:r>
      <w:bookmarkStart w:id="147" w:name="_Hlk137398385"/>
      <w:r w:rsidRPr="00DD0D1F">
        <w:rPr>
          <w:rFonts w:cs="Times New Roman"/>
          <w:b/>
          <w:bCs/>
          <w:szCs w:val="24"/>
        </w:rPr>
        <w:t xml:space="preserve">: </w:t>
      </w:r>
      <w:r w:rsidRPr="00DD0D1F">
        <w:rPr>
          <w:rFonts w:cs="Times New Roman"/>
          <w:bCs/>
          <w:szCs w:val="24"/>
        </w:rPr>
        <w:t xml:space="preserve">Atıkların beraber yakılmasının enerji verimliliğini yükseltmek için, kullanılan ana yakıt türüne ve tesis yapısına göre MET 12 ve MET 19'da verilen </w:t>
      </w:r>
      <w:r w:rsidR="00057AEF" w:rsidRPr="00DD0D1F">
        <w:rPr>
          <w:rFonts w:cs="Times New Roman"/>
          <w:bCs/>
          <w:szCs w:val="24"/>
        </w:rPr>
        <w:t>tekniklerin uygun bir birleşimi kullanılır.</w:t>
      </w:r>
      <w:bookmarkEnd w:id="147"/>
    </w:p>
    <w:p w14:paraId="6FBBE7A4" w14:textId="77777777" w:rsidR="003328F9" w:rsidRPr="00DD0D1F" w:rsidRDefault="003328F9" w:rsidP="003328F9">
      <w:pPr>
        <w:spacing w:before="240"/>
        <w:rPr>
          <w:rFonts w:cs="Times New Roman"/>
          <w:szCs w:val="24"/>
        </w:rPr>
      </w:pPr>
      <w:r w:rsidRPr="00DD0D1F">
        <w:rPr>
          <w:rFonts w:cs="Times New Roman"/>
          <w:szCs w:val="24"/>
        </w:rPr>
        <w:t>MET ile ilişkili enerji verimliliği seviyeleri (MET-İEVS'ler), atığın biyokütle ve/veya turba ile beraber yakılması için Tablo 8 de; atığın kömür ve/veya linyit ile beraber yakılması için Tablo 2 de verilmiştir.</w:t>
      </w:r>
    </w:p>
    <w:p w14:paraId="16B274D1" w14:textId="77777777" w:rsidR="003328F9" w:rsidRPr="00DD0D1F" w:rsidRDefault="003328F9" w:rsidP="00FF111D">
      <w:pPr>
        <w:pStyle w:val="Balk3"/>
        <w:numPr>
          <w:ilvl w:val="2"/>
          <w:numId w:val="75"/>
        </w:numPr>
        <w:rPr>
          <w:rFonts w:cs="Times New Roman"/>
        </w:rPr>
      </w:pPr>
      <w:bookmarkStart w:id="148" w:name="_Toc137367343"/>
      <w:r w:rsidRPr="00DD0D1F">
        <w:rPr>
          <w:rFonts w:cs="Times New Roman"/>
        </w:rPr>
        <w:t>Havaya NOX ve CO Emisyonları</w:t>
      </w:r>
      <w:bookmarkEnd w:id="148"/>
    </w:p>
    <w:p w14:paraId="573841AD" w14:textId="5A88EF3C" w:rsidR="003328F9" w:rsidRPr="00DD0D1F" w:rsidRDefault="003328F9" w:rsidP="003328F9">
      <w:pPr>
        <w:spacing w:before="240"/>
        <w:rPr>
          <w:rFonts w:cs="Times New Roman"/>
          <w:b/>
          <w:bCs/>
          <w:szCs w:val="24"/>
        </w:rPr>
      </w:pPr>
      <w:bookmarkStart w:id="149" w:name="_Hlk137398438"/>
      <w:r w:rsidRPr="00DD0D1F">
        <w:rPr>
          <w:rFonts w:cs="Times New Roman"/>
          <w:b/>
          <w:bCs/>
          <w:szCs w:val="24"/>
        </w:rPr>
        <w:t xml:space="preserve">MET 64: </w:t>
      </w:r>
      <w:r w:rsidRPr="00DD0D1F">
        <w:rPr>
          <w:rFonts w:cs="Times New Roman"/>
          <w:bCs/>
          <w:szCs w:val="24"/>
        </w:rPr>
        <w:t>Atığın kömür ve/veya linyitle beraber yakılmasından kaynaklanan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düşürmek için, MET </w:t>
      </w:r>
      <w:r w:rsidR="00057AEF" w:rsidRPr="00DD0D1F">
        <w:rPr>
          <w:rFonts w:cs="Times New Roman"/>
          <w:bCs/>
          <w:szCs w:val="24"/>
        </w:rPr>
        <w:t>20'de verilen tekniklerin biri</w:t>
      </w:r>
      <w:r w:rsidRPr="00DD0D1F">
        <w:rPr>
          <w:rFonts w:cs="Times New Roman"/>
          <w:bCs/>
          <w:szCs w:val="24"/>
        </w:rPr>
        <w:t xml:space="preserve"> veya bunların bir birleşimi kullan</w:t>
      </w:r>
      <w:r w:rsidR="00057AEF" w:rsidRPr="00DD0D1F">
        <w:rPr>
          <w:rFonts w:cs="Times New Roman"/>
          <w:bCs/>
          <w:szCs w:val="24"/>
        </w:rPr>
        <w:t>ılır.</w:t>
      </w:r>
    </w:p>
    <w:p w14:paraId="243C7C31" w14:textId="0711F489" w:rsidR="003328F9" w:rsidRPr="00DD0D1F" w:rsidRDefault="003328F9" w:rsidP="003328F9">
      <w:pPr>
        <w:spacing w:before="240"/>
        <w:rPr>
          <w:rFonts w:cs="Times New Roman"/>
          <w:b/>
          <w:bCs/>
          <w:szCs w:val="24"/>
        </w:rPr>
      </w:pPr>
      <w:r w:rsidRPr="00DD0D1F">
        <w:rPr>
          <w:rFonts w:cs="Times New Roman"/>
          <w:b/>
          <w:bCs/>
          <w:szCs w:val="24"/>
        </w:rPr>
        <w:t xml:space="preserve">MET 65: </w:t>
      </w:r>
      <w:r w:rsidRPr="00DD0D1F">
        <w:rPr>
          <w:rFonts w:cs="Times New Roman"/>
          <w:bCs/>
          <w:szCs w:val="24"/>
        </w:rPr>
        <w:t>Atığın biyokütle ve/veya turba ile beraber yakılmasından kaynaklanan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düşürmek için, MET</w:t>
      </w:r>
      <w:r w:rsidR="00057AEF" w:rsidRPr="00DD0D1F">
        <w:rPr>
          <w:rFonts w:cs="Times New Roman"/>
          <w:bCs/>
          <w:szCs w:val="24"/>
        </w:rPr>
        <w:t xml:space="preserve"> 24'te verilen tekniklerin biri</w:t>
      </w:r>
      <w:r w:rsidRPr="00DD0D1F">
        <w:rPr>
          <w:rFonts w:cs="Times New Roman"/>
          <w:bCs/>
          <w:szCs w:val="24"/>
        </w:rPr>
        <w:t xml:space="preserve"> veya bunların bir birleşimi kullan</w:t>
      </w:r>
      <w:r w:rsidR="00057AEF" w:rsidRPr="00DD0D1F">
        <w:rPr>
          <w:rFonts w:cs="Times New Roman"/>
          <w:bCs/>
          <w:szCs w:val="24"/>
        </w:rPr>
        <w:t>ılır.</w:t>
      </w:r>
    </w:p>
    <w:p w14:paraId="3F751E52" w14:textId="3F59D17D" w:rsidR="003328F9" w:rsidRPr="00DD0D1F" w:rsidRDefault="003328F9" w:rsidP="00FF111D">
      <w:pPr>
        <w:pStyle w:val="Balk3"/>
        <w:numPr>
          <w:ilvl w:val="2"/>
          <w:numId w:val="75"/>
        </w:numPr>
        <w:rPr>
          <w:rFonts w:cs="Times New Roman"/>
        </w:rPr>
      </w:pPr>
      <w:bookmarkStart w:id="150" w:name="_Toc137367344"/>
      <w:bookmarkEnd w:id="149"/>
      <w:r w:rsidRPr="00DD0D1F">
        <w:rPr>
          <w:rFonts w:cs="Times New Roman"/>
        </w:rPr>
        <w:t>Havaya SOX, HCl ve HF Emisyonları</w:t>
      </w:r>
      <w:bookmarkEnd w:id="150"/>
    </w:p>
    <w:p w14:paraId="0B190450" w14:textId="6C5A78E3" w:rsidR="003328F9" w:rsidRPr="00DD0D1F" w:rsidRDefault="003328F9" w:rsidP="003328F9">
      <w:pPr>
        <w:spacing w:before="240"/>
        <w:rPr>
          <w:rFonts w:cs="Times New Roman"/>
          <w:b/>
          <w:bCs/>
          <w:szCs w:val="24"/>
        </w:rPr>
      </w:pPr>
      <w:bookmarkStart w:id="151" w:name="_Hlk137398452"/>
      <w:r w:rsidRPr="00DD0D1F">
        <w:rPr>
          <w:rFonts w:cs="Times New Roman"/>
          <w:b/>
          <w:bCs/>
          <w:szCs w:val="24"/>
        </w:rPr>
        <w:t xml:space="preserve">MET 66: </w:t>
      </w:r>
      <w:r w:rsidRPr="00DD0D1F">
        <w:rPr>
          <w:rFonts w:cs="Times New Roman"/>
          <w:bCs/>
          <w:szCs w:val="24"/>
        </w:rPr>
        <w:t>Atığın kömür ve/veya linyitle beraber yakılmasından  kaynaklanan havaya SO</w:t>
      </w:r>
      <w:r w:rsidRPr="00DD0D1F">
        <w:rPr>
          <w:rFonts w:cs="Times New Roman"/>
          <w:bCs/>
          <w:szCs w:val="24"/>
          <w:vertAlign w:val="subscript"/>
        </w:rPr>
        <w:t>X</w:t>
      </w:r>
      <w:r w:rsidRPr="00DD0D1F">
        <w:rPr>
          <w:rFonts w:cs="Times New Roman"/>
          <w:bCs/>
          <w:szCs w:val="24"/>
        </w:rPr>
        <w:t>, HCl ve HF emisyonlarını önlemek veya azaltmak için, MET 21'de verilen tekniklerin biri veya bunların bir birleşimi kullan</w:t>
      </w:r>
      <w:r w:rsidR="00057AEF" w:rsidRPr="00DD0D1F">
        <w:rPr>
          <w:rFonts w:cs="Times New Roman"/>
          <w:bCs/>
          <w:szCs w:val="24"/>
        </w:rPr>
        <w:t>ılır.</w:t>
      </w:r>
    </w:p>
    <w:p w14:paraId="59C72057" w14:textId="404A9025" w:rsidR="003328F9" w:rsidRPr="00DD0D1F" w:rsidRDefault="003328F9" w:rsidP="003328F9">
      <w:pPr>
        <w:spacing w:before="240"/>
        <w:rPr>
          <w:rFonts w:cs="Times New Roman"/>
          <w:b/>
          <w:bCs/>
          <w:szCs w:val="24"/>
        </w:rPr>
      </w:pPr>
      <w:r w:rsidRPr="00DD0D1F">
        <w:rPr>
          <w:rFonts w:cs="Times New Roman"/>
          <w:b/>
          <w:bCs/>
          <w:szCs w:val="24"/>
        </w:rPr>
        <w:t xml:space="preserve">MET 67: </w:t>
      </w:r>
      <w:r w:rsidRPr="00DD0D1F">
        <w:rPr>
          <w:rFonts w:cs="Times New Roman"/>
          <w:bCs/>
          <w:szCs w:val="24"/>
        </w:rPr>
        <w:t>Atığın biyokütle ve/veya turba ile beraber yakılmasından kaynaklanan havaya SO</w:t>
      </w:r>
      <w:r w:rsidRPr="00DD0D1F">
        <w:rPr>
          <w:rFonts w:cs="Times New Roman"/>
          <w:bCs/>
          <w:szCs w:val="24"/>
          <w:vertAlign w:val="subscript"/>
        </w:rPr>
        <w:t>X</w:t>
      </w:r>
      <w:r w:rsidRPr="00DD0D1F">
        <w:rPr>
          <w:rFonts w:cs="Times New Roman"/>
          <w:bCs/>
          <w:szCs w:val="24"/>
        </w:rPr>
        <w:t>, HCl ve HF emisyonlarını önlemek veya azaltmak için, MET 25'te verilen tekniklerin bir</w:t>
      </w:r>
      <w:r w:rsidR="00057AEF" w:rsidRPr="00DD0D1F">
        <w:rPr>
          <w:rFonts w:cs="Times New Roman"/>
          <w:bCs/>
          <w:szCs w:val="24"/>
        </w:rPr>
        <w:t>i veya bunların bir birleşimi kullanılır.</w:t>
      </w:r>
    </w:p>
    <w:p w14:paraId="47309B0C" w14:textId="3EF14A53" w:rsidR="003328F9" w:rsidRPr="00DD0D1F" w:rsidRDefault="003328F9" w:rsidP="00FF111D">
      <w:pPr>
        <w:pStyle w:val="Balk3"/>
        <w:numPr>
          <w:ilvl w:val="2"/>
          <w:numId w:val="75"/>
        </w:numPr>
        <w:rPr>
          <w:rFonts w:cs="Times New Roman"/>
        </w:rPr>
      </w:pPr>
      <w:bookmarkStart w:id="152" w:name="_Toc137367345"/>
      <w:bookmarkEnd w:id="151"/>
      <w:r w:rsidRPr="00DD0D1F">
        <w:rPr>
          <w:rFonts w:cs="Times New Roman"/>
        </w:rPr>
        <w:t>Toz ve Partiküle Bağlı Metallerin Havaya Emisyonları</w:t>
      </w:r>
      <w:bookmarkEnd w:id="152"/>
    </w:p>
    <w:p w14:paraId="2EB8F55A" w14:textId="7CF20F7D" w:rsidR="003328F9" w:rsidRPr="00DD0D1F" w:rsidRDefault="003328F9" w:rsidP="003328F9">
      <w:pPr>
        <w:spacing w:before="240"/>
        <w:rPr>
          <w:rFonts w:cs="Times New Roman"/>
          <w:b/>
          <w:bCs/>
          <w:szCs w:val="24"/>
        </w:rPr>
      </w:pPr>
      <w:bookmarkStart w:id="153" w:name="_Hlk137398485"/>
      <w:r w:rsidRPr="00DD0D1F">
        <w:rPr>
          <w:rFonts w:cs="Times New Roman"/>
          <w:b/>
          <w:bCs/>
          <w:szCs w:val="24"/>
        </w:rPr>
        <w:t xml:space="preserve">MET 68: </w:t>
      </w:r>
      <w:r w:rsidRPr="00DD0D1F">
        <w:rPr>
          <w:rFonts w:cs="Times New Roman"/>
          <w:bCs/>
          <w:szCs w:val="24"/>
        </w:rPr>
        <w:t>Atığın kömür ve/veya linyitle beraber yakılmasından  kaynaklanan toz ve partiküle bağlı metallerin havaya emisyonlarını azaltmak için, MET 22'de verilen tekniklerin biri</w:t>
      </w:r>
      <w:r w:rsidR="00057AEF" w:rsidRPr="00DD0D1F">
        <w:rPr>
          <w:rFonts w:cs="Times New Roman"/>
          <w:bCs/>
          <w:szCs w:val="24"/>
        </w:rPr>
        <w:t xml:space="preserve"> veya bunların bir birleşimi kullanılır.</w:t>
      </w:r>
    </w:p>
    <w:bookmarkEnd w:id="153"/>
    <w:p w14:paraId="5EAD8CB2"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Atığın kömür ve/veya linyitle beraber yakılmasından kaynaklanan metallerin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114"/>
        <w:gridCol w:w="2444"/>
        <w:gridCol w:w="1672"/>
        <w:gridCol w:w="2847"/>
      </w:tblGrid>
      <w:tr w:rsidR="003328F9" w:rsidRPr="00DD0D1F" w14:paraId="00C4EA8A" w14:textId="77777777" w:rsidTr="003328F9">
        <w:trPr>
          <w:trHeight w:val="62"/>
        </w:trPr>
        <w:tc>
          <w:tcPr>
            <w:tcW w:w="1165" w:type="pct"/>
            <w:vMerge w:val="restart"/>
            <w:tcBorders>
              <w:top w:val="single" w:sz="4" w:space="0" w:color="auto"/>
              <w:left w:val="single" w:sz="4" w:space="0" w:color="auto"/>
              <w:right w:val="single" w:sz="6" w:space="0" w:color="auto"/>
            </w:tcBorders>
            <w:vAlign w:val="center"/>
          </w:tcPr>
          <w:p w14:paraId="42FB7E0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267" w:type="pct"/>
            <w:gridSpan w:val="2"/>
            <w:tcBorders>
              <w:top w:val="single" w:sz="4" w:space="0" w:color="auto"/>
              <w:left w:val="single" w:sz="6" w:space="0" w:color="auto"/>
              <w:bottom w:val="single" w:sz="6" w:space="0" w:color="auto"/>
              <w:right w:val="single" w:sz="6" w:space="0" w:color="auto"/>
            </w:tcBorders>
            <w:vAlign w:val="center"/>
          </w:tcPr>
          <w:p w14:paraId="451DB11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c>
          <w:tcPr>
            <w:tcW w:w="1568" w:type="pct"/>
            <w:vMerge w:val="restart"/>
            <w:tcBorders>
              <w:top w:val="single" w:sz="4" w:space="0" w:color="auto"/>
              <w:left w:val="single" w:sz="6" w:space="0" w:color="auto"/>
              <w:right w:val="single" w:sz="4" w:space="0" w:color="auto"/>
            </w:tcBorders>
            <w:vAlign w:val="center"/>
          </w:tcPr>
          <w:p w14:paraId="1F1EEF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Ortalama periyodu</w:t>
            </w:r>
          </w:p>
        </w:tc>
      </w:tr>
      <w:tr w:rsidR="003328F9" w:rsidRPr="00DD0D1F" w14:paraId="5424745C" w14:textId="77777777" w:rsidTr="003328F9">
        <w:trPr>
          <w:trHeight w:val="62"/>
        </w:trPr>
        <w:tc>
          <w:tcPr>
            <w:tcW w:w="1165" w:type="pct"/>
            <w:vMerge/>
            <w:tcBorders>
              <w:left w:val="single" w:sz="4" w:space="0" w:color="auto"/>
              <w:bottom w:val="single" w:sz="6" w:space="0" w:color="auto"/>
              <w:right w:val="single" w:sz="6" w:space="0" w:color="auto"/>
            </w:tcBorders>
            <w:vAlign w:val="center"/>
          </w:tcPr>
          <w:p w14:paraId="1D666170" w14:textId="77777777" w:rsidR="003328F9" w:rsidRPr="00DD0D1F" w:rsidRDefault="003328F9" w:rsidP="003328F9">
            <w:pPr>
              <w:adjustRightInd w:val="0"/>
              <w:spacing w:line="240" w:lineRule="auto"/>
              <w:ind w:left="74" w:right="74"/>
              <w:jc w:val="center"/>
              <w:rPr>
                <w:rFonts w:cs="Times New Roman"/>
                <w:szCs w:val="24"/>
                <w:lang w:val="tr-TR"/>
              </w:rPr>
            </w:pPr>
          </w:p>
        </w:tc>
        <w:tc>
          <w:tcPr>
            <w:tcW w:w="1346" w:type="pct"/>
            <w:tcBorders>
              <w:top w:val="single" w:sz="6" w:space="0" w:color="auto"/>
              <w:left w:val="single" w:sz="6" w:space="0" w:color="auto"/>
              <w:bottom w:val="single" w:sz="6" w:space="0" w:color="auto"/>
              <w:right w:val="single" w:sz="6" w:space="0" w:color="auto"/>
            </w:tcBorders>
            <w:vAlign w:val="center"/>
          </w:tcPr>
          <w:p w14:paraId="7BB4CD1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Sb + As + Pb + Cr + Co +</w:t>
            </w:r>
          </w:p>
          <w:p w14:paraId="622CFB0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Cu + Mn + Ni + V (mg/Nm</w:t>
            </w:r>
            <w:r w:rsidRPr="00DD0D1F">
              <w:rPr>
                <w:rFonts w:cs="Times New Roman"/>
                <w:b/>
                <w:szCs w:val="24"/>
                <w:vertAlign w:val="superscript"/>
                <w:lang w:val="tr-TR"/>
              </w:rPr>
              <w:t>3</w:t>
            </w:r>
            <w:r w:rsidRPr="00DD0D1F">
              <w:rPr>
                <w:rFonts w:cs="Times New Roman"/>
                <w:b/>
                <w:szCs w:val="24"/>
                <w:lang w:val="tr-TR"/>
              </w:rPr>
              <w:t>)</w:t>
            </w:r>
          </w:p>
        </w:tc>
        <w:tc>
          <w:tcPr>
            <w:tcW w:w="921" w:type="pct"/>
            <w:tcBorders>
              <w:top w:val="single" w:sz="6" w:space="0" w:color="auto"/>
              <w:left w:val="single" w:sz="6" w:space="0" w:color="auto"/>
              <w:bottom w:val="single" w:sz="6" w:space="0" w:color="auto"/>
              <w:right w:val="single" w:sz="6" w:space="0" w:color="auto"/>
            </w:tcBorders>
            <w:vAlign w:val="center"/>
          </w:tcPr>
          <w:p w14:paraId="72A733F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Cd + T1 (µg/Nm</w:t>
            </w:r>
            <w:r w:rsidRPr="00DD0D1F">
              <w:rPr>
                <w:rFonts w:cs="Times New Roman"/>
                <w:b/>
                <w:szCs w:val="24"/>
                <w:vertAlign w:val="superscript"/>
                <w:lang w:val="tr-TR"/>
              </w:rPr>
              <w:t>3</w:t>
            </w:r>
            <w:r w:rsidRPr="00DD0D1F">
              <w:rPr>
                <w:rFonts w:cs="Times New Roman"/>
                <w:b/>
                <w:szCs w:val="24"/>
                <w:lang w:val="tr-TR"/>
              </w:rPr>
              <w:t>)</w:t>
            </w:r>
          </w:p>
        </w:tc>
        <w:tc>
          <w:tcPr>
            <w:tcW w:w="1568" w:type="pct"/>
            <w:vMerge/>
            <w:tcBorders>
              <w:left w:val="single" w:sz="6" w:space="0" w:color="auto"/>
              <w:bottom w:val="single" w:sz="6" w:space="0" w:color="auto"/>
              <w:right w:val="single" w:sz="4" w:space="0" w:color="auto"/>
            </w:tcBorders>
            <w:vAlign w:val="center"/>
          </w:tcPr>
          <w:p w14:paraId="1380ED83" w14:textId="77777777" w:rsidR="003328F9" w:rsidRPr="00DD0D1F" w:rsidRDefault="003328F9" w:rsidP="003328F9">
            <w:pPr>
              <w:adjustRightInd w:val="0"/>
              <w:spacing w:line="240" w:lineRule="auto"/>
              <w:ind w:left="74" w:right="74"/>
              <w:jc w:val="center"/>
              <w:rPr>
                <w:rFonts w:cs="Times New Roman"/>
                <w:szCs w:val="24"/>
                <w:lang w:val="tr-TR"/>
              </w:rPr>
            </w:pPr>
          </w:p>
        </w:tc>
      </w:tr>
      <w:tr w:rsidR="003328F9" w:rsidRPr="00DD0D1F" w14:paraId="66064AE2" w14:textId="77777777" w:rsidTr="003328F9">
        <w:trPr>
          <w:trHeight w:val="62"/>
        </w:trPr>
        <w:tc>
          <w:tcPr>
            <w:tcW w:w="1165" w:type="pct"/>
            <w:tcBorders>
              <w:top w:val="single" w:sz="6" w:space="0" w:color="auto"/>
              <w:left w:val="single" w:sz="4" w:space="0" w:color="auto"/>
              <w:bottom w:val="single" w:sz="6" w:space="0" w:color="auto"/>
              <w:right w:val="single" w:sz="6" w:space="0" w:color="auto"/>
            </w:tcBorders>
            <w:vAlign w:val="center"/>
          </w:tcPr>
          <w:p w14:paraId="1590C8F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1346" w:type="pct"/>
            <w:tcBorders>
              <w:top w:val="single" w:sz="6" w:space="0" w:color="auto"/>
              <w:left w:val="single" w:sz="6" w:space="0" w:color="auto"/>
              <w:bottom w:val="single" w:sz="6" w:space="0" w:color="auto"/>
              <w:right w:val="single" w:sz="6" w:space="0" w:color="auto"/>
            </w:tcBorders>
            <w:vAlign w:val="center"/>
          </w:tcPr>
          <w:p w14:paraId="6E7B440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0,005-0,5</w:t>
            </w:r>
          </w:p>
        </w:tc>
        <w:tc>
          <w:tcPr>
            <w:tcW w:w="921" w:type="pct"/>
            <w:tcBorders>
              <w:top w:val="single" w:sz="6" w:space="0" w:color="auto"/>
              <w:left w:val="single" w:sz="6" w:space="0" w:color="auto"/>
              <w:bottom w:val="single" w:sz="6" w:space="0" w:color="auto"/>
              <w:right w:val="single" w:sz="6" w:space="0" w:color="auto"/>
            </w:tcBorders>
            <w:vAlign w:val="center"/>
          </w:tcPr>
          <w:p w14:paraId="09EDFAF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5-12</w:t>
            </w:r>
          </w:p>
        </w:tc>
        <w:tc>
          <w:tcPr>
            <w:tcW w:w="1568" w:type="pct"/>
            <w:tcBorders>
              <w:top w:val="single" w:sz="6" w:space="0" w:color="auto"/>
              <w:left w:val="single" w:sz="6" w:space="0" w:color="auto"/>
              <w:bottom w:val="single" w:sz="6" w:space="0" w:color="auto"/>
              <w:right w:val="single" w:sz="4" w:space="0" w:color="auto"/>
            </w:tcBorders>
            <w:vAlign w:val="center"/>
          </w:tcPr>
          <w:p w14:paraId="09C1AC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Numune alma periyodunda ortalama</w:t>
            </w:r>
          </w:p>
        </w:tc>
      </w:tr>
      <w:tr w:rsidR="003328F9" w:rsidRPr="00DD0D1F" w14:paraId="51FFC753" w14:textId="77777777" w:rsidTr="003328F9">
        <w:trPr>
          <w:trHeight w:val="62"/>
        </w:trPr>
        <w:tc>
          <w:tcPr>
            <w:tcW w:w="1165" w:type="pct"/>
            <w:tcBorders>
              <w:top w:val="single" w:sz="6" w:space="0" w:color="auto"/>
              <w:left w:val="single" w:sz="4" w:space="0" w:color="auto"/>
              <w:bottom w:val="single" w:sz="4" w:space="0" w:color="auto"/>
              <w:right w:val="single" w:sz="6" w:space="0" w:color="auto"/>
            </w:tcBorders>
            <w:vAlign w:val="center"/>
          </w:tcPr>
          <w:p w14:paraId="1A73A4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1346" w:type="pct"/>
            <w:tcBorders>
              <w:top w:val="single" w:sz="6" w:space="0" w:color="auto"/>
              <w:left w:val="single" w:sz="6" w:space="0" w:color="auto"/>
              <w:bottom w:val="single" w:sz="4" w:space="0" w:color="auto"/>
              <w:right w:val="single" w:sz="6" w:space="0" w:color="auto"/>
            </w:tcBorders>
            <w:vAlign w:val="center"/>
          </w:tcPr>
          <w:p w14:paraId="618931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0,005-0,2</w:t>
            </w:r>
          </w:p>
        </w:tc>
        <w:tc>
          <w:tcPr>
            <w:tcW w:w="921" w:type="pct"/>
            <w:tcBorders>
              <w:top w:val="single" w:sz="6" w:space="0" w:color="auto"/>
              <w:left w:val="single" w:sz="6" w:space="0" w:color="auto"/>
              <w:bottom w:val="single" w:sz="4" w:space="0" w:color="auto"/>
              <w:right w:val="single" w:sz="6" w:space="0" w:color="auto"/>
            </w:tcBorders>
            <w:vAlign w:val="center"/>
          </w:tcPr>
          <w:p w14:paraId="6736BC2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5-6</w:t>
            </w:r>
          </w:p>
        </w:tc>
        <w:tc>
          <w:tcPr>
            <w:tcW w:w="1568" w:type="pct"/>
            <w:tcBorders>
              <w:top w:val="single" w:sz="6" w:space="0" w:color="auto"/>
              <w:left w:val="single" w:sz="6" w:space="0" w:color="auto"/>
              <w:bottom w:val="single" w:sz="4" w:space="0" w:color="auto"/>
              <w:right w:val="single" w:sz="4" w:space="0" w:color="auto"/>
            </w:tcBorders>
            <w:vAlign w:val="center"/>
          </w:tcPr>
          <w:p w14:paraId="39DC42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 yılda alınan numunelerin ortalaması</w:t>
            </w:r>
          </w:p>
        </w:tc>
      </w:tr>
    </w:tbl>
    <w:p w14:paraId="5C8E9D75" w14:textId="478957B1" w:rsidR="003328F9" w:rsidRPr="00DD0D1F" w:rsidRDefault="003328F9" w:rsidP="003328F9">
      <w:pPr>
        <w:spacing w:before="240"/>
        <w:rPr>
          <w:rFonts w:cs="Times New Roman"/>
          <w:b/>
          <w:bCs/>
          <w:szCs w:val="24"/>
          <w:lang w:val="fi-FI"/>
        </w:rPr>
      </w:pPr>
      <w:r w:rsidRPr="00DD0D1F">
        <w:rPr>
          <w:rFonts w:cs="Times New Roman"/>
          <w:b/>
          <w:bCs/>
          <w:szCs w:val="24"/>
          <w:lang w:val="fi-FI"/>
        </w:rPr>
        <w:t>MET 69</w:t>
      </w:r>
      <w:bookmarkStart w:id="154" w:name="_Hlk137398495"/>
      <w:r w:rsidRPr="00DD0D1F">
        <w:rPr>
          <w:rFonts w:cs="Times New Roman"/>
          <w:b/>
          <w:bCs/>
          <w:szCs w:val="24"/>
          <w:lang w:val="fi-FI"/>
        </w:rPr>
        <w:t xml:space="preserve">: </w:t>
      </w:r>
      <w:r w:rsidRPr="00DD0D1F">
        <w:rPr>
          <w:rFonts w:cs="Times New Roman"/>
          <w:bCs/>
          <w:szCs w:val="24"/>
          <w:lang w:val="fi-FI"/>
        </w:rPr>
        <w:t>Atığın biyokütle ve/veya turba ile beraber yakılmasından kaynaklanan toz ve partiküle bağlı metallerin havaya emisyonlarını azaltmak için, MET</w:t>
      </w:r>
      <w:r w:rsidR="00057AEF" w:rsidRPr="00DD0D1F">
        <w:rPr>
          <w:rFonts w:cs="Times New Roman"/>
          <w:bCs/>
          <w:szCs w:val="24"/>
          <w:lang w:val="fi-FI"/>
        </w:rPr>
        <w:t xml:space="preserve"> 26'da verilen tekniklerin biri veya bunların bir birleşimi</w:t>
      </w:r>
      <w:r w:rsidRPr="00DD0D1F">
        <w:rPr>
          <w:rFonts w:cs="Times New Roman"/>
          <w:bCs/>
          <w:szCs w:val="24"/>
          <w:lang w:val="fi-FI"/>
        </w:rPr>
        <w:t xml:space="preserve"> kullan</w:t>
      </w:r>
      <w:r w:rsidR="00057AEF" w:rsidRPr="00DD0D1F">
        <w:rPr>
          <w:rFonts w:cs="Times New Roman"/>
          <w:bCs/>
          <w:szCs w:val="24"/>
          <w:lang w:val="fi-FI"/>
        </w:rPr>
        <w:t>ılır.</w:t>
      </w:r>
      <w:bookmarkEnd w:id="154"/>
    </w:p>
    <w:p w14:paraId="663B7754" w14:textId="77777777" w:rsidR="003328F9" w:rsidRPr="00DD0D1F" w:rsidRDefault="003328F9" w:rsidP="003328F9">
      <w:pPr>
        <w:pStyle w:val="ResimYazs"/>
        <w:spacing w:before="240"/>
        <w:rPr>
          <w:rFonts w:cs="Times New Roman"/>
          <w:color w:val="auto"/>
          <w:szCs w:val="24"/>
        </w:rPr>
      </w:pPr>
      <w:r w:rsidRPr="00DD0D1F">
        <w:rPr>
          <w:rFonts w:cs="Times New Roman"/>
          <w:color w:val="auto"/>
          <w:szCs w:val="24"/>
        </w:rPr>
        <w:t>Atığın biyokütle ve/veya turba ile beraber yakılmasından kaynaklanan metallerin havaya emisyonlarına yönelik MET ile ilişkili emisyon seviyeleri (MET-İES’ler)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5"/>
        <w:gridCol w:w="2652"/>
      </w:tblGrid>
      <w:tr w:rsidR="003328F9" w:rsidRPr="00DD0D1F" w14:paraId="6A6D34C2" w14:textId="77777777" w:rsidTr="003328F9">
        <w:trPr>
          <w:trHeight w:val="731"/>
        </w:trPr>
        <w:tc>
          <w:tcPr>
            <w:tcW w:w="5000" w:type="pct"/>
            <w:gridSpan w:val="2"/>
            <w:vAlign w:val="center"/>
          </w:tcPr>
          <w:p w14:paraId="125DCBF4" w14:textId="77777777" w:rsidR="003328F9" w:rsidRPr="00DD0D1F" w:rsidRDefault="003328F9" w:rsidP="003328F9">
            <w:pPr>
              <w:pStyle w:val="TableParagraph"/>
              <w:ind w:left="74" w:right="74"/>
              <w:jc w:val="center"/>
              <w:rPr>
                <w:b/>
                <w:szCs w:val="24"/>
              </w:rPr>
            </w:pPr>
            <w:r w:rsidRPr="00DD0D1F">
              <w:rPr>
                <w:b/>
                <w:szCs w:val="24"/>
              </w:rPr>
              <w:t>MET-İES’ler</w:t>
            </w:r>
          </w:p>
          <w:p w14:paraId="3365FB7A" w14:textId="77777777" w:rsidR="003328F9" w:rsidRPr="00DD0D1F" w:rsidRDefault="003328F9" w:rsidP="003328F9">
            <w:pPr>
              <w:pStyle w:val="TableParagraph"/>
              <w:ind w:left="74" w:right="74"/>
              <w:jc w:val="center"/>
              <w:rPr>
                <w:b/>
                <w:szCs w:val="24"/>
              </w:rPr>
            </w:pPr>
            <w:r w:rsidRPr="00DD0D1F">
              <w:rPr>
                <w:b/>
                <w:szCs w:val="24"/>
              </w:rPr>
              <w:t>(bir yılda alınan numunelerin ortalaması)</w:t>
            </w:r>
          </w:p>
        </w:tc>
      </w:tr>
      <w:tr w:rsidR="003328F9" w:rsidRPr="00DD0D1F" w14:paraId="40881CB4" w14:textId="77777777" w:rsidTr="003328F9">
        <w:trPr>
          <w:trHeight w:val="230"/>
        </w:trPr>
        <w:tc>
          <w:tcPr>
            <w:tcW w:w="3539" w:type="pct"/>
            <w:vAlign w:val="center"/>
          </w:tcPr>
          <w:p w14:paraId="7A8DF494" w14:textId="77777777" w:rsidR="003328F9" w:rsidRPr="00DD0D1F" w:rsidRDefault="003328F9" w:rsidP="003328F9">
            <w:pPr>
              <w:pStyle w:val="TableParagraph"/>
              <w:ind w:left="74" w:right="74"/>
              <w:jc w:val="center"/>
              <w:rPr>
                <w:bCs/>
                <w:szCs w:val="24"/>
              </w:rPr>
            </w:pPr>
            <w:r w:rsidRPr="00DD0D1F">
              <w:rPr>
                <w:bCs/>
                <w:szCs w:val="24"/>
              </w:rPr>
              <w:t>Sb+As+Pb+Cr+Co+Cu+Mn+Ni+V (mg/Nm</w:t>
            </w:r>
            <w:r w:rsidRPr="00DD0D1F">
              <w:rPr>
                <w:bCs/>
                <w:szCs w:val="24"/>
                <w:vertAlign w:val="superscript"/>
              </w:rPr>
              <w:t>3</w:t>
            </w:r>
            <w:r w:rsidRPr="00DD0D1F">
              <w:rPr>
                <w:bCs/>
                <w:szCs w:val="24"/>
              </w:rPr>
              <w:t>)</w:t>
            </w:r>
          </w:p>
        </w:tc>
        <w:tc>
          <w:tcPr>
            <w:tcW w:w="1461" w:type="pct"/>
            <w:vAlign w:val="center"/>
          </w:tcPr>
          <w:p w14:paraId="32ECC681" w14:textId="77777777" w:rsidR="003328F9" w:rsidRPr="00DD0D1F" w:rsidRDefault="003328F9" w:rsidP="003328F9">
            <w:pPr>
              <w:pStyle w:val="TableParagraph"/>
              <w:ind w:left="74" w:right="74"/>
              <w:jc w:val="center"/>
              <w:rPr>
                <w:bCs/>
                <w:szCs w:val="24"/>
              </w:rPr>
            </w:pPr>
            <w:r w:rsidRPr="00DD0D1F">
              <w:rPr>
                <w:bCs/>
                <w:szCs w:val="24"/>
              </w:rPr>
              <w:t>Cd+Tl (µg/Nm</w:t>
            </w:r>
            <w:r w:rsidRPr="00DD0D1F">
              <w:rPr>
                <w:bCs/>
                <w:szCs w:val="24"/>
                <w:vertAlign w:val="superscript"/>
              </w:rPr>
              <w:t>3</w:t>
            </w:r>
            <w:r w:rsidRPr="00DD0D1F">
              <w:rPr>
                <w:bCs/>
                <w:szCs w:val="24"/>
              </w:rPr>
              <w:t>)</w:t>
            </w:r>
          </w:p>
        </w:tc>
      </w:tr>
      <w:tr w:rsidR="003328F9" w:rsidRPr="00DD0D1F" w14:paraId="079E6B1F" w14:textId="77777777" w:rsidTr="003328F9">
        <w:trPr>
          <w:trHeight w:val="230"/>
        </w:trPr>
        <w:tc>
          <w:tcPr>
            <w:tcW w:w="3539" w:type="pct"/>
            <w:vAlign w:val="center"/>
          </w:tcPr>
          <w:p w14:paraId="40C1F710" w14:textId="77777777" w:rsidR="003328F9" w:rsidRPr="00DD0D1F" w:rsidRDefault="003328F9" w:rsidP="003328F9">
            <w:pPr>
              <w:pStyle w:val="TableParagraph"/>
              <w:ind w:left="74" w:right="74"/>
              <w:jc w:val="center"/>
              <w:rPr>
                <w:bCs/>
                <w:szCs w:val="24"/>
              </w:rPr>
            </w:pPr>
            <w:r w:rsidRPr="00DD0D1F">
              <w:rPr>
                <w:bCs/>
                <w:szCs w:val="24"/>
              </w:rPr>
              <w:t>0,075–0,3</w:t>
            </w:r>
          </w:p>
        </w:tc>
        <w:tc>
          <w:tcPr>
            <w:tcW w:w="1461" w:type="pct"/>
            <w:vAlign w:val="center"/>
          </w:tcPr>
          <w:p w14:paraId="6C2FFA33" w14:textId="77777777" w:rsidR="003328F9" w:rsidRPr="00DD0D1F" w:rsidRDefault="003328F9" w:rsidP="003328F9">
            <w:pPr>
              <w:pStyle w:val="TableParagraph"/>
              <w:ind w:left="74" w:right="74"/>
              <w:jc w:val="center"/>
              <w:rPr>
                <w:bCs/>
                <w:szCs w:val="24"/>
              </w:rPr>
            </w:pPr>
            <w:r w:rsidRPr="00DD0D1F">
              <w:rPr>
                <w:bCs/>
                <w:szCs w:val="24"/>
              </w:rPr>
              <w:t>&lt; 5</w:t>
            </w:r>
          </w:p>
        </w:tc>
      </w:tr>
    </w:tbl>
    <w:p w14:paraId="638029A6" w14:textId="77777777" w:rsidR="003328F9" w:rsidRPr="00DD0D1F" w:rsidRDefault="003328F9" w:rsidP="00FF111D">
      <w:pPr>
        <w:pStyle w:val="Balk3"/>
        <w:numPr>
          <w:ilvl w:val="2"/>
          <w:numId w:val="75"/>
        </w:numPr>
        <w:rPr>
          <w:rFonts w:cs="Times New Roman"/>
        </w:rPr>
      </w:pPr>
      <w:bookmarkStart w:id="155" w:name="_Toc137367346"/>
      <w:r w:rsidRPr="00DD0D1F">
        <w:rPr>
          <w:rFonts w:cs="Times New Roman"/>
        </w:rPr>
        <w:t>Havaya Cıva Emisyonları</w:t>
      </w:r>
      <w:bookmarkEnd w:id="155"/>
    </w:p>
    <w:p w14:paraId="46CAB7A5" w14:textId="6B8DE731" w:rsidR="003328F9" w:rsidRPr="00DD0D1F" w:rsidRDefault="003328F9" w:rsidP="003328F9">
      <w:pPr>
        <w:spacing w:before="240"/>
        <w:rPr>
          <w:rFonts w:cs="Times New Roman"/>
          <w:b/>
          <w:bCs/>
          <w:szCs w:val="24"/>
        </w:rPr>
      </w:pPr>
      <w:bookmarkStart w:id="156" w:name="_Hlk137398508"/>
      <w:r w:rsidRPr="00DD0D1F">
        <w:rPr>
          <w:rFonts w:cs="Times New Roman"/>
          <w:b/>
          <w:bCs/>
          <w:szCs w:val="24"/>
        </w:rPr>
        <w:t xml:space="preserve">MET 70: </w:t>
      </w:r>
      <w:r w:rsidRPr="00DD0D1F">
        <w:rPr>
          <w:rFonts w:cs="Times New Roman"/>
          <w:bCs/>
          <w:szCs w:val="24"/>
        </w:rPr>
        <w:t>Atığın biyokütle, turba, kömür ve/veya linyit ile beraber yakılmasından kaynaklanan havaya cıva emisyonlarını azaltmak için, MET 23 ve MET</w:t>
      </w:r>
      <w:r w:rsidR="00057AEF" w:rsidRPr="00DD0D1F">
        <w:rPr>
          <w:rFonts w:cs="Times New Roman"/>
          <w:bCs/>
          <w:szCs w:val="24"/>
        </w:rPr>
        <w:t xml:space="preserve"> 27'de verilen tekniklerin biri</w:t>
      </w:r>
      <w:r w:rsidRPr="00DD0D1F">
        <w:rPr>
          <w:rFonts w:cs="Times New Roman"/>
          <w:bCs/>
          <w:szCs w:val="24"/>
        </w:rPr>
        <w:t xml:space="preserve"> veya bunların bir birleşim</w:t>
      </w:r>
      <w:r w:rsidR="00057AEF" w:rsidRPr="00DD0D1F">
        <w:rPr>
          <w:rFonts w:cs="Times New Roman"/>
          <w:bCs/>
          <w:szCs w:val="24"/>
        </w:rPr>
        <w:t>i</w:t>
      </w:r>
      <w:r w:rsidRPr="00DD0D1F">
        <w:rPr>
          <w:rFonts w:cs="Times New Roman"/>
          <w:bCs/>
          <w:szCs w:val="24"/>
        </w:rPr>
        <w:t xml:space="preserve"> kullan</w:t>
      </w:r>
      <w:r w:rsidR="00057AEF" w:rsidRPr="00DD0D1F">
        <w:rPr>
          <w:rFonts w:cs="Times New Roman"/>
          <w:bCs/>
          <w:szCs w:val="24"/>
        </w:rPr>
        <w:t>ılır.</w:t>
      </w:r>
    </w:p>
    <w:p w14:paraId="69F415D2" w14:textId="77777777" w:rsidR="003328F9" w:rsidRPr="00DD0D1F" w:rsidRDefault="003328F9" w:rsidP="00FF111D">
      <w:pPr>
        <w:pStyle w:val="Balk3"/>
        <w:numPr>
          <w:ilvl w:val="2"/>
          <w:numId w:val="75"/>
        </w:numPr>
        <w:rPr>
          <w:rFonts w:cs="Times New Roman"/>
        </w:rPr>
      </w:pPr>
      <w:bookmarkStart w:id="157" w:name="_Toc137367347"/>
      <w:bookmarkEnd w:id="156"/>
      <w:r w:rsidRPr="00DD0D1F">
        <w:rPr>
          <w:rFonts w:cs="Times New Roman"/>
        </w:rPr>
        <w:t>Uçucu Organik Bileşik (VOC) ile Poliklorlu Dibenzo-Dioksin ve –Furanın Havaya Emisyonları</w:t>
      </w:r>
      <w:bookmarkEnd w:id="157"/>
    </w:p>
    <w:p w14:paraId="53F6142C" w14:textId="5EB19E67" w:rsidR="003328F9" w:rsidRPr="00DD0D1F" w:rsidRDefault="003328F9" w:rsidP="003328F9">
      <w:pPr>
        <w:spacing w:before="240"/>
        <w:rPr>
          <w:rFonts w:cs="Times New Roman"/>
          <w:b/>
          <w:bCs/>
          <w:szCs w:val="24"/>
        </w:rPr>
      </w:pPr>
      <w:r w:rsidRPr="00DD0D1F">
        <w:rPr>
          <w:rFonts w:cs="Times New Roman"/>
          <w:b/>
          <w:bCs/>
          <w:szCs w:val="24"/>
        </w:rPr>
        <w:t>MET 71</w:t>
      </w:r>
      <w:bookmarkStart w:id="158" w:name="_Hlk137398547"/>
      <w:r w:rsidRPr="00DD0D1F">
        <w:rPr>
          <w:rFonts w:cs="Times New Roman"/>
          <w:b/>
          <w:bCs/>
          <w:szCs w:val="24"/>
        </w:rPr>
        <w:t xml:space="preserve">: </w:t>
      </w:r>
      <w:r w:rsidRPr="00DD0D1F">
        <w:rPr>
          <w:rFonts w:cs="Times New Roman"/>
          <w:bCs/>
          <w:szCs w:val="24"/>
        </w:rPr>
        <w:t>Atığın biyokütle, turba, kömür ve/veya linyitle beraber yakılmasından  kaynaklanan uçucu organik bileşik ile poliklorlu dibenzo-dioksin ve –furanın havaya emisyonlarını azaltmak için , MET 6 ve MET 26'da ve aşağıda ve</w:t>
      </w:r>
      <w:r w:rsidR="00057AEF" w:rsidRPr="00DD0D1F">
        <w:rPr>
          <w:rFonts w:cs="Times New Roman"/>
          <w:bCs/>
          <w:szCs w:val="24"/>
        </w:rPr>
        <w:t>rilen tekniklerin bir birleşimi</w:t>
      </w:r>
      <w:r w:rsidRPr="00DD0D1F">
        <w:rPr>
          <w:rFonts w:cs="Times New Roman"/>
          <w:bCs/>
          <w:szCs w:val="24"/>
        </w:rPr>
        <w:t xml:space="preserve"> kullan</w:t>
      </w:r>
      <w:r w:rsidR="00057AEF" w:rsidRPr="00DD0D1F">
        <w:rPr>
          <w:rFonts w:cs="Times New Roman"/>
          <w:bCs/>
          <w:szCs w:val="24"/>
        </w:rPr>
        <w:t xml:space="preserve">ılır. </w:t>
      </w:r>
    </w:p>
    <w:bookmarkEnd w:id="158"/>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
        <w:gridCol w:w="2463"/>
        <w:gridCol w:w="3584"/>
        <w:gridCol w:w="2698"/>
      </w:tblGrid>
      <w:tr w:rsidR="003328F9" w:rsidRPr="00DD0D1F" w14:paraId="1031884D" w14:textId="77777777" w:rsidTr="003328F9">
        <w:trPr>
          <w:trHeight w:val="230"/>
        </w:trPr>
        <w:tc>
          <w:tcPr>
            <w:tcW w:w="183" w:type="pct"/>
            <w:tcBorders>
              <w:right w:val="single" w:sz="4" w:space="0" w:color="auto"/>
            </w:tcBorders>
          </w:tcPr>
          <w:p w14:paraId="2270B1A1" w14:textId="77777777" w:rsidR="003328F9" w:rsidRPr="00DD0D1F" w:rsidRDefault="003328F9" w:rsidP="003328F9">
            <w:pPr>
              <w:spacing w:line="240" w:lineRule="auto"/>
              <w:ind w:right="74"/>
              <w:jc w:val="center"/>
              <w:rPr>
                <w:rFonts w:cs="Times New Roman"/>
                <w:b/>
                <w:szCs w:val="24"/>
                <w:lang w:val="tr-TR"/>
              </w:rPr>
            </w:pPr>
          </w:p>
        </w:tc>
        <w:tc>
          <w:tcPr>
            <w:tcW w:w="1357" w:type="pct"/>
            <w:tcBorders>
              <w:left w:val="single" w:sz="4" w:space="0" w:color="auto"/>
            </w:tcBorders>
          </w:tcPr>
          <w:p w14:paraId="585B3891"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Teknik</w:t>
            </w:r>
          </w:p>
        </w:tc>
        <w:tc>
          <w:tcPr>
            <w:tcW w:w="1974" w:type="pct"/>
          </w:tcPr>
          <w:p w14:paraId="3E95ECAA"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Açıklama</w:t>
            </w:r>
          </w:p>
        </w:tc>
        <w:tc>
          <w:tcPr>
            <w:tcW w:w="1486" w:type="pct"/>
          </w:tcPr>
          <w:p w14:paraId="18A5155E"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081AF09" w14:textId="77777777" w:rsidTr="003328F9">
        <w:trPr>
          <w:trHeight w:val="921"/>
        </w:trPr>
        <w:tc>
          <w:tcPr>
            <w:tcW w:w="183" w:type="pct"/>
            <w:tcBorders>
              <w:top w:val="single" w:sz="6" w:space="0" w:color="auto"/>
              <w:left w:val="single" w:sz="4" w:space="0" w:color="auto"/>
              <w:bottom w:val="single" w:sz="6" w:space="0" w:color="auto"/>
              <w:right w:val="single" w:sz="4" w:space="0" w:color="auto"/>
            </w:tcBorders>
            <w:vAlign w:val="center"/>
          </w:tcPr>
          <w:p w14:paraId="57469A95" w14:textId="77777777" w:rsidR="003328F9" w:rsidRPr="00DD0D1F" w:rsidRDefault="003328F9" w:rsidP="003328F9">
            <w:pPr>
              <w:spacing w:line="240" w:lineRule="auto"/>
              <w:ind w:left="74" w:right="74"/>
              <w:rPr>
                <w:rFonts w:cs="Times New Roman"/>
                <w:bCs/>
                <w:szCs w:val="24"/>
                <w:lang w:val="tr-TR"/>
              </w:rPr>
            </w:pPr>
            <w:bookmarkStart w:id="159" w:name="_Hlk137398555"/>
            <w:r w:rsidRPr="00DD0D1F">
              <w:rPr>
                <w:rFonts w:cs="Times New Roman"/>
                <w:bCs/>
                <w:szCs w:val="24"/>
                <w:lang w:val="tr-TR"/>
              </w:rPr>
              <w:t>a</w:t>
            </w:r>
          </w:p>
        </w:tc>
        <w:tc>
          <w:tcPr>
            <w:tcW w:w="1357" w:type="pct"/>
            <w:tcBorders>
              <w:top w:val="single" w:sz="6" w:space="0" w:color="auto"/>
              <w:left w:val="single" w:sz="4" w:space="0" w:color="auto"/>
              <w:bottom w:val="single" w:sz="6" w:space="0" w:color="auto"/>
              <w:right w:val="single" w:sz="6" w:space="0" w:color="auto"/>
            </w:tcBorders>
            <w:vAlign w:val="center"/>
          </w:tcPr>
          <w:p w14:paraId="4AA53133"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Aktif karbon enjeksiyonu</w:t>
            </w:r>
          </w:p>
        </w:tc>
        <w:tc>
          <w:tcPr>
            <w:tcW w:w="1974" w:type="pct"/>
            <w:tcBorders>
              <w:top w:val="single" w:sz="6" w:space="0" w:color="auto"/>
              <w:left w:val="single" w:sz="6" w:space="0" w:color="auto"/>
              <w:bottom w:val="single" w:sz="6" w:space="0" w:color="auto"/>
              <w:right w:val="single" w:sz="6" w:space="0" w:color="auto"/>
            </w:tcBorders>
            <w:vAlign w:val="center"/>
          </w:tcPr>
          <w:p w14:paraId="3E5D6105"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1F5FE173"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Bu proses, kirletici moleküllerin aktif karbon tarafından adsorbsiyonuna dayanır.</w:t>
            </w:r>
          </w:p>
        </w:tc>
        <w:tc>
          <w:tcPr>
            <w:tcW w:w="1486" w:type="pct"/>
            <w:vMerge w:val="restart"/>
            <w:tcBorders>
              <w:top w:val="single" w:sz="6" w:space="0" w:color="auto"/>
              <w:left w:val="single" w:sz="6" w:space="0" w:color="auto"/>
              <w:bottom w:val="nil"/>
              <w:right w:val="single" w:sz="4" w:space="0" w:color="auto"/>
            </w:tcBorders>
            <w:vAlign w:val="center"/>
          </w:tcPr>
          <w:p w14:paraId="3C58AA15"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63252FE0" w14:textId="77777777" w:rsidTr="003328F9">
        <w:trPr>
          <w:trHeight w:val="689"/>
        </w:trPr>
        <w:tc>
          <w:tcPr>
            <w:tcW w:w="183" w:type="pct"/>
            <w:tcBorders>
              <w:top w:val="single" w:sz="6" w:space="0" w:color="auto"/>
              <w:left w:val="single" w:sz="4" w:space="0" w:color="auto"/>
              <w:bottom w:val="single" w:sz="6" w:space="0" w:color="auto"/>
              <w:right w:val="single" w:sz="6" w:space="0" w:color="auto"/>
            </w:tcBorders>
            <w:vAlign w:val="center"/>
          </w:tcPr>
          <w:p w14:paraId="7A24CA14"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w:t>
            </w:r>
          </w:p>
        </w:tc>
        <w:tc>
          <w:tcPr>
            <w:tcW w:w="1357" w:type="pct"/>
            <w:tcBorders>
              <w:top w:val="single" w:sz="6" w:space="0" w:color="auto"/>
              <w:left w:val="single" w:sz="6" w:space="0" w:color="auto"/>
              <w:bottom w:val="single" w:sz="6" w:space="0" w:color="auto"/>
              <w:right w:val="single" w:sz="6" w:space="0" w:color="auto"/>
            </w:tcBorders>
            <w:vAlign w:val="center"/>
          </w:tcPr>
          <w:p w14:paraId="70694AFD" w14:textId="05405D14"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Yaş yıkama/</w:t>
            </w:r>
            <w:r w:rsidR="00E00B0A" w:rsidRPr="00DD0D1F">
              <w:rPr>
                <w:rFonts w:cs="Times New Roman"/>
                <w:bCs/>
                <w:szCs w:val="24"/>
                <w:lang w:val="tr-TR"/>
              </w:rPr>
              <w:t>baca</w:t>
            </w:r>
            <w:r w:rsidRPr="00DD0D1F">
              <w:rPr>
                <w:rFonts w:cs="Times New Roman"/>
                <w:bCs/>
                <w:szCs w:val="24"/>
                <w:lang w:val="tr-TR"/>
              </w:rPr>
              <w:t xml:space="preserve"> gazı kondansatörü kullanarak hızlı suyla soğutma</w:t>
            </w:r>
          </w:p>
        </w:tc>
        <w:tc>
          <w:tcPr>
            <w:tcW w:w="1974" w:type="pct"/>
            <w:tcBorders>
              <w:top w:val="single" w:sz="6" w:space="0" w:color="auto"/>
              <w:left w:val="single" w:sz="6" w:space="0" w:color="auto"/>
              <w:bottom w:val="single" w:sz="6" w:space="0" w:color="auto"/>
              <w:right w:val="single" w:sz="6" w:space="0" w:color="auto"/>
            </w:tcBorders>
            <w:vAlign w:val="center"/>
          </w:tcPr>
          <w:p w14:paraId="126EB124" w14:textId="4D2FE60A"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Başlık  8.4’teki yaş yıkama/</w:t>
            </w:r>
            <w:r w:rsidR="00E00B0A" w:rsidRPr="00DD0D1F">
              <w:rPr>
                <w:rFonts w:cs="Times New Roman"/>
                <w:bCs/>
                <w:szCs w:val="24"/>
                <w:lang w:val="tr-TR"/>
              </w:rPr>
              <w:t>baca</w:t>
            </w:r>
            <w:r w:rsidRPr="00DD0D1F">
              <w:rPr>
                <w:rFonts w:cs="Times New Roman"/>
                <w:bCs/>
                <w:szCs w:val="24"/>
                <w:lang w:val="tr-TR"/>
              </w:rPr>
              <w:t xml:space="preserve"> gazı kondansatörü ile ilgili açıklamaya bakınız.</w:t>
            </w:r>
          </w:p>
        </w:tc>
        <w:tc>
          <w:tcPr>
            <w:tcW w:w="1486" w:type="pct"/>
            <w:vMerge/>
            <w:tcBorders>
              <w:top w:val="nil"/>
              <w:left w:val="single" w:sz="6" w:space="0" w:color="auto"/>
              <w:bottom w:val="single" w:sz="6" w:space="0" w:color="auto"/>
              <w:right w:val="single" w:sz="4" w:space="0" w:color="auto"/>
            </w:tcBorders>
            <w:vAlign w:val="center"/>
          </w:tcPr>
          <w:p w14:paraId="3B8E74D7" w14:textId="77777777" w:rsidR="003328F9" w:rsidRPr="00DD0D1F" w:rsidRDefault="003328F9" w:rsidP="003328F9">
            <w:pPr>
              <w:spacing w:line="240" w:lineRule="auto"/>
              <w:ind w:left="74" w:right="74"/>
              <w:rPr>
                <w:rFonts w:cs="Times New Roman"/>
                <w:bCs/>
                <w:szCs w:val="24"/>
                <w:lang w:val="tr-TR"/>
              </w:rPr>
            </w:pPr>
          </w:p>
        </w:tc>
      </w:tr>
      <w:tr w:rsidR="003328F9" w:rsidRPr="00DD0D1F" w14:paraId="0373205F" w14:textId="77777777" w:rsidTr="003328F9">
        <w:trPr>
          <w:trHeight w:val="921"/>
        </w:trPr>
        <w:tc>
          <w:tcPr>
            <w:tcW w:w="183" w:type="pct"/>
            <w:tcBorders>
              <w:top w:val="single" w:sz="6" w:space="0" w:color="auto"/>
              <w:left w:val="single" w:sz="4" w:space="0" w:color="auto"/>
              <w:bottom w:val="single" w:sz="4" w:space="0" w:color="auto"/>
              <w:right w:val="single" w:sz="6" w:space="0" w:color="auto"/>
            </w:tcBorders>
            <w:vAlign w:val="center"/>
          </w:tcPr>
          <w:p w14:paraId="24AA8110"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c</w:t>
            </w:r>
          </w:p>
        </w:tc>
        <w:tc>
          <w:tcPr>
            <w:tcW w:w="1357" w:type="pct"/>
            <w:tcBorders>
              <w:top w:val="single" w:sz="6" w:space="0" w:color="auto"/>
              <w:left w:val="single" w:sz="6" w:space="0" w:color="auto"/>
              <w:bottom w:val="single" w:sz="4" w:space="0" w:color="auto"/>
              <w:right w:val="single" w:sz="6" w:space="0" w:color="auto"/>
            </w:tcBorders>
            <w:vAlign w:val="center"/>
          </w:tcPr>
          <w:p w14:paraId="3C2610BD"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Seçici katalitik indirgeme (SCR)</w:t>
            </w:r>
          </w:p>
        </w:tc>
        <w:tc>
          <w:tcPr>
            <w:tcW w:w="1974" w:type="pct"/>
            <w:tcBorders>
              <w:top w:val="single" w:sz="6" w:space="0" w:color="auto"/>
              <w:left w:val="single" w:sz="6" w:space="0" w:color="auto"/>
              <w:bottom w:val="single" w:sz="4" w:space="0" w:color="auto"/>
              <w:right w:val="single" w:sz="6" w:space="0" w:color="auto"/>
            </w:tcBorders>
            <w:vAlign w:val="center"/>
          </w:tcPr>
          <w:p w14:paraId="1B5CF8E8"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Başlık  8.3’teki açıklamaya bakınız.</w:t>
            </w:r>
          </w:p>
          <w:p w14:paraId="58C59261"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SCR sistemi uyarlanır ve sadece NO</w:t>
            </w:r>
            <w:r w:rsidRPr="00DD0D1F">
              <w:rPr>
                <w:rFonts w:cs="Times New Roman"/>
                <w:bCs/>
                <w:szCs w:val="24"/>
                <w:vertAlign w:val="subscript"/>
                <w:lang w:val="tr-TR"/>
              </w:rPr>
              <w:t>X</w:t>
            </w:r>
            <w:r w:rsidRPr="00DD0D1F">
              <w:rPr>
                <w:rFonts w:cs="Times New Roman"/>
                <w:bCs/>
                <w:szCs w:val="24"/>
                <w:lang w:val="tr-TR"/>
              </w:rPr>
              <w:t xml:space="preserve"> indirgeme için kullanılan bir SCR sisteminden daha büyüktür.</w:t>
            </w:r>
          </w:p>
        </w:tc>
        <w:tc>
          <w:tcPr>
            <w:tcW w:w="1486" w:type="pct"/>
            <w:tcBorders>
              <w:top w:val="single" w:sz="6" w:space="0" w:color="auto"/>
              <w:left w:val="single" w:sz="6" w:space="0" w:color="auto"/>
              <w:bottom w:val="single" w:sz="4" w:space="0" w:color="auto"/>
              <w:right w:val="single" w:sz="4" w:space="0" w:color="auto"/>
            </w:tcBorders>
            <w:vAlign w:val="center"/>
          </w:tcPr>
          <w:p w14:paraId="2E8D72A0"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MET 20 ve MET 24'teki uygulanabilirlik bölümüne bakınız.</w:t>
            </w:r>
          </w:p>
        </w:tc>
      </w:tr>
    </w:tbl>
    <w:bookmarkEnd w:id="159"/>
    <w:p w14:paraId="72AD917C"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Atıkların biyokütle, turba, kömür ve/veya linyitle beraber yakılmasından kaynaklanan PCDD/F ve TVOC’un havaya emisyonlarına yönelik MET ile ilişkili emisyon seviyeleri (MET-İES’ler)</w:t>
      </w:r>
    </w:p>
    <w:tbl>
      <w:tblPr>
        <w:tblStyle w:val="TableNormal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53"/>
        <w:gridCol w:w="3136"/>
        <w:gridCol w:w="1650"/>
        <w:gridCol w:w="1535"/>
      </w:tblGrid>
      <w:tr w:rsidR="003328F9" w:rsidRPr="00DD0D1F" w14:paraId="7791B756" w14:textId="77777777" w:rsidTr="003328F9">
        <w:trPr>
          <w:trHeight w:val="306"/>
        </w:trPr>
        <w:tc>
          <w:tcPr>
            <w:tcW w:w="1517" w:type="pct"/>
            <w:vMerge w:val="restart"/>
            <w:vAlign w:val="center"/>
          </w:tcPr>
          <w:p w14:paraId="07B32C00"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3483" w:type="pct"/>
            <w:gridSpan w:val="3"/>
            <w:tcBorders>
              <w:bottom w:val="single" w:sz="4" w:space="0" w:color="000000"/>
              <w:right w:val="single" w:sz="4" w:space="0" w:color="000000"/>
            </w:tcBorders>
            <w:vAlign w:val="center"/>
          </w:tcPr>
          <w:p w14:paraId="7FABA97A" w14:textId="77777777" w:rsidR="003328F9" w:rsidRPr="00DD0D1F" w:rsidRDefault="003328F9" w:rsidP="003328F9">
            <w:pPr>
              <w:pStyle w:val="TableParagraph"/>
              <w:ind w:left="74" w:right="74" w:hanging="333"/>
              <w:jc w:val="center"/>
              <w:rPr>
                <w:b/>
                <w:szCs w:val="24"/>
              </w:rPr>
            </w:pPr>
            <w:r w:rsidRPr="00DD0D1F">
              <w:rPr>
                <w:b/>
                <w:szCs w:val="24"/>
              </w:rPr>
              <w:t>MET-İES’ler</w:t>
            </w:r>
          </w:p>
        </w:tc>
      </w:tr>
      <w:tr w:rsidR="003328F9" w:rsidRPr="00DD0D1F" w14:paraId="380122BB" w14:textId="77777777" w:rsidTr="003328F9">
        <w:trPr>
          <w:trHeight w:val="321"/>
        </w:trPr>
        <w:tc>
          <w:tcPr>
            <w:tcW w:w="1517" w:type="pct"/>
            <w:vMerge/>
            <w:tcBorders>
              <w:top w:val="nil"/>
            </w:tcBorders>
            <w:vAlign w:val="center"/>
          </w:tcPr>
          <w:p w14:paraId="2C334E90" w14:textId="77777777" w:rsidR="003328F9" w:rsidRPr="00DD0D1F" w:rsidRDefault="003328F9" w:rsidP="003328F9">
            <w:pPr>
              <w:spacing w:line="240" w:lineRule="auto"/>
              <w:ind w:left="74" w:right="74"/>
              <w:jc w:val="center"/>
              <w:rPr>
                <w:rFonts w:cs="Times New Roman"/>
                <w:szCs w:val="24"/>
                <w:lang w:val="tr-TR"/>
              </w:rPr>
            </w:pPr>
          </w:p>
        </w:tc>
        <w:tc>
          <w:tcPr>
            <w:tcW w:w="1728" w:type="pct"/>
            <w:tcBorders>
              <w:top w:val="single" w:sz="4" w:space="0" w:color="000000"/>
              <w:bottom w:val="single" w:sz="4" w:space="0" w:color="000000"/>
            </w:tcBorders>
            <w:vAlign w:val="center"/>
          </w:tcPr>
          <w:p w14:paraId="4759A894" w14:textId="77777777" w:rsidR="003328F9" w:rsidRPr="00DD0D1F" w:rsidRDefault="003328F9" w:rsidP="003328F9">
            <w:pPr>
              <w:pStyle w:val="TableParagraph"/>
              <w:ind w:left="74" w:right="74"/>
              <w:jc w:val="center"/>
              <w:rPr>
                <w:b/>
                <w:szCs w:val="24"/>
              </w:rPr>
            </w:pPr>
            <w:r w:rsidRPr="00DD0D1F">
              <w:rPr>
                <w:b/>
                <w:szCs w:val="24"/>
              </w:rPr>
              <w:t>PCDD/F (ng I-TEQ/Nm</w:t>
            </w:r>
            <w:r w:rsidRPr="00DD0D1F">
              <w:rPr>
                <w:b/>
                <w:szCs w:val="24"/>
                <w:vertAlign w:val="superscript"/>
              </w:rPr>
              <w:t>3</w:t>
            </w:r>
            <w:r w:rsidRPr="00DD0D1F">
              <w:rPr>
                <w:b/>
                <w:szCs w:val="24"/>
              </w:rPr>
              <w:t>)</w:t>
            </w:r>
          </w:p>
        </w:tc>
        <w:tc>
          <w:tcPr>
            <w:tcW w:w="1755" w:type="pct"/>
            <w:gridSpan w:val="2"/>
            <w:tcBorders>
              <w:top w:val="single" w:sz="4" w:space="0" w:color="000000"/>
              <w:bottom w:val="single" w:sz="4" w:space="0" w:color="000000"/>
              <w:right w:val="single" w:sz="4" w:space="0" w:color="000000"/>
            </w:tcBorders>
            <w:vAlign w:val="center"/>
          </w:tcPr>
          <w:p w14:paraId="55A50D6E" w14:textId="77777777" w:rsidR="003328F9" w:rsidRPr="00DD0D1F" w:rsidRDefault="003328F9" w:rsidP="003328F9">
            <w:pPr>
              <w:pStyle w:val="TableParagraph"/>
              <w:ind w:left="74" w:right="74"/>
              <w:jc w:val="center"/>
              <w:rPr>
                <w:b/>
                <w:szCs w:val="24"/>
              </w:rPr>
            </w:pPr>
            <w:r w:rsidRPr="00DD0D1F">
              <w:rPr>
                <w:b/>
                <w:szCs w:val="24"/>
              </w:rPr>
              <w:t>TVOC (mg/Nm</w:t>
            </w:r>
            <w:r w:rsidRPr="00DD0D1F">
              <w:rPr>
                <w:b/>
                <w:szCs w:val="24"/>
                <w:vertAlign w:val="superscript"/>
              </w:rPr>
              <w:t>3</w:t>
            </w:r>
            <w:r w:rsidRPr="00DD0D1F">
              <w:rPr>
                <w:b/>
                <w:szCs w:val="24"/>
              </w:rPr>
              <w:t>)</w:t>
            </w:r>
          </w:p>
        </w:tc>
      </w:tr>
      <w:tr w:rsidR="003328F9" w:rsidRPr="00DD0D1F" w14:paraId="53CCB9FA" w14:textId="77777777" w:rsidTr="003328F9">
        <w:trPr>
          <w:trHeight w:val="515"/>
        </w:trPr>
        <w:tc>
          <w:tcPr>
            <w:tcW w:w="1517" w:type="pct"/>
            <w:vMerge/>
            <w:tcBorders>
              <w:top w:val="nil"/>
            </w:tcBorders>
            <w:vAlign w:val="center"/>
          </w:tcPr>
          <w:p w14:paraId="1E9E3DBF" w14:textId="77777777" w:rsidR="003328F9" w:rsidRPr="00DD0D1F" w:rsidRDefault="003328F9" w:rsidP="003328F9">
            <w:pPr>
              <w:spacing w:line="240" w:lineRule="auto"/>
              <w:ind w:left="74" w:right="74"/>
              <w:jc w:val="center"/>
              <w:rPr>
                <w:rFonts w:cs="Times New Roman"/>
                <w:szCs w:val="24"/>
                <w:lang w:val="tr-TR"/>
              </w:rPr>
            </w:pPr>
          </w:p>
        </w:tc>
        <w:tc>
          <w:tcPr>
            <w:tcW w:w="1728" w:type="pct"/>
            <w:tcBorders>
              <w:top w:val="single" w:sz="4" w:space="0" w:color="000000"/>
            </w:tcBorders>
            <w:vAlign w:val="center"/>
          </w:tcPr>
          <w:p w14:paraId="37B38BC0" w14:textId="77777777" w:rsidR="003328F9" w:rsidRPr="00DD0D1F" w:rsidRDefault="003328F9" w:rsidP="003328F9">
            <w:pPr>
              <w:pStyle w:val="TableParagraph"/>
              <w:ind w:left="74" w:right="74"/>
              <w:jc w:val="center"/>
              <w:rPr>
                <w:b/>
                <w:szCs w:val="24"/>
              </w:rPr>
            </w:pPr>
            <w:r w:rsidRPr="00DD0D1F">
              <w:rPr>
                <w:b/>
                <w:szCs w:val="24"/>
              </w:rPr>
              <w:t>Numune alma periyodunda ortalama</w:t>
            </w:r>
          </w:p>
        </w:tc>
        <w:tc>
          <w:tcPr>
            <w:tcW w:w="909" w:type="pct"/>
            <w:tcBorders>
              <w:top w:val="single" w:sz="4" w:space="0" w:color="000000"/>
            </w:tcBorders>
            <w:vAlign w:val="center"/>
          </w:tcPr>
          <w:p w14:paraId="7E050389" w14:textId="77777777" w:rsidR="003328F9" w:rsidRPr="00DD0D1F" w:rsidRDefault="003328F9" w:rsidP="003328F9">
            <w:pPr>
              <w:pStyle w:val="TableParagraph"/>
              <w:ind w:left="74" w:right="74"/>
              <w:jc w:val="center"/>
              <w:rPr>
                <w:b/>
                <w:szCs w:val="24"/>
              </w:rPr>
            </w:pPr>
            <w:r w:rsidRPr="00DD0D1F">
              <w:rPr>
                <w:b/>
                <w:szCs w:val="24"/>
              </w:rPr>
              <w:t>Yıllık ortalama</w:t>
            </w:r>
          </w:p>
        </w:tc>
        <w:tc>
          <w:tcPr>
            <w:tcW w:w="846" w:type="pct"/>
            <w:tcBorders>
              <w:top w:val="single" w:sz="4" w:space="0" w:color="000000"/>
              <w:right w:val="single" w:sz="4" w:space="0" w:color="000000"/>
            </w:tcBorders>
            <w:vAlign w:val="center"/>
          </w:tcPr>
          <w:p w14:paraId="2165A737" w14:textId="77777777" w:rsidR="003328F9" w:rsidRPr="00DD0D1F" w:rsidRDefault="003328F9" w:rsidP="003328F9">
            <w:pPr>
              <w:pStyle w:val="TableParagraph"/>
              <w:ind w:left="74" w:right="74"/>
              <w:jc w:val="center"/>
              <w:rPr>
                <w:b/>
                <w:szCs w:val="24"/>
              </w:rPr>
            </w:pPr>
            <w:r w:rsidRPr="00DD0D1F">
              <w:rPr>
                <w:b/>
                <w:szCs w:val="24"/>
              </w:rPr>
              <w:t>Günlük ortalama</w:t>
            </w:r>
          </w:p>
        </w:tc>
      </w:tr>
      <w:tr w:rsidR="003328F9" w:rsidRPr="00DD0D1F" w14:paraId="1CE0FC39" w14:textId="77777777" w:rsidTr="003328F9">
        <w:trPr>
          <w:trHeight w:val="1066"/>
        </w:trPr>
        <w:tc>
          <w:tcPr>
            <w:tcW w:w="1517" w:type="pct"/>
            <w:tcBorders>
              <w:bottom w:val="single" w:sz="4" w:space="0" w:color="000000"/>
            </w:tcBorders>
            <w:vAlign w:val="center"/>
          </w:tcPr>
          <w:p w14:paraId="70079338" w14:textId="77777777" w:rsidR="003328F9" w:rsidRPr="00DD0D1F" w:rsidRDefault="003328F9" w:rsidP="003328F9">
            <w:pPr>
              <w:spacing w:line="240" w:lineRule="auto"/>
              <w:ind w:left="74" w:right="74"/>
              <w:rPr>
                <w:rFonts w:cs="Times New Roman"/>
                <w:szCs w:val="24"/>
                <w:lang w:val="tr-TR"/>
              </w:rPr>
            </w:pPr>
            <w:r w:rsidRPr="00DD0D1F">
              <w:rPr>
                <w:rFonts w:cs="Times New Roman"/>
                <w:szCs w:val="24"/>
                <w:lang w:val="tr-TR"/>
              </w:rPr>
              <w:t>Biyokütle, turba, kömür ve/veya linyitle çalışan yakma tesisi</w:t>
            </w:r>
          </w:p>
        </w:tc>
        <w:tc>
          <w:tcPr>
            <w:tcW w:w="1728" w:type="pct"/>
            <w:vAlign w:val="center"/>
          </w:tcPr>
          <w:p w14:paraId="6DA7BEA8" w14:textId="77777777" w:rsidR="003328F9" w:rsidRPr="00DD0D1F" w:rsidRDefault="003328F9" w:rsidP="003328F9">
            <w:pPr>
              <w:pStyle w:val="TableParagraph"/>
              <w:ind w:left="74" w:right="74"/>
              <w:jc w:val="center"/>
              <w:rPr>
                <w:szCs w:val="24"/>
              </w:rPr>
            </w:pPr>
            <w:r w:rsidRPr="00DD0D1F">
              <w:rPr>
                <w:szCs w:val="24"/>
              </w:rPr>
              <w:t>&lt; 0,01–0,03</w:t>
            </w:r>
          </w:p>
        </w:tc>
        <w:tc>
          <w:tcPr>
            <w:tcW w:w="909" w:type="pct"/>
            <w:vAlign w:val="center"/>
          </w:tcPr>
          <w:p w14:paraId="574A21D9" w14:textId="77777777" w:rsidR="003328F9" w:rsidRPr="00DD0D1F" w:rsidRDefault="003328F9" w:rsidP="003328F9">
            <w:pPr>
              <w:pStyle w:val="TableParagraph"/>
              <w:ind w:left="74" w:right="74"/>
              <w:jc w:val="center"/>
              <w:rPr>
                <w:szCs w:val="24"/>
              </w:rPr>
            </w:pPr>
            <w:r w:rsidRPr="00DD0D1F">
              <w:rPr>
                <w:szCs w:val="24"/>
              </w:rPr>
              <w:t>&lt; 0,1–5</w:t>
            </w:r>
          </w:p>
        </w:tc>
        <w:tc>
          <w:tcPr>
            <w:tcW w:w="846" w:type="pct"/>
            <w:tcBorders>
              <w:right w:val="single" w:sz="4" w:space="0" w:color="000000"/>
            </w:tcBorders>
            <w:vAlign w:val="center"/>
          </w:tcPr>
          <w:p w14:paraId="5201748C" w14:textId="77777777" w:rsidR="003328F9" w:rsidRPr="00DD0D1F" w:rsidRDefault="003328F9" w:rsidP="003328F9">
            <w:pPr>
              <w:pStyle w:val="TableParagraph"/>
              <w:ind w:left="74" w:right="74"/>
              <w:jc w:val="center"/>
              <w:rPr>
                <w:szCs w:val="24"/>
              </w:rPr>
            </w:pPr>
            <w:r w:rsidRPr="00DD0D1F">
              <w:rPr>
                <w:szCs w:val="24"/>
              </w:rPr>
              <w:t>0,5–10</w:t>
            </w:r>
          </w:p>
        </w:tc>
      </w:tr>
    </w:tbl>
    <w:p w14:paraId="658E6947" w14:textId="208AF219" w:rsidR="003328F9" w:rsidRPr="00DD0D1F" w:rsidRDefault="003328F9" w:rsidP="00FF111D">
      <w:pPr>
        <w:pStyle w:val="Balk1"/>
        <w:numPr>
          <w:ilvl w:val="0"/>
          <w:numId w:val="75"/>
        </w:numPr>
        <w:spacing w:before="240"/>
        <w:rPr>
          <w:rFonts w:cs="Times New Roman"/>
          <w:szCs w:val="24"/>
        </w:rPr>
      </w:pPr>
      <w:bookmarkStart w:id="160" w:name="_Toc137367348"/>
      <w:r w:rsidRPr="00DD0D1F">
        <w:rPr>
          <w:rFonts w:cs="Times New Roman"/>
          <w:szCs w:val="24"/>
        </w:rPr>
        <w:t>GAZLAŞTIRMAYA İLİŞKİN MET’LER</w:t>
      </w:r>
      <w:bookmarkEnd w:id="160"/>
    </w:p>
    <w:p w14:paraId="2369A8A1" w14:textId="74BCF6AD" w:rsidR="003328F9" w:rsidRPr="00DD0D1F" w:rsidRDefault="00460B68" w:rsidP="003328F9">
      <w:pPr>
        <w:spacing w:before="240"/>
        <w:rPr>
          <w:rFonts w:cs="Times New Roman"/>
          <w:szCs w:val="24"/>
          <w:lang w:val="nl-NL"/>
        </w:rPr>
      </w:pPr>
      <w:r w:rsidRPr="00DD0D1F">
        <w:rPr>
          <w:rFonts w:cs="Times New Roman"/>
          <w:szCs w:val="24"/>
        </w:rPr>
        <w:t>B</w:t>
      </w:r>
      <w:r w:rsidR="003328F9" w:rsidRPr="00DD0D1F">
        <w:rPr>
          <w:rFonts w:cs="Times New Roman"/>
          <w:szCs w:val="24"/>
        </w:rPr>
        <w:t xml:space="preserve">u </w:t>
      </w:r>
      <w:r w:rsidRPr="00DD0D1F">
        <w:rPr>
          <w:rFonts w:cs="Times New Roman"/>
          <w:szCs w:val="24"/>
        </w:rPr>
        <w:t xml:space="preserve">bölümde </w:t>
      </w:r>
      <w:r w:rsidR="003328F9" w:rsidRPr="00DD0D1F">
        <w:rPr>
          <w:rFonts w:cs="Times New Roman"/>
          <w:szCs w:val="24"/>
        </w:rPr>
        <w:t xml:space="preserve">yer alan MET sonuçları genel olarak yakma tesisleriyle doğrudan ilişkili gazlaştırma tesislerinin tümü ve IGCC tesisleriyle ilgilidir. </w:t>
      </w:r>
      <w:r w:rsidR="003328F9" w:rsidRPr="00DD0D1F">
        <w:rPr>
          <w:rFonts w:cs="Times New Roman"/>
          <w:szCs w:val="24"/>
          <w:lang w:val="nl-NL"/>
        </w:rPr>
        <w:t>Bu MET sonuçları, Başlık  1’de belirtilen genel MET sonuçlarına ek olarak geçerlidir.</w:t>
      </w:r>
    </w:p>
    <w:p w14:paraId="2776E82E" w14:textId="77777777" w:rsidR="003328F9" w:rsidRPr="00DD0D1F" w:rsidRDefault="003328F9" w:rsidP="00FF111D">
      <w:pPr>
        <w:pStyle w:val="Balk2"/>
        <w:numPr>
          <w:ilvl w:val="1"/>
          <w:numId w:val="75"/>
        </w:numPr>
        <w:rPr>
          <w:rFonts w:cs="Times New Roman"/>
          <w:szCs w:val="24"/>
        </w:rPr>
      </w:pPr>
      <w:bookmarkStart w:id="161" w:name="_Toc137367349"/>
      <w:r w:rsidRPr="00DD0D1F">
        <w:rPr>
          <w:rFonts w:cs="Times New Roman"/>
          <w:szCs w:val="24"/>
        </w:rPr>
        <w:t>Enerji Verimliliği</w:t>
      </w:r>
      <w:bookmarkEnd w:id="161"/>
    </w:p>
    <w:p w14:paraId="17B5EF53" w14:textId="68BAA755" w:rsidR="003328F9" w:rsidRPr="00DD0D1F" w:rsidRDefault="003328F9" w:rsidP="003328F9">
      <w:pPr>
        <w:spacing w:before="240"/>
        <w:rPr>
          <w:rFonts w:cs="Times New Roman"/>
          <w:b/>
          <w:bCs/>
          <w:szCs w:val="24"/>
        </w:rPr>
      </w:pPr>
      <w:r w:rsidRPr="00DD0D1F">
        <w:rPr>
          <w:rFonts w:cs="Times New Roman"/>
          <w:b/>
          <w:bCs/>
          <w:szCs w:val="24"/>
        </w:rPr>
        <w:t>MET 72</w:t>
      </w:r>
      <w:bookmarkStart w:id="162" w:name="_Hlk137398625"/>
      <w:r w:rsidRPr="00DD0D1F">
        <w:rPr>
          <w:rFonts w:cs="Times New Roman"/>
          <w:b/>
          <w:bCs/>
          <w:szCs w:val="24"/>
        </w:rPr>
        <w:t xml:space="preserve">: </w:t>
      </w:r>
      <w:r w:rsidRPr="00DD0D1F">
        <w:rPr>
          <w:rFonts w:cs="Times New Roman"/>
          <w:bCs/>
          <w:szCs w:val="24"/>
        </w:rPr>
        <w:t>IGCC ve gazlaştırma ünitelerinin enerji verimliliğini arttırmak için, MET 12'de yer alan ve aşağıda v</w:t>
      </w:r>
      <w:r w:rsidR="006F5E8F" w:rsidRPr="00DD0D1F">
        <w:rPr>
          <w:rFonts w:cs="Times New Roman"/>
          <w:bCs/>
          <w:szCs w:val="24"/>
        </w:rPr>
        <w:t>erilen tekniklerin biri veya uygun bir birleşimi</w:t>
      </w:r>
      <w:r w:rsidRPr="00DD0D1F">
        <w:rPr>
          <w:rFonts w:cs="Times New Roman"/>
          <w:bCs/>
          <w:szCs w:val="24"/>
        </w:rPr>
        <w:t xml:space="preserve"> kullan</w:t>
      </w:r>
      <w:r w:rsidR="006F5E8F" w:rsidRPr="00DD0D1F">
        <w:rPr>
          <w:rFonts w:cs="Times New Roman"/>
          <w:bCs/>
          <w:szCs w:val="24"/>
        </w:rPr>
        <w:t>ılır.</w:t>
      </w:r>
      <w:bookmarkEnd w:id="162"/>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2048"/>
        <w:gridCol w:w="3462"/>
        <w:gridCol w:w="3217"/>
      </w:tblGrid>
      <w:tr w:rsidR="003328F9" w:rsidRPr="00DD0D1F" w14:paraId="12B64C4A" w14:textId="77777777" w:rsidTr="003328F9">
        <w:trPr>
          <w:trHeight w:val="65"/>
          <w:tblHeader/>
        </w:trPr>
        <w:tc>
          <w:tcPr>
            <w:tcW w:w="193" w:type="pct"/>
            <w:tcBorders>
              <w:right w:val="single" w:sz="4" w:space="0" w:color="auto"/>
            </w:tcBorders>
          </w:tcPr>
          <w:p w14:paraId="39AB08FC" w14:textId="77777777" w:rsidR="003328F9" w:rsidRPr="00DD0D1F" w:rsidRDefault="003328F9" w:rsidP="003328F9">
            <w:pPr>
              <w:adjustRightInd w:val="0"/>
              <w:spacing w:line="240" w:lineRule="auto"/>
              <w:ind w:right="74"/>
              <w:jc w:val="center"/>
              <w:rPr>
                <w:rFonts w:cs="Times New Roman"/>
                <w:b/>
                <w:szCs w:val="24"/>
                <w:lang w:val="tr-TR"/>
              </w:rPr>
            </w:pPr>
          </w:p>
        </w:tc>
        <w:tc>
          <w:tcPr>
            <w:tcW w:w="1128" w:type="pct"/>
            <w:tcBorders>
              <w:left w:val="single" w:sz="4" w:space="0" w:color="auto"/>
            </w:tcBorders>
          </w:tcPr>
          <w:p w14:paraId="7184907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907" w:type="pct"/>
          </w:tcPr>
          <w:p w14:paraId="05A7658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73" w:type="pct"/>
          </w:tcPr>
          <w:p w14:paraId="01ED969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3365E04" w14:textId="77777777" w:rsidTr="003328F9">
        <w:trPr>
          <w:trHeight w:val="604"/>
        </w:trPr>
        <w:tc>
          <w:tcPr>
            <w:tcW w:w="193" w:type="pct"/>
            <w:vAlign w:val="center"/>
          </w:tcPr>
          <w:p w14:paraId="76995FEA" w14:textId="77777777" w:rsidR="003328F9" w:rsidRPr="00DD0D1F" w:rsidRDefault="003328F9" w:rsidP="003328F9">
            <w:pPr>
              <w:adjustRightInd w:val="0"/>
              <w:spacing w:line="240" w:lineRule="auto"/>
              <w:ind w:left="74" w:right="74"/>
              <w:rPr>
                <w:rFonts w:cs="Times New Roman"/>
                <w:szCs w:val="24"/>
                <w:lang w:val="tr-TR"/>
              </w:rPr>
            </w:pPr>
            <w:bookmarkStart w:id="163" w:name="_Hlk137398652"/>
            <w:r w:rsidRPr="00DD0D1F">
              <w:rPr>
                <w:rFonts w:cs="Times New Roman"/>
                <w:szCs w:val="24"/>
                <w:lang w:val="tr-TR"/>
              </w:rPr>
              <w:t>a</w:t>
            </w:r>
          </w:p>
        </w:tc>
        <w:tc>
          <w:tcPr>
            <w:tcW w:w="1128" w:type="pct"/>
            <w:vAlign w:val="center"/>
          </w:tcPr>
          <w:p w14:paraId="5746BCE2" w14:textId="77777777" w:rsidR="003328F9" w:rsidRPr="00DD0D1F" w:rsidRDefault="003328F9" w:rsidP="003328F9">
            <w:pPr>
              <w:adjustRightInd w:val="0"/>
              <w:spacing w:line="240" w:lineRule="auto"/>
              <w:ind w:left="74" w:right="74"/>
              <w:rPr>
                <w:rFonts w:cs="Times New Roman"/>
                <w:szCs w:val="24"/>
                <w:lang w:val="tr-TR"/>
              </w:rPr>
            </w:pPr>
          </w:p>
          <w:p w14:paraId="4FC90656" w14:textId="77777777" w:rsidR="003328F9" w:rsidRPr="00DD0D1F" w:rsidRDefault="003328F9" w:rsidP="003328F9">
            <w:pPr>
              <w:adjustRightInd w:val="0"/>
              <w:spacing w:line="240" w:lineRule="auto"/>
              <w:ind w:right="74"/>
              <w:rPr>
                <w:rFonts w:cs="Times New Roman"/>
                <w:szCs w:val="24"/>
                <w:lang w:val="tr-TR"/>
              </w:rPr>
            </w:pPr>
            <w:r w:rsidRPr="00DD0D1F">
              <w:rPr>
                <w:rFonts w:cs="Times New Roman"/>
                <w:szCs w:val="24"/>
                <w:lang w:val="tr-TR"/>
              </w:rPr>
              <w:t>Gazlaştırma</w:t>
            </w:r>
          </w:p>
          <w:p w14:paraId="6E0502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prosesinden ısı</w:t>
            </w:r>
          </w:p>
          <w:p w14:paraId="512DCE99" w14:textId="77777777" w:rsidR="003328F9" w:rsidRPr="00DD0D1F" w:rsidRDefault="003328F9" w:rsidP="003328F9">
            <w:pPr>
              <w:adjustRightInd w:val="0"/>
              <w:spacing w:line="240" w:lineRule="auto"/>
              <w:ind w:right="74"/>
              <w:rPr>
                <w:rFonts w:cs="Times New Roman"/>
                <w:szCs w:val="24"/>
                <w:lang w:val="tr-TR"/>
              </w:rPr>
            </w:pPr>
            <w:r w:rsidRPr="00DD0D1F">
              <w:rPr>
                <w:rFonts w:cs="Times New Roman"/>
                <w:szCs w:val="24"/>
                <w:lang w:val="tr-TR"/>
              </w:rPr>
              <w:t>geri kazanımı</w:t>
            </w:r>
          </w:p>
        </w:tc>
        <w:tc>
          <w:tcPr>
            <w:tcW w:w="1907" w:type="pct"/>
            <w:vAlign w:val="center"/>
          </w:tcPr>
          <w:p w14:paraId="655B9D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gazının ileri düzeyde temizlenebilmesi için soğutulması gerektiğinden, buhar türbini çevrimine eklenecek ek buhar üretilmesi için enerji geri kazanılabilir, böylece ek elektrik gücünün üretilmesi mümkün olur.</w:t>
            </w:r>
          </w:p>
        </w:tc>
        <w:tc>
          <w:tcPr>
            <w:tcW w:w="1773" w:type="pct"/>
            <w:vAlign w:val="center"/>
          </w:tcPr>
          <w:p w14:paraId="06C449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doğrudan sentez gazının soğutulmasını gerekli kılan sentez gazı ön işlemi yapılan kazanlarla ilişkili IGCC üniteleri ve gazlaştırma ünitelerine uygulanabilir.</w:t>
            </w:r>
          </w:p>
        </w:tc>
      </w:tr>
      <w:tr w:rsidR="003328F9" w:rsidRPr="00DD0D1F" w14:paraId="346678CE" w14:textId="77777777" w:rsidTr="003328F9">
        <w:trPr>
          <w:trHeight w:val="216"/>
        </w:trPr>
        <w:tc>
          <w:tcPr>
            <w:tcW w:w="193" w:type="pct"/>
            <w:vAlign w:val="center"/>
          </w:tcPr>
          <w:p w14:paraId="47C18F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28" w:type="pct"/>
            <w:vAlign w:val="center"/>
          </w:tcPr>
          <w:p w14:paraId="67BB54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Gazlaştırma ve yanma proseslerinin entegrasyonu</w:t>
            </w:r>
          </w:p>
        </w:tc>
        <w:tc>
          <w:tcPr>
            <w:tcW w:w="1907" w:type="pct"/>
            <w:vAlign w:val="center"/>
          </w:tcPr>
          <w:p w14:paraId="1895936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Ünite, hava kaynağı ünitesi (ASU) ve gaz türbininin tam olarak entegrasyonu, ASU'ya beslenen havanın gaz türbini kompresöründen sağlanması (çekilmesi) ile tasarlanabilir.</w:t>
            </w:r>
          </w:p>
        </w:tc>
        <w:tc>
          <w:tcPr>
            <w:tcW w:w="1773" w:type="pct"/>
            <w:vAlign w:val="center"/>
          </w:tcPr>
          <w:p w14:paraId="3D45A8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entegre tesisinin yenilenebilir güç tesislerinin devre dışı olduğu durumlarda şebekeye hızla elektrik vermesi konusundaki esneklik ihtiyaçları nedeniyle IGCC üniteleriyle sınırlıdır.</w:t>
            </w:r>
          </w:p>
        </w:tc>
      </w:tr>
      <w:tr w:rsidR="003328F9" w:rsidRPr="00DD0D1F" w14:paraId="69D0DF05" w14:textId="77777777" w:rsidTr="003328F9">
        <w:trPr>
          <w:trHeight w:val="65"/>
        </w:trPr>
        <w:tc>
          <w:tcPr>
            <w:tcW w:w="193" w:type="pct"/>
            <w:vAlign w:val="center"/>
          </w:tcPr>
          <w:p w14:paraId="5A3548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28" w:type="pct"/>
            <w:vAlign w:val="center"/>
          </w:tcPr>
          <w:p w14:paraId="491D1D4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hammadde besleme sistemi</w:t>
            </w:r>
          </w:p>
        </w:tc>
        <w:tc>
          <w:tcPr>
            <w:tcW w:w="1907" w:type="pct"/>
            <w:vAlign w:val="center"/>
          </w:tcPr>
          <w:p w14:paraId="7CF8762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Gazlaştırma prosesinin enerji verimliliğini iyileştirmek amacıyla gaza dönüştürücüye yakıt beslenmesi için kuru bir yöntemin kullanılması.</w:t>
            </w:r>
          </w:p>
        </w:tc>
        <w:tc>
          <w:tcPr>
            <w:tcW w:w="1773" w:type="pct"/>
            <w:vAlign w:val="center"/>
          </w:tcPr>
          <w:p w14:paraId="62DA3F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tesislere uygulanabilir.</w:t>
            </w:r>
          </w:p>
        </w:tc>
      </w:tr>
      <w:tr w:rsidR="003328F9" w:rsidRPr="00DD0D1F" w14:paraId="7927E8C3" w14:textId="77777777" w:rsidTr="003328F9">
        <w:trPr>
          <w:trHeight w:val="65"/>
        </w:trPr>
        <w:tc>
          <w:tcPr>
            <w:tcW w:w="193" w:type="pct"/>
            <w:vAlign w:val="center"/>
          </w:tcPr>
          <w:p w14:paraId="0D08A5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28" w:type="pct"/>
            <w:vAlign w:val="center"/>
          </w:tcPr>
          <w:p w14:paraId="1FC4BB5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ısılı ve yüksek basınçlı gazlaştırma</w:t>
            </w:r>
          </w:p>
        </w:tc>
        <w:tc>
          <w:tcPr>
            <w:tcW w:w="1907" w:type="pct"/>
            <w:vAlign w:val="center"/>
          </w:tcPr>
          <w:p w14:paraId="5952CDC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Enerji dönüştürmenin verimliliğini arttırmak için yüksek ısı ve yüksek basınç işletme parametrelerine sahip gazlaştırma tekniğinin kullanılması.</w:t>
            </w:r>
          </w:p>
        </w:tc>
        <w:tc>
          <w:tcPr>
            <w:tcW w:w="1773" w:type="pct"/>
            <w:tcBorders>
              <w:bottom w:val="single" w:sz="4" w:space="0" w:color="auto"/>
            </w:tcBorders>
            <w:vAlign w:val="center"/>
          </w:tcPr>
          <w:p w14:paraId="58ACD3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tesislere uygulanabilir.</w:t>
            </w:r>
          </w:p>
        </w:tc>
      </w:tr>
      <w:tr w:rsidR="003328F9" w:rsidRPr="00DD0D1F" w14:paraId="1F4CB109" w14:textId="77777777" w:rsidTr="003328F9">
        <w:trPr>
          <w:trHeight w:val="278"/>
        </w:trPr>
        <w:tc>
          <w:tcPr>
            <w:tcW w:w="193" w:type="pct"/>
            <w:vAlign w:val="center"/>
          </w:tcPr>
          <w:p w14:paraId="0B1976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28" w:type="pct"/>
            <w:vAlign w:val="center"/>
          </w:tcPr>
          <w:p w14:paraId="6AE0271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Tasarım</w:t>
            </w:r>
          </w:p>
          <w:p w14:paraId="344920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iyileştirmeleri</w:t>
            </w:r>
          </w:p>
        </w:tc>
        <w:tc>
          <w:tcPr>
            <w:tcW w:w="1907" w:type="pct"/>
            <w:tcBorders>
              <w:right w:val="single" w:sz="4" w:space="0" w:color="auto"/>
            </w:tcBorders>
            <w:vAlign w:val="center"/>
          </w:tcPr>
          <w:p w14:paraId="748045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Aşağıdakiler gibi tasarım iyileştirmeleri:</w:t>
            </w:r>
          </w:p>
          <w:p w14:paraId="7806EF7B" w14:textId="77777777" w:rsidR="003328F9" w:rsidRPr="00DD0D1F" w:rsidRDefault="003328F9" w:rsidP="00FF111D">
            <w:pPr>
              <w:pStyle w:val="ListeParagraf"/>
              <w:widowControl w:val="0"/>
              <w:numPr>
                <w:ilvl w:val="1"/>
                <w:numId w:val="72"/>
              </w:numPr>
              <w:tabs>
                <w:tab w:val="left" w:pos="359"/>
              </w:tabs>
              <w:autoSpaceDE w:val="0"/>
              <w:autoSpaceDN w:val="0"/>
              <w:adjustRightInd w:val="0"/>
              <w:spacing w:line="240" w:lineRule="auto"/>
              <w:ind w:left="358" w:right="74" w:hanging="284"/>
              <w:contextualSpacing w:val="0"/>
              <w:rPr>
                <w:rFonts w:cs="Times New Roman"/>
                <w:szCs w:val="24"/>
                <w:lang w:val="tr-TR"/>
              </w:rPr>
            </w:pPr>
            <w:r w:rsidRPr="00DD0D1F">
              <w:rPr>
                <w:rFonts w:cs="Times New Roman"/>
                <w:szCs w:val="24"/>
                <w:lang w:val="tr-TR"/>
              </w:rPr>
              <w:t>gaza dönüştürücü refrakter ve/veya soğutma sisteminin değişiklikleri,</w:t>
            </w:r>
          </w:p>
          <w:p w14:paraId="3D1E3AFE" w14:textId="77777777" w:rsidR="003328F9" w:rsidRPr="00DD0D1F" w:rsidRDefault="003328F9" w:rsidP="00FF111D">
            <w:pPr>
              <w:pStyle w:val="ListeParagraf"/>
              <w:widowControl w:val="0"/>
              <w:numPr>
                <w:ilvl w:val="0"/>
                <w:numId w:val="72"/>
              </w:numPr>
              <w:tabs>
                <w:tab w:val="left" w:pos="359"/>
              </w:tabs>
              <w:autoSpaceDE w:val="0"/>
              <w:autoSpaceDN w:val="0"/>
              <w:adjustRightInd w:val="0"/>
              <w:spacing w:line="240" w:lineRule="auto"/>
              <w:ind w:left="352" w:right="74" w:hanging="278"/>
              <w:contextualSpacing w:val="0"/>
              <w:rPr>
                <w:rFonts w:cs="Times New Roman"/>
                <w:szCs w:val="24"/>
                <w:lang w:val="tr-TR"/>
              </w:rPr>
            </w:pPr>
            <w:r w:rsidRPr="00DD0D1F">
              <w:rPr>
                <w:rFonts w:cs="Times New Roman"/>
                <w:szCs w:val="24"/>
                <w:lang w:val="tr-TR"/>
              </w:rPr>
              <w:t>yanma öncesinde sentez gazı basınç düşüşünden enerjiyi geri kazanmak için bir genleştiricinin kurulması.</w:t>
            </w:r>
          </w:p>
        </w:tc>
        <w:tc>
          <w:tcPr>
            <w:tcW w:w="1773" w:type="pct"/>
            <w:tcBorders>
              <w:top w:val="single" w:sz="4" w:space="0" w:color="auto"/>
              <w:left w:val="single" w:sz="4" w:space="0" w:color="auto"/>
              <w:bottom w:val="single" w:sz="4" w:space="0" w:color="auto"/>
            </w:tcBorders>
            <w:vAlign w:val="center"/>
          </w:tcPr>
          <w:p w14:paraId="4BC9FF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IGCC ünitelerine uygulanabilir.</w:t>
            </w:r>
          </w:p>
        </w:tc>
      </w:tr>
    </w:tbl>
    <w:bookmarkEnd w:id="163"/>
    <w:p w14:paraId="5C307445"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Gazlaştırma ve IGCC ünitelerine yönelik MET ile ilişkili enerji verimliliği seviyeleri (MET-İESV’ler)</w:t>
      </w:r>
    </w:p>
    <w:tbl>
      <w:tblPr>
        <w:tblW w:w="5000" w:type="pct"/>
        <w:tblLayout w:type="fixed"/>
        <w:tblCellMar>
          <w:left w:w="40" w:type="dxa"/>
          <w:right w:w="40" w:type="dxa"/>
        </w:tblCellMar>
        <w:tblLook w:val="0000" w:firstRow="0" w:lastRow="0" w:firstColumn="0" w:lastColumn="0" w:noHBand="0" w:noVBand="0"/>
      </w:tblPr>
      <w:tblGrid>
        <w:gridCol w:w="3396"/>
        <w:gridCol w:w="1843"/>
        <w:gridCol w:w="1420"/>
        <w:gridCol w:w="2418"/>
      </w:tblGrid>
      <w:tr w:rsidR="003328F9" w:rsidRPr="00DD0D1F" w14:paraId="65301C1C" w14:textId="77777777" w:rsidTr="006F5E8F">
        <w:trPr>
          <w:trHeight w:val="46"/>
        </w:trPr>
        <w:tc>
          <w:tcPr>
            <w:tcW w:w="1871" w:type="pct"/>
            <w:vMerge w:val="restart"/>
            <w:tcBorders>
              <w:top w:val="single" w:sz="4" w:space="0" w:color="auto"/>
              <w:left w:val="single" w:sz="4" w:space="0" w:color="auto"/>
              <w:right w:val="single" w:sz="6" w:space="0" w:color="auto"/>
            </w:tcBorders>
            <w:vAlign w:val="center"/>
          </w:tcPr>
          <w:p w14:paraId="49E9584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yapısı türü</w:t>
            </w:r>
          </w:p>
        </w:tc>
        <w:tc>
          <w:tcPr>
            <w:tcW w:w="3129" w:type="pct"/>
            <w:gridSpan w:val="3"/>
            <w:tcBorders>
              <w:top w:val="single" w:sz="4" w:space="0" w:color="auto"/>
              <w:left w:val="single" w:sz="6" w:space="0" w:color="auto"/>
              <w:bottom w:val="single" w:sz="6" w:space="0" w:color="auto"/>
              <w:right w:val="single" w:sz="4" w:space="0" w:color="auto"/>
            </w:tcBorders>
            <w:vAlign w:val="center"/>
          </w:tcPr>
          <w:p w14:paraId="17EC742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w:t>
            </w:r>
          </w:p>
        </w:tc>
      </w:tr>
      <w:tr w:rsidR="003328F9" w:rsidRPr="00DD0D1F" w14:paraId="17C6B0DC" w14:textId="77777777" w:rsidTr="006F5E8F">
        <w:trPr>
          <w:trHeight w:val="63"/>
        </w:trPr>
        <w:tc>
          <w:tcPr>
            <w:tcW w:w="1871" w:type="pct"/>
            <w:vMerge/>
            <w:tcBorders>
              <w:left w:val="single" w:sz="4" w:space="0" w:color="auto"/>
              <w:right w:val="single" w:sz="6" w:space="0" w:color="auto"/>
            </w:tcBorders>
            <w:vAlign w:val="center"/>
          </w:tcPr>
          <w:p w14:paraId="01B33D4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97" w:type="pct"/>
            <w:gridSpan w:val="2"/>
            <w:tcBorders>
              <w:top w:val="single" w:sz="6" w:space="0" w:color="auto"/>
              <w:left w:val="single" w:sz="6" w:space="0" w:color="auto"/>
              <w:bottom w:val="single" w:sz="6" w:space="0" w:color="auto"/>
              <w:right w:val="single" w:sz="6" w:space="0" w:color="auto"/>
            </w:tcBorders>
            <w:vAlign w:val="center"/>
          </w:tcPr>
          <w:p w14:paraId="5441D3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Bir IGCC ünitesinin net elektrik verimliliği (%)</w:t>
            </w:r>
          </w:p>
        </w:tc>
        <w:tc>
          <w:tcPr>
            <w:tcW w:w="1332" w:type="pct"/>
            <w:vMerge w:val="restart"/>
            <w:tcBorders>
              <w:top w:val="single" w:sz="6" w:space="0" w:color="auto"/>
              <w:left w:val="single" w:sz="6" w:space="0" w:color="auto"/>
              <w:right w:val="single" w:sz="4" w:space="0" w:color="auto"/>
            </w:tcBorders>
            <w:vAlign w:val="center"/>
          </w:tcPr>
          <w:p w14:paraId="7C63B29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veya mevcut bir gazlaştırma ünitesinin net toplam yakıt kullanımı (%)</w:t>
            </w:r>
          </w:p>
        </w:tc>
      </w:tr>
      <w:tr w:rsidR="003328F9" w:rsidRPr="00DD0D1F" w14:paraId="0FBB4FC1" w14:textId="77777777" w:rsidTr="006F5E8F">
        <w:trPr>
          <w:trHeight w:val="63"/>
        </w:trPr>
        <w:tc>
          <w:tcPr>
            <w:tcW w:w="1871" w:type="pct"/>
            <w:vMerge/>
            <w:tcBorders>
              <w:left w:val="single" w:sz="4" w:space="0" w:color="auto"/>
              <w:bottom w:val="single" w:sz="6" w:space="0" w:color="auto"/>
              <w:right w:val="single" w:sz="6" w:space="0" w:color="auto"/>
            </w:tcBorders>
            <w:vAlign w:val="center"/>
          </w:tcPr>
          <w:p w14:paraId="3C7B9A59"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15" w:type="pct"/>
            <w:tcBorders>
              <w:top w:val="single" w:sz="6" w:space="0" w:color="auto"/>
              <w:left w:val="single" w:sz="6" w:space="0" w:color="auto"/>
              <w:bottom w:val="single" w:sz="6" w:space="0" w:color="auto"/>
              <w:right w:val="single" w:sz="6" w:space="0" w:color="auto"/>
            </w:tcBorders>
            <w:vAlign w:val="center"/>
          </w:tcPr>
          <w:p w14:paraId="6CDD2B8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782" w:type="pct"/>
            <w:tcBorders>
              <w:top w:val="single" w:sz="6" w:space="0" w:color="auto"/>
              <w:left w:val="single" w:sz="6" w:space="0" w:color="auto"/>
              <w:bottom w:val="single" w:sz="6" w:space="0" w:color="auto"/>
              <w:right w:val="single" w:sz="6" w:space="0" w:color="auto"/>
            </w:tcBorders>
            <w:vAlign w:val="center"/>
          </w:tcPr>
          <w:p w14:paraId="7BDC137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1332" w:type="pct"/>
            <w:vMerge/>
            <w:tcBorders>
              <w:left w:val="single" w:sz="6" w:space="0" w:color="auto"/>
              <w:bottom w:val="single" w:sz="6" w:space="0" w:color="auto"/>
              <w:right w:val="single" w:sz="4" w:space="0" w:color="auto"/>
            </w:tcBorders>
          </w:tcPr>
          <w:p w14:paraId="44E491D4" w14:textId="77777777" w:rsidR="003328F9" w:rsidRPr="00DD0D1F" w:rsidRDefault="003328F9" w:rsidP="003328F9">
            <w:pPr>
              <w:adjustRightInd w:val="0"/>
              <w:spacing w:line="240" w:lineRule="auto"/>
              <w:ind w:left="74" w:right="74"/>
              <w:rPr>
                <w:rFonts w:cs="Times New Roman"/>
                <w:b/>
                <w:szCs w:val="24"/>
                <w:lang w:val="tr-TR"/>
              </w:rPr>
            </w:pPr>
          </w:p>
        </w:tc>
      </w:tr>
      <w:tr w:rsidR="003328F9" w:rsidRPr="00DD0D1F" w14:paraId="1D4E18AE" w14:textId="77777777" w:rsidTr="006F5E8F">
        <w:trPr>
          <w:trHeight w:val="210"/>
        </w:trPr>
        <w:tc>
          <w:tcPr>
            <w:tcW w:w="1871" w:type="pct"/>
            <w:tcBorders>
              <w:top w:val="single" w:sz="6" w:space="0" w:color="auto"/>
              <w:left w:val="single" w:sz="4" w:space="0" w:color="auto"/>
              <w:bottom w:val="single" w:sz="6" w:space="0" w:color="auto"/>
              <w:right w:val="single" w:sz="6" w:space="0" w:color="auto"/>
            </w:tcBorders>
            <w:vAlign w:val="center"/>
          </w:tcPr>
          <w:p w14:paraId="1FEF5B8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Doğrudan ön sentez gazı arıtması yapılmayan bir kazana bağlı gazlaştırma ünitesi</w:t>
            </w:r>
          </w:p>
        </w:tc>
        <w:tc>
          <w:tcPr>
            <w:tcW w:w="1797" w:type="pct"/>
            <w:gridSpan w:val="2"/>
            <w:tcBorders>
              <w:top w:val="single" w:sz="6" w:space="0" w:color="auto"/>
              <w:left w:val="single" w:sz="6" w:space="0" w:color="auto"/>
              <w:bottom w:val="single" w:sz="6" w:space="0" w:color="auto"/>
              <w:right w:val="single" w:sz="6" w:space="0" w:color="auto"/>
            </w:tcBorders>
            <w:vAlign w:val="center"/>
          </w:tcPr>
          <w:p w14:paraId="3C964D2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332" w:type="pct"/>
            <w:tcBorders>
              <w:top w:val="single" w:sz="6" w:space="0" w:color="auto"/>
              <w:left w:val="single" w:sz="6" w:space="0" w:color="auto"/>
              <w:bottom w:val="single" w:sz="6" w:space="0" w:color="auto"/>
              <w:right w:val="single" w:sz="4" w:space="0" w:color="auto"/>
            </w:tcBorders>
            <w:vAlign w:val="center"/>
          </w:tcPr>
          <w:p w14:paraId="6D1A196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&gt;98</w:t>
            </w:r>
          </w:p>
        </w:tc>
      </w:tr>
      <w:tr w:rsidR="003328F9" w:rsidRPr="00DD0D1F" w14:paraId="35243ED8" w14:textId="77777777" w:rsidTr="006F5E8F">
        <w:trPr>
          <w:trHeight w:val="118"/>
        </w:trPr>
        <w:tc>
          <w:tcPr>
            <w:tcW w:w="1871" w:type="pct"/>
            <w:tcBorders>
              <w:top w:val="single" w:sz="6" w:space="0" w:color="auto"/>
              <w:left w:val="single" w:sz="4" w:space="0" w:color="auto"/>
              <w:bottom w:val="single" w:sz="6" w:space="0" w:color="auto"/>
              <w:right w:val="single" w:sz="6" w:space="0" w:color="auto"/>
            </w:tcBorders>
            <w:vAlign w:val="center"/>
          </w:tcPr>
          <w:p w14:paraId="581599F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Doğrudan ön sentez gazı arıtması yapılan bir kazana bağlı gazlaştırma ünitesi</w:t>
            </w:r>
          </w:p>
        </w:tc>
        <w:tc>
          <w:tcPr>
            <w:tcW w:w="1797" w:type="pct"/>
            <w:gridSpan w:val="2"/>
            <w:tcBorders>
              <w:top w:val="single" w:sz="6" w:space="0" w:color="auto"/>
              <w:left w:val="single" w:sz="6" w:space="0" w:color="auto"/>
              <w:bottom w:val="single" w:sz="6" w:space="0" w:color="auto"/>
              <w:right w:val="single" w:sz="6" w:space="0" w:color="auto"/>
            </w:tcBorders>
            <w:vAlign w:val="center"/>
          </w:tcPr>
          <w:p w14:paraId="4FC0488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332" w:type="pct"/>
            <w:tcBorders>
              <w:top w:val="single" w:sz="6" w:space="0" w:color="auto"/>
              <w:left w:val="single" w:sz="6" w:space="0" w:color="auto"/>
              <w:bottom w:val="single" w:sz="6" w:space="0" w:color="auto"/>
              <w:right w:val="single" w:sz="4" w:space="0" w:color="auto"/>
            </w:tcBorders>
            <w:vAlign w:val="center"/>
          </w:tcPr>
          <w:p w14:paraId="1EAB854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&gt;91</w:t>
            </w:r>
          </w:p>
        </w:tc>
      </w:tr>
      <w:tr w:rsidR="003328F9" w:rsidRPr="00DD0D1F" w14:paraId="75BD8F64" w14:textId="77777777" w:rsidTr="006F5E8F">
        <w:trPr>
          <w:trHeight w:val="63"/>
        </w:trPr>
        <w:tc>
          <w:tcPr>
            <w:tcW w:w="1871" w:type="pct"/>
            <w:tcBorders>
              <w:top w:val="single" w:sz="6" w:space="0" w:color="auto"/>
              <w:left w:val="single" w:sz="4" w:space="0" w:color="auto"/>
              <w:bottom w:val="single" w:sz="4" w:space="0" w:color="auto"/>
              <w:right w:val="single" w:sz="6" w:space="0" w:color="auto"/>
            </w:tcBorders>
            <w:vAlign w:val="center"/>
          </w:tcPr>
          <w:p w14:paraId="4A8BC6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IGCC ünitesi</w:t>
            </w:r>
          </w:p>
        </w:tc>
        <w:tc>
          <w:tcPr>
            <w:tcW w:w="1015" w:type="pct"/>
            <w:tcBorders>
              <w:top w:val="single" w:sz="6" w:space="0" w:color="auto"/>
              <w:left w:val="single" w:sz="6" w:space="0" w:color="auto"/>
              <w:bottom w:val="single" w:sz="4" w:space="0" w:color="auto"/>
              <w:right w:val="single" w:sz="6" w:space="0" w:color="auto"/>
            </w:tcBorders>
            <w:vAlign w:val="center"/>
          </w:tcPr>
          <w:p w14:paraId="6F529F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782" w:type="pct"/>
            <w:tcBorders>
              <w:top w:val="single" w:sz="6" w:space="0" w:color="auto"/>
              <w:left w:val="single" w:sz="6" w:space="0" w:color="auto"/>
              <w:bottom w:val="single" w:sz="4" w:space="0" w:color="auto"/>
              <w:right w:val="single" w:sz="6" w:space="0" w:color="auto"/>
            </w:tcBorders>
            <w:vAlign w:val="center"/>
          </w:tcPr>
          <w:p w14:paraId="4FCC9FA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34-46</w:t>
            </w:r>
          </w:p>
        </w:tc>
        <w:tc>
          <w:tcPr>
            <w:tcW w:w="1332" w:type="pct"/>
            <w:tcBorders>
              <w:top w:val="single" w:sz="6" w:space="0" w:color="auto"/>
              <w:left w:val="single" w:sz="6" w:space="0" w:color="auto"/>
              <w:bottom w:val="single" w:sz="4" w:space="0" w:color="auto"/>
              <w:right w:val="single" w:sz="4" w:space="0" w:color="auto"/>
            </w:tcBorders>
            <w:vAlign w:val="center"/>
          </w:tcPr>
          <w:p w14:paraId="7815C1E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&gt;91</w:t>
            </w:r>
          </w:p>
        </w:tc>
      </w:tr>
    </w:tbl>
    <w:p w14:paraId="0432D78F" w14:textId="77777777" w:rsidR="003328F9" w:rsidRPr="00DD0D1F" w:rsidRDefault="003328F9" w:rsidP="00FF111D">
      <w:pPr>
        <w:pStyle w:val="Balk2"/>
        <w:numPr>
          <w:ilvl w:val="1"/>
          <w:numId w:val="75"/>
        </w:numPr>
        <w:rPr>
          <w:rFonts w:cs="Times New Roman"/>
          <w:szCs w:val="24"/>
          <w:lang w:val="tr-TR"/>
        </w:rPr>
      </w:pPr>
      <w:bookmarkStart w:id="164" w:name="_Toc137367350"/>
      <w:r w:rsidRPr="00DD0D1F">
        <w:rPr>
          <w:rFonts w:cs="Times New Roman"/>
          <w:szCs w:val="24"/>
          <w:lang w:val="tr-TR"/>
        </w:rPr>
        <w:t>Havaya NO</w:t>
      </w:r>
      <w:r w:rsidRPr="00DD0D1F">
        <w:rPr>
          <w:rFonts w:cs="Times New Roman"/>
          <w:szCs w:val="24"/>
          <w:vertAlign w:val="subscript"/>
          <w:lang w:val="tr-TR"/>
        </w:rPr>
        <w:t>X</w:t>
      </w:r>
      <w:r w:rsidRPr="00DD0D1F">
        <w:rPr>
          <w:rFonts w:cs="Times New Roman"/>
          <w:szCs w:val="24"/>
          <w:lang w:val="tr-TR"/>
        </w:rPr>
        <w:t xml:space="preserve"> ve CO’nun Emisyonları</w:t>
      </w:r>
      <w:bookmarkEnd w:id="164"/>
    </w:p>
    <w:p w14:paraId="2D842F8A" w14:textId="641137EC" w:rsidR="003328F9" w:rsidRPr="00DD0D1F" w:rsidRDefault="003328F9" w:rsidP="003328F9">
      <w:pPr>
        <w:rPr>
          <w:rFonts w:cs="Times New Roman"/>
          <w:b/>
          <w:bCs/>
          <w:szCs w:val="24"/>
          <w:lang w:val="tr-TR"/>
        </w:rPr>
      </w:pPr>
      <w:r w:rsidRPr="00DD0D1F">
        <w:rPr>
          <w:rFonts w:cs="Times New Roman"/>
          <w:b/>
          <w:bCs/>
          <w:szCs w:val="24"/>
          <w:lang w:val="tr-TR"/>
        </w:rPr>
        <w:t>MET 73</w:t>
      </w:r>
      <w:bookmarkStart w:id="165" w:name="_Hlk137398673"/>
      <w:r w:rsidRPr="00DD0D1F">
        <w:rPr>
          <w:rFonts w:cs="Times New Roman"/>
          <w:b/>
          <w:bCs/>
          <w:szCs w:val="24"/>
          <w:lang w:val="tr-TR"/>
        </w:rPr>
        <w:t xml:space="preserve">: </w:t>
      </w:r>
      <w:r w:rsidRPr="00DD0D1F">
        <w:rPr>
          <w:rFonts w:cs="Times New Roman"/>
          <w:bCs/>
          <w:szCs w:val="24"/>
          <w:lang w:val="tr-TR"/>
        </w:rPr>
        <w:t>IGCC tesislerinden kaynaklanan CO emisyonlarını sınırlarken havaya NO</w:t>
      </w:r>
      <w:r w:rsidRPr="00DD0D1F">
        <w:rPr>
          <w:rFonts w:cs="Times New Roman"/>
          <w:bCs/>
          <w:szCs w:val="24"/>
          <w:vertAlign w:val="subscript"/>
          <w:lang w:val="tr-TR"/>
        </w:rPr>
        <w:t>X</w:t>
      </w:r>
      <w:r w:rsidRPr="00DD0D1F">
        <w:rPr>
          <w:rFonts w:cs="Times New Roman"/>
          <w:bCs/>
          <w:szCs w:val="24"/>
          <w:lang w:val="tr-TR"/>
        </w:rPr>
        <w:t xml:space="preserve"> emisyonlarını önlemek ve/veya düşürmek için, a</w:t>
      </w:r>
      <w:r w:rsidR="006F5E8F"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6F5E8F" w:rsidRPr="00DD0D1F">
        <w:rPr>
          <w:rFonts w:cs="Times New Roman"/>
          <w:bCs/>
          <w:szCs w:val="24"/>
          <w:lang w:val="tr-TR"/>
        </w:rPr>
        <w:t>ılır.</w:t>
      </w:r>
      <w:bookmarkEnd w:id="16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76"/>
        <w:gridCol w:w="2013"/>
        <w:gridCol w:w="2959"/>
        <w:gridCol w:w="3629"/>
      </w:tblGrid>
      <w:tr w:rsidR="003328F9" w:rsidRPr="00DD0D1F" w14:paraId="3788FE02" w14:textId="77777777" w:rsidTr="003328F9">
        <w:trPr>
          <w:trHeight w:val="372"/>
          <w:tblHeader/>
        </w:trPr>
        <w:tc>
          <w:tcPr>
            <w:tcW w:w="262" w:type="pct"/>
            <w:tcBorders>
              <w:right w:val="single" w:sz="4" w:space="0" w:color="auto"/>
            </w:tcBorders>
            <w:vAlign w:val="center"/>
          </w:tcPr>
          <w:p w14:paraId="43208984" w14:textId="77777777" w:rsidR="003328F9" w:rsidRPr="00DD0D1F" w:rsidRDefault="003328F9" w:rsidP="003328F9">
            <w:pPr>
              <w:adjustRightInd w:val="0"/>
              <w:spacing w:line="240" w:lineRule="auto"/>
              <w:ind w:right="74"/>
              <w:jc w:val="center"/>
              <w:rPr>
                <w:rFonts w:cs="Times New Roman"/>
                <w:b/>
                <w:szCs w:val="24"/>
                <w:lang w:val="tr-TR"/>
              </w:rPr>
            </w:pPr>
          </w:p>
        </w:tc>
        <w:tc>
          <w:tcPr>
            <w:tcW w:w="1109" w:type="pct"/>
            <w:tcBorders>
              <w:left w:val="single" w:sz="4" w:space="0" w:color="auto"/>
            </w:tcBorders>
            <w:vAlign w:val="center"/>
          </w:tcPr>
          <w:p w14:paraId="5248524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630" w:type="pct"/>
            <w:vAlign w:val="center"/>
          </w:tcPr>
          <w:p w14:paraId="3B88AED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999" w:type="pct"/>
            <w:vAlign w:val="center"/>
          </w:tcPr>
          <w:p w14:paraId="05A8CB3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273BDA4" w14:textId="77777777" w:rsidTr="003328F9">
        <w:trPr>
          <w:trHeight w:val="65"/>
        </w:trPr>
        <w:tc>
          <w:tcPr>
            <w:tcW w:w="262" w:type="pct"/>
            <w:tcBorders>
              <w:right w:val="single" w:sz="4" w:space="0" w:color="auto"/>
            </w:tcBorders>
            <w:vAlign w:val="center"/>
          </w:tcPr>
          <w:p w14:paraId="1D856453" w14:textId="77777777" w:rsidR="003328F9" w:rsidRPr="00DD0D1F" w:rsidRDefault="003328F9" w:rsidP="003328F9">
            <w:pPr>
              <w:adjustRightInd w:val="0"/>
              <w:spacing w:line="240" w:lineRule="auto"/>
              <w:ind w:left="74" w:right="74"/>
              <w:rPr>
                <w:rFonts w:cs="Times New Roman"/>
                <w:szCs w:val="24"/>
                <w:lang w:val="tr-TR"/>
              </w:rPr>
            </w:pPr>
            <w:bookmarkStart w:id="166" w:name="_Hlk137398691"/>
            <w:r w:rsidRPr="00DD0D1F">
              <w:rPr>
                <w:rFonts w:cs="Times New Roman"/>
                <w:szCs w:val="24"/>
                <w:lang w:val="tr-TR"/>
              </w:rPr>
              <w:t>a</w:t>
            </w:r>
          </w:p>
        </w:tc>
        <w:tc>
          <w:tcPr>
            <w:tcW w:w="1109" w:type="pct"/>
            <w:tcBorders>
              <w:left w:val="single" w:sz="4" w:space="0" w:color="auto"/>
            </w:tcBorders>
            <w:vAlign w:val="center"/>
          </w:tcPr>
          <w:p w14:paraId="216696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630" w:type="pct"/>
            <w:vAlign w:val="center"/>
          </w:tcPr>
          <w:p w14:paraId="77AB57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999" w:type="pct"/>
            <w:vAlign w:val="center"/>
          </w:tcPr>
          <w:p w14:paraId="03522C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2A3CFF8" w14:textId="77777777" w:rsidTr="003328F9">
        <w:trPr>
          <w:trHeight w:val="65"/>
        </w:trPr>
        <w:tc>
          <w:tcPr>
            <w:tcW w:w="262" w:type="pct"/>
            <w:vAlign w:val="center"/>
          </w:tcPr>
          <w:p w14:paraId="2D3EF34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09" w:type="pct"/>
            <w:vAlign w:val="center"/>
          </w:tcPr>
          <w:p w14:paraId="6307CC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630" w:type="pct"/>
            <w:vAlign w:val="center"/>
          </w:tcPr>
          <w:p w14:paraId="3D3171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2CDA60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türbininden kaynaklanan ara basınç buharı bu amaçla yeniden kullanılır.</w:t>
            </w:r>
          </w:p>
        </w:tc>
        <w:tc>
          <w:tcPr>
            <w:tcW w:w="1999" w:type="pct"/>
            <w:vAlign w:val="center"/>
          </w:tcPr>
          <w:p w14:paraId="50B24E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IGCC tesisinin sadece gaz türbini kısmına uygulanabilir.</w:t>
            </w:r>
          </w:p>
          <w:p w14:paraId="6375A0B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25414DB6" w14:textId="77777777" w:rsidTr="003328F9">
        <w:trPr>
          <w:trHeight w:val="737"/>
        </w:trPr>
        <w:tc>
          <w:tcPr>
            <w:tcW w:w="262" w:type="pct"/>
            <w:vAlign w:val="center"/>
          </w:tcPr>
          <w:p w14:paraId="516E33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09" w:type="pct"/>
            <w:vAlign w:val="center"/>
          </w:tcPr>
          <w:p w14:paraId="0BABA71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brülörler (DLN)</w:t>
            </w:r>
          </w:p>
        </w:tc>
        <w:tc>
          <w:tcPr>
            <w:tcW w:w="1630" w:type="pct"/>
            <w:vAlign w:val="center"/>
          </w:tcPr>
          <w:p w14:paraId="533609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999" w:type="pct"/>
            <w:vAlign w:val="center"/>
          </w:tcPr>
          <w:p w14:paraId="5B080B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IGCC tesisinin sadece gaz türbini kısmına uygulanabilir.</w:t>
            </w:r>
          </w:p>
          <w:p w14:paraId="5EBE69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IGCC tesislerine uygulanabilir.</w:t>
            </w:r>
          </w:p>
          <w:p w14:paraId="49CF00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IGCC tesislerinde iyileştirme çalışmalarında her durum için değerlendirme yapılarak uygulanabilir. Hidrojen içeriği &gt;%15 olan sentez gazı için uygulanmaz</w:t>
            </w:r>
          </w:p>
        </w:tc>
      </w:tr>
      <w:tr w:rsidR="003328F9" w:rsidRPr="00DD0D1F" w14:paraId="7B179DB6" w14:textId="77777777" w:rsidTr="003328F9">
        <w:trPr>
          <w:trHeight w:val="927"/>
        </w:trPr>
        <w:tc>
          <w:tcPr>
            <w:tcW w:w="262" w:type="pct"/>
            <w:vAlign w:val="center"/>
          </w:tcPr>
          <w:p w14:paraId="554EFC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09" w:type="pct"/>
            <w:vAlign w:val="center"/>
          </w:tcPr>
          <w:p w14:paraId="524A310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Hava kaynağı ünitesinden (ASU) gelen atık azot ile sentez gazının seyreltilmesi</w:t>
            </w:r>
          </w:p>
        </w:tc>
        <w:tc>
          <w:tcPr>
            <w:tcW w:w="1630" w:type="pct"/>
            <w:vAlign w:val="center"/>
          </w:tcPr>
          <w:p w14:paraId="034853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ASU, gaza dönüştürücüye yüksek kalitede oksijen sağlamak için oksijeni havadaki azottan ayırır. ASU'dan kaynaklanan atık azot yanma öncesinde sentez gazı ile önceden karıştırılarak gaz türbinindeki yanma sıcaklığını düşürmek için yeniden kullanılır.</w:t>
            </w:r>
          </w:p>
        </w:tc>
        <w:tc>
          <w:tcPr>
            <w:tcW w:w="1999" w:type="pct"/>
            <w:vAlign w:val="center"/>
          </w:tcPr>
          <w:p w14:paraId="08A9F4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Ancak gazlaştırma prosesi için bir ASU kullanıldığında uygulanabilir.</w:t>
            </w:r>
          </w:p>
        </w:tc>
      </w:tr>
      <w:tr w:rsidR="003328F9" w:rsidRPr="00DD0D1F" w14:paraId="27566E67" w14:textId="77777777" w:rsidTr="003328F9">
        <w:trPr>
          <w:trHeight w:val="81"/>
        </w:trPr>
        <w:tc>
          <w:tcPr>
            <w:tcW w:w="262" w:type="pct"/>
            <w:vAlign w:val="center"/>
          </w:tcPr>
          <w:p w14:paraId="540A53C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09" w:type="pct"/>
            <w:vAlign w:val="center"/>
          </w:tcPr>
          <w:p w14:paraId="2B3DEA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630" w:type="pct"/>
            <w:vAlign w:val="center"/>
          </w:tcPr>
          <w:p w14:paraId="01642E6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999" w:type="pct"/>
            <w:vAlign w:val="center"/>
          </w:tcPr>
          <w:p w14:paraId="7B541C8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IGCC tesislerine uygulanmaz.</w:t>
            </w:r>
          </w:p>
          <w:p w14:paraId="64D71FF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IGCC tesislerinin iyileştirilmesi,  yeterli alan bulunup bulunmamasına göre kısıtlanabilir.</w:t>
            </w:r>
          </w:p>
          <w:p w14:paraId="2BF314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IGCC tesislerinin iyileştirilmesi için teknik ve ekonomik kısıtlamalar bulunabilir.</w:t>
            </w:r>
          </w:p>
        </w:tc>
      </w:tr>
    </w:tbl>
    <w:bookmarkEnd w:id="166"/>
    <w:p w14:paraId="39D63A2A"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938"/>
        <w:gridCol w:w="1185"/>
        <w:gridCol w:w="1748"/>
        <w:gridCol w:w="1703"/>
        <w:gridCol w:w="1503"/>
      </w:tblGrid>
      <w:tr w:rsidR="003328F9" w:rsidRPr="00DD0D1F" w14:paraId="33E8BA1A" w14:textId="77777777" w:rsidTr="003328F9">
        <w:trPr>
          <w:trHeight w:val="65"/>
        </w:trPr>
        <w:tc>
          <w:tcPr>
            <w:tcW w:w="1618" w:type="pct"/>
            <w:vMerge w:val="restart"/>
            <w:tcBorders>
              <w:top w:val="single" w:sz="4" w:space="0" w:color="auto"/>
              <w:left w:val="single" w:sz="4" w:space="0" w:color="auto"/>
              <w:right w:val="single" w:sz="6" w:space="0" w:color="auto"/>
            </w:tcBorders>
            <w:vAlign w:val="center"/>
          </w:tcPr>
          <w:p w14:paraId="6A82217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IGCC tesisi toplam anma ısıl gücü (MW</w:t>
            </w:r>
            <w:r w:rsidRPr="00DD0D1F">
              <w:rPr>
                <w:rFonts w:cs="Times New Roman"/>
                <w:b/>
                <w:szCs w:val="24"/>
                <w:vertAlign w:val="superscript"/>
                <w:lang w:val="tr-TR"/>
              </w:rPr>
              <w:t>th</w:t>
            </w:r>
            <w:r w:rsidRPr="00DD0D1F">
              <w:rPr>
                <w:rFonts w:cs="Times New Roman"/>
                <w:b/>
                <w:szCs w:val="24"/>
                <w:lang w:val="tr-TR"/>
              </w:rPr>
              <w:t>)</w:t>
            </w:r>
          </w:p>
        </w:tc>
        <w:tc>
          <w:tcPr>
            <w:tcW w:w="3382" w:type="pct"/>
            <w:gridSpan w:val="4"/>
            <w:tcBorders>
              <w:top w:val="single" w:sz="4" w:space="0" w:color="auto"/>
              <w:left w:val="single" w:sz="6" w:space="0" w:color="auto"/>
              <w:bottom w:val="single" w:sz="6" w:space="0" w:color="auto"/>
              <w:right w:val="single" w:sz="4" w:space="0" w:color="auto"/>
            </w:tcBorders>
            <w:vAlign w:val="center"/>
          </w:tcPr>
          <w:p w14:paraId="1D49D12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78DEE40C" w14:textId="77777777" w:rsidTr="003328F9">
        <w:trPr>
          <w:trHeight w:val="65"/>
        </w:trPr>
        <w:tc>
          <w:tcPr>
            <w:tcW w:w="1618" w:type="pct"/>
            <w:vMerge/>
            <w:tcBorders>
              <w:left w:val="single" w:sz="4" w:space="0" w:color="auto"/>
              <w:right w:val="single" w:sz="6" w:space="0" w:color="auto"/>
            </w:tcBorders>
            <w:vAlign w:val="center"/>
          </w:tcPr>
          <w:p w14:paraId="02384C7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16" w:type="pct"/>
            <w:gridSpan w:val="2"/>
            <w:tcBorders>
              <w:top w:val="single" w:sz="6" w:space="0" w:color="auto"/>
              <w:left w:val="single" w:sz="6" w:space="0" w:color="auto"/>
              <w:bottom w:val="single" w:sz="6" w:space="0" w:color="auto"/>
              <w:right w:val="single" w:sz="6" w:space="0" w:color="auto"/>
            </w:tcBorders>
            <w:vAlign w:val="center"/>
          </w:tcPr>
          <w:p w14:paraId="44DB377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66" w:type="pct"/>
            <w:gridSpan w:val="2"/>
            <w:tcBorders>
              <w:top w:val="single" w:sz="6" w:space="0" w:color="auto"/>
              <w:left w:val="single" w:sz="6" w:space="0" w:color="auto"/>
              <w:bottom w:val="single" w:sz="6" w:space="0" w:color="auto"/>
              <w:right w:val="single" w:sz="4" w:space="0" w:color="auto"/>
            </w:tcBorders>
            <w:vAlign w:val="center"/>
          </w:tcPr>
          <w:p w14:paraId="28EBCB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19F55D0E" w14:textId="77777777" w:rsidTr="003328F9">
        <w:trPr>
          <w:trHeight w:val="65"/>
        </w:trPr>
        <w:tc>
          <w:tcPr>
            <w:tcW w:w="1618" w:type="pct"/>
            <w:vMerge/>
            <w:tcBorders>
              <w:left w:val="single" w:sz="4" w:space="0" w:color="auto"/>
              <w:bottom w:val="single" w:sz="6" w:space="0" w:color="auto"/>
              <w:right w:val="single" w:sz="6" w:space="0" w:color="auto"/>
            </w:tcBorders>
            <w:vAlign w:val="center"/>
          </w:tcPr>
          <w:p w14:paraId="19DFAAF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653" w:type="pct"/>
            <w:tcBorders>
              <w:top w:val="single" w:sz="6" w:space="0" w:color="auto"/>
              <w:left w:val="single" w:sz="6" w:space="0" w:color="auto"/>
              <w:bottom w:val="single" w:sz="6" w:space="0" w:color="auto"/>
              <w:right w:val="single" w:sz="6" w:space="0" w:color="auto"/>
            </w:tcBorders>
            <w:vAlign w:val="center"/>
          </w:tcPr>
          <w:p w14:paraId="34AF142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963" w:type="pct"/>
            <w:tcBorders>
              <w:top w:val="single" w:sz="6" w:space="0" w:color="auto"/>
              <w:left w:val="single" w:sz="6" w:space="0" w:color="auto"/>
              <w:bottom w:val="single" w:sz="6" w:space="0" w:color="auto"/>
              <w:right w:val="single" w:sz="6" w:space="0" w:color="auto"/>
            </w:tcBorders>
            <w:vAlign w:val="center"/>
          </w:tcPr>
          <w:p w14:paraId="3BA52C7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tc>
        <w:tc>
          <w:tcPr>
            <w:tcW w:w="938" w:type="pct"/>
            <w:tcBorders>
              <w:top w:val="single" w:sz="6" w:space="0" w:color="auto"/>
              <w:left w:val="single" w:sz="6" w:space="0" w:color="auto"/>
              <w:bottom w:val="single" w:sz="6" w:space="0" w:color="auto"/>
              <w:right w:val="single" w:sz="6" w:space="0" w:color="auto"/>
            </w:tcBorders>
            <w:vAlign w:val="center"/>
          </w:tcPr>
          <w:p w14:paraId="4AA83E6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28" w:type="pct"/>
            <w:tcBorders>
              <w:top w:val="single" w:sz="6" w:space="0" w:color="auto"/>
              <w:left w:val="single" w:sz="6" w:space="0" w:color="auto"/>
              <w:bottom w:val="single" w:sz="6" w:space="0" w:color="auto"/>
              <w:right w:val="single" w:sz="4" w:space="0" w:color="auto"/>
            </w:tcBorders>
            <w:vAlign w:val="center"/>
          </w:tcPr>
          <w:p w14:paraId="336DE4F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tc>
      </w:tr>
      <w:tr w:rsidR="003328F9" w:rsidRPr="00DD0D1F" w14:paraId="1DCFA17B" w14:textId="77777777" w:rsidTr="003328F9">
        <w:trPr>
          <w:trHeight w:val="48"/>
        </w:trPr>
        <w:tc>
          <w:tcPr>
            <w:tcW w:w="1618" w:type="pct"/>
            <w:tcBorders>
              <w:top w:val="single" w:sz="6" w:space="0" w:color="auto"/>
              <w:left w:val="single" w:sz="4" w:space="0" w:color="auto"/>
              <w:bottom w:val="single" w:sz="4" w:space="0" w:color="auto"/>
              <w:right w:val="single" w:sz="6" w:space="0" w:color="auto"/>
            </w:tcBorders>
          </w:tcPr>
          <w:p w14:paraId="74FF919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653" w:type="pct"/>
            <w:tcBorders>
              <w:top w:val="single" w:sz="6" w:space="0" w:color="auto"/>
              <w:left w:val="single" w:sz="6" w:space="0" w:color="auto"/>
              <w:bottom w:val="single" w:sz="4" w:space="0" w:color="auto"/>
              <w:right w:val="single" w:sz="6" w:space="0" w:color="auto"/>
            </w:tcBorders>
          </w:tcPr>
          <w:p w14:paraId="0B812DD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10-25</w:t>
            </w:r>
          </w:p>
        </w:tc>
        <w:tc>
          <w:tcPr>
            <w:tcW w:w="963" w:type="pct"/>
            <w:tcBorders>
              <w:top w:val="single" w:sz="6" w:space="0" w:color="auto"/>
              <w:left w:val="single" w:sz="6" w:space="0" w:color="auto"/>
              <w:bottom w:val="single" w:sz="4" w:space="0" w:color="auto"/>
              <w:right w:val="single" w:sz="6" w:space="0" w:color="auto"/>
            </w:tcBorders>
          </w:tcPr>
          <w:p w14:paraId="75C85EC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12-45</w:t>
            </w:r>
          </w:p>
        </w:tc>
        <w:tc>
          <w:tcPr>
            <w:tcW w:w="938" w:type="pct"/>
            <w:tcBorders>
              <w:top w:val="single" w:sz="6" w:space="0" w:color="auto"/>
              <w:left w:val="single" w:sz="6" w:space="0" w:color="auto"/>
              <w:bottom w:val="single" w:sz="4" w:space="0" w:color="auto"/>
              <w:right w:val="single" w:sz="6" w:space="0" w:color="auto"/>
            </w:tcBorders>
          </w:tcPr>
          <w:p w14:paraId="22E9EC8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1-35</w:t>
            </w:r>
          </w:p>
        </w:tc>
        <w:tc>
          <w:tcPr>
            <w:tcW w:w="828" w:type="pct"/>
            <w:tcBorders>
              <w:top w:val="single" w:sz="6" w:space="0" w:color="auto"/>
              <w:left w:val="single" w:sz="6" w:space="0" w:color="auto"/>
              <w:bottom w:val="single" w:sz="4" w:space="0" w:color="auto"/>
              <w:right w:val="single" w:sz="4" w:space="0" w:color="auto"/>
            </w:tcBorders>
          </w:tcPr>
          <w:p w14:paraId="03242C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1-60</w:t>
            </w:r>
          </w:p>
        </w:tc>
      </w:tr>
    </w:tbl>
    <w:p w14:paraId="4172B27E"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mevcut tesisler için ve yeni tesisler için yıllık ortalama CO emisyon seviyeleri genel olarak &lt;5-30 mg/Nm</w:t>
      </w:r>
      <w:r w:rsidRPr="00DD0D1F">
        <w:rPr>
          <w:rFonts w:cs="Times New Roman"/>
          <w:szCs w:val="24"/>
          <w:vertAlign w:val="superscript"/>
          <w:lang w:val="tr-TR"/>
        </w:rPr>
        <w:t>3</w:t>
      </w:r>
      <w:r w:rsidRPr="00DD0D1F">
        <w:rPr>
          <w:rFonts w:cs="Times New Roman"/>
          <w:szCs w:val="24"/>
          <w:lang w:val="tr-TR"/>
        </w:rPr>
        <w:t xml:space="preserve"> olacaktır.</w:t>
      </w:r>
    </w:p>
    <w:p w14:paraId="68366F33" w14:textId="77777777" w:rsidR="003328F9" w:rsidRPr="00DD0D1F" w:rsidRDefault="003328F9" w:rsidP="00FF111D">
      <w:pPr>
        <w:pStyle w:val="Balk2"/>
        <w:numPr>
          <w:ilvl w:val="1"/>
          <w:numId w:val="75"/>
        </w:numPr>
        <w:rPr>
          <w:rFonts w:cs="Times New Roman"/>
          <w:szCs w:val="24"/>
          <w:lang w:val="tr-TR"/>
        </w:rPr>
      </w:pPr>
      <w:bookmarkStart w:id="167" w:name="_Toc137367351"/>
      <w:r w:rsidRPr="00DD0D1F">
        <w:rPr>
          <w:rFonts w:cs="Times New Roman"/>
          <w:szCs w:val="24"/>
          <w:lang w:val="tr-TR"/>
        </w:rPr>
        <w:t>Havaya SO</w:t>
      </w:r>
      <w:r w:rsidRPr="00DD0D1F">
        <w:rPr>
          <w:rFonts w:cs="Times New Roman"/>
          <w:szCs w:val="24"/>
          <w:vertAlign w:val="subscript"/>
          <w:lang w:val="tr-TR"/>
        </w:rPr>
        <w:t>X</w:t>
      </w:r>
      <w:r w:rsidRPr="00DD0D1F">
        <w:rPr>
          <w:rFonts w:cs="Times New Roman"/>
          <w:szCs w:val="24"/>
          <w:lang w:val="tr-TR"/>
        </w:rPr>
        <w:t xml:space="preserve"> Emisyonları</w:t>
      </w:r>
      <w:bookmarkEnd w:id="167"/>
    </w:p>
    <w:p w14:paraId="0B54F928" w14:textId="23E66567" w:rsidR="003328F9" w:rsidRPr="00DD0D1F" w:rsidRDefault="003328F9" w:rsidP="003328F9">
      <w:pPr>
        <w:rPr>
          <w:rFonts w:cs="Times New Roman"/>
          <w:b/>
          <w:bCs/>
          <w:szCs w:val="24"/>
          <w:lang w:val="tr-TR"/>
        </w:rPr>
      </w:pPr>
      <w:r w:rsidRPr="00DD0D1F">
        <w:rPr>
          <w:rFonts w:cs="Times New Roman"/>
          <w:b/>
          <w:bCs/>
          <w:szCs w:val="24"/>
          <w:lang w:val="tr-TR"/>
        </w:rPr>
        <w:t>MET 74</w:t>
      </w:r>
      <w:bookmarkStart w:id="168" w:name="_Hlk137398721"/>
      <w:r w:rsidRPr="00DD0D1F">
        <w:rPr>
          <w:rFonts w:cs="Times New Roman"/>
          <w:b/>
          <w:bCs/>
          <w:szCs w:val="24"/>
          <w:lang w:val="tr-TR"/>
        </w:rPr>
        <w:t xml:space="preserve">: </w:t>
      </w:r>
      <w:r w:rsidRPr="00DD0D1F">
        <w:rPr>
          <w:rFonts w:cs="Times New Roman"/>
          <w:bCs/>
          <w:szCs w:val="24"/>
          <w:lang w:val="tr-TR"/>
        </w:rPr>
        <w:t>IGCC tesislerinden kaynaklanan SO</w:t>
      </w:r>
      <w:r w:rsidRPr="00DD0D1F">
        <w:rPr>
          <w:rFonts w:cs="Times New Roman"/>
          <w:bCs/>
          <w:szCs w:val="24"/>
          <w:vertAlign w:val="subscript"/>
          <w:lang w:val="tr-TR"/>
        </w:rPr>
        <w:t>X</w:t>
      </w:r>
      <w:r w:rsidRPr="00DD0D1F">
        <w:rPr>
          <w:rFonts w:cs="Times New Roman"/>
          <w:bCs/>
          <w:szCs w:val="24"/>
          <w:lang w:val="tr-TR"/>
        </w:rPr>
        <w:t xml:space="preserve"> emisyonlarını azaltm</w:t>
      </w:r>
      <w:r w:rsidR="006F5E8F" w:rsidRPr="00DD0D1F">
        <w:rPr>
          <w:rFonts w:cs="Times New Roman"/>
          <w:bCs/>
          <w:szCs w:val="24"/>
          <w:lang w:val="tr-TR"/>
        </w:rPr>
        <w:t>ak için, aşağıda verilen teknik</w:t>
      </w:r>
      <w:r w:rsidRPr="00DD0D1F">
        <w:rPr>
          <w:rFonts w:cs="Times New Roman"/>
          <w:bCs/>
          <w:szCs w:val="24"/>
          <w:lang w:val="tr-TR"/>
        </w:rPr>
        <w:t xml:space="preserve"> kullan</w:t>
      </w:r>
      <w:r w:rsidR="006F5E8F" w:rsidRPr="00DD0D1F">
        <w:rPr>
          <w:rFonts w:cs="Times New Roman"/>
          <w:bCs/>
          <w:szCs w:val="24"/>
          <w:lang w:val="tr-TR"/>
        </w:rPr>
        <w:t>ılır.</w:t>
      </w:r>
      <w:bookmarkEnd w:id="168"/>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
        <w:gridCol w:w="1748"/>
        <w:gridCol w:w="4426"/>
        <w:gridCol w:w="2620"/>
      </w:tblGrid>
      <w:tr w:rsidR="003328F9" w:rsidRPr="00DD0D1F" w14:paraId="7CA39858" w14:textId="77777777" w:rsidTr="003328F9">
        <w:trPr>
          <w:trHeight w:val="229"/>
        </w:trPr>
        <w:tc>
          <w:tcPr>
            <w:tcW w:w="156" w:type="pct"/>
            <w:tcBorders>
              <w:right w:val="single" w:sz="4" w:space="0" w:color="auto"/>
            </w:tcBorders>
            <w:vAlign w:val="center"/>
          </w:tcPr>
          <w:p w14:paraId="55E73026" w14:textId="77777777" w:rsidR="003328F9" w:rsidRPr="00DD0D1F" w:rsidRDefault="003328F9" w:rsidP="003328F9">
            <w:pPr>
              <w:pStyle w:val="TableParagraph"/>
              <w:ind w:right="74"/>
              <w:jc w:val="center"/>
              <w:rPr>
                <w:b/>
                <w:szCs w:val="24"/>
              </w:rPr>
            </w:pPr>
          </w:p>
        </w:tc>
        <w:tc>
          <w:tcPr>
            <w:tcW w:w="963" w:type="pct"/>
            <w:tcBorders>
              <w:left w:val="single" w:sz="4" w:space="0" w:color="auto"/>
            </w:tcBorders>
            <w:vAlign w:val="center"/>
          </w:tcPr>
          <w:p w14:paraId="212EF99F" w14:textId="77777777" w:rsidR="003328F9" w:rsidRPr="00DD0D1F" w:rsidRDefault="003328F9" w:rsidP="003328F9">
            <w:pPr>
              <w:pStyle w:val="TableParagraph"/>
              <w:ind w:left="74" w:right="74"/>
              <w:jc w:val="center"/>
              <w:rPr>
                <w:b/>
                <w:szCs w:val="24"/>
              </w:rPr>
            </w:pPr>
            <w:r w:rsidRPr="00DD0D1F">
              <w:rPr>
                <w:b/>
                <w:szCs w:val="24"/>
              </w:rPr>
              <w:t>Teknik</w:t>
            </w:r>
          </w:p>
        </w:tc>
        <w:tc>
          <w:tcPr>
            <w:tcW w:w="2438" w:type="pct"/>
            <w:vAlign w:val="center"/>
          </w:tcPr>
          <w:p w14:paraId="222B1E1B" w14:textId="77777777" w:rsidR="003328F9" w:rsidRPr="00DD0D1F" w:rsidRDefault="003328F9" w:rsidP="003328F9">
            <w:pPr>
              <w:pStyle w:val="TableParagraph"/>
              <w:ind w:left="74" w:right="74"/>
              <w:jc w:val="center"/>
              <w:rPr>
                <w:b/>
                <w:szCs w:val="24"/>
              </w:rPr>
            </w:pPr>
            <w:r w:rsidRPr="00DD0D1F">
              <w:rPr>
                <w:b/>
                <w:szCs w:val="24"/>
              </w:rPr>
              <w:t>Açıklama</w:t>
            </w:r>
          </w:p>
        </w:tc>
        <w:tc>
          <w:tcPr>
            <w:tcW w:w="1443" w:type="pct"/>
            <w:vAlign w:val="center"/>
          </w:tcPr>
          <w:p w14:paraId="6B2EC760"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60682A39" w14:textId="77777777" w:rsidTr="003328F9">
        <w:trPr>
          <w:trHeight w:val="2070"/>
        </w:trPr>
        <w:tc>
          <w:tcPr>
            <w:tcW w:w="156" w:type="pct"/>
            <w:tcBorders>
              <w:right w:val="single" w:sz="4" w:space="0" w:color="auto"/>
            </w:tcBorders>
            <w:vAlign w:val="center"/>
          </w:tcPr>
          <w:p w14:paraId="2B186C8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a</w:t>
            </w:r>
          </w:p>
        </w:tc>
        <w:tc>
          <w:tcPr>
            <w:tcW w:w="963" w:type="pct"/>
            <w:tcBorders>
              <w:left w:val="single" w:sz="4" w:space="0" w:color="auto"/>
            </w:tcBorders>
            <w:vAlign w:val="center"/>
          </w:tcPr>
          <w:p w14:paraId="6307EA3A" w14:textId="77777777" w:rsidR="003328F9" w:rsidRPr="00DD0D1F" w:rsidRDefault="003328F9" w:rsidP="003328F9">
            <w:pPr>
              <w:adjustRightInd w:val="0"/>
              <w:spacing w:line="240" w:lineRule="auto"/>
              <w:ind w:left="74" w:right="74"/>
              <w:rPr>
                <w:rFonts w:cs="Times New Roman"/>
                <w:szCs w:val="24"/>
                <w:lang w:val="tr-TR"/>
              </w:rPr>
            </w:pPr>
            <w:bookmarkStart w:id="169" w:name="_Hlk137398738"/>
            <w:r w:rsidRPr="00DD0D1F">
              <w:rPr>
                <w:rFonts w:cs="Times New Roman"/>
                <w:szCs w:val="24"/>
                <w:lang w:val="tr-TR"/>
              </w:rPr>
              <w:t>Asit gazın giderilmesi</w:t>
            </w:r>
            <w:bookmarkEnd w:id="169"/>
          </w:p>
        </w:tc>
        <w:tc>
          <w:tcPr>
            <w:tcW w:w="2438" w:type="pct"/>
            <w:vAlign w:val="center"/>
          </w:tcPr>
          <w:p w14:paraId="41B1B0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 gazlaştırma prosesinden kaynaklanan kükürt bileşikleri, sentez gazından örneğin bir COS (ve HCN) hidroliz reaktörü ekleyerek asit gazın giderilmesi ve metil dietanolamin gibi bir solvent kullanılarak H</w:t>
            </w:r>
            <w:r w:rsidRPr="00DD0D1F">
              <w:rPr>
                <w:rFonts w:cs="Times New Roman"/>
                <w:szCs w:val="24"/>
                <w:vertAlign w:val="subscript"/>
                <w:lang w:val="tr-TR"/>
              </w:rPr>
              <w:t>2</w:t>
            </w:r>
            <w:r w:rsidRPr="00DD0D1F">
              <w:rPr>
                <w:rFonts w:cs="Times New Roman"/>
                <w:szCs w:val="24"/>
                <w:lang w:val="tr-TR"/>
              </w:rPr>
              <w:t>S'nin emilmesi yoluyla giderilir. Kükürt, pazar taleplerine göre ya sıvı ya da katı element kükürt (bir Claus ünitesi üzerinden) veya sülfürik asit olarak geri kazanılır</w:t>
            </w:r>
          </w:p>
        </w:tc>
        <w:tc>
          <w:tcPr>
            <w:tcW w:w="1443" w:type="pct"/>
            <w:vAlign w:val="center"/>
          </w:tcPr>
          <w:p w14:paraId="58DE3A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biyokütledeki çok düşük kükürt içeriği nedeniyle biyokütle IGCC tesisleri söz konusu olduğunda çok sınırlı olabilir.</w:t>
            </w:r>
          </w:p>
        </w:tc>
      </w:tr>
    </w:tbl>
    <w:p w14:paraId="1728B5AF" w14:textId="77777777" w:rsidR="003328F9" w:rsidRPr="00DD0D1F" w:rsidRDefault="003328F9" w:rsidP="003328F9">
      <w:pPr>
        <w:spacing w:before="240"/>
        <w:rPr>
          <w:rFonts w:cs="Times New Roman"/>
          <w:szCs w:val="24"/>
          <w:lang w:val="tr-TR"/>
        </w:rPr>
      </w:pPr>
      <w:r w:rsidRPr="00DD0D1F">
        <w:rPr>
          <w:rFonts w:cs="Times New Roman"/>
          <w:szCs w:val="24"/>
          <w:lang w:val="tr-TR"/>
        </w:rPr>
        <w:t>≥100 MWth’lik IGCC tesislerinden kaynaklanan havaya SO</w:t>
      </w:r>
      <w:r w:rsidRPr="00DD0D1F">
        <w:rPr>
          <w:rFonts w:cs="Times New Roman"/>
          <w:szCs w:val="24"/>
          <w:vertAlign w:val="superscript"/>
          <w:lang w:val="tr-TR"/>
        </w:rPr>
        <w:t>2</w:t>
      </w:r>
      <w:r w:rsidRPr="00DD0D1F">
        <w:rPr>
          <w:rFonts w:cs="Times New Roman"/>
          <w:szCs w:val="24"/>
          <w:lang w:val="tr-TR"/>
        </w:rPr>
        <w:t xml:space="preserve"> emisyonlarına yönelik MET ile ilişkili emisyon seviyesi (MET-İES), yıllık ortalama olarak 3-16 mg/Nm</w:t>
      </w:r>
      <w:r w:rsidRPr="00DD0D1F">
        <w:rPr>
          <w:rFonts w:cs="Times New Roman"/>
          <w:szCs w:val="24"/>
          <w:vertAlign w:val="superscript"/>
          <w:lang w:val="tr-TR"/>
        </w:rPr>
        <w:t>3</w:t>
      </w:r>
      <w:r w:rsidRPr="00DD0D1F">
        <w:rPr>
          <w:rFonts w:cs="Times New Roman"/>
          <w:szCs w:val="24"/>
          <w:lang w:val="tr-TR"/>
        </w:rPr>
        <w:t>'tür.</w:t>
      </w:r>
    </w:p>
    <w:p w14:paraId="0FCEC069" w14:textId="77777777" w:rsidR="003328F9" w:rsidRPr="00DD0D1F" w:rsidRDefault="003328F9" w:rsidP="00FF111D">
      <w:pPr>
        <w:pStyle w:val="Balk2"/>
        <w:numPr>
          <w:ilvl w:val="1"/>
          <w:numId w:val="75"/>
        </w:numPr>
        <w:rPr>
          <w:rFonts w:cs="Times New Roman"/>
          <w:szCs w:val="24"/>
          <w:lang w:val="tr-TR"/>
        </w:rPr>
      </w:pPr>
      <w:bookmarkStart w:id="170" w:name="_Toc137367352"/>
      <w:r w:rsidRPr="00DD0D1F">
        <w:rPr>
          <w:rFonts w:cs="Times New Roman"/>
          <w:szCs w:val="24"/>
          <w:lang w:val="tr-TR"/>
        </w:rPr>
        <w:t>Toz, Partiküle Bağlı Metaller, Amonyak ve Halojenlerin Havaya Emisyonları</w:t>
      </w:r>
      <w:bookmarkEnd w:id="170"/>
    </w:p>
    <w:p w14:paraId="09B83AB7" w14:textId="5737A320" w:rsidR="003328F9" w:rsidRPr="00DD0D1F" w:rsidRDefault="003328F9" w:rsidP="003328F9">
      <w:pPr>
        <w:spacing w:before="240"/>
        <w:rPr>
          <w:rFonts w:cs="Times New Roman"/>
          <w:b/>
          <w:bCs/>
          <w:szCs w:val="24"/>
          <w:lang w:val="tr-TR"/>
        </w:rPr>
      </w:pPr>
      <w:r w:rsidRPr="00DD0D1F">
        <w:rPr>
          <w:rFonts w:cs="Times New Roman"/>
          <w:b/>
          <w:bCs/>
          <w:szCs w:val="24"/>
          <w:lang w:val="tr-TR"/>
        </w:rPr>
        <w:t>MET 75</w:t>
      </w:r>
      <w:bookmarkStart w:id="171" w:name="_Hlk137398760"/>
      <w:r w:rsidRPr="00DD0D1F">
        <w:rPr>
          <w:rFonts w:cs="Times New Roman"/>
          <w:b/>
          <w:bCs/>
          <w:szCs w:val="24"/>
          <w:lang w:val="tr-TR"/>
        </w:rPr>
        <w:t xml:space="preserve">: </w:t>
      </w:r>
      <w:r w:rsidRPr="00DD0D1F">
        <w:rPr>
          <w:rFonts w:cs="Times New Roman"/>
          <w:bCs/>
          <w:szCs w:val="24"/>
          <w:lang w:val="tr-TR"/>
        </w:rPr>
        <w:t>IGCC tesislerinden kaynaklanan toz, partiküle bağlı metal, amonyak ve halojenlerin havaya emisyonlarını engellemek veya azaltmak için, aşağıda verilen tekniklerin biri</w:t>
      </w:r>
      <w:r w:rsidR="006F5E8F" w:rsidRPr="00DD0D1F">
        <w:rPr>
          <w:rFonts w:cs="Times New Roman"/>
          <w:bCs/>
          <w:szCs w:val="24"/>
          <w:lang w:val="tr-TR"/>
        </w:rPr>
        <w:t xml:space="preserve"> veya bunların bir birleşimi</w:t>
      </w:r>
      <w:r w:rsidRPr="00DD0D1F">
        <w:rPr>
          <w:rFonts w:cs="Times New Roman"/>
          <w:bCs/>
          <w:szCs w:val="24"/>
          <w:lang w:val="tr-TR"/>
        </w:rPr>
        <w:t xml:space="preserve"> kullan</w:t>
      </w:r>
      <w:r w:rsidR="006F5E8F" w:rsidRPr="00DD0D1F">
        <w:rPr>
          <w:rFonts w:cs="Times New Roman"/>
          <w:bCs/>
          <w:szCs w:val="24"/>
          <w:lang w:val="tr-TR"/>
        </w:rPr>
        <w:t>ılır.</w:t>
      </w:r>
      <w:bookmarkEnd w:id="171"/>
    </w:p>
    <w:tbl>
      <w:tblPr>
        <w:tblW w:w="5000" w:type="pct"/>
        <w:tblCellMar>
          <w:left w:w="40" w:type="dxa"/>
          <w:right w:w="40" w:type="dxa"/>
        </w:tblCellMar>
        <w:tblLook w:val="0000" w:firstRow="0" w:lastRow="0" w:firstColumn="0" w:lastColumn="0" w:noHBand="0" w:noVBand="0"/>
      </w:tblPr>
      <w:tblGrid>
        <w:gridCol w:w="349"/>
        <w:gridCol w:w="1645"/>
        <w:gridCol w:w="5159"/>
        <w:gridCol w:w="1924"/>
      </w:tblGrid>
      <w:tr w:rsidR="003328F9" w:rsidRPr="00DD0D1F" w14:paraId="264FE740" w14:textId="77777777" w:rsidTr="003328F9">
        <w:trPr>
          <w:trHeight w:val="346"/>
        </w:trPr>
        <w:tc>
          <w:tcPr>
            <w:tcW w:w="192" w:type="pct"/>
            <w:tcBorders>
              <w:top w:val="single" w:sz="4" w:space="0" w:color="auto"/>
              <w:left w:val="single" w:sz="4" w:space="0" w:color="auto"/>
              <w:bottom w:val="single" w:sz="6" w:space="0" w:color="auto"/>
              <w:right w:val="single" w:sz="4" w:space="0" w:color="auto"/>
            </w:tcBorders>
            <w:vAlign w:val="center"/>
          </w:tcPr>
          <w:p w14:paraId="7BB1254A" w14:textId="77777777" w:rsidR="003328F9" w:rsidRPr="00DD0D1F" w:rsidRDefault="003328F9" w:rsidP="003328F9">
            <w:pPr>
              <w:adjustRightInd w:val="0"/>
              <w:spacing w:line="240" w:lineRule="auto"/>
              <w:ind w:right="74"/>
              <w:jc w:val="center"/>
              <w:rPr>
                <w:rFonts w:cs="Times New Roman"/>
                <w:b/>
                <w:szCs w:val="24"/>
                <w:lang w:val="tr-TR"/>
              </w:rPr>
            </w:pPr>
          </w:p>
        </w:tc>
        <w:tc>
          <w:tcPr>
            <w:tcW w:w="906" w:type="pct"/>
            <w:tcBorders>
              <w:top w:val="single" w:sz="4" w:space="0" w:color="auto"/>
              <w:left w:val="single" w:sz="4" w:space="0" w:color="auto"/>
              <w:bottom w:val="single" w:sz="6" w:space="0" w:color="auto"/>
              <w:right w:val="single" w:sz="6" w:space="0" w:color="auto"/>
            </w:tcBorders>
            <w:vAlign w:val="center"/>
          </w:tcPr>
          <w:p w14:paraId="55F08B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842" w:type="pct"/>
            <w:tcBorders>
              <w:top w:val="single" w:sz="4" w:space="0" w:color="auto"/>
              <w:left w:val="single" w:sz="6" w:space="0" w:color="auto"/>
              <w:bottom w:val="single" w:sz="6" w:space="0" w:color="auto"/>
              <w:right w:val="single" w:sz="6" w:space="0" w:color="auto"/>
            </w:tcBorders>
            <w:vAlign w:val="center"/>
          </w:tcPr>
          <w:p w14:paraId="0825BFC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060" w:type="pct"/>
            <w:tcBorders>
              <w:top w:val="single" w:sz="4" w:space="0" w:color="auto"/>
              <w:left w:val="single" w:sz="6" w:space="0" w:color="auto"/>
              <w:bottom w:val="single" w:sz="6" w:space="0" w:color="auto"/>
              <w:right w:val="single" w:sz="4" w:space="0" w:color="auto"/>
            </w:tcBorders>
            <w:vAlign w:val="center"/>
          </w:tcPr>
          <w:p w14:paraId="2B3B8AF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1289E1E3" w14:textId="77777777" w:rsidTr="003328F9">
        <w:trPr>
          <w:trHeight w:val="156"/>
        </w:trPr>
        <w:tc>
          <w:tcPr>
            <w:tcW w:w="192" w:type="pct"/>
            <w:tcBorders>
              <w:top w:val="single" w:sz="6" w:space="0" w:color="auto"/>
              <w:left w:val="single" w:sz="4" w:space="0" w:color="auto"/>
              <w:bottom w:val="single" w:sz="6" w:space="0" w:color="auto"/>
              <w:right w:val="single" w:sz="4" w:space="0" w:color="auto"/>
            </w:tcBorders>
            <w:vAlign w:val="center"/>
          </w:tcPr>
          <w:p w14:paraId="626745D5" w14:textId="77777777" w:rsidR="003328F9" w:rsidRPr="00DD0D1F" w:rsidRDefault="003328F9" w:rsidP="003328F9">
            <w:pPr>
              <w:adjustRightInd w:val="0"/>
              <w:spacing w:line="240" w:lineRule="auto"/>
              <w:ind w:left="74" w:right="74"/>
              <w:rPr>
                <w:rFonts w:cs="Times New Roman"/>
                <w:szCs w:val="24"/>
                <w:lang w:val="tr-TR"/>
              </w:rPr>
            </w:pPr>
            <w:bookmarkStart w:id="172" w:name="_Hlk137398770"/>
            <w:r w:rsidRPr="00DD0D1F">
              <w:rPr>
                <w:rFonts w:cs="Times New Roman"/>
                <w:szCs w:val="24"/>
                <w:lang w:val="tr-TR"/>
              </w:rPr>
              <w:t>a</w:t>
            </w:r>
          </w:p>
        </w:tc>
        <w:tc>
          <w:tcPr>
            <w:tcW w:w="906" w:type="pct"/>
            <w:tcBorders>
              <w:top w:val="single" w:sz="6" w:space="0" w:color="auto"/>
              <w:left w:val="single" w:sz="4" w:space="0" w:color="auto"/>
              <w:bottom w:val="single" w:sz="6" w:space="0" w:color="auto"/>
              <w:right w:val="single" w:sz="6" w:space="0" w:color="auto"/>
            </w:tcBorders>
            <w:vAlign w:val="center"/>
          </w:tcPr>
          <w:p w14:paraId="2EEEF6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 filtrasyonu</w:t>
            </w:r>
          </w:p>
        </w:tc>
        <w:tc>
          <w:tcPr>
            <w:tcW w:w="2842" w:type="pct"/>
            <w:tcBorders>
              <w:top w:val="single" w:sz="6" w:space="0" w:color="auto"/>
              <w:left w:val="single" w:sz="6" w:space="0" w:color="auto"/>
              <w:bottom w:val="single" w:sz="6" w:space="0" w:color="auto"/>
              <w:right w:val="single" w:sz="6" w:space="0" w:color="auto"/>
            </w:tcBorders>
            <w:vAlign w:val="center"/>
          </w:tcPr>
          <w:p w14:paraId="2070FC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Uçucu kül ve dönüştürülmemiş karbonu gidermek için uçucu kül siklonları, torba filtreler, ESP'ler ve/veya mum filtreleri kullanılarak toz giderme. Torba filtreler ve ESP'ler, 400 °C'ye kadar sentez gazı sıcaklıklarında kullanılır.</w:t>
            </w:r>
          </w:p>
        </w:tc>
        <w:tc>
          <w:tcPr>
            <w:tcW w:w="1060" w:type="pct"/>
            <w:vMerge w:val="restart"/>
            <w:tcBorders>
              <w:top w:val="single" w:sz="6" w:space="0" w:color="auto"/>
              <w:left w:val="single" w:sz="6" w:space="0" w:color="auto"/>
              <w:right w:val="single" w:sz="4" w:space="0" w:color="auto"/>
            </w:tcBorders>
            <w:vAlign w:val="center"/>
          </w:tcPr>
          <w:p w14:paraId="298FF3D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480BADC" w14:textId="77777777" w:rsidTr="003328F9">
        <w:trPr>
          <w:trHeight w:val="151"/>
        </w:trPr>
        <w:tc>
          <w:tcPr>
            <w:tcW w:w="192" w:type="pct"/>
            <w:tcBorders>
              <w:top w:val="single" w:sz="6" w:space="0" w:color="auto"/>
              <w:left w:val="single" w:sz="4" w:space="0" w:color="auto"/>
              <w:bottom w:val="single" w:sz="6" w:space="0" w:color="auto"/>
              <w:right w:val="single" w:sz="6" w:space="0" w:color="auto"/>
            </w:tcBorders>
            <w:vAlign w:val="center"/>
          </w:tcPr>
          <w:p w14:paraId="4EAB7B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906" w:type="pct"/>
            <w:tcBorders>
              <w:top w:val="single" w:sz="6" w:space="0" w:color="auto"/>
              <w:left w:val="single" w:sz="6" w:space="0" w:color="auto"/>
              <w:bottom w:val="single" w:sz="6" w:space="0" w:color="auto"/>
              <w:right w:val="single" w:sz="6" w:space="0" w:color="auto"/>
            </w:tcBorders>
            <w:vAlign w:val="center"/>
          </w:tcPr>
          <w:p w14:paraId="239DC8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Gaza dönüştürücüye sentez gazı katranı ve kül devridaimi</w:t>
            </w:r>
          </w:p>
        </w:tc>
        <w:tc>
          <w:tcPr>
            <w:tcW w:w="2842" w:type="pct"/>
            <w:tcBorders>
              <w:top w:val="single" w:sz="6" w:space="0" w:color="auto"/>
              <w:left w:val="single" w:sz="6" w:space="0" w:color="auto"/>
              <w:bottom w:val="single" w:sz="6" w:space="0" w:color="auto"/>
              <w:right w:val="single" w:sz="6" w:space="0" w:color="auto"/>
            </w:tcBorders>
            <w:vAlign w:val="center"/>
          </w:tcPr>
          <w:p w14:paraId="772636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Ham sentez gazında üretilen yüksek karbon içerikli katran ve küller, siklonlarda ayrılır ve gaza dönüştürücünün çıkış ağzında düşük sentez gazı sıcaklığı olursa gaza dönüştürücüye devirdaim olur (&lt;1100 °C)</w:t>
            </w:r>
          </w:p>
        </w:tc>
        <w:tc>
          <w:tcPr>
            <w:tcW w:w="1060" w:type="pct"/>
            <w:vMerge/>
            <w:tcBorders>
              <w:left w:val="single" w:sz="6" w:space="0" w:color="auto"/>
              <w:right w:val="single" w:sz="4" w:space="0" w:color="auto"/>
            </w:tcBorders>
            <w:vAlign w:val="center"/>
          </w:tcPr>
          <w:p w14:paraId="0FF77CF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4DAF50A" w14:textId="77777777" w:rsidTr="003328F9">
        <w:trPr>
          <w:trHeight w:val="59"/>
        </w:trPr>
        <w:tc>
          <w:tcPr>
            <w:tcW w:w="192" w:type="pct"/>
            <w:tcBorders>
              <w:top w:val="single" w:sz="6" w:space="0" w:color="auto"/>
              <w:left w:val="single" w:sz="4" w:space="0" w:color="auto"/>
              <w:bottom w:val="single" w:sz="4" w:space="0" w:color="auto"/>
              <w:right w:val="single" w:sz="6" w:space="0" w:color="auto"/>
            </w:tcBorders>
            <w:vAlign w:val="center"/>
          </w:tcPr>
          <w:p w14:paraId="798D62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906" w:type="pct"/>
            <w:tcBorders>
              <w:top w:val="single" w:sz="6" w:space="0" w:color="auto"/>
              <w:left w:val="single" w:sz="6" w:space="0" w:color="auto"/>
              <w:bottom w:val="single" w:sz="4" w:space="0" w:color="auto"/>
              <w:right w:val="single" w:sz="6" w:space="0" w:color="auto"/>
            </w:tcBorders>
            <w:vAlign w:val="center"/>
          </w:tcPr>
          <w:p w14:paraId="3FFCA4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 yıkama</w:t>
            </w:r>
          </w:p>
        </w:tc>
        <w:tc>
          <w:tcPr>
            <w:tcW w:w="2842" w:type="pct"/>
            <w:tcBorders>
              <w:top w:val="single" w:sz="6" w:space="0" w:color="auto"/>
              <w:left w:val="single" w:sz="6" w:space="0" w:color="auto"/>
              <w:bottom w:val="single" w:sz="4" w:space="0" w:color="auto"/>
              <w:right w:val="single" w:sz="6" w:space="0" w:color="auto"/>
            </w:tcBorders>
            <w:vAlign w:val="center"/>
          </w:tcPr>
          <w:p w14:paraId="5A3528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 klorürler, amonyak, parçacıklar ve halojenürlerin ayrıldığı diğer toz giderme teknik/tekniklerinin çıkışında bir sulu yıkayıcıdan geçer.</w:t>
            </w:r>
          </w:p>
        </w:tc>
        <w:tc>
          <w:tcPr>
            <w:tcW w:w="1060" w:type="pct"/>
            <w:vMerge/>
            <w:tcBorders>
              <w:left w:val="single" w:sz="6" w:space="0" w:color="auto"/>
              <w:bottom w:val="single" w:sz="4" w:space="0" w:color="auto"/>
              <w:right w:val="single" w:sz="4" w:space="0" w:color="auto"/>
            </w:tcBorders>
            <w:vAlign w:val="center"/>
          </w:tcPr>
          <w:p w14:paraId="4459D205" w14:textId="77777777" w:rsidR="003328F9" w:rsidRPr="00DD0D1F" w:rsidRDefault="003328F9" w:rsidP="003328F9">
            <w:pPr>
              <w:adjustRightInd w:val="0"/>
              <w:spacing w:line="240" w:lineRule="auto"/>
              <w:ind w:left="74" w:right="74"/>
              <w:rPr>
                <w:rFonts w:cs="Times New Roman"/>
                <w:szCs w:val="24"/>
                <w:lang w:val="tr-TR"/>
              </w:rPr>
            </w:pPr>
          </w:p>
        </w:tc>
      </w:tr>
    </w:tbl>
    <w:bookmarkEnd w:id="172"/>
    <w:p w14:paraId="1EF757B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IGCC tesislerinden kaynaklanan toz ve partiküle bağlı metallerin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747"/>
        <w:gridCol w:w="3388"/>
        <w:gridCol w:w="2226"/>
        <w:gridCol w:w="1716"/>
      </w:tblGrid>
      <w:tr w:rsidR="003328F9" w:rsidRPr="00DD0D1F" w14:paraId="7363F075" w14:textId="77777777" w:rsidTr="003328F9">
        <w:trPr>
          <w:trHeight w:val="353"/>
          <w:tblHeader/>
        </w:trPr>
        <w:tc>
          <w:tcPr>
            <w:tcW w:w="963" w:type="pct"/>
            <w:vMerge w:val="restart"/>
            <w:tcBorders>
              <w:top w:val="single" w:sz="4" w:space="0" w:color="auto"/>
              <w:left w:val="single" w:sz="4" w:space="0" w:color="auto"/>
              <w:right w:val="single" w:sz="6" w:space="0" w:color="auto"/>
            </w:tcBorders>
            <w:vAlign w:val="center"/>
          </w:tcPr>
          <w:p w14:paraId="11EC4A6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IGCC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037" w:type="pct"/>
            <w:gridSpan w:val="3"/>
            <w:tcBorders>
              <w:top w:val="single" w:sz="4" w:space="0" w:color="auto"/>
              <w:left w:val="single" w:sz="6" w:space="0" w:color="auto"/>
              <w:bottom w:val="single" w:sz="6" w:space="0" w:color="auto"/>
              <w:right w:val="single" w:sz="4" w:space="0" w:color="auto"/>
            </w:tcBorders>
            <w:vAlign w:val="center"/>
          </w:tcPr>
          <w:p w14:paraId="30EF9CE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r>
      <w:tr w:rsidR="003328F9" w:rsidRPr="00DD0D1F" w14:paraId="3832EC26" w14:textId="77777777" w:rsidTr="003328F9">
        <w:trPr>
          <w:trHeight w:val="712"/>
          <w:tblHeader/>
        </w:trPr>
        <w:tc>
          <w:tcPr>
            <w:tcW w:w="963" w:type="pct"/>
            <w:vMerge/>
            <w:tcBorders>
              <w:left w:val="single" w:sz="4" w:space="0" w:color="auto"/>
              <w:bottom w:val="single" w:sz="6" w:space="0" w:color="auto"/>
              <w:right w:val="single" w:sz="6" w:space="0" w:color="auto"/>
            </w:tcBorders>
            <w:vAlign w:val="center"/>
          </w:tcPr>
          <w:p w14:paraId="5C0CB9D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66" w:type="pct"/>
            <w:tcBorders>
              <w:top w:val="single" w:sz="6" w:space="0" w:color="auto"/>
              <w:left w:val="single" w:sz="6" w:space="0" w:color="auto"/>
              <w:bottom w:val="single" w:sz="6" w:space="0" w:color="auto"/>
              <w:right w:val="single" w:sz="6" w:space="0" w:color="auto"/>
            </w:tcBorders>
            <w:vAlign w:val="center"/>
          </w:tcPr>
          <w:p w14:paraId="6F41E7A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Sb + As + Pb + Cr + Co + Cu + Mn + Ni + V (mg/Nm</w:t>
            </w:r>
            <w:r w:rsidRPr="00DD0D1F">
              <w:rPr>
                <w:rFonts w:cs="Times New Roman"/>
                <w:b/>
                <w:szCs w:val="24"/>
                <w:vertAlign w:val="superscript"/>
                <w:lang w:val="tr-TR"/>
              </w:rPr>
              <w:t>3</w:t>
            </w:r>
            <w:r w:rsidRPr="00DD0D1F">
              <w:rPr>
                <w:rFonts w:cs="Times New Roman"/>
                <w:b/>
                <w:szCs w:val="24"/>
                <w:lang w:val="tr-TR"/>
              </w:rPr>
              <w:t>) (numune alma dönemindeki ortalama)</w:t>
            </w:r>
          </w:p>
        </w:tc>
        <w:tc>
          <w:tcPr>
            <w:tcW w:w="1226" w:type="pct"/>
            <w:tcBorders>
              <w:top w:val="single" w:sz="6" w:space="0" w:color="auto"/>
              <w:left w:val="single" w:sz="6" w:space="0" w:color="auto"/>
              <w:bottom w:val="single" w:sz="6" w:space="0" w:color="auto"/>
              <w:right w:val="single" w:sz="6" w:space="0" w:color="auto"/>
            </w:tcBorders>
            <w:vAlign w:val="center"/>
          </w:tcPr>
          <w:p w14:paraId="4E60281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Hg (ug/Nm</w:t>
            </w:r>
            <w:r w:rsidRPr="00DD0D1F">
              <w:rPr>
                <w:rFonts w:cs="Times New Roman"/>
                <w:b/>
                <w:szCs w:val="24"/>
                <w:vertAlign w:val="superscript"/>
                <w:lang w:val="tr-TR"/>
              </w:rPr>
              <w:t>3</w:t>
            </w:r>
            <w:r w:rsidRPr="00DD0D1F">
              <w:rPr>
                <w:rFonts w:cs="Times New Roman"/>
                <w:b/>
                <w:szCs w:val="24"/>
                <w:lang w:val="tr-TR"/>
              </w:rPr>
              <w:t>) (Numune alma dönemindeki ortalama)</w:t>
            </w:r>
          </w:p>
        </w:tc>
        <w:tc>
          <w:tcPr>
            <w:tcW w:w="945" w:type="pct"/>
            <w:tcBorders>
              <w:top w:val="single" w:sz="6" w:space="0" w:color="auto"/>
              <w:left w:val="single" w:sz="6" w:space="0" w:color="auto"/>
              <w:bottom w:val="single" w:sz="6" w:space="0" w:color="auto"/>
              <w:right w:val="single" w:sz="4" w:space="0" w:color="auto"/>
            </w:tcBorders>
            <w:vAlign w:val="center"/>
          </w:tcPr>
          <w:p w14:paraId="59EEC61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Toz (mg/Nm</w:t>
            </w:r>
            <w:r w:rsidRPr="00DD0D1F">
              <w:rPr>
                <w:rFonts w:cs="Times New Roman"/>
                <w:b/>
                <w:szCs w:val="24"/>
                <w:vertAlign w:val="superscript"/>
                <w:lang w:val="tr-TR"/>
              </w:rPr>
              <w:t>3</w:t>
            </w:r>
            <w:r w:rsidRPr="00DD0D1F">
              <w:rPr>
                <w:rFonts w:cs="Times New Roman"/>
                <w:b/>
                <w:szCs w:val="24"/>
                <w:lang w:val="tr-TR"/>
              </w:rPr>
              <w:t>) (yıllık ortalama)</w:t>
            </w:r>
          </w:p>
        </w:tc>
      </w:tr>
      <w:tr w:rsidR="003328F9" w:rsidRPr="00DD0D1F" w14:paraId="334E23F6" w14:textId="77777777" w:rsidTr="003328F9">
        <w:trPr>
          <w:trHeight w:val="45"/>
        </w:trPr>
        <w:tc>
          <w:tcPr>
            <w:tcW w:w="963" w:type="pct"/>
            <w:tcBorders>
              <w:top w:val="single" w:sz="6" w:space="0" w:color="auto"/>
              <w:left w:val="single" w:sz="4" w:space="0" w:color="auto"/>
              <w:bottom w:val="single" w:sz="6" w:space="0" w:color="auto"/>
              <w:right w:val="single" w:sz="6" w:space="0" w:color="auto"/>
            </w:tcBorders>
          </w:tcPr>
          <w:p w14:paraId="149A4EB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866" w:type="pct"/>
            <w:tcBorders>
              <w:top w:val="single" w:sz="6" w:space="0" w:color="auto"/>
              <w:left w:val="single" w:sz="6" w:space="0" w:color="auto"/>
              <w:bottom w:val="single" w:sz="6" w:space="0" w:color="auto"/>
              <w:right w:val="single" w:sz="6" w:space="0" w:color="auto"/>
            </w:tcBorders>
          </w:tcPr>
          <w:p w14:paraId="7EC98A7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&lt;0,025</w:t>
            </w:r>
          </w:p>
        </w:tc>
        <w:tc>
          <w:tcPr>
            <w:tcW w:w="1226" w:type="pct"/>
            <w:tcBorders>
              <w:top w:val="single" w:sz="6" w:space="0" w:color="auto"/>
              <w:left w:val="single" w:sz="6" w:space="0" w:color="auto"/>
              <w:bottom w:val="single" w:sz="6" w:space="0" w:color="auto"/>
              <w:right w:val="single" w:sz="6" w:space="0" w:color="auto"/>
            </w:tcBorders>
          </w:tcPr>
          <w:p w14:paraId="14D1802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945" w:type="pct"/>
            <w:tcBorders>
              <w:top w:val="single" w:sz="6" w:space="0" w:color="auto"/>
              <w:left w:val="single" w:sz="6" w:space="0" w:color="auto"/>
              <w:bottom w:val="single" w:sz="6" w:space="0" w:color="auto"/>
              <w:right w:val="single" w:sz="4" w:space="0" w:color="auto"/>
            </w:tcBorders>
          </w:tcPr>
          <w:p w14:paraId="442DFCF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&lt;2,5</w:t>
            </w:r>
          </w:p>
        </w:tc>
      </w:tr>
    </w:tbl>
    <w:p w14:paraId="57C66FDA" w14:textId="77777777" w:rsidR="003328F9" w:rsidRPr="00DD0D1F" w:rsidRDefault="003328F9" w:rsidP="005A4911">
      <w:pPr>
        <w:pStyle w:val="Normaltext"/>
        <w:rPr>
          <w:rFonts w:cs="Times New Roman"/>
          <w:szCs w:val="24"/>
        </w:rPr>
      </w:pPr>
      <w:bookmarkStart w:id="173" w:name="_Toc137367353"/>
    </w:p>
    <w:p w14:paraId="72BDF614" w14:textId="77777777" w:rsidR="003328F9" w:rsidRPr="00DD0D1F" w:rsidRDefault="003328F9" w:rsidP="00FF111D">
      <w:pPr>
        <w:pStyle w:val="Balk1"/>
        <w:numPr>
          <w:ilvl w:val="0"/>
          <w:numId w:val="75"/>
        </w:numPr>
        <w:spacing w:before="240"/>
        <w:rPr>
          <w:rFonts w:cs="Times New Roman"/>
          <w:szCs w:val="24"/>
        </w:rPr>
      </w:pPr>
      <w:r w:rsidRPr="00DD0D1F">
        <w:rPr>
          <w:rFonts w:cs="Times New Roman"/>
          <w:szCs w:val="24"/>
        </w:rPr>
        <w:t>BÜYÜK YAKMA TESİSLERİ SEKTÖRÜNE YÖNELİK TEKNİKLERİN AÇIKLAMALARI</w:t>
      </w:r>
      <w:bookmarkEnd w:id="173"/>
    </w:p>
    <w:p w14:paraId="7C964F14" w14:textId="77777777" w:rsidR="003328F9" w:rsidRPr="00DD0D1F" w:rsidRDefault="003328F9" w:rsidP="00FF111D">
      <w:pPr>
        <w:pStyle w:val="Balk2"/>
        <w:numPr>
          <w:ilvl w:val="1"/>
          <w:numId w:val="75"/>
        </w:numPr>
        <w:rPr>
          <w:rFonts w:cs="Times New Roman"/>
          <w:szCs w:val="24"/>
        </w:rPr>
      </w:pPr>
      <w:bookmarkStart w:id="174" w:name="_Toc137367354"/>
      <w:r w:rsidRPr="00DD0D1F">
        <w:rPr>
          <w:rFonts w:cs="Times New Roman"/>
          <w:szCs w:val="24"/>
        </w:rPr>
        <w:t>Genel Teknikler</w:t>
      </w:r>
      <w:bookmarkEnd w:id="174"/>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1"/>
        <w:gridCol w:w="6316"/>
      </w:tblGrid>
      <w:tr w:rsidR="003328F9" w:rsidRPr="00DD0D1F" w14:paraId="5D17F1C6" w14:textId="77777777" w:rsidTr="003328F9">
        <w:trPr>
          <w:trHeight w:val="230"/>
        </w:trPr>
        <w:tc>
          <w:tcPr>
            <w:tcW w:w="1521" w:type="pct"/>
          </w:tcPr>
          <w:p w14:paraId="2D64AF2C" w14:textId="77777777" w:rsidR="003328F9" w:rsidRPr="00DD0D1F" w:rsidRDefault="003328F9" w:rsidP="003328F9">
            <w:pPr>
              <w:pStyle w:val="TableParagraph"/>
              <w:ind w:left="74" w:right="74"/>
              <w:jc w:val="center"/>
              <w:rPr>
                <w:b/>
                <w:szCs w:val="24"/>
              </w:rPr>
            </w:pPr>
            <w:r w:rsidRPr="00DD0D1F">
              <w:rPr>
                <w:b/>
                <w:szCs w:val="24"/>
              </w:rPr>
              <w:t>Teknik</w:t>
            </w:r>
          </w:p>
        </w:tc>
        <w:tc>
          <w:tcPr>
            <w:tcW w:w="3479" w:type="pct"/>
          </w:tcPr>
          <w:p w14:paraId="0AA0FD09" w14:textId="77777777" w:rsidR="003328F9" w:rsidRPr="00DD0D1F" w:rsidRDefault="003328F9" w:rsidP="003328F9">
            <w:pPr>
              <w:pStyle w:val="TableParagraph"/>
              <w:ind w:left="74" w:right="74"/>
              <w:jc w:val="center"/>
              <w:rPr>
                <w:b/>
                <w:szCs w:val="24"/>
              </w:rPr>
            </w:pPr>
            <w:r w:rsidRPr="00DD0D1F">
              <w:rPr>
                <w:b/>
                <w:szCs w:val="24"/>
              </w:rPr>
              <w:t>Açıklama</w:t>
            </w:r>
          </w:p>
        </w:tc>
      </w:tr>
      <w:tr w:rsidR="003328F9" w:rsidRPr="00DD0D1F" w14:paraId="3142A596" w14:textId="77777777" w:rsidTr="003328F9">
        <w:trPr>
          <w:trHeight w:val="690"/>
        </w:trPr>
        <w:tc>
          <w:tcPr>
            <w:tcW w:w="1521" w:type="pct"/>
            <w:vAlign w:val="center"/>
          </w:tcPr>
          <w:p w14:paraId="7AA318E9"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Gelişmiş kontrol sistemi</w:t>
            </w:r>
          </w:p>
        </w:tc>
        <w:tc>
          <w:tcPr>
            <w:tcW w:w="3479" w:type="pct"/>
            <w:vAlign w:val="center"/>
          </w:tcPr>
          <w:p w14:paraId="5DFF96A2"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Yanma verimliliğini kontrol etmek ve emisyonların önlenmesi ve/veya azaltılmasını desteklemek üzere bilgisayar tabanlı bir otomatik bir sistemin kullanılması. Bu sisteme yüksek performans izleme de dahildir.</w:t>
            </w:r>
          </w:p>
        </w:tc>
      </w:tr>
      <w:tr w:rsidR="003328F9" w:rsidRPr="00DD0D1F" w14:paraId="1FC46FB7" w14:textId="77777777" w:rsidTr="003328F9">
        <w:trPr>
          <w:trHeight w:val="1379"/>
        </w:trPr>
        <w:tc>
          <w:tcPr>
            <w:tcW w:w="1521" w:type="pct"/>
            <w:vAlign w:val="center"/>
          </w:tcPr>
          <w:p w14:paraId="64D73213"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Yakma optimizasyonu</w:t>
            </w:r>
          </w:p>
        </w:tc>
        <w:tc>
          <w:tcPr>
            <w:tcW w:w="3479" w:type="pct"/>
            <w:vAlign w:val="center"/>
          </w:tcPr>
          <w:p w14:paraId="2EA8E0CA"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(Başta CO emisyonları olmak üzere) emisyonları en aza indirirken enerji dönüşüm verimliliğini arttırmak için (örneğin, fırında/kazanda) alınan tedbirler. Yakma ekipmanının iyi tasarlanması, sıcaklık ve yanma bölgesinde kalma süresinin optimizasyonu (ör. yakıt ve yanma havasının etkili bir şekilde karışması) ve gelişmiş kontrol sisteminin kullanılması gibi tekniklerin birlikte kullanımı ile elde edilebilir.</w:t>
            </w:r>
          </w:p>
        </w:tc>
      </w:tr>
    </w:tbl>
    <w:p w14:paraId="4DFE7A26" w14:textId="77777777" w:rsidR="003328F9" w:rsidRPr="00DD0D1F" w:rsidRDefault="003328F9" w:rsidP="00FF111D">
      <w:pPr>
        <w:pStyle w:val="Balk2"/>
        <w:numPr>
          <w:ilvl w:val="1"/>
          <w:numId w:val="75"/>
        </w:numPr>
        <w:rPr>
          <w:rFonts w:cs="Times New Roman"/>
          <w:szCs w:val="24"/>
        </w:rPr>
      </w:pPr>
      <w:bookmarkStart w:id="175" w:name="_Toc137367355"/>
      <w:r w:rsidRPr="00DD0D1F">
        <w:rPr>
          <w:rFonts w:cs="Times New Roman"/>
          <w:szCs w:val="24"/>
        </w:rPr>
        <w:t>Enerji Verimliliğini Arttırma Teknikleri</w:t>
      </w:r>
      <w:bookmarkEnd w:id="17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82"/>
        <w:gridCol w:w="7095"/>
      </w:tblGrid>
      <w:tr w:rsidR="003328F9" w:rsidRPr="00DD0D1F" w14:paraId="1E81F5DA" w14:textId="77777777" w:rsidTr="003328F9">
        <w:trPr>
          <w:trHeight w:val="51"/>
          <w:tblHeader/>
        </w:trPr>
        <w:tc>
          <w:tcPr>
            <w:tcW w:w="1092" w:type="pct"/>
            <w:vAlign w:val="center"/>
          </w:tcPr>
          <w:p w14:paraId="36A0E64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908" w:type="pct"/>
            <w:vAlign w:val="center"/>
          </w:tcPr>
          <w:p w14:paraId="55AE65B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24246127" w14:textId="77777777" w:rsidTr="003328F9">
        <w:trPr>
          <w:trHeight w:val="51"/>
        </w:trPr>
        <w:tc>
          <w:tcPr>
            <w:tcW w:w="1092" w:type="pct"/>
            <w:vAlign w:val="center"/>
          </w:tcPr>
          <w:p w14:paraId="7AC17F2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3908" w:type="pct"/>
            <w:vAlign w:val="center"/>
          </w:tcPr>
          <w:p w14:paraId="6C3764D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7430A63D" w14:textId="77777777" w:rsidTr="003328F9">
        <w:trPr>
          <w:trHeight w:val="1291"/>
        </w:trPr>
        <w:tc>
          <w:tcPr>
            <w:tcW w:w="1092" w:type="pct"/>
            <w:vAlign w:val="center"/>
          </w:tcPr>
          <w:p w14:paraId="22AFCEF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hazırlığı</w:t>
            </w:r>
          </w:p>
        </w:tc>
        <w:tc>
          <w:tcPr>
            <w:tcW w:w="3908" w:type="pct"/>
            <w:vAlign w:val="center"/>
          </w:tcPr>
          <w:p w14:paraId="4DA2A8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Faydalı miktarda ısının bölge dışındaki bir ısı yüküne, üretilen ısı ve gücün ayrı oluşmasına kıyasla birincil enerji kullanımında en az %10'luk bir azalma sağlanacak şekilde aktarılmasına imkan vermek için alınan tedbirler. Buna, buharın çekilebileceği buhar sistemindeki spesifik noktalara erişimin tespit edilip korunması, borular, ısı eşanjörleri, ekstra su demineralizasyon kapasitesi, yedek kazan tesisi ve geri basınç türbinleri gibi öğelerin daha sonra kurulmasına imkan vermek için yeteri kadar alan oluşturulması dahildir. Tesis Denge (TD) sistemleri ve kontrol/araç sistemleri iyileştirmeye uygundur. Geri basınç türbini/türbinlerinin daha sonradan bağlanması da mümkündür.</w:t>
            </w:r>
          </w:p>
        </w:tc>
      </w:tr>
      <w:tr w:rsidR="003328F9" w:rsidRPr="00DD0D1F" w14:paraId="1825D5E7" w14:textId="77777777" w:rsidTr="003328F9">
        <w:trPr>
          <w:trHeight w:val="411"/>
        </w:trPr>
        <w:tc>
          <w:tcPr>
            <w:tcW w:w="1092" w:type="pct"/>
            <w:vAlign w:val="center"/>
          </w:tcPr>
          <w:p w14:paraId="09665FD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Kombine çevrim</w:t>
            </w:r>
          </w:p>
        </w:tc>
        <w:tc>
          <w:tcPr>
            <w:tcW w:w="3908" w:type="pct"/>
            <w:vAlign w:val="center"/>
          </w:tcPr>
          <w:p w14:paraId="37782B67" w14:textId="39A3A24E"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Birinci çevrimin </w:t>
            </w:r>
            <w:r w:rsidR="00E00B0A" w:rsidRPr="00DD0D1F">
              <w:rPr>
                <w:rFonts w:cs="Times New Roman"/>
                <w:szCs w:val="24"/>
                <w:lang w:val="tr-TR"/>
              </w:rPr>
              <w:t>baca</w:t>
            </w:r>
            <w:r w:rsidRPr="00DD0D1F">
              <w:rPr>
                <w:rFonts w:cs="Times New Roman"/>
                <w:szCs w:val="24"/>
                <w:lang w:val="tr-TR"/>
              </w:rPr>
              <w:t xml:space="preserve"> gazından kaynaklanan ısı kaybını sonraki çevrim/çevrimler ile faydalı enerjiye dönüştürmek üzere bir Brayton çevrimi ile (gaz türbini/yanma motoru) Rankine çevrimi (buhar türbini/kazanı) gibi iki veya daha fazla termodinamik çevrimin birleştirilmesi.</w:t>
            </w:r>
          </w:p>
        </w:tc>
      </w:tr>
      <w:tr w:rsidR="003328F9" w:rsidRPr="00DD0D1F" w14:paraId="4ABB9336" w14:textId="77777777" w:rsidTr="003328F9">
        <w:trPr>
          <w:trHeight w:val="123"/>
        </w:trPr>
        <w:tc>
          <w:tcPr>
            <w:tcW w:w="1092" w:type="pct"/>
            <w:vAlign w:val="center"/>
          </w:tcPr>
          <w:p w14:paraId="7E8BBD5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3908" w:type="pct"/>
            <w:vAlign w:val="center"/>
          </w:tcPr>
          <w:p w14:paraId="51EB4B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4BAA70D9" w14:textId="77777777" w:rsidTr="003328F9">
        <w:trPr>
          <w:trHeight w:val="669"/>
        </w:trPr>
        <w:tc>
          <w:tcPr>
            <w:tcW w:w="1092" w:type="pct"/>
            <w:vAlign w:val="center"/>
          </w:tcPr>
          <w:p w14:paraId="190B5D2E" w14:textId="03C1F8B7"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3908" w:type="pct"/>
            <w:vAlign w:val="center"/>
          </w:tcPr>
          <w:p w14:paraId="64026A07" w14:textId="4F572A9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Buhar kondansatöründe ısıtılmadan önce, </w:t>
            </w:r>
            <w:r w:rsidR="00E00B0A" w:rsidRPr="00DD0D1F">
              <w:rPr>
                <w:rFonts w:cs="Times New Roman"/>
                <w:szCs w:val="24"/>
                <w:lang w:val="tr-TR"/>
              </w:rPr>
              <w:t>baca</w:t>
            </w:r>
            <w:r w:rsidRPr="00DD0D1F">
              <w:rPr>
                <w:rFonts w:cs="Times New Roman"/>
                <w:szCs w:val="24"/>
                <w:lang w:val="tr-TR"/>
              </w:rPr>
              <w:t xml:space="preserve"> gazıyla suyun ön ısıtıldığı, ısı eşanjörü. Dolayısıyla, </w:t>
            </w:r>
            <w:r w:rsidR="00E00B0A" w:rsidRPr="00DD0D1F">
              <w:rPr>
                <w:rFonts w:cs="Times New Roman"/>
                <w:szCs w:val="24"/>
                <w:lang w:val="tr-TR"/>
              </w:rPr>
              <w:t>baca</w:t>
            </w:r>
            <w:r w:rsidRPr="00DD0D1F">
              <w:rPr>
                <w:rFonts w:cs="Times New Roman"/>
                <w:szCs w:val="24"/>
                <w:lang w:val="tr-TR"/>
              </w:rPr>
              <w:t xml:space="preserve"> gazındaki buhar içeriği ısıtma suyuyla soğutulduğundan yoğunlaşır. </w:t>
            </w:r>
            <w:r w:rsidR="00E00B0A" w:rsidRPr="00DD0D1F">
              <w:rPr>
                <w:rFonts w:cs="Times New Roman"/>
                <w:szCs w:val="24"/>
                <w:lang w:val="tr-TR"/>
              </w:rPr>
              <w:t>Baca</w:t>
            </w:r>
            <w:r w:rsidRPr="00DD0D1F">
              <w:rPr>
                <w:rFonts w:cs="Times New Roman"/>
                <w:szCs w:val="24"/>
                <w:lang w:val="tr-TR"/>
              </w:rPr>
              <w:t xml:space="preserve"> gazı kondansatörü, hem yakma ünitesinin enerji verimliliğini arttırmak hem de toz, SO</w:t>
            </w:r>
            <w:r w:rsidRPr="00DD0D1F">
              <w:rPr>
                <w:rFonts w:cs="Times New Roman"/>
                <w:szCs w:val="24"/>
                <w:vertAlign w:val="subscript"/>
                <w:lang w:val="tr-TR"/>
              </w:rPr>
              <w:t>X</w:t>
            </w:r>
            <w:r w:rsidRPr="00DD0D1F">
              <w:rPr>
                <w:rFonts w:cs="Times New Roman"/>
                <w:szCs w:val="24"/>
                <w:lang w:val="tr-TR"/>
              </w:rPr>
              <w:t xml:space="preserve">, HCl ve HF gibi kirleticileri </w:t>
            </w:r>
            <w:r w:rsidR="00E00B0A" w:rsidRPr="00DD0D1F">
              <w:rPr>
                <w:rFonts w:cs="Times New Roman"/>
                <w:szCs w:val="24"/>
                <w:lang w:val="tr-TR"/>
              </w:rPr>
              <w:t>baca</w:t>
            </w:r>
            <w:r w:rsidRPr="00DD0D1F">
              <w:rPr>
                <w:rFonts w:cs="Times New Roman"/>
                <w:szCs w:val="24"/>
                <w:lang w:val="tr-TR"/>
              </w:rPr>
              <w:t xml:space="preserve"> gazından gidermek için kullanılır.</w:t>
            </w:r>
          </w:p>
        </w:tc>
      </w:tr>
      <w:tr w:rsidR="003328F9" w:rsidRPr="00DD0D1F" w14:paraId="07833C6E" w14:textId="77777777" w:rsidTr="003328F9">
        <w:trPr>
          <w:trHeight w:val="440"/>
        </w:trPr>
        <w:tc>
          <w:tcPr>
            <w:tcW w:w="1092" w:type="pct"/>
            <w:vAlign w:val="center"/>
          </w:tcPr>
          <w:p w14:paraId="64B81A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gazı yönetim sistemi</w:t>
            </w:r>
          </w:p>
        </w:tc>
        <w:tc>
          <w:tcPr>
            <w:tcW w:w="3908" w:type="pct"/>
            <w:vAlign w:val="center"/>
          </w:tcPr>
          <w:p w14:paraId="05E3997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olarak kullanılabilen demir ve çelik proses gazlarının (örneğin yüksek fırın, kok fırını, bazik oksijen fırın gazları), gazların mevcudiyetine göre ve entegre çelik fabrikasındaki yakma tesisi türüne göre yönlendirilmesini sağlayan sistemdir.</w:t>
            </w:r>
          </w:p>
        </w:tc>
      </w:tr>
      <w:tr w:rsidR="003328F9" w:rsidRPr="00DD0D1F" w14:paraId="2B59AB45" w14:textId="77777777" w:rsidTr="003328F9">
        <w:trPr>
          <w:trHeight w:val="410"/>
        </w:trPr>
        <w:tc>
          <w:tcPr>
            <w:tcW w:w="1092" w:type="pct"/>
            <w:vAlign w:val="center"/>
          </w:tcPr>
          <w:p w14:paraId="50B205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Süperkritik buhar koşulları</w:t>
            </w:r>
          </w:p>
        </w:tc>
        <w:tc>
          <w:tcPr>
            <w:tcW w:w="3908" w:type="pct"/>
            <w:vAlign w:val="center"/>
          </w:tcPr>
          <w:p w14:paraId="5886182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Buharın 220,6 bar üstündeki bir basınca ve &gt;540 °C'lik sıcaklığa ulaşabildiği, yeniden buhar ısıtma sistemlerini içeren bir buhar devresi kullanımı.</w:t>
            </w:r>
          </w:p>
        </w:tc>
      </w:tr>
      <w:tr w:rsidR="003328F9" w:rsidRPr="00DD0D1F" w14:paraId="3A08BE40" w14:textId="77777777" w:rsidTr="003328F9">
        <w:trPr>
          <w:trHeight w:val="305"/>
        </w:trPr>
        <w:tc>
          <w:tcPr>
            <w:tcW w:w="1092" w:type="pct"/>
            <w:vAlign w:val="center"/>
          </w:tcPr>
          <w:p w14:paraId="2A0C4F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Ultra-süperkritik buhar koşulları</w:t>
            </w:r>
          </w:p>
        </w:tc>
        <w:tc>
          <w:tcPr>
            <w:tcW w:w="3908" w:type="pct"/>
            <w:vAlign w:val="center"/>
          </w:tcPr>
          <w:p w14:paraId="355C89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Buharın 250-300 bar üstündeki bir basınca ve 580-600 °C'lik sıcaklığa ulaşabildiği, buharın, yeniden ısıtma sistemlerini içeren bir buhar devresi kullanımı.</w:t>
            </w:r>
          </w:p>
        </w:tc>
      </w:tr>
      <w:tr w:rsidR="003328F9" w:rsidRPr="00DD0D1F" w14:paraId="7C53C90B" w14:textId="77777777" w:rsidTr="003328F9">
        <w:trPr>
          <w:trHeight w:val="417"/>
        </w:trPr>
        <w:tc>
          <w:tcPr>
            <w:tcW w:w="1092" w:type="pct"/>
            <w:vAlign w:val="center"/>
          </w:tcPr>
          <w:p w14:paraId="7C776AB9" w14:textId="2C330218"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p>
        </w:tc>
        <w:tc>
          <w:tcPr>
            <w:tcW w:w="3908" w:type="pct"/>
            <w:vAlign w:val="center"/>
          </w:tcPr>
          <w:p w14:paraId="0C46345F" w14:textId="6A441736"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Doymuş </w:t>
            </w:r>
            <w:r w:rsidR="00E00B0A" w:rsidRPr="00DD0D1F">
              <w:rPr>
                <w:rFonts w:cs="Times New Roman"/>
                <w:szCs w:val="24"/>
                <w:lang w:val="tr-TR"/>
              </w:rPr>
              <w:t>baca</w:t>
            </w:r>
            <w:r w:rsidRPr="00DD0D1F">
              <w:rPr>
                <w:rFonts w:cs="Times New Roman"/>
                <w:szCs w:val="24"/>
                <w:lang w:val="tr-TR"/>
              </w:rPr>
              <w:t xml:space="preserve"> gazındaki, su buharının yoğunlaşmasını sağlamak için ve yaş FGD sonrasında </w:t>
            </w:r>
            <w:r w:rsidR="00E00B0A" w:rsidRPr="00DD0D1F">
              <w:rPr>
                <w:rFonts w:cs="Times New Roman"/>
                <w:szCs w:val="24"/>
                <w:lang w:val="tr-TR"/>
              </w:rPr>
              <w:t>baca</w:t>
            </w:r>
            <w:r w:rsidRPr="00DD0D1F">
              <w:rPr>
                <w:rFonts w:cs="Times New Roman"/>
                <w:szCs w:val="24"/>
                <w:lang w:val="tr-TR"/>
              </w:rPr>
              <w:t xml:space="preserve"> gazı ara ısıtıcı kullanımından kaçınmak için </w:t>
            </w:r>
            <w:r w:rsidR="00E00B0A" w:rsidRPr="00DD0D1F">
              <w:rPr>
                <w:rFonts w:cs="Times New Roman"/>
                <w:szCs w:val="24"/>
                <w:lang w:val="tr-TR"/>
              </w:rPr>
              <w:t>baca</w:t>
            </w:r>
            <w:r w:rsidRPr="00DD0D1F">
              <w:rPr>
                <w:rFonts w:cs="Times New Roman"/>
                <w:szCs w:val="24"/>
                <w:lang w:val="tr-TR"/>
              </w:rPr>
              <w:t xml:space="preserve"> tasarımı.</w:t>
            </w:r>
          </w:p>
        </w:tc>
      </w:tr>
    </w:tbl>
    <w:p w14:paraId="3554B577" w14:textId="77777777" w:rsidR="003328F9" w:rsidRPr="00DD0D1F" w:rsidRDefault="003328F9" w:rsidP="00FF111D">
      <w:pPr>
        <w:pStyle w:val="Balk2"/>
        <w:numPr>
          <w:ilvl w:val="1"/>
          <w:numId w:val="75"/>
        </w:numPr>
        <w:rPr>
          <w:rFonts w:cs="Times New Roman"/>
          <w:szCs w:val="24"/>
          <w:lang w:val="tr-TR"/>
        </w:rPr>
      </w:pPr>
      <w:bookmarkStart w:id="176" w:name="_Toc137367356"/>
      <w:r w:rsidRPr="00DD0D1F">
        <w:rPr>
          <w:rFonts w:cs="Times New Roman"/>
          <w:szCs w:val="24"/>
          <w:lang w:val="tr-TR"/>
        </w:rPr>
        <w:t>Havaya NO</w:t>
      </w:r>
      <w:r w:rsidRPr="00DD0D1F">
        <w:rPr>
          <w:rFonts w:cs="Times New Roman"/>
          <w:szCs w:val="24"/>
          <w:vertAlign w:val="subscript"/>
          <w:lang w:val="tr-TR"/>
        </w:rPr>
        <w:t>X</w:t>
      </w:r>
      <w:r w:rsidRPr="00DD0D1F">
        <w:rPr>
          <w:rFonts w:cs="Times New Roman"/>
          <w:szCs w:val="24"/>
          <w:lang w:val="tr-TR"/>
        </w:rPr>
        <w:t xml:space="preserve"> ve/veya CO Emisyonlarını Azaltma Teknikleri</w:t>
      </w:r>
      <w:bookmarkEnd w:id="176"/>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847"/>
        <w:gridCol w:w="6230"/>
      </w:tblGrid>
      <w:tr w:rsidR="003328F9" w:rsidRPr="00DD0D1F" w14:paraId="49745760" w14:textId="77777777" w:rsidTr="003328F9">
        <w:trPr>
          <w:trHeight w:val="51"/>
          <w:tblHeader/>
        </w:trPr>
        <w:tc>
          <w:tcPr>
            <w:tcW w:w="1568" w:type="pct"/>
            <w:vAlign w:val="center"/>
          </w:tcPr>
          <w:p w14:paraId="0DC2637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432" w:type="pct"/>
            <w:vAlign w:val="center"/>
          </w:tcPr>
          <w:p w14:paraId="756F49E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0E116F48" w14:textId="77777777" w:rsidTr="003328F9">
        <w:trPr>
          <w:trHeight w:val="174"/>
        </w:trPr>
        <w:tc>
          <w:tcPr>
            <w:tcW w:w="1568" w:type="pct"/>
            <w:vAlign w:val="center"/>
          </w:tcPr>
          <w:p w14:paraId="0F48D9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3432" w:type="pct"/>
            <w:vAlign w:val="center"/>
          </w:tcPr>
          <w:p w14:paraId="78DE95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01DA4E83" w14:textId="77777777" w:rsidTr="003328F9">
        <w:trPr>
          <w:trHeight w:val="546"/>
        </w:trPr>
        <w:tc>
          <w:tcPr>
            <w:tcW w:w="1568" w:type="pct"/>
            <w:vAlign w:val="center"/>
          </w:tcPr>
          <w:p w14:paraId="4DE6D05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3432" w:type="pct"/>
            <w:vAlign w:val="center"/>
          </w:tcPr>
          <w:p w14:paraId="2AD3290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X</w:t>
            </w:r>
            <w:r w:rsidRPr="00DD0D1F">
              <w:rPr>
                <w:rFonts w:cs="Times New Roman"/>
                <w:szCs w:val="24"/>
                <w:lang w:val="tr-TR"/>
              </w:rPr>
              <w:t xml:space="preserve"> emisyonlarını azaltmak ve ideal yanmayı sağlamak için farklı oksijen içerikli yanma odasında birçok yanma bölgesinin oluşturulması. Bu teknik, yanmayı iyileştirmek için substoikiyometrik ateşlemeli (hava eksikliği ile) birincil yanma bölgesi ve (fazla hava ile çalışan) ikincil yeniden yanma bölgesini içerir. Bazı eski, küçük kazanlarda, kademeli hava geçişi için alan sağlanması amacıyla kapasite azaltılması gerekebilir.</w:t>
            </w:r>
          </w:p>
        </w:tc>
      </w:tr>
      <w:tr w:rsidR="003328F9" w:rsidRPr="00DD0D1F" w14:paraId="4BC51E5C" w14:textId="77777777" w:rsidTr="003328F9">
        <w:trPr>
          <w:trHeight w:val="513"/>
        </w:trPr>
        <w:tc>
          <w:tcPr>
            <w:tcW w:w="1568" w:type="pct"/>
            <w:vAlign w:val="center"/>
          </w:tcPr>
          <w:p w14:paraId="2F029D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 xml:space="preserve"> azaltımı için birleşik teknikler</w:t>
            </w:r>
          </w:p>
        </w:tc>
        <w:tc>
          <w:tcPr>
            <w:tcW w:w="3432" w:type="pct"/>
            <w:vAlign w:val="center"/>
          </w:tcPr>
          <w:p w14:paraId="1272737C" w14:textId="6F074719"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NOx, SOx ve </w:t>
            </w:r>
            <w:r w:rsidR="00E00B0A" w:rsidRPr="00DD0D1F">
              <w:rPr>
                <w:rFonts w:cs="Times New Roman"/>
                <w:szCs w:val="24"/>
                <w:lang w:val="tr-TR"/>
              </w:rPr>
              <w:t>baca</w:t>
            </w:r>
            <w:r w:rsidRPr="00DD0D1F">
              <w:rPr>
                <w:rFonts w:cs="Times New Roman"/>
                <w:szCs w:val="24"/>
                <w:lang w:val="tr-TR"/>
              </w:rPr>
              <w:t xml:space="preserve"> gazında bulunana aktif karbon gibi diğer kirleticilerin azaltılması için kompleks entegre azaltım tekniklerinin ve DeSONOx prosesinin kullanımı. Bu teknikler, kömürle çalışan PC kazanlarında tek başlarına veya diğer birincil tekniklerle beraber uygulanabilir.</w:t>
            </w:r>
          </w:p>
        </w:tc>
      </w:tr>
      <w:tr w:rsidR="003328F9" w:rsidRPr="00DD0D1F" w14:paraId="659F415D" w14:textId="77777777" w:rsidTr="003328F9">
        <w:trPr>
          <w:trHeight w:val="51"/>
        </w:trPr>
        <w:tc>
          <w:tcPr>
            <w:tcW w:w="1568" w:type="pct"/>
            <w:vAlign w:val="center"/>
          </w:tcPr>
          <w:p w14:paraId="642A7F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3432" w:type="pct"/>
            <w:vAlign w:val="center"/>
          </w:tcPr>
          <w:p w14:paraId="4D7391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39590AEA" w14:textId="77777777" w:rsidTr="003328F9">
        <w:trPr>
          <w:trHeight w:val="453"/>
        </w:trPr>
        <w:tc>
          <w:tcPr>
            <w:tcW w:w="1568" w:type="pct"/>
            <w:vAlign w:val="center"/>
          </w:tcPr>
          <w:p w14:paraId="299B78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brülörler (DLN)</w:t>
            </w:r>
          </w:p>
        </w:tc>
        <w:tc>
          <w:tcPr>
            <w:tcW w:w="3432" w:type="pct"/>
            <w:vAlign w:val="center"/>
          </w:tcPr>
          <w:p w14:paraId="4C5D7B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bölgesine girmeden önce hava ve yakıtın karıştığı, gaz türbini brülörleridir. Yanma öncesi hava ve yakıtı karıştırarak, homojen bir sıcaklık dağılımı ve düşük alev sıcaklığı sağlanır, bu da daha düşük NO</w:t>
            </w:r>
            <w:r w:rsidRPr="00DD0D1F">
              <w:rPr>
                <w:rFonts w:cs="Times New Roman"/>
                <w:szCs w:val="24"/>
                <w:vertAlign w:val="subscript"/>
                <w:lang w:val="tr-TR"/>
              </w:rPr>
              <w:t>X</w:t>
            </w:r>
            <w:r w:rsidRPr="00DD0D1F">
              <w:rPr>
                <w:rFonts w:cs="Times New Roman"/>
                <w:szCs w:val="24"/>
                <w:lang w:val="tr-TR"/>
              </w:rPr>
              <w:t xml:space="preserve"> emisyonları oluşturur.</w:t>
            </w:r>
          </w:p>
        </w:tc>
      </w:tr>
      <w:tr w:rsidR="003328F9" w:rsidRPr="00DD0D1F" w14:paraId="0FD09F3D" w14:textId="77777777" w:rsidTr="003328F9">
        <w:trPr>
          <w:trHeight w:val="562"/>
        </w:trPr>
        <w:tc>
          <w:tcPr>
            <w:tcW w:w="1568" w:type="pct"/>
            <w:vAlign w:val="center"/>
          </w:tcPr>
          <w:p w14:paraId="28048C2D" w14:textId="71022BC4"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veya egzoz gazı devridaimi (FGR/EGR)</w:t>
            </w:r>
          </w:p>
        </w:tc>
        <w:tc>
          <w:tcPr>
            <w:tcW w:w="3432" w:type="pct"/>
            <w:vAlign w:val="center"/>
          </w:tcPr>
          <w:p w14:paraId="518253AB" w14:textId="08D3254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Sıcaklığı düşürme ve azot oksidasyonu için O</w:t>
            </w:r>
            <w:r w:rsidRPr="00DD0D1F">
              <w:rPr>
                <w:rFonts w:cs="Times New Roman"/>
                <w:szCs w:val="24"/>
                <w:vertAlign w:val="subscript"/>
                <w:lang w:val="tr-TR"/>
              </w:rPr>
              <w:t>2</w:t>
            </w:r>
            <w:r w:rsidRPr="00DD0D1F">
              <w:rPr>
                <w:rFonts w:cs="Times New Roman"/>
                <w:szCs w:val="24"/>
                <w:lang w:val="tr-TR"/>
              </w:rPr>
              <w:t xml:space="preserve"> içeriğini sınırlandırmanın ikili etkisiyle, NO</w:t>
            </w:r>
            <w:r w:rsidRPr="00DD0D1F">
              <w:rPr>
                <w:rFonts w:cs="Times New Roman"/>
                <w:szCs w:val="24"/>
                <w:vertAlign w:val="subscript"/>
                <w:lang w:val="tr-TR"/>
              </w:rPr>
              <w:t>X</w:t>
            </w:r>
            <w:r w:rsidRPr="00DD0D1F">
              <w:rPr>
                <w:rFonts w:cs="Times New Roman"/>
                <w:szCs w:val="24"/>
                <w:lang w:val="tr-TR"/>
              </w:rPr>
              <w:t xml:space="preserve"> oluşumunu sınırlandırmak için, temiz yanma havasının yerini almak üzere </w:t>
            </w:r>
            <w:r w:rsidR="00E00B0A" w:rsidRPr="00DD0D1F">
              <w:rPr>
                <w:rFonts w:cs="Times New Roman"/>
                <w:szCs w:val="24"/>
                <w:lang w:val="tr-TR"/>
              </w:rPr>
              <w:t>baca</w:t>
            </w:r>
            <w:r w:rsidRPr="00DD0D1F">
              <w:rPr>
                <w:rFonts w:cs="Times New Roman"/>
                <w:szCs w:val="24"/>
                <w:lang w:val="tr-TR"/>
              </w:rPr>
              <w:t xml:space="preserve"> gazının bir kısmının yanma odasına geri beslenmesi. Oksijen içeriğini azaltmak ve dolayısıyla alev sıcaklığını düşürmek için, fırından gelen </w:t>
            </w:r>
            <w:r w:rsidR="00E00B0A" w:rsidRPr="00DD0D1F">
              <w:rPr>
                <w:rFonts w:cs="Times New Roman"/>
                <w:szCs w:val="24"/>
                <w:lang w:val="tr-TR"/>
              </w:rPr>
              <w:t>baca</w:t>
            </w:r>
            <w:r w:rsidRPr="00DD0D1F">
              <w:rPr>
                <w:rFonts w:cs="Times New Roman"/>
                <w:szCs w:val="24"/>
                <w:lang w:val="tr-TR"/>
              </w:rPr>
              <w:t xml:space="preserve"> gazının alevin içine verilmesini ifade eder.  Özel brülörlerin veya diğer aletlerin kullanımı, alevin en sıcak yerindeki oksijen içeriğini düşürerek alevin kökünü soğutmak için yanma gazının iç devridaimına dayanır.</w:t>
            </w:r>
          </w:p>
        </w:tc>
      </w:tr>
      <w:tr w:rsidR="003328F9" w:rsidRPr="00DD0D1F" w14:paraId="09E75BBF" w14:textId="77777777" w:rsidTr="003328F9">
        <w:trPr>
          <w:trHeight w:val="219"/>
        </w:trPr>
        <w:tc>
          <w:tcPr>
            <w:tcW w:w="1568" w:type="pct"/>
            <w:vAlign w:val="center"/>
          </w:tcPr>
          <w:p w14:paraId="5179B2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3432" w:type="pct"/>
            <w:vAlign w:val="center"/>
          </w:tcPr>
          <w:p w14:paraId="44AF08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azot içerikli yakıt kullanımı.</w:t>
            </w:r>
          </w:p>
        </w:tc>
      </w:tr>
      <w:tr w:rsidR="003328F9" w:rsidRPr="00DD0D1F" w14:paraId="52EB5CB7" w14:textId="77777777" w:rsidTr="003328F9">
        <w:trPr>
          <w:trHeight w:val="407"/>
        </w:trPr>
        <w:tc>
          <w:tcPr>
            <w:tcW w:w="1568" w:type="pct"/>
            <w:vAlign w:val="center"/>
          </w:tcPr>
          <w:p w14:paraId="0BB758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kademeli besleme</w:t>
            </w:r>
          </w:p>
        </w:tc>
        <w:tc>
          <w:tcPr>
            <w:tcW w:w="3432" w:type="pct"/>
            <w:vAlign w:val="center"/>
          </w:tcPr>
          <w:p w14:paraId="13B99D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farklı yakıt ve hava enjeksiyon seviyelerine sahip yanma odasındaki birçok yanma bölgesinin oluşturulması ile alev sıcaklığı veya lokal sıcak noktaların azaltılmasına dayanmaktadır. İyileştirme, daha küçük tesislerde büyük tesislere göre daha az verimli olabilir.</w:t>
            </w:r>
          </w:p>
        </w:tc>
      </w:tr>
      <w:tr w:rsidR="003328F9" w:rsidRPr="00DD0D1F" w14:paraId="76E19DDB" w14:textId="77777777" w:rsidTr="003328F9">
        <w:trPr>
          <w:trHeight w:val="698"/>
        </w:trPr>
        <w:tc>
          <w:tcPr>
            <w:tcW w:w="1568" w:type="pct"/>
            <w:vAlign w:val="center"/>
          </w:tcPr>
          <w:p w14:paraId="2A50C2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konsepti ve ileri zayıf yanma konsepti</w:t>
            </w:r>
          </w:p>
        </w:tc>
        <w:tc>
          <w:tcPr>
            <w:tcW w:w="3432" w:type="pct"/>
            <w:vAlign w:val="center"/>
          </w:tcPr>
          <w:p w14:paraId="773CE9C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şartlarında, pik alev sıcaklığının kontrolü, gaz motorlarında NO</w:t>
            </w:r>
            <w:r w:rsidRPr="00DD0D1F">
              <w:rPr>
                <w:rFonts w:cs="Times New Roman"/>
                <w:szCs w:val="24"/>
                <w:vertAlign w:val="subscript"/>
                <w:lang w:val="tr-TR"/>
              </w:rPr>
              <w:t>X</w:t>
            </w:r>
            <w:r w:rsidRPr="00DD0D1F">
              <w:rPr>
                <w:rFonts w:cs="Times New Roman"/>
                <w:szCs w:val="24"/>
                <w:lang w:val="tr-TR"/>
              </w:rPr>
              <w:t xml:space="preserve"> oluşumunu sınırlamak için birincil yanma yaklaşımıdır. Zayıf yanma, NO</w:t>
            </w:r>
            <w:r w:rsidRPr="00DD0D1F">
              <w:rPr>
                <w:rFonts w:cs="Times New Roman"/>
                <w:szCs w:val="24"/>
                <w:vertAlign w:val="subscript"/>
                <w:lang w:val="tr-TR"/>
              </w:rPr>
              <w:t>X</w:t>
            </w:r>
            <w:r w:rsidRPr="00DD0D1F">
              <w:rPr>
                <w:rFonts w:cs="Times New Roman"/>
                <w:szCs w:val="24"/>
                <w:lang w:val="tr-TR"/>
              </w:rPr>
              <w:t>'in oluştuğu bölgelerde yakıt hava oranını düşürür, böylece pik alev sıcaklığı stokiyometrik ısı geçirmez alev sıcaklığından daha düşük olur ve termal NO</w:t>
            </w:r>
            <w:r w:rsidRPr="00DD0D1F">
              <w:rPr>
                <w:rFonts w:cs="Times New Roman"/>
                <w:szCs w:val="24"/>
                <w:vertAlign w:val="subscript"/>
                <w:lang w:val="tr-TR"/>
              </w:rPr>
              <w:t>X</w:t>
            </w:r>
            <w:r w:rsidRPr="00DD0D1F">
              <w:rPr>
                <w:rFonts w:cs="Times New Roman"/>
                <w:szCs w:val="24"/>
                <w:lang w:val="tr-TR"/>
              </w:rPr>
              <w:t xml:space="preserve"> oluşumu düşer. Bu konseptin optimizasyonuna 'ileri zayıf yanma konsepti' adı verilir.</w:t>
            </w:r>
          </w:p>
        </w:tc>
      </w:tr>
      <w:tr w:rsidR="003328F9" w:rsidRPr="00DD0D1F" w14:paraId="46867AA9" w14:textId="77777777" w:rsidTr="003328F9">
        <w:trPr>
          <w:trHeight w:val="1220"/>
        </w:trPr>
        <w:tc>
          <w:tcPr>
            <w:tcW w:w="1568" w:type="pct"/>
            <w:vAlign w:val="center"/>
          </w:tcPr>
          <w:p w14:paraId="4871D2A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3432" w:type="pct"/>
            <w:vAlign w:val="center"/>
          </w:tcPr>
          <w:p w14:paraId="51ABCA8E" w14:textId="3626EF36"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(ultra- veya ileri düşük-NO</w:t>
            </w:r>
            <w:r w:rsidRPr="00DD0D1F">
              <w:rPr>
                <w:rFonts w:cs="Times New Roman"/>
                <w:szCs w:val="24"/>
                <w:vertAlign w:val="subscript"/>
                <w:lang w:val="tr-TR"/>
              </w:rPr>
              <w:t>X</w:t>
            </w:r>
            <w:r w:rsidRPr="00DD0D1F">
              <w:rPr>
                <w:rFonts w:cs="Times New Roman"/>
                <w:szCs w:val="24"/>
                <w:lang w:val="tr-TR"/>
              </w:rPr>
              <w:t xml:space="preserve"> brülörler dahil) pik alev sıcaklıklarını düşürme prensiplerine dayanmaktadır; kazan brülörleri yanmayı geciktirecek, ancak iyileştirecek ve ısı transferini artıracak şekilde tasarlanır (alevin yayılımının arttırılması). Hava/yakıt karışımı ile oksijenin bulunabilirliği ve pik alev sıcaklığı düşürülür,  böylece yakıta bağlı azotun NO</w:t>
            </w:r>
            <w:r w:rsidRPr="00DD0D1F">
              <w:rPr>
                <w:rFonts w:cs="Times New Roman"/>
                <w:szCs w:val="24"/>
                <w:vertAlign w:val="subscript"/>
                <w:lang w:val="tr-TR"/>
              </w:rPr>
              <w:t>X</w:t>
            </w:r>
            <w:r w:rsidRPr="00DD0D1F">
              <w:rPr>
                <w:rFonts w:cs="Times New Roman"/>
                <w:szCs w:val="24"/>
                <w:lang w:val="tr-TR"/>
              </w:rPr>
              <w:t>'e dönüşmesi ve termal NO</w:t>
            </w:r>
            <w:r w:rsidRPr="00DD0D1F">
              <w:rPr>
                <w:rFonts w:cs="Times New Roman"/>
                <w:szCs w:val="24"/>
                <w:vertAlign w:val="subscript"/>
                <w:lang w:val="tr-TR"/>
              </w:rPr>
              <w:t>X</w:t>
            </w:r>
            <w:r w:rsidRPr="00DD0D1F">
              <w:rPr>
                <w:rFonts w:cs="Times New Roman"/>
                <w:szCs w:val="24"/>
                <w:lang w:val="tr-TR"/>
              </w:rPr>
              <w:t xml:space="preserve"> oluşumu önlenirken yüksek yanma verimliliği sağlanır. Bu teknik, fırın yanma odasının tekrar tasarımını gerektirebilir. Ultra-düşük-NO</w:t>
            </w:r>
            <w:r w:rsidRPr="00DD0D1F">
              <w:rPr>
                <w:rFonts w:cs="Times New Roman"/>
                <w:szCs w:val="24"/>
                <w:vertAlign w:val="subscript"/>
                <w:lang w:val="tr-TR"/>
              </w:rPr>
              <w:t>X</w:t>
            </w:r>
            <w:r w:rsidRPr="00DD0D1F">
              <w:rPr>
                <w:rFonts w:cs="Times New Roman"/>
                <w:szCs w:val="24"/>
                <w:lang w:val="tr-TR"/>
              </w:rPr>
              <w:t xml:space="preserve"> brülörlerde (ULNB'ler) kademeli yanma (hava/yakıt) ve yakma merkezi gazlarının devridaimi (iç </w:t>
            </w:r>
            <w:r w:rsidR="00E00B0A" w:rsidRPr="00DD0D1F">
              <w:rPr>
                <w:rFonts w:cs="Times New Roman"/>
                <w:szCs w:val="24"/>
                <w:lang w:val="tr-TR"/>
              </w:rPr>
              <w:t>baca</w:t>
            </w:r>
            <w:r w:rsidRPr="00DD0D1F">
              <w:rPr>
                <w:rFonts w:cs="Times New Roman"/>
                <w:szCs w:val="24"/>
                <w:lang w:val="tr-TR"/>
              </w:rPr>
              <w:t xml:space="preserve"> gazı devridaimi) oluşur. Eski tesislerin iyileştirilmesinde, tekniğin performansı, kazan tasarımından etkilenebilir.</w:t>
            </w:r>
          </w:p>
        </w:tc>
      </w:tr>
      <w:tr w:rsidR="003328F9" w:rsidRPr="00DD0D1F" w14:paraId="3A714D02" w14:textId="77777777" w:rsidTr="003328F9">
        <w:trPr>
          <w:trHeight w:val="163"/>
        </w:trPr>
        <w:tc>
          <w:tcPr>
            <w:tcW w:w="1568" w:type="pct"/>
            <w:vAlign w:val="center"/>
          </w:tcPr>
          <w:p w14:paraId="301C6D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Dizel motorlarda düşük NO</w:t>
            </w:r>
            <w:r w:rsidRPr="00DD0D1F">
              <w:rPr>
                <w:rFonts w:cs="Times New Roman"/>
                <w:szCs w:val="24"/>
                <w:vertAlign w:val="subscript"/>
                <w:lang w:val="tr-TR"/>
              </w:rPr>
              <w:t xml:space="preserve">X </w:t>
            </w:r>
            <w:r w:rsidRPr="00DD0D1F">
              <w:rPr>
                <w:rFonts w:cs="Times New Roman"/>
                <w:szCs w:val="24"/>
                <w:lang w:val="tr-TR"/>
              </w:rPr>
              <w:t>yanma konsepti</w:t>
            </w:r>
          </w:p>
        </w:tc>
        <w:tc>
          <w:tcPr>
            <w:tcW w:w="3432" w:type="pct"/>
            <w:vAlign w:val="center"/>
          </w:tcPr>
          <w:p w14:paraId="4D9DD13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yakma ve yakıt enjeksiyonu optimizasyonu (erken giriş havası vanasının kapanmasıyla birlikte çok geç yakıt enjeksiyonu zamanlaması), turboşarjer veya Miller çevrimi gibi iç motor değişikliklerinin bir birleşiminden oluşur.</w:t>
            </w:r>
          </w:p>
        </w:tc>
      </w:tr>
      <w:tr w:rsidR="003328F9" w:rsidRPr="00DD0D1F" w14:paraId="3CE39BD2" w14:textId="77777777" w:rsidTr="003328F9">
        <w:trPr>
          <w:trHeight w:val="51"/>
        </w:trPr>
        <w:tc>
          <w:tcPr>
            <w:tcW w:w="1568" w:type="pct"/>
            <w:vAlign w:val="center"/>
          </w:tcPr>
          <w:p w14:paraId="27A407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Oksidasyon katalizörleri</w:t>
            </w:r>
          </w:p>
        </w:tc>
        <w:tc>
          <w:tcPr>
            <w:tcW w:w="3432" w:type="pct"/>
            <w:vAlign w:val="center"/>
          </w:tcPr>
          <w:p w14:paraId="5AC118D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CO</w:t>
            </w:r>
            <w:r w:rsidRPr="00DD0D1F">
              <w:rPr>
                <w:rFonts w:cs="Times New Roman"/>
                <w:szCs w:val="24"/>
                <w:vertAlign w:val="subscript"/>
                <w:lang w:val="tr-TR"/>
              </w:rPr>
              <w:t>2</w:t>
            </w:r>
            <w:r w:rsidRPr="00DD0D1F">
              <w:rPr>
                <w:rFonts w:cs="Times New Roman"/>
                <w:szCs w:val="24"/>
                <w:lang w:val="tr-TR"/>
              </w:rPr>
              <w:t xml:space="preserve"> ve su buharı oluşturmak üzere karbon monoksit ve yanmamış hidrokarbonları oksijen ile oksitlemek üzere katalizörlerin (paladyum veya platin gibi değerli metalleri içeren) kullanımı.</w:t>
            </w:r>
          </w:p>
        </w:tc>
      </w:tr>
      <w:tr w:rsidR="003328F9" w:rsidRPr="00DD0D1F" w14:paraId="14CFC548" w14:textId="77777777" w:rsidTr="003328F9">
        <w:trPr>
          <w:trHeight w:val="191"/>
        </w:trPr>
        <w:tc>
          <w:tcPr>
            <w:tcW w:w="1568" w:type="pct"/>
            <w:vAlign w:val="center"/>
          </w:tcPr>
          <w:p w14:paraId="02DD90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hava sıcaklığının düşürülmesi</w:t>
            </w:r>
          </w:p>
        </w:tc>
        <w:tc>
          <w:tcPr>
            <w:tcW w:w="3432" w:type="pct"/>
            <w:vAlign w:val="center"/>
          </w:tcPr>
          <w:p w14:paraId="08F75D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Ortam sıcaklığında yanma havasının kullanımı. Yanma havası, rejeneratif hava ön ısıtıcısında ön ısıtmaya tabi tutulmaz.</w:t>
            </w:r>
          </w:p>
        </w:tc>
      </w:tr>
      <w:tr w:rsidR="003328F9" w:rsidRPr="00DD0D1F" w14:paraId="0842FA56" w14:textId="77777777" w:rsidTr="003328F9">
        <w:trPr>
          <w:trHeight w:val="1090"/>
        </w:trPr>
        <w:tc>
          <w:tcPr>
            <w:tcW w:w="1568" w:type="pct"/>
            <w:vAlign w:val="center"/>
          </w:tcPr>
          <w:p w14:paraId="01D012D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w:t>
            </w:r>
          </w:p>
          <w:p w14:paraId="266ECB4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indirgeme (SCR)</w:t>
            </w:r>
          </w:p>
        </w:tc>
        <w:tc>
          <w:tcPr>
            <w:tcW w:w="3432" w:type="pct"/>
            <w:vAlign w:val="center"/>
          </w:tcPr>
          <w:p w14:paraId="037A5CB3" w14:textId="221A077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Azot oksitlerin amonyak veya üre ile bir katalizör ortamında seçici indirgemesi. Teknik, NO</w:t>
            </w:r>
            <w:r w:rsidRPr="00DD0D1F">
              <w:rPr>
                <w:rFonts w:cs="Times New Roman"/>
                <w:szCs w:val="24"/>
                <w:vertAlign w:val="subscript"/>
                <w:lang w:val="tr-TR"/>
              </w:rPr>
              <w:t>X</w:t>
            </w:r>
            <w:r w:rsidRPr="00DD0D1F">
              <w:rPr>
                <w:rFonts w:cs="Times New Roman"/>
                <w:szCs w:val="24"/>
                <w:lang w:val="tr-TR"/>
              </w:rPr>
              <w:t>'in katalitik yatakta amonyakla reaksiyon sonucunda (genel olarak sulu çözelti) yaklaşık 300-450 °C civarı ideal işletme sıcaklığında indirgenmesine dayanmaktadır. Birçok katalizör katmanı uygulanabilir. Daha yüksek bir NO</w:t>
            </w:r>
            <w:r w:rsidRPr="00DD0D1F">
              <w:rPr>
                <w:rFonts w:cs="Times New Roman"/>
                <w:szCs w:val="24"/>
                <w:vertAlign w:val="subscript"/>
                <w:lang w:val="tr-TR"/>
              </w:rPr>
              <w:t>X</w:t>
            </w:r>
            <w:r w:rsidRPr="00DD0D1F">
              <w:rPr>
                <w:rFonts w:cs="Times New Roman"/>
                <w:szCs w:val="24"/>
                <w:lang w:val="tr-TR"/>
              </w:rPr>
              <w:t xml:space="preserve"> indirgemesi, birçok katalizör katmanının kullanımıyla elde edilir. Teknik tasarımı modüler olabilir ve düşük yükler veya geniş bir </w:t>
            </w:r>
            <w:r w:rsidR="00E00B0A" w:rsidRPr="00DD0D1F">
              <w:rPr>
                <w:rFonts w:cs="Times New Roman"/>
                <w:szCs w:val="24"/>
                <w:lang w:val="tr-TR"/>
              </w:rPr>
              <w:t>baca</w:t>
            </w:r>
            <w:r w:rsidRPr="00DD0D1F">
              <w:rPr>
                <w:rFonts w:cs="Times New Roman"/>
                <w:szCs w:val="24"/>
                <w:lang w:val="tr-TR"/>
              </w:rPr>
              <w:t xml:space="preserve"> gazı sıcaklık aralığı ile başa çıkmada özel katalizörler ve/veya ön ısıtma kullanılabilir. 'Kanal içi' veya 'Kayma' SCR tekniği, SNCR ve çıkış SCR’nin birlikte kullanılması olup SNCR ünitesinden kayan amonyak miktarını azaltır.</w:t>
            </w:r>
          </w:p>
        </w:tc>
      </w:tr>
      <w:tr w:rsidR="003328F9" w:rsidRPr="00DD0D1F" w14:paraId="51EA7D4F" w14:textId="77777777" w:rsidTr="003328F9">
        <w:trPr>
          <w:trHeight w:val="397"/>
        </w:trPr>
        <w:tc>
          <w:tcPr>
            <w:tcW w:w="1568" w:type="pct"/>
            <w:vAlign w:val="center"/>
          </w:tcPr>
          <w:p w14:paraId="0C8A73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3432" w:type="pct"/>
            <w:vAlign w:val="center"/>
          </w:tcPr>
          <w:p w14:paraId="366B6A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Azot oksitlerin amonyak veya üre ile bir katalizör olmadan seçici indirgemesi. Teknik, yüksek sıcaklıkta amonyakla veya üreyle reaksiyon sonucunda NO</w:t>
            </w:r>
            <w:r w:rsidRPr="00DD0D1F">
              <w:rPr>
                <w:rFonts w:cs="Times New Roman"/>
                <w:szCs w:val="24"/>
                <w:vertAlign w:val="subscript"/>
                <w:lang w:val="tr-TR"/>
              </w:rPr>
              <w:t>X</w:t>
            </w:r>
            <w:r w:rsidRPr="00DD0D1F">
              <w:rPr>
                <w:rFonts w:cs="Times New Roman"/>
                <w:szCs w:val="24"/>
                <w:lang w:val="tr-TR"/>
              </w:rPr>
              <w:t>'in azota indirgenmesine dayanmaktadır. İşletme sıcaklığı aralığı, ideal reaksiyon için 800 °C ile 1000 °C arasında tutulur.</w:t>
            </w:r>
          </w:p>
        </w:tc>
      </w:tr>
      <w:tr w:rsidR="003328F9" w:rsidRPr="00DD0D1F" w14:paraId="1D862BEF" w14:textId="77777777" w:rsidTr="003328F9">
        <w:trPr>
          <w:trHeight w:val="405"/>
        </w:trPr>
        <w:tc>
          <w:tcPr>
            <w:tcW w:w="1568" w:type="pct"/>
            <w:vAlign w:val="center"/>
          </w:tcPr>
          <w:p w14:paraId="2BD61B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3432" w:type="pct"/>
            <w:vAlign w:val="center"/>
          </w:tcPr>
          <w:p w14:paraId="4FDAF2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veya buhar, gaz türbinlerinde, motorlarda veya kazanlarda, dolayısıyla termal NO</w:t>
            </w:r>
            <w:r w:rsidRPr="00DD0D1F">
              <w:rPr>
                <w:rFonts w:cs="Times New Roman"/>
                <w:szCs w:val="24"/>
                <w:vertAlign w:val="subscript"/>
                <w:lang w:val="tr-TR"/>
              </w:rPr>
              <w:t>X</w:t>
            </w:r>
            <w:r w:rsidRPr="00DD0D1F">
              <w:rPr>
                <w:rFonts w:cs="Times New Roman"/>
                <w:szCs w:val="24"/>
                <w:lang w:val="tr-TR"/>
              </w:rPr>
              <w:t xml:space="preserve"> oluşumunda yanma sıcaklığını düşürmek için seyreltici olarak kullanılır. Yanmadan önce ya yakıtla  karıştırılır (yakıt emülsiyonu, nemlendirme veya doyma) ya da doğrudan yanma odasına enjekte edilir (su/buhar enjeksiyonu).</w:t>
            </w:r>
          </w:p>
        </w:tc>
      </w:tr>
    </w:tbl>
    <w:p w14:paraId="3F501F8E" w14:textId="77777777" w:rsidR="003328F9" w:rsidRPr="00DD0D1F" w:rsidRDefault="003328F9" w:rsidP="00FF111D">
      <w:pPr>
        <w:pStyle w:val="Balk2"/>
        <w:numPr>
          <w:ilvl w:val="1"/>
          <w:numId w:val="75"/>
        </w:numPr>
        <w:rPr>
          <w:rFonts w:cs="Times New Roman"/>
          <w:szCs w:val="24"/>
          <w:lang w:val="tr-TR"/>
        </w:rPr>
      </w:pPr>
      <w:bookmarkStart w:id="177" w:name="_Toc137367357"/>
      <w:r w:rsidRPr="00DD0D1F">
        <w:rPr>
          <w:rFonts w:cs="Times New Roman"/>
          <w:szCs w:val="24"/>
          <w:lang w:val="tr-TR"/>
        </w:rPr>
        <w:t>Havaya SO</w:t>
      </w:r>
      <w:r w:rsidRPr="00DD0D1F">
        <w:rPr>
          <w:rFonts w:cs="Times New Roman"/>
          <w:szCs w:val="24"/>
          <w:vertAlign w:val="subscript"/>
          <w:lang w:val="tr-TR"/>
        </w:rPr>
        <w:t>X</w:t>
      </w:r>
      <w:r w:rsidRPr="00DD0D1F">
        <w:rPr>
          <w:rFonts w:cs="Times New Roman"/>
          <w:szCs w:val="24"/>
          <w:lang w:val="tr-TR"/>
        </w:rPr>
        <w:t>, HCl ve/veya HF Emisyonlarını Azaltma Teknikleri</w:t>
      </w:r>
      <w:bookmarkEnd w:id="17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790"/>
        <w:gridCol w:w="6287"/>
      </w:tblGrid>
      <w:tr w:rsidR="003328F9" w:rsidRPr="00DD0D1F" w14:paraId="3DE16A0B" w14:textId="77777777" w:rsidTr="003328F9">
        <w:trPr>
          <w:trHeight w:val="52"/>
          <w:tblHeader/>
        </w:trPr>
        <w:tc>
          <w:tcPr>
            <w:tcW w:w="1537" w:type="pct"/>
            <w:vAlign w:val="center"/>
          </w:tcPr>
          <w:p w14:paraId="7FD7591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463" w:type="pct"/>
            <w:vAlign w:val="center"/>
          </w:tcPr>
          <w:p w14:paraId="03826EC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2394D33F" w14:textId="77777777" w:rsidTr="003328F9">
        <w:trPr>
          <w:trHeight w:val="392"/>
        </w:trPr>
        <w:tc>
          <w:tcPr>
            <w:tcW w:w="1537" w:type="pct"/>
            <w:vAlign w:val="center"/>
          </w:tcPr>
          <w:p w14:paraId="0BADEA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tc>
        <w:tc>
          <w:tcPr>
            <w:tcW w:w="3463" w:type="pct"/>
            <w:vAlign w:val="center"/>
          </w:tcPr>
          <w:p w14:paraId="2A1C87DC" w14:textId="251AC46E"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Kuru sorbentin yanma odasına doğrudan enjeksiyonu veya magnezyum veya kalsiyum bazlı emici maddelerin akışkan yataklı kazanın yatağına eklenmesi. Sorbent parçacıklarının yüzeyi, </w:t>
            </w:r>
            <w:r w:rsidR="00E00B0A" w:rsidRPr="00DD0D1F">
              <w:rPr>
                <w:rFonts w:cs="Times New Roman"/>
                <w:szCs w:val="24"/>
                <w:lang w:val="tr-TR"/>
              </w:rPr>
              <w:t>baca</w:t>
            </w:r>
            <w:r w:rsidRPr="00DD0D1F">
              <w:rPr>
                <w:rFonts w:cs="Times New Roman"/>
                <w:szCs w:val="24"/>
                <w:lang w:val="tr-TR"/>
              </w:rPr>
              <w:t xml:space="preserve"> gazında veya akışkan yatak kazanında SO</w:t>
            </w:r>
            <w:r w:rsidRPr="00DD0D1F">
              <w:rPr>
                <w:rFonts w:cs="Times New Roman"/>
                <w:szCs w:val="24"/>
                <w:vertAlign w:val="subscript"/>
                <w:lang w:val="tr-TR"/>
              </w:rPr>
              <w:t>2</w:t>
            </w:r>
            <w:r w:rsidRPr="00DD0D1F">
              <w:rPr>
                <w:rFonts w:cs="Times New Roman"/>
                <w:szCs w:val="24"/>
                <w:lang w:val="tr-TR"/>
              </w:rPr>
              <w:t xml:space="preserve"> ile reaksiyona girer. Çoğunlukla bir toz azaltma tekniği ile birlikte kullanılır.</w:t>
            </w:r>
          </w:p>
        </w:tc>
      </w:tr>
      <w:tr w:rsidR="003328F9" w:rsidRPr="00DD0D1F" w14:paraId="4A6B19A8" w14:textId="77777777" w:rsidTr="003328F9">
        <w:trPr>
          <w:trHeight w:val="548"/>
        </w:trPr>
        <w:tc>
          <w:tcPr>
            <w:tcW w:w="1537" w:type="pct"/>
            <w:vAlign w:val="center"/>
          </w:tcPr>
          <w:p w14:paraId="1F78E6F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Dolaşımlı akışkan yatak (CFB) kuru yıkayıcısı</w:t>
            </w:r>
          </w:p>
        </w:tc>
        <w:tc>
          <w:tcPr>
            <w:tcW w:w="3463" w:type="pct"/>
            <w:vAlign w:val="center"/>
          </w:tcPr>
          <w:p w14:paraId="7C4050DD" w14:textId="3EFE861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Kazan hava ön ısıtıcısından gelen </w:t>
            </w:r>
            <w:r w:rsidR="00E00B0A" w:rsidRPr="00DD0D1F">
              <w:rPr>
                <w:rFonts w:cs="Times New Roman"/>
                <w:szCs w:val="24"/>
                <w:lang w:val="tr-TR"/>
              </w:rPr>
              <w:t>baca</w:t>
            </w:r>
            <w:r w:rsidRPr="00DD0D1F">
              <w:rPr>
                <w:rFonts w:cs="Times New Roman"/>
                <w:szCs w:val="24"/>
                <w:lang w:val="tr-TR"/>
              </w:rPr>
              <w:t xml:space="preserve"> gazı, CFB emiciye tabandan girer ve katı bir sorbent ile suyun </w:t>
            </w:r>
            <w:r w:rsidR="00E00B0A" w:rsidRPr="00DD0D1F">
              <w:rPr>
                <w:rFonts w:cs="Times New Roman"/>
                <w:szCs w:val="24"/>
                <w:lang w:val="tr-TR"/>
              </w:rPr>
              <w:t>baca</w:t>
            </w:r>
            <w:r w:rsidRPr="00DD0D1F">
              <w:rPr>
                <w:rFonts w:cs="Times New Roman"/>
                <w:szCs w:val="24"/>
                <w:lang w:val="tr-TR"/>
              </w:rPr>
              <w:t xml:space="preserve"> gazı akışına ayrı olarak enjek</w:t>
            </w:r>
            <w:r w:rsidR="00AC5FC6" w:rsidRPr="00DD0D1F">
              <w:rPr>
                <w:rFonts w:cs="Times New Roman"/>
                <w:szCs w:val="24"/>
                <w:lang w:val="tr-TR"/>
              </w:rPr>
              <w:t xml:space="preserve">te edildiği bir Venturi Başlık </w:t>
            </w:r>
            <w:r w:rsidRPr="00DD0D1F">
              <w:rPr>
                <w:rFonts w:cs="Times New Roman"/>
                <w:szCs w:val="24"/>
                <w:lang w:val="tr-TR"/>
              </w:rPr>
              <w:t xml:space="preserve"> üzerinden yukarı doğru dikey olarak akar. Çoğunlukla bir toz azaltma tekniği ile birlikte kullanılır.</w:t>
            </w:r>
          </w:p>
        </w:tc>
      </w:tr>
      <w:tr w:rsidR="003328F9" w:rsidRPr="00DD0D1F" w14:paraId="0D051D91" w14:textId="77777777" w:rsidTr="003328F9">
        <w:trPr>
          <w:trHeight w:val="420"/>
        </w:trPr>
        <w:tc>
          <w:tcPr>
            <w:tcW w:w="1537" w:type="pct"/>
            <w:vAlign w:val="center"/>
          </w:tcPr>
          <w:p w14:paraId="09C427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 xml:space="preserve"> indirgeme için birleşik  teknikler</w:t>
            </w:r>
          </w:p>
        </w:tc>
        <w:tc>
          <w:tcPr>
            <w:tcW w:w="3463" w:type="pct"/>
            <w:vAlign w:val="center"/>
          </w:tcPr>
          <w:p w14:paraId="451D38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8.3’e bakınız.</w:t>
            </w:r>
          </w:p>
        </w:tc>
      </w:tr>
      <w:tr w:rsidR="003328F9" w:rsidRPr="00DD0D1F" w14:paraId="68DEBA6B" w14:textId="77777777" w:rsidTr="003328F9">
        <w:trPr>
          <w:trHeight w:val="861"/>
        </w:trPr>
        <w:tc>
          <w:tcPr>
            <w:tcW w:w="1537" w:type="pct"/>
            <w:vAlign w:val="center"/>
          </w:tcPr>
          <w:p w14:paraId="184BFD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3463" w:type="pct"/>
            <w:vAlign w:val="center"/>
          </w:tcPr>
          <w:p w14:paraId="3643FA1B" w14:textId="25408C4A" w:rsidR="003328F9" w:rsidRPr="00DD0D1F" w:rsidRDefault="00E00B0A" w:rsidP="009A6605">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akışında kuru toz sorbent enjeksiyonu ve dağılması. Sorbent (örneğin sodyum karbonat, sodyum bikarbonat, sönmüş kireç) asit gazlarla (örneğin gaz halindeki kükürt türleri ve HCl) reaksiyona girerek katı formuna dönüştürülür. Bu katı form toz azaltma teknikleriyle (torba filtre veya elektrostatik</w:t>
            </w:r>
            <w:r w:rsidR="009A6605" w:rsidRPr="00DD0D1F">
              <w:rPr>
                <w:rFonts w:cs="Times New Roman"/>
                <w:szCs w:val="24"/>
                <w:lang w:val="tr-TR"/>
              </w:rPr>
              <w:t xml:space="preserve"> çöktürücü</w:t>
            </w:r>
            <w:r w:rsidR="003328F9" w:rsidRPr="00DD0D1F">
              <w:rPr>
                <w:rFonts w:cs="Times New Roman"/>
                <w:szCs w:val="24"/>
                <w:lang w:val="tr-TR"/>
              </w:rPr>
              <w:t>) giderilir.  DSI çoğunlukla bir torba filtre ile birlikte kullanılır.</w:t>
            </w:r>
          </w:p>
        </w:tc>
      </w:tr>
      <w:tr w:rsidR="003328F9" w:rsidRPr="00DD0D1F" w14:paraId="01DA1959" w14:textId="77777777" w:rsidTr="003328F9">
        <w:trPr>
          <w:trHeight w:val="52"/>
        </w:trPr>
        <w:tc>
          <w:tcPr>
            <w:tcW w:w="1537" w:type="pct"/>
            <w:vAlign w:val="center"/>
          </w:tcPr>
          <w:p w14:paraId="43A28831" w14:textId="590C4354"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3463" w:type="pct"/>
            <w:vAlign w:val="center"/>
          </w:tcPr>
          <w:p w14:paraId="4D4F9A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8.2’ye bakınız.</w:t>
            </w:r>
          </w:p>
        </w:tc>
      </w:tr>
      <w:tr w:rsidR="003328F9" w:rsidRPr="00DD0D1F" w14:paraId="5A07B42C" w14:textId="77777777" w:rsidTr="003328F9">
        <w:trPr>
          <w:trHeight w:val="52"/>
        </w:trPr>
        <w:tc>
          <w:tcPr>
            <w:tcW w:w="1537" w:type="pct"/>
            <w:vAlign w:val="center"/>
          </w:tcPr>
          <w:p w14:paraId="270B27E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3463" w:type="pct"/>
            <w:vAlign w:val="center"/>
          </w:tcPr>
          <w:p w14:paraId="72058D3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kükürt, klor ve/veya flor içerikli bir yakıt kullanımı.</w:t>
            </w:r>
          </w:p>
        </w:tc>
      </w:tr>
      <w:tr w:rsidR="003328F9" w:rsidRPr="00DD0D1F" w14:paraId="4819B676" w14:textId="77777777" w:rsidTr="003328F9">
        <w:trPr>
          <w:trHeight w:val="52"/>
        </w:trPr>
        <w:tc>
          <w:tcPr>
            <w:tcW w:w="1537" w:type="pct"/>
            <w:vAlign w:val="center"/>
          </w:tcPr>
          <w:p w14:paraId="7497EE8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 yönetimi sistemi</w:t>
            </w:r>
          </w:p>
        </w:tc>
        <w:tc>
          <w:tcPr>
            <w:tcW w:w="3463" w:type="pct"/>
            <w:vAlign w:val="center"/>
          </w:tcPr>
          <w:p w14:paraId="03A766A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8.2’ye bakınız.</w:t>
            </w:r>
          </w:p>
        </w:tc>
      </w:tr>
      <w:tr w:rsidR="003328F9" w:rsidRPr="00DD0D1F" w14:paraId="0B301C79" w14:textId="77777777" w:rsidTr="003328F9">
        <w:trPr>
          <w:trHeight w:val="61"/>
        </w:trPr>
        <w:tc>
          <w:tcPr>
            <w:tcW w:w="1537" w:type="pct"/>
            <w:vAlign w:val="center"/>
          </w:tcPr>
          <w:p w14:paraId="1D79A3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FGD'si</w:t>
            </w:r>
          </w:p>
        </w:tc>
        <w:tc>
          <w:tcPr>
            <w:tcW w:w="3463" w:type="pct"/>
            <w:vAlign w:val="center"/>
          </w:tcPr>
          <w:p w14:paraId="5E8764BA" w14:textId="32A1D69B"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gazındaki asidik bileşikleri emmek için deniz suyunun doğal alkaliliğini kullanan spesifik rejeneratif olmayan bir yaş yıkama türü. Genelde bu teknik öncesinde toz azaltma uygulaması gereklidir.</w:t>
            </w:r>
          </w:p>
        </w:tc>
      </w:tr>
      <w:tr w:rsidR="003328F9" w:rsidRPr="00DD0D1F" w14:paraId="05DD9998" w14:textId="77777777" w:rsidTr="003328F9">
        <w:trPr>
          <w:trHeight w:val="259"/>
        </w:trPr>
        <w:tc>
          <w:tcPr>
            <w:tcW w:w="1537" w:type="pct"/>
            <w:vAlign w:val="center"/>
          </w:tcPr>
          <w:p w14:paraId="4FC10CD2" w14:textId="77777777" w:rsidR="003328F9" w:rsidRPr="00DD0D1F" w:rsidRDefault="003328F9" w:rsidP="003328F9">
            <w:pPr>
              <w:adjustRightInd w:val="0"/>
              <w:spacing w:line="240" w:lineRule="auto"/>
              <w:ind w:left="74" w:right="74"/>
              <w:rPr>
                <w:rFonts w:cs="Times New Roman"/>
                <w:szCs w:val="24"/>
                <w:lang w:val="tr-TR"/>
              </w:rPr>
            </w:pPr>
          </w:p>
          <w:p w14:paraId="3C15BD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tc>
        <w:tc>
          <w:tcPr>
            <w:tcW w:w="3463" w:type="pct"/>
            <w:vAlign w:val="center"/>
          </w:tcPr>
          <w:p w14:paraId="290D7F69" w14:textId="3737D8DC"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Bir alkalin reaktifin süspansiyonu/çözeltisi, </w:t>
            </w:r>
            <w:r w:rsidR="00E00B0A" w:rsidRPr="00DD0D1F">
              <w:rPr>
                <w:rFonts w:cs="Times New Roman"/>
                <w:szCs w:val="24"/>
                <w:lang w:val="tr-TR"/>
              </w:rPr>
              <w:t>baca</w:t>
            </w:r>
            <w:r w:rsidRPr="00DD0D1F">
              <w:rPr>
                <w:rFonts w:cs="Times New Roman"/>
                <w:szCs w:val="24"/>
                <w:lang w:val="tr-TR"/>
              </w:rPr>
              <w:t xml:space="preserve"> gazına verilir ve dağılır. Madde, gaz halindeki kükürt ile reaksiyona girerek toz azaltma teknikleriyle giderilen bir katıyı oluşturur (torba filtre veya elektrostatik ayırıcı). SDA, çoğunlukla bir torba filtre ile birlikte kullanılır.</w:t>
            </w:r>
          </w:p>
        </w:tc>
      </w:tr>
      <w:tr w:rsidR="003328F9" w:rsidRPr="00DD0D1F" w14:paraId="0DD37391" w14:textId="77777777" w:rsidTr="003328F9">
        <w:trPr>
          <w:trHeight w:val="986"/>
        </w:trPr>
        <w:tc>
          <w:tcPr>
            <w:tcW w:w="1537" w:type="pct"/>
            <w:vAlign w:val="center"/>
          </w:tcPr>
          <w:p w14:paraId="215A0369" w14:textId="01EF7481"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3463" w:type="pct"/>
            <w:vAlign w:val="center"/>
          </w:tcPr>
          <w:p w14:paraId="1541868C" w14:textId="5E4D65A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haldeki SO</w:t>
            </w:r>
            <w:r w:rsidRPr="00DD0D1F">
              <w:rPr>
                <w:rFonts w:cs="Times New Roman"/>
                <w:szCs w:val="24"/>
                <w:vertAlign w:val="subscript"/>
                <w:lang w:val="tr-TR"/>
              </w:rPr>
              <w:t>2</w:t>
            </w:r>
            <w:r w:rsidRPr="00DD0D1F">
              <w:rPr>
                <w:rFonts w:cs="Times New Roman"/>
                <w:szCs w:val="24"/>
                <w:lang w:val="tr-TR"/>
              </w:rPr>
              <w:t xml:space="preserve"> 'yi tutarak katıya dönüştüren, genellikle alkalin sorbent kullanımını içeren çeşitli prosesler üzerinden, kükürt oksitlerin </w:t>
            </w:r>
            <w:r w:rsidR="00E00B0A" w:rsidRPr="00DD0D1F">
              <w:rPr>
                <w:rFonts w:cs="Times New Roman"/>
                <w:szCs w:val="24"/>
                <w:lang w:val="tr-TR"/>
              </w:rPr>
              <w:t>baca</w:t>
            </w:r>
            <w:r w:rsidRPr="00DD0D1F">
              <w:rPr>
                <w:rFonts w:cs="Times New Roman"/>
                <w:szCs w:val="24"/>
                <w:lang w:val="tr-TR"/>
              </w:rPr>
              <w:t xml:space="preserve"> gazından giderildiği teknik veya yıkama tekniklerinin birleşimi. Yaş yıkama prosesinde, gaz halindeki bileşikler uygun bir sıvı içinde çözünür (su veya alkalin çözeltisi). Katı ve gaz halindeki bileşiklerin eşzamanlı giderilmesi gerçekleşebilir. Yaş yıkayıcı çıkışında, </w:t>
            </w:r>
            <w:r w:rsidR="00E00B0A" w:rsidRPr="00DD0D1F">
              <w:rPr>
                <w:rFonts w:cs="Times New Roman"/>
                <w:szCs w:val="24"/>
                <w:lang w:val="tr-TR"/>
              </w:rPr>
              <w:t>baca</w:t>
            </w:r>
            <w:r w:rsidRPr="00DD0D1F">
              <w:rPr>
                <w:rFonts w:cs="Times New Roman"/>
                <w:szCs w:val="24"/>
                <w:lang w:val="tr-TR"/>
              </w:rPr>
              <w:t xml:space="preserve"> gazları suyla doygun hale gelir ve </w:t>
            </w:r>
            <w:r w:rsidR="00E00B0A" w:rsidRPr="00DD0D1F">
              <w:rPr>
                <w:rFonts w:cs="Times New Roman"/>
                <w:szCs w:val="24"/>
                <w:lang w:val="tr-TR"/>
              </w:rPr>
              <w:t>baca</w:t>
            </w:r>
            <w:r w:rsidRPr="00DD0D1F">
              <w:rPr>
                <w:rFonts w:cs="Times New Roman"/>
                <w:szCs w:val="24"/>
                <w:lang w:val="tr-TR"/>
              </w:rPr>
              <w:t xml:space="preserve"> gazlarının deşarjı öncesinde damlaların ayrıştırılması gerekir. Yaş yıkayıcıda oluşan sıvı, atık su arıtma tesisine gönderilerek, çözünmeyen maddelerin çökeltme veya filtrasyon yoluyla toplanması sağlanır.</w:t>
            </w:r>
          </w:p>
        </w:tc>
      </w:tr>
      <w:tr w:rsidR="003328F9" w:rsidRPr="00DD0D1F" w14:paraId="5CBC5823" w14:textId="77777777" w:rsidTr="003328F9">
        <w:trPr>
          <w:trHeight w:val="269"/>
        </w:trPr>
        <w:tc>
          <w:tcPr>
            <w:tcW w:w="1537" w:type="pct"/>
            <w:vAlign w:val="center"/>
          </w:tcPr>
          <w:p w14:paraId="040538D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w:t>
            </w:r>
          </w:p>
        </w:tc>
        <w:tc>
          <w:tcPr>
            <w:tcW w:w="3463" w:type="pct"/>
            <w:vAlign w:val="center"/>
          </w:tcPr>
          <w:p w14:paraId="5761C480" w14:textId="13B0CD13"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gazındaki asidik bileşikleri absorbsiyon yoluyla tutmak için su veya sulu bir çözelti gibi bir sıvının kullanımı.</w:t>
            </w:r>
          </w:p>
        </w:tc>
      </w:tr>
    </w:tbl>
    <w:p w14:paraId="408E174C" w14:textId="77777777" w:rsidR="003328F9" w:rsidRPr="00DD0D1F" w:rsidRDefault="003328F9" w:rsidP="00FF111D">
      <w:pPr>
        <w:pStyle w:val="Balk2"/>
        <w:numPr>
          <w:ilvl w:val="1"/>
          <w:numId w:val="75"/>
        </w:numPr>
        <w:rPr>
          <w:rFonts w:cs="Times New Roman"/>
          <w:szCs w:val="24"/>
          <w:lang w:val="tr-TR"/>
        </w:rPr>
      </w:pPr>
      <w:bookmarkStart w:id="178" w:name="_Toc137367358"/>
      <w:r w:rsidRPr="00DD0D1F">
        <w:rPr>
          <w:rFonts w:cs="Times New Roman"/>
          <w:szCs w:val="24"/>
          <w:lang w:val="tr-TR"/>
        </w:rPr>
        <w:t>Toz, Cıvalı Metaller ve/veya PCDD/F’nin Havaya Emisyonlarını Azaltma Teknikleri</w:t>
      </w:r>
      <w:bookmarkEnd w:id="17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945"/>
        <w:gridCol w:w="6132"/>
      </w:tblGrid>
      <w:tr w:rsidR="003328F9" w:rsidRPr="00DD0D1F" w14:paraId="0BC0B0A0" w14:textId="77777777" w:rsidTr="003328F9">
        <w:trPr>
          <w:trHeight w:val="383"/>
          <w:tblHeader/>
        </w:trPr>
        <w:tc>
          <w:tcPr>
            <w:tcW w:w="1622" w:type="pct"/>
            <w:vAlign w:val="center"/>
          </w:tcPr>
          <w:p w14:paraId="26209D9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378" w:type="pct"/>
            <w:vAlign w:val="center"/>
          </w:tcPr>
          <w:p w14:paraId="4C4B9C8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6E379403" w14:textId="77777777" w:rsidTr="003328F9">
        <w:trPr>
          <w:trHeight w:val="481"/>
        </w:trPr>
        <w:tc>
          <w:tcPr>
            <w:tcW w:w="1622" w:type="pct"/>
            <w:vAlign w:val="center"/>
          </w:tcPr>
          <w:p w14:paraId="7A44AB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3378" w:type="pct"/>
            <w:vAlign w:val="center"/>
          </w:tcPr>
          <w:p w14:paraId="3781160C" w14:textId="300C1C6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Torba veya kumaş filtreleri, parçacıkları gidermek üzere gazların arasından geçtiği gözenekli dokuma veya keçeli kumaştan yapılır. Torba filtre kullanılması, </w:t>
            </w:r>
            <w:r w:rsidR="00E00B0A" w:rsidRPr="00DD0D1F">
              <w:rPr>
                <w:rFonts w:cs="Times New Roman"/>
                <w:szCs w:val="24"/>
                <w:lang w:val="tr-TR"/>
              </w:rPr>
              <w:t>baca</w:t>
            </w:r>
            <w:r w:rsidRPr="00DD0D1F">
              <w:rPr>
                <w:rFonts w:cs="Times New Roman"/>
                <w:szCs w:val="24"/>
                <w:lang w:val="tr-TR"/>
              </w:rPr>
              <w:t xml:space="preserve"> gazı özellikleri ve azami işletme sıcaklığına uygun kumaşın seçilmesi gerektirir.</w:t>
            </w:r>
          </w:p>
        </w:tc>
      </w:tr>
      <w:tr w:rsidR="003328F9" w:rsidRPr="00DD0D1F" w14:paraId="2B88FD6A" w14:textId="77777777" w:rsidTr="003328F9">
        <w:trPr>
          <w:trHeight w:val="166"/>
        </w:trPr>
        <w:tc>
          <w:tcPr>
            <w:tcW w:w="1622" w:type="pct"/>
            <w:vAlign w:val="center"/>
          </w:tcPr>
          <w:p w14:paraId="653626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tc>
        <w:tc>
          <w:tcPr>
            <w:tcW w:w="3378" w:type="pct"/>
            <w:vAlign w:val="center"/>
          </w:tcPr>
          <w:p w14:paraId="6961C7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genel açıklamaya bakınız.  Toz ve metal emisyonlarının azaltılması şeklinde ortak faydaları vardır.</w:t>
            </w:r>
          </w:p>
          <w:p w14:paraId="67365C8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03F0104" w14:textId="77777777" w:rsidTr="003328F9">
        <w:trPr>
          <w:trHeight w:val="510"/>
        </w:trPr>
        <w:tc>
          <w:tcPr>
            <w:tcW w:w="1622" w:type="pct"/>
            <w:vAlign w:val="center"/>
          </w:tcPr>
          <w:p w14:paraId="416E98D6" w14:textId="24B1C255"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gazına karbon sorbent enjeksiyonu (örneğin aktif karbon veya halojenli aktif karbon)</w:t>
            </w:r>
          </w:p>
        </w:tc>
        <w:tc>
          <w:tcPr>
            <w:tcW w:w="3378" w:type="pct"/>
            <w:vAlign w:val="center"/>
          </w:tcPr>
          <w:p w14:paraId="4AEA0E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arıtma olsun veya olmasın, cıva ve/veya PCDD/F’un (halojenli) aktif karbon gibi karbon sorbentler tarafından adsorbsiyonu. Sorbent enjeksiyonu sistemi, ek bir torba filtre eklenmesiyle geliştirilebilir.</w:t>
            </w:r>
          </w:p>
        </w:tc>
      </w:tr>
      <w:tr w:rsidR="003328F9" w:rsidRPr="00DD0D1F" w14:paraId="7300BF05" w14:textId="77777777" w:rsidTr="003328F9">
        <w:trPr>
          <w:trHeight w:val="183"/>
        </w:trPr>
        <w:tc>
          <w:tcPr>
            <w:tcW w:w="1622" w:type="pct"/>
            <w:vAlign w:val="center"/>
          </w:tcPr>
          <w:p w14:paraId="5C16AC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veya yarı kuru FGD sistemi</w:t>
            </w:r>
          </w:p>
        </w:tc>
        <w:tc>
          <w:tcPr>
            <w:tcW w:w="3378" w:type="pct"/>
            <w:vAlign w:val="center"/>
          </w:tcPr>
          <w:p w14:paraId="6CE39C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 yer alan her tekniğin (ör. sprey kuru emici (SDA), kanala sorbent enjeksiyonu (DSI), dolaşımlı akışkan yataklı (CFB) kuru yıkayıcı) genel açıklamasına bakınız.  Toz ve metal emisyonlarının azaltılması şeklinde ortak faydaları vardır.</w:t>
            </w:r>
          </w:p>
        </w:tc>
      </w:tr>
      <w:tr w:rsidR="003328F9" w:rsidRPr="00DD0D1F" w14:paraId="3CC43AFF" w14:textId="77777777" w:rsidTr="003328F9">
        <w:trPr>
          <w:trHeight w:val="616"/>
        </w:trPr>
        <w:tc>
          <w:tcPr>
            <w:tcW w:w="1622" w:type="pct"/>
            <w:vAlign w:val="center"/>
          </w:tcPr>
          <w:p w14:paraId="7EAD2437" w14:textId="315C10BE" w:rsidR="003328F9" w:rsidRPr="00DD0D1F" w:rsidRDefault="003328F9" w:rsidP="009A6605">
            <w:pPr>
              <w:adjustRightInd w:val="0"/>
              <w:spacing w:line="240" w:lineRule="auto"/>
              <w:ind w:left="74" w:right="74"/>
              <w:rPr>
                <w:rFonts w:cs="Times New Roman"/>
                <w:szCs w:val="24"/>
                <w:lang w:val="tr-TR"/>
              </w:rPr>
            </w:pPr>
            <w:r w:rsidRPr="00DD0D1F">
              <w:rPr>
                <w:rFonts w:cs="Times New Roman"/>
                <w:szCs w:val="24"/>
                <w:lang w:val="tr-TR"/>
              </w:rPr>
              <w:t xml:space="preserve">Elektrostatik </w:t>
            </w:r>
            <w:r w:rsidR="009A6605" w:rsidRPr="00DD0D1F">
              <w:rPr>
                <w:rFonts w:cs="Times New Roman"/>
                <w:szCs w:val="24"/>
                <w:lang w:val="tr-TR"/>
              </w:rPr>
              <w:t>çöktürücü</w:t>
            </w:r>
            <w:r w:rsidRPr="00DD0D1F">
              <w:rPr>
                <w:rFonts w:cs="Times New Roman"/>
                <w:szCs w:val="24"/>
                <w:lang w:val="tr-TR"/>
              </w:rPr>
              <w:t xml:space="preserve"> (ESP)</w:t>
            </w:r>
          </w:p>
        </w:tc>
        <w:tc>
          <w:tcPr>
            <w:tcW w:w="3378" w:type="pct"/>
            <w:vAlign w:val="center"/>
          </w:tcPr>
          <w:p w14:paraId="5353467E" w14:textId="46E0F950" w:rsidR="003328F9" w:rsidRPr="00DD0D1F" w:rsidRDefault="003328F9" w:rsidP="009A6605">
            <w:pPr>
              <w:adjustRightInd w:val="0"/>
              <w:spacing w:line="240" w:lineRule="auto"/>
              <w:ind w:left="74" w:right="74"/>
              <w:rPr>
                <w:rFonts w:cs="Times New Roman"/>
                <w:szCs w:val="24"/>
                <w:lang w:val="tr-TR"/>
              </w:rPr>
            </w:pPr>
            <w:r w:rsidRPr="00DD0D1F">
              <w:rPr>
                <w:rFonts w:cs="Times New Roman"/>
                <w:szCs w:val="24"/>
                <w:lang w:val="tr-TR"/>
              </w:rPr>
              <w:t xml:space="preserve">Elektrostatik </w:t>
            </w:r>
            <w:r w:rsidR="009A6605" w:rsidRPr="00DD0D1F">
              <w:rPr>
                <w:rFonts w:cs="Times New Roman"/>
                <w:szCs w:val="24"/>
                <w:lang w:val="tr-TR"/>
              </w:rPr>
              <w:t>çöktürücüler</w:t>
            </w:r>
            <w:r w:rsidRPr="00DD0D1F">
              <w:rPr>
                <w:rFonts w:cs="Times New Roman"/>
                <w:szCs w:val="24"/>
                <w:lang w:val="tr-TR"/>
              </w:rPr>
              <w:t>, parçacıkların bir elektrik alanı altında yüklenmesi ve ayrılması yaklaşımı ile çalışır. Elektrostatik filtreler çok çeşitli şartlar altında çalışabilmektedir. ESP’nin verimi, alan sayısı, kalış süresi (ebat), katalizör özellikleri ve yukarı yönlü parçacık giderme cihazlarına bağlıdır. ESP'lerde genelde iki ila beş alan bulunur. En yeni (yüksek performanslı) ESP'lerde yedi alan bulunur.</w:t>
            </w:r>
          </w:p>
        </w:tc>
      </w:tr>
      <w:tr w:rsidR="003328F9" w:rsidRPr="00DD0D1F" w14:paraId="6C1462B5" w14:textId="77777777" w:rsidTr="003328F9">
        <w:trPr>
          <w:trHeight w:val="143"/>
        </w:trPr>
        <w:tc>
          <w:tcPr>
            <w:tcW w:w="1622" w:type="pct"/>
            <w:vAlign w:val="center"/>
          </w:tcPr>
          <w:p w14:paraId="4F181FB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3378" w:type="pct"/>
            <w:vAlign w:val="center"/>
          </w:tcPr>
          <w:p w14:paraId="6B8518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kül veya metal (örneğin, cıva) içerikli bir yakıt kullanımı.</w:t>
            </w:r>
          </w:p>
        </w:tc>
      </w:tr>
      <w:tr w:rsidR="003328F9" w:rsidRPr="00DD0D1F" w14:paraId="422CAC48" w14:textId="77777777" w:rsidTr="003328F9">
        <w:trPr>
          <w:trHeight w:val="367"/>
        </w:trPr>
        <w:tc>
          <w:tcPr>
            <w:tcW w:w="1622" w:type="pct"/>
            <w:vAlign w:val="center"/>
          </w:tcPr>
          <w:p w14:paraId="651BA0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Çoklu siklonlar</w:t>
            </w:r>
          </w:p>
        </w:tc>
        <w:tc>
          <w:tcPr>
            <w:tcW w:w="3378" w:type="pct"/>
            <w:vAlign w:val="center"/>
          </w:tcPr>
          <w:p w14:paraId="6FE869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Partiküllerin taşıyıcı gazdan ayrılarak bir veya birkaç bölme içinde toplandığı, merkezkaç kuvvetine dayanan toz kontrol sistemleri takımıdır.</w:t>
            </w:r>
          </w:p>
        </w:tc>
      </w:tr>
      <w:tr w:rsidR="003328F9" w:rsidRPr="00DD0D1F" w14:paraId="2979D7C9" w14:textId="77777777" w:rsidTr="003328F9">
        <w:trPr>
          <w:trHeight w:val="711"/>
        </w:trPr>
        <w:tc>
          <w:tcPr>
            <w:tcW w:w="1622" w:type="pct"/>
            <w:vAlign w:val="center"/>
          </w:tcPr>
          <w:p w14:paraId="46DA2A7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Halojenli katkı maddelerinin yakıta eklenmesi veya fırına enjeksiyonu</w:t>
            </w:r>
          </w:p>
        </w:tc>
        <w:tc>
          <w:tcPr>
            <w:tcW w:w="3378" w:type="pct"/>
            <w:vAlign w:val="center"/>
          </w:tcPr>
          <w:p w14:paraId="3A9CB9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Element cıvanın çözünebilir veya partikül türlerine oksidasyonu için halojenli bileşiklerin (örneğin bromlu katkı maddeleri) fırına eklenmesi. Bu sayede sonraki azaltım sistemlerinde cıva giderme oranı artar.</w:t>
            </w:r>
          </w:p>
        </w:tc>
      </w:tr>
      <w:tr w:rsidR="003328F9" w:rsidRPr="00DD0D1F" w14:paraId="3B096EFB" w14:textId="77777777" w:rsidTr="003328F9">
        <w:trPr>
          <w:trHeight w:val="222"/>
        </w:trPr>
        <w:tc>
          <w:tcPr>
            <w:tcW w:w="1622" w:type="pct"/>
            <w:vAlign w:val="center"/>
          </w:tcPr>
          <w:p w14:paraId="4257EFF8" w14:textId="03C096D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3378" w:type="pct"/>
            <w:vAlign w:val="center"/>
          </w:tcPr>
          <w:p w14:paraId="429DCE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genel açıklamaya bakınız. Toz ve metal emisyonlarının azaltılması şeklinde ortak faydaları vardır.</w:t>
            </w:r>
          </w:p>
        </w:tc>
      </w:tr>
    </w:tbl>
    <w:p w14:paraId="73F36DC5" w14:textId="77777777" w:rsidR="003328F9" w:rsidRPr="00DD0D1F" w:rsidRDefault="003328F9" w:rsidP="00FF111D">
      <w:pPr>
        <w:pStyle w:val="Balk2"/>
        <w:numPr>
          <w:ilvl w:val="1"/>
          <w:numId w:val="75"/>
        </w:numPr>
        <w:rPr>
          <w:rFonts w:cs="Times New Roman"/>
          <w:szCs w:val="24"/>
        </w:rPr>
      </w:pPr>
      <w:bookmarkStart w:id="179" w:name="_Toc137367359"/>
      <w:r w:rsidRPr="00DD0D1F">
        <w:rPr>
          <w:rFonts w:cs="Times New Roman"/>
          <w:szCs w:val="24"/>
        </w:rPr>
        <w:t>Suya Emisyonları Azaltma Teknikleri</w:t>
      </w:r>
      <w:bookmarkEnd w:id="179"/>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32"/>
        <w:gridCol w:w="5945"/>
      </w:tblGrid>
      <w:tr w:rsidR="003328F9" w:rsidRPr="00DD0D1F" w14:paraId="0C082EC0" w14:textId="77777777" w:rsidTr="003328F9">
        <w:trPr>
          <w:trHeight w:val="367"/>
          <w:tblHeader/>
        </w:trPr>
        <w:tc>
          <w:tcPr>
            <w:tcW w:w="1725" w:type="pct"/>
            <w:vAlign w:val="center"/>
          </w:tcPr>
          <w:p w14:paraId="5CC70F8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275" w:type="pct"/>
            <w:vAlign w:val="center"/>
          </w:tcPr>
          <w:p w14:paraId="5BACB77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021B0F61" w14:textId="77777777" w:rsidTr="003328F9">
        <w:trPr>
          <w:trHeight w:val="400"/>
        </w:trPr>
        <w:tc>
          <w:tcPr>
            <w:tcW w:w="1725" w:type="pct"/>
            <w:vAlign w:val="center"/>
          </w:tcPr>
          <w:p w14:paraId="30F6244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Aktif karbonun adsorbsiyonu</w:t>
            </w:r>
          </w:p>
        </w:tc>
        <w:tc>
          <w:tcPr>
            <w:tcW w:w="3275" w:type="pct"/>
            <w:vAlign w:val="center"/>
          </w:tcPr>
          <w:p w14:paraId="6DDAE8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Çözünür kirleticilerin katı, son derece gözenekli parçacıkların (adsorban) yüzeyinde tutulması. Aktif karbon, organik bileşikler ve cıvanın adsorbsiyonu için kullanılır.</w:t>
            </w:r>
          </w:p>
        </w:tc>
      </w:tr>
      <w:tr w:rsidR="003328F9" w:rsidRPr="00DD0D1F" w14:paraId="73549E40" w14:textId="77777777" w:rsidTr="003328F9">
        <w:trPr>
          <w:trHeight w:val="738"/>
        </w:trPr>
        <w:tc>
          <w:tcPr>
            <w:tcW w:w="1725" w:type="pct"/>
            <w:vAlign w:val="center"/>
          </w:tcPr>
          <w:p w14:paraId="6329BA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Aerobik biyolojik arıtma</w:t>
            </w:r>
          </w:p>
        </w:tc>
        <w:tc>
          <w:tcPr>
            <w:tcW w:w="3275" w:type="pct"/>
            <w:vAlign w:val="center"/>
          </w:tcPr>
          <w:p w14:paraId="52D93F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Çözünmüş organik kirleticilerin mikroorganizma metabolizmasında oksijen ile biyolojik oksidasyonu. Çözünmüş oksijen (hava veya saf oksijen olarak enjeksiyon) varlığında, organik bileşenler karbon dioksit ve suya mineralize edilir veya başka metabolitlere ve biyokütleye dönüştürülür. Belirli koşullarda, mikroorganizmaların amonyumu (NH</w:t>
            </w:r>
            <w:r w:rsidRPr="00DD0D1F">
              <w:rPr>
                <w:rFonts w:cs="Times New Roman"/>
                <w:szCs w:val="24"/>
                <w:vertAlign w:val="subscript"/>
                <w:lang w:val="tr-TR"/>
              </w:rPr>
              <w:t>4</w:t>
            </w:r>
            <w:r w:rsidRPr="00DD0D1F">
              <w:rPr>
                <w:rFonts w:cs="Times New Roman"/>
                <w:szCs w:val="24"/>
                <w:vertAlign w:val="superscript"/>
                <w:lang w:val="tr-TR"/>
              </w:rPr>
              <w:t>+</w:t>
            </w:r>
            <w:r w:rsidRPr="00DD0D1F">
              <w:rPr>
                <w:rFonts w:cs="Times New Roman"/>
                <w:szCs w:val="24"/>
                <w:lang w:val="tr-TR"/>
              </w:rPr>
              <w:t>) ara madde olan ve daha sonra nitrata (NO</w:t>
            </w:r>
            <w:r w:rsidRPr="00DD0D1F">
              <w:rPr>
                <w:rFonts w:cs="Times New Roman"/>
                <w:szCs w:val="24"/>
                <w:vertAlign w:val="subscript"/>
                <w:lang w:val="tr-TR"/>
              </w:rPr>
              <w:t>3</w:t>
            </w:r>
            <w:r w:rsidRPr="00DD0D1F">
              <w:rPr>
                <w:rFonts w:cs="Times New Roman"/>
                <w:szCs w:val="24"/>
                <w:vertAlign w:val="superscript"/>
                <w:lang w:val="tr-TR"/>
              </w:rPr>
              <w:t>-</w:t>
            </w:r>
            <w:r w:rsidRPr="00DD0D1F">
              <w:rPr>
                <w:rFonts w:cs="Times New Roman"/>
                <w:szCs w:val="24"/>
                <w:lang w:val="tr-TR"/>
              </w:rPr>
              <w:t>) okside edilen nitrite (NO</w:t>
            </w:r>
            <w:r w:rsidRPr="00DD0D1F">
              <w:rPr>
                <w:rFonts w:cs="Times New Roman"/>
                <w:szCs w:val="24"/>
                <w:vertAlign w:val="subscript"/>
                <w:lang w:val="tr-TR"/>
              </w:rPr>
              <w:t>2</w:t>
            </w:r>
            <w:r w:rsidRPr="00DD0D1F">
              <w:rPr>
                <w:rFonts w:cs="Times New Roman"/>
                <w:szCs w:val="24"/>
                <w:vertAlign w:val="superscript"/>
                <w:lang w:val="tr-TR"/>
              </w:rPr>
              <w:t>-</w:t>
            </w:r>
            <w:r w:rsidRPr="00DD0D1F">
              <w:rPr>
                <w:rFonts w:cs="Times New Roman"/>
                <w:szCs w:val="24"/>
                <w:lang w:val="tr-TR"/>
              </w:rPr>
              <w:t>) oksitlediği aerobik nitrifikasyon meydana gelir.</w:t>
            </w:r>
          </w:p>
        </w:tc>
      </w:tr>
      <w:tr w:rsidR="003328F9" w:rsidRPr="00DD0D1F" w14:paraId="083EA6EB" w14:textId="77777777" w:rsidTr="003328F9">
        <w:trPr>
          <w:trHeight w:val="935"/>
        </w:trPr>
        <w:tc>
          <w:tcPr>
            <w:tcW w:w="1725" w:type="pct"/>
            <w:vAlign w:val="center"/>
          </w:tcPr>
          <w:p w14:paraId="1047F6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Anoksik/anaerobik biyolojik arıtma</w:t>
            </w:r>
          </w:p>
        </w:tc>
        <w:tc>
          <w:tcPr>
            <w:tcW w:w="3275" w:type="pct"/>
            <w:vAlign w:val="center"/>
          </w:tcPr>
          <w:p w14:paraId="33D628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Mikroorganizma metabolizmasında kirleticilerin biyolojik indirgemesi; (örneğin nitrat (NO</w:t>
            </w:r>
            <w:r w:rsidRPr="00DD0D1F">
              <w:rPr>
                <w:rFonts w:cs="Times New Roman"/>
                <w:szCs w:val="24"/>
                <w:vertAlign w:val="subscript"/>
                <w:lang w:val="tr-TR"/>
              </w:rPr>
              <w:t>3</w:t>
            </w:r>
            <w:r w:rsidRPr="00DD0D1F">
              <w:rPr>
                <w:rFonts w:cs="Times New Roman"/>
                <w:szCs w:val="24"/>
                <w:vertAlign w:val="superscript"/>
                <w:lang w:val="tr-TR"/>
              </w:rPr>
              <w:t>-</w:t>
            </w:r>
            <w:r w:rsidRPr="00DD0D1F">
              <w:rPr>
                <w:rFonts w:cs="Times New Roman"/>
                <w:szCs w:val="24"/>
                <w:lang w:val="tr-TR"/>
              </w:rPr>
              <w:t>) gaz halindeki element azota indirgenir, oksitlenebilir cıva türleri element cıvaya indirgenir). Yaş azaltma sistemleri kullanımından kaynaklanan atık suyun anoksik/anaerobik arıtması aktif karbonu taşıyıcı olarak kullanan sabit filmli biyoreaktörlerde gerçekleştirilir.</w:t>
            </w:r>
          </w:p>
          <w:p w14:paraId="39D3AA7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Cıvanın giderilmesine ilişkin anoksik/anaerobik biyolojik arıtma, diğer teknikler ile birlikte uygulanır.</w:t>
            </w:r>
          </w:p>
        </w:tc>
      </w:tr>
      <w:tr w:rsidR="003328F9" w:rsidRPr="00DD0D1F" w14:paraId="57513DE3" w14:textId="77777777" w:rsidTr="003328F9">
        <w:trPr>
          <w:trHeight w:val="680"/>
        </w:trPr>
        <w:tc>
          <w:tcPr>
            <w:tcW w:w="1725" w:type="pct"/>
            <w:vAlign w:val="center"/>
          </w:tcPr>
          <w:p w14:paraId="66962E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Koagülasyon ve flokülasyon</w:t>
            </w:r>
          </w:p>
        </w:tc>
        <w:tc>
          <w:tcPr>
            <w:tcW w:w="3275" w:type="pct"/>
            <w:vAlign w:val="center"/>
          </w:tcPr>
          <w:p w14:paraId="2A74A1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Koagülasyon ve flokülasyon, askıdaki katı maddelerin atık sudan ayrılması için kullanılır ve genellikle ardışık aşamalar şeklinde gerçekleştirilir. Koagülasyon, askıdaki katı maddelerinkine ters yüklere sahip koagülantlar eklenmesi ile gerçekleştirilir. Flokülasyon polimerlerin eklenmesi ile gerçekleştirilir, böylece mikro topak parçacıkların çarpışmaları, daha büyük topaklar üretecek şekilde bağlanmalarına neden olur.</w:t>
            </w:r>
          </w:p>
        </w:tc>
      </w:tr>
      <w:tr w:rsidR="003328F9" w:rsidRPr="00DD0D1F" w14:paraId="738C9246" w14:textId="77777777" w:rsidTr="003328F9">
        <w:trPr>
          <w:trHeight w:val="225"/>
        </w:trPr>
        <w:tc>
          <w:tcPr>
            <w:tcW w:w="1725" w:type="pct"/>
            <w:vAlign w:val="center"/>
          </w:tcPr>
          <w:p w14:paraId="62C012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Kristalizasyon</w:t>
            </w:r>
          </w:p>
        </w:tc>
        <w:tc>
          <w:tcPr>
            <w:tcW w:w="3275" w:type="pct"/>
            <w:vAlign w:val="center"/>
          </w:tcPr>
          <w:p w14:paraId="7D9FB9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Akışkan yatak prosesinde kum veya mineraller gibi tohum malzeme üzerinde iyonik kirleticilerin kristalleştirilmesiyle atık sudan giderilmesi.</w:t>
            </w:r>
          </w:p>
        </w:tc>
      </w:tr>
      <w:tr w:rsidR="003328F9" w:rsidRPr="00DD0D1F" w14:paraId="0F5189A6" w14:textId="77777777" w:rsidTr="003328F9">
        <w:trPr>
          <w:trHeight w:val="414"/>
        </w:trPr>
        <w:tc>
          <w:tcPr>
            <w:tcW w:w="1725" w:type="pct"/>
            <w:vAlign w:val="center"/>
          </w:tcPr>
          <w:p w14:paraId="72D48F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Filtrasyon</w:t>
            </w:r>
          </w:p>
        </w:tc>
        <w:tc>
          <w:tcPr>
            <w:tcW w:w="3275" w:type="pct"/>
            <w:vAlign w:val="center"/>
          </w:tcPr>
          <w:p w14:paraId="5F8F16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Katı maddelerin, gözenekli bir ortamdan geçirerek atık sudan ayrılması. Kum filtrasyon. mikrofiltrasyon ve ultrafiltrasyon gibi farklı türde teknikleri kapsar.</w:t>
            </w:r>
          </w:p>
        </w:tc>
      </w:tr>
      <w:tr w:rsidR="003328F9" w:rsidRPr="00DD0D1F" w14:paraId="054CD3D4" w14:textId="77777777" w:rsidTr="003328F9">
        <w:trPr>
          <w:trHeight w:val="251"/>
        </w:trPr>
        <w:tc>
          <w:tcPr>
            <w:tcW w:w="1725" w:type="pct"/>
            <w:vAlign w:val="center"/>
          </w:tcPr>
          <w:p w14:paraId="461A509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Flotasyon</w:t>
            </w:r>
          </w:p>
        </w:tc>
        <w:tc>
          <w:tcPr>
            <w:tcW w:w="3275" w:type="pct"/>
            <w:vAlign w:val="center"/>
          </w:tcPr>
          <w:p w14:paraId="7A9370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Katı veya sıvı partiküllerin, ince gaz, genellikle hava kabarcıklarına bağlanarak atık sudan ayrılması. Yüzer partiküller, su yüzeyinde birikir ve sıyırıcılar ile toplanır.</w:t>
            </w:r>
          </w:p>
        </w:tc>
      </w:tr>
      <w:tr w:rsidR="003328F9" w:rsidRPr="00DD0D1F" w14:paraId="69588982" w14:textId="77777777" w:rsidTr="003328F9">
        <w:trPr>
          <w:trHeight w:val="298"/>
        </w:trPr>
        <w:tc>
          <w:tcPr>
            <w:tcW w:w="1725" w:type="pct"/>
            <w:vAlign w:val="center"/>
          </w:tcPr>
          <w:p w14:paraId="6F6711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İyon değişimi</w:t>
            </w:r>
          </w:p>
        </w:tc>
        <w:tc>
          <w:tcPr>
            <w:tcW w:w="3275" w:type="pct"/>
            <w:vAlign w:val="center"/>
          </w:tcPr>
          <w:p w14:paraId="60138E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 sudaki iyonik kirleticilerin tutulması ve bir iyon değiştirme reçinesinde diğer kabul edilebilir iyonlarla yer değiştirmesi. Kirleticiler, geçici olarak tutulur ve daha sonra bir rejenerasyon veya geri yıkama sıvısına salınır.</w:t>
            </w:r>
          </w:p>
        </w:tc>
      </w:tr>
      <w:tr w:rsidR="003328F9" w:rsidRPr="00DD0D1F" w14:paraId="7C1822A5" w14:textId="77777777" w:rsidTr="003328F9">
        <w:trPr>
          <w:trHeight w:val="729"/>
        </w:trPr>
        <w:tc>
          <w:tcPr>
            <w:tcW w:w="1725" w:type="pct"/>
            <w:vAlign w:val="center"/>
          </w:tcPr>
          <w:p w14:paraId="04A022B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Nötralizasyon</w:t>
            </w:r>
          </w:p>
        </w:tc>
        <w:tc>
          <w:tcPr>
            <w:tcW w:w="3275" w:type="pct"/>
            <w:vAlign w:val="center"/>
          </w:tcPr>
          <w:p w14:paraId="0E5F60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 suyun pH değerinin kimyasalların eklenmesiyle ile nötr bir seviyeye (yaklaşık 7) getirilmesi. pH'ı arttırmak için genellikle sodyum hidroksit (NaOH) veya kalsiyum hidroksit (Ca (OH)</w:t>
            </w:r>
            <w:r w:rsidRPr="00DD0D1F">
              <w:rPr>
                <w:rFonts w:cs="Times New Roman"/>
                <w:szCs w:val="24"/>
                <w:vertAlign w:val="subscript"/>
                <w:lang w:val="tr-TR"/>
              </w:rPr>
              <w:t>2</w:t>
            </w:r>
            <w:r w:rsidRPr="00DD0D1F">
              <w:rPr>
                <w:rFonts w:cs="Times New Roman"/>
                <w:szCs w:val="24"/>
                <w:lang w:val="tr-TR"/>
              </w:rPr>
              <w:t>) kullanılırken; pH'ı düşürmek için genellikle sülfürik asit (H</w:t>
            </w:r>
            <w:r w:rsidRPr="00DD0D1F">
              <w:rPr>
                <w:rFonts w:cs="Times New Roman"/>
                <w:szCs w:val="24"/>
                <w:vertAlign w:val="subscript"/>
                <w:lang w:val="tr-TR"/>
              </w:rPr>
              <w:t>2</w:t>
            </w:r>
            <w:r w:rsidRPr="00DD0D1F">
              <w:rPr>
                <w:rFonts w:cs="Times New Roman"/>
                <w:szCs w:val="24"/>
                <w:lang w:val="tr-TR"/>
              </w:rPr>
              <w:t>SO</w:t>
            </w:r>
            <w:r w:rsidRPr="00DD0D1F">
              <w:rPr>
                <w:rFonts w:cs="Times New Roman"/>
                <w:szCs w:val="24"/>
                <w:vertAlign w:val="subscript"/>
                <w:lang w:val="tr-TR"/>
              </w:rPr>
              <w:t>4</w:t>
            </w:r>
            <w:r w:rsidRPr="00DD0D1F">
              <w:rPr>
                <w:rFonts w:cs="Times New Roman"/>
                <w:szCs w:val="24"/>
                <w:lang w:val="tr-TR"/>
              </w:rPr>
              <w:t>), hidroklorik asit (HCl) veya karbondioksit (CO</w:t>
            </w:r>
            <w:r w:rsidRPr="00DD0D1F">
              <w:rPr>
                <w:rFonts w:cs="Times New Roman"/>
                <w:szCs w:val="24"/>
                <w:vertAlign w:val="subscript"/>
                <w:lang w:val="tr-TR"/>
              </w:rPr>
              <w:t>2</w:t>
            </w:r>
            <w:r w:rsidRPr="00DD0D1F">
              <w:rPr>
                <w:rFonts w:cs="Times New Roman"/>
                <w:szCs w:val="24"/>
                <w:lang w:val="tr-TR"/>
              </w:rPr>
              <w:t>) kullanılır. Nötralizasyon sırasında bazı kirleticiler çökelebilir.</w:t>
            </w:r>
          </w:p>
        </w:tc>
      </w:tr>
      <w:tr w:rsidR="003328F9" w:rsidRPr="00DD0D1F" w14:paraId="473980DB" w14:textId="77777777" w:rsidTr="003328F9">
        <w:trPr>
          <w:trHeight w:val="402"/>
        </w:trPr>
        <w:tc>
          <w:tcPr>
            <w:tcW w:w="1725" w:type="pct"/>
            <w:vAlign w:val="center"/>
          </w:tcPr>
          <w:p w14:paraId="44F60D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Yağ-su ayırma</w:t>
            </w:r>
          </w:p>
        </w:tc>
        <w:tc>
          <w:tcPr>
            <w:tcW w:w="3275" w:type="pct"/>
            <w:vAlign w:val="center"/>
          </w:tcPr>
          <w:p w14:paraId="2E672D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Serbest yağın atık sudan, Amerikan Petrol Enstitüsü ayırıcısı, oluk levhalı durdurucu veya paralel levhalı durdurucu gibi cihazlar kullanarak ağırlıksal ayırma yöntemiyle giderilmesi. Yağ-su ayırmanın ardından flotasyon gelir, koagülasyon/flokülasyon ile desteklenir. Bazı durumlarda, yağ-su ayırma öncesinde emülsiyon kırma gerekebilir.</w:t>
            </w:r>
          </w:p>
        </w:tc>
      </w:tr>
      <w:tr w:rsidR="003328F9" w:rsidRPr="00DD0D1F" w14:paraId="03FE933D" w14:textId="77777777" w:rsidTr="003328F9">
        <w:trPr>
          <w:trHeight w:val="356"/>
        </w:trPr>
        <w:tc>
          <w:tcPr>
            <w:tcW w:w="1725" w:type="pct"/>
            <w:vAlign w:val="center"/>
          </w:tcPr>
          <w:p w14:paraId="04111F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Oksidasyon</w:t>
            </w:r>
          </w:p>
        </w:tc>
        <w:tc>
          <w:tcPr>
            <w:tcW w:w="3275" w:type="pct"/>
            <w:vAlign w:val="center"/>
          </w:tcPr>
          <w:p w14:paraId="1FF48E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Kirleticilerin, kimyasal oksitleyici maddeler tarafından daha az tehlikeli  ve/veya azaltılması daha kolay olan benzer bileşiklere dönüştürülmesi. Yaş azaltma sistemleri kullanımından kaynaklanan atık su söz konusu olduğunda, sülfiti (SO</w:t>
            </w:r>
            <w:r w:rsidRPr="00DD0D1F">
              <w:rPr>
                <w:rFonts w:cs="Times New Roman"/>
                <w:szCs w:val="24"/>
                <w:vertAlign w:val="subscript"/>
                <w:lang w:val="tr-TR"/>
              </w:rPr>
              <w:t>3</w:t>
            </w:r>
            <w:r w:rsidRPr="00DD0D1F">
              <w:rPr>
                <w:rFonts w:cs="Times New Roman"/>
                <w:szCs w:val="24"/>
                <w:vertAlign w:val="superscript"/>
                <w:lang w:val="tr-TR"/>
              </w:rPr>
              <w:t>2-</w:t>
            </w:r>
            <w:r w:rsidRPr="00DD0D1F">
              <w:rPr>
                <w:rFonts w:cs="Times New Roman"/>
                <w:szCs w:val="24"/>
                <w:lang w:val="tr-TR"/>
              </w:rPr>
              <w:t>) sülfata (SO</w:t>
            </w:r>
            <w:r w:rsidRPr="00DD0D1F">
              <w:rPr>
                <w:rFonts w:cs="Times New Roman"/>
                <w:szCs w:val="24"/>
                <w:vertAlign w:val="subscript"/>
                <w:lang w:val="tr-TR"/>
              </w:rPr>
              <w:t>4</w:t>
            </w:r>
            <w:r w:rsidRPr="00DD0D1F">
              <w:rPr>
                <w:rFonts w:cs="Times New Roman"/>
                <w:szCs w:val="24"/>
                <w:vertAlign w:val="superscript"/>
                <w:lang w:val="tr-TR"/>
              </w:rPr>
              <w:t>2-</w:t>
            </w:r>
            <w:r w:rsidRPr="00DD0D1F">
              <w:rPr>
                <w:rFonts w:cs="Times New Roman"/>
                <w:szCs w:val="24"/>
                <w:lang w:val="tr-TR"/>
              </w:rPr>
              <w:t>) oksitlemek için hava kullanılabilir.</w:t>
            </w:r>
          </w:p>
        </w:tc>
      </w:tr>
      <w:tr w:rsidR="003328F9" w:rsidRPr="00DD0D1F" w14:paraId="7356BF37" w14:textId="77777777" w:rsidTr="003328F9">
        <w:trPr>
          <w:trHeight w:val="733"/>
        </w:trPr>
        <w:tc>
          <w:tcPr>
            <w:tcW w:w="1725" w:type="pct"/>
            <w:vAlign w:val="center"/>
          </w:tcPr>
          <w:p w14:paraId="586344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Çökelme</w:t>
            </w:r>
          </w:p>
        </w:tc>
        <w:tc>
          <w:tcPr>
            <w:tcW w:w="3275" w:type="pct"/>
            <w:vAlign w:val="center"/>
          </w:tcPr>
          <w:p w14:paraId="7349DAA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Çözünmüş kirleticilerin kimyasal çökelticiler eklenerek çözünmez bileşiklere dönüştürülmesi. Oluşturulan katı çökelticiler daha sonra çökeltme, flotasyon veya filtrasyon ile ayrıştırılır. Metal çökelmesi için kullanılan tipik kimyasallar, kireç, dolomit, sodyum hidroksit, sodyum karbonat, sodyum sülfit ve organosülfürlerdir. Sülfat veya florürü çöktürmek için kalsiyum tuzları (kireç dışında) kullanılır.</w:t>
            </w:r>
          </w:p>
        </w:tc>
      </w:tr>
      <w:tr w:rsidR="003328F9" w:rsidRPr="00DD0D1F" w14:paraId="60982B63" w14:textId="77777777" w:rsidTr="003328F9">
        <w:trPr>
          <w:trHeight w:val="49"/>
        </w:trPr>
        <w:tc>
          <w:tcPr>
            <w:tcW w:w="1725" w:type="pct"/>
            <w:vAlign w:val="center"/>
          </w:tcPr>
          <w:p w14:paraId="61F28C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Çökeltme</w:t>
            </w:r>
          </w:p>
        </w:tc>
        <w:tc>
          <w:tcPr>
            <w:tcW w:w="3275" w:type="pct"/>
            <w:vAlign w:val="center"/>
          </w:tcPr>
          <w:p w14:paraId="31107D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maddelerin yerçekimli çöktürme yoluyla ayrılması.</w:t>
            </w:r>
          </w:p>
        </w:tc>
      </w:tr>
      <w:tr w:rsidR="003328F9" w:rsidRPr="00DD0D1F" w14:paraId="50457255" w14:textId="77777777" w:rsidTr="003328F9">
        <w:trPr>
          <w:trHeight w:val="507"/>
        </w:trPr>
        <w:tc>
          <w:tcPr>
            <w:tcW w:w="1725" w:type="pct"/>
            <w:vAlign w:val="center"/>
          </w:tcPr>
          <w:p w14:paraId="48C54C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Sıyırma</w:t>
            </w:r>
          </w:p>
        </w:tc>
        <w:tc>
          <w:tcPr>
            <w:tcW w:w="3275" w:type="pct"/>
            <w:vAlign w:val="center"/>
          </w:tcPr>
          <w:p w14:paraId="540B4A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Kirleticileri gaz fazına transfer etmek için yüksek bir gaz akışı ile temas ettirilerek uzaklaştırılabilir kirleticilerin (örneğin amonyak) atık sudan giderilmesi. Kirleticiler, sonraki bir arıtma işlemiyle sıyırma gazından giderilebilir ve potansiyel olarak yeniden kullanılabilir.</w:t>
            </w:r>
          </w:p>
        </w:tc>
      </w:tr>
    </w:tbl>
    <w:p w14:paraId="35A3EFEE" w14:textId="77777777" w:rsidR="004C6D90" w:rsidRDefault="004C6D90" w:rsidP="003E40BF">
      <w:pPr>
        <w:pStyle w:val="Balk1"/>
        <w:numPr>
          <w:ilvl w:val="0"/>
          <w:numId w:val="0"/>
        </w:numPr>
        <w:spacing w:before="240"/>
        <w:jc w:val="right"/>
        <w:rPr>
          <w:rFonts w:cs="Times New Roman"/>
          <w:szCs w:val="24"/>
        </w:rPr>
      </w:pPr>
    </w:p>
    <w:p w14:paraId="608A415F" w14:textId="07BE9698" w:rsidR="003E40BF" w:rsidRPr="00DD0D1F" w:rsidRDefault="003E40BF" w:rsidP="003E40BF">
      <w:pPr>
        <w:pStyle w:val="Balk1"/>
        <w:numPr>
          <w:ilvl w:val="0"/>
          <w:numId w:val="0"/>
        </w:numPr>
        <w:spacing w:before="240"/>
        <w:jc w:val="right"/>
        <w:rPr>
          <w:rFonts w:cs="Times New Roman"/>
          <w:szCs w:val="24"/>
        </w:rPr>
      </w:pPr>
      <w:r w:rsidRPr="00DD0D1F">
        <w:rPr>
          <w:rFonts w:cs="Times New Roman"/>
          <w:szCs w:val="24"/>
        </w:rPr>
        <w:t>EK-</w:t>
      </w:r>
      <w:r w:rsidR="00DD0D1F">
        <w:rPr>
          <w:rFonts w:cs="Times New Roman"/>
          <w:szCs w:val="24"/>
        </w:rPr>
        <w:t>3</w:t>
      </w:r>
    </w:p>
    <w:p w14:paraId="32FAD465" w14:textId="5F88087C" w:rsidR="003E40BF" w:rsidRPr="00DD0D1F" w:rsidRDefault="003E40BF" w:rsidP="003E40BF">
      <w:pPr>
        <w:pStyle w:val="Balk1"/>
        <w:numPr>
          <w:ilvl w:val="0"/>
          <w:numId w:val="0"/>
        </w:numPr>
        <w:spacing w:before="240"/>
        <w:jc w:val="center"/>
        <w:rPr>
          <w:rFonts w:cs="Times New Roman"/>
          <w:szCs w:val="24"/>
        </w:rPr>
      </w:pPr>
      <w:r w:rsidRPr="00DD0D1F">
        <w:rPr>
          <w:rFonts w:cs="Times New Roman"/>
          <w:szCs w:val="24"/>
        </w:rPr>
        <w:t>RAFİNERİLER İÇİN MEVCUT EN İYİ TEKNİKLER</w:t>
      </w:r>
    </w:p>
    <w:p w14:paraId="40EB9D0B" w14:textId="53F2F4DF" w:rsidR="003E40BF" w:rsidRPr="00DD0D1F" w:rsidRDefault="00A508A2" w:rsidP="007C4D71">
      <w:pPr>
        <w:rPr>
          <w:rFonts w:cs="Times New Roman"/>
          <w:b/>
          <w:szCs w:val="24"/>
        </w:rPr>
      </w:pPr>
      <w:r w:rsidRPr="00DD0D1F">
        <w:rPr>
          <w:rFonts w:cs="Times New Roman"/>
          <w:b/>
          <w:szCs w:val="24"/>
        </w:rPr>
        <w:t>1 Genel Hususlar</w:t>
      </w:r>
    </w:p>
    <w:p w14:paraId="25808971" w14:textId="596C91D7" w:rsidR="00A508A2" w:rsidRPr="00DD0D1F" w:rsidRDefault="00A508A2" w:rsidP="00DD0D1F">
      <w:pPr>
        <w:pStyle w:val="GvdeMetni"/>
        <w:spacing w:before="126" w:line="360" w:lineRule="auto"/>
        <w:jc w:val="both"/>
        <w:rPr>
          <w:sz w:val="24"/>
          <w:szCs w:val="24"/>
          <w:lang w:val="tr"/>
        </w:rPr>
      </w:pPr>
      <w:r w:rsidRPr="00DD0D1F">
        <w:rPr>
          <w:sz w:val="24"/>
          <w:szCs w:val="24"/>
          <w:lang w:val="tr"/>
        </w:rPr>
        <w:t>Bu MET sonuçları özellikle aşağıdaki prosesleri ve faaliyetleri kapsar: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3"/>
        <w:gridCol w:w="5504"/>
      </w:tblGrid>
      <w:tr w:rsidR="00A508A2" w:rsidRPr="00DD0D1F" w14:paraId="0D656AAF"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4F258054" w14:textId="77777777" w:rsidR="00A508A2" w:rsidRPr="00DD0D1F" w:rsidRDefault="00A508A2" w:rsidP="00A508A2">
            <w:pPr>
              <w:pStyle w:val="TableParagraph"/>
              <w:spacing w:before="24"/>
              <w:ind w:left="1232" w:right="1225"/>
              <w:jc w:val="center"/>
              <w:rPr>
                <w:b/>
                <w:szCs w:val="24"/>
              </w:rPr>
            </w:pPr>
            <w:r w:rsidRPr="00DD0D1F">
              <w:rPr>
                <w:b/>
                <w:bCs/>
                <w:szCs w:val="24"/>
              </w:rPr>
              <w:t>Faaliyet</w:t>
            </w:r>
          </w:p>
        </w:tc>
        <w:tc>
          <w:tcPr>
            <w:tcW w:w="3032" w:type="pct"/>
            <w:tcBorders>
              <w:top w:val="single" w:sz="4" w:space="0" w:color="000000"/>
              <w:left w:val="single" w:sz="4" w:space="0" w:color="000000"/>
              <w:bottom w:val="single" w:sz="4" w:space="0" w:color="000000"/>
              <w:right w:val="single" w:sz="4" w:space="0" w:color="000000"/>
            </w:tcBorders>
            <w:hideMark/>
          </w:tcPr>
          <w:p w14:paraId="6CB8ECE8" w14:textId="77777777" w:rsidR="00A508A2" w:rsidRPr="00DD0D1F" w:rsidRDefault="00A508A2" w:rsidP="00A508A2">
            <w:pPr>
              <w:pStyle w:val="TableParagraph"/>
              <w:spacing w:before="24"/>
              <w:ind w:left="521"/>
              <w:rPr>
                <w:b/>
                <w:szCs w:val="24"/>
              </w:rPr>
            </w:pPr>
            <w:r w:rsidRPr="00DD0D1F">
              <w:rPr>
                <w:b/>
                <w:bCs/>
                <w:szCs w:val="24"/>
              </w:rPr>
              <w:t>Faaliyete dahil olan alt faaliyetler veya prosesler</w:t>
            </w:r>
          </w:p>
        </w:tc>
      </w:tr>
      <w:tr w:rsidR="00A508A2" w:rsidRPr="00DD0D1F" w14:paraId="4B8F478E"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06BA6C5B" w14:textId="77777777" w:rsidR="00A508A2" w:rsidRPr="00DD0D1F" w:rsidRDefault="00A508A2" w:rsidP="00A508A2">
            <w:pPr>
              <w:pStyle w:val="TableParagraph"/>
              <w:ind w:left="107"/>
              <w:rPr>
                <w:szCs w:val="24"/>
              </w:rPr>
            </w:pPr>
            <w:r w:rsidRPr="00DD0D1F">
              <w:rPr>
                <w:szCs w:val="24"/>
              </w:rPr>
              <w:t>Alkilasyon</w:t>
            </w:r>
          </w:p>
        </w:tc>
        <w:tc>
          <w:tcPr>
            <w:tcW w:w="3032" w:type="pct"/>
            <w:tcBorders>
              <w:top w:val="single" w:sz="4" w:space="0" w:color="000000"/>
              <w:left w:val="single" w:sz="4" w:space="0" w:color="000000"/>
              <w:bottom w:val="single" w:sz="4" w:space="0" w:color="000000"/>
              <w:right w:val="single" w:sz="4" w:space="0" w:color="000000"/>
            </w:tcBorders>
            <w:hideMark/>
          </w:tcPr>
          <w:p w14:paraId="38DB9C0D" w14:textId="77777777" w:rsidR="00A508A2" w:rsidRPr="00DD0D1F" w:rsidRDefault="00A508A2" w:rsidP="00A508A2">
            <w:pPr>
              <w:pStyle w:val="TableParagraph"/>
              <w:tabs>
                <w:tab w:val="left" w:pos="566"/>
                <w:tab w:val="left" w:pos="1575"/>
                <w:tab w:val="left" w:pos="2606"/>
                <w:tab w:val="left" w:pos="3811"/>
                <w:tab w:val="left" w:pos="4353"/>
              </w:tabs>
              <w:spacing w:line="223" w:lineRule="exact"/>
              <w:ind w:left="105"/>
              <w:rPr>
                <w:szCs w:val="24"/>
                <w:lang w:val="fi-FI"/>
              </w:rPr>
            </w:pPr>
            <w:r w:rsidRPr="00DD0D1F">
              <w:rPr>
                <w:szCs w:val="24"/>
              </w:rPr>
              <w:t>Tüm</w:t>
            </w:r>
            <w:r w:rsidRPr="00DD0D1F">
              <w:rPr>
                <w:szCs w:val="24"/>
              </w:rPr>
              <w:tab/>
              <w:t>alkilasyon</w:t>
            </w:r>
            <w:r w:rsidRPr="00DD0D1F">
              <w:rPr>
                <w:szCs w:val="24"/>
              </w:rPr>
              <w:tab/>
              <w:t>prosesleri:</w:t>
            </w:r>
            <w:r w:rsidRPr="00DD0D1F">
              <w:rPr>
                <w:szCs w:val="24"/>
              </w:rPr>
              <w:tab/>
              <w:t>hidroflorik asit (HF),</w:t>
            </w:r>
          </w:p>
          <w:p w14:paraId="5BFE7304" w14:textId="77777777" w:rsidR="00A508A2" w:rsidRPr="00DD0D1F" w:rsidRDefault="00A508A2" w:rsidP="00A508A2">
            <w:pPr>
              <w:pStyle w:val="TableParagraph"/>
              <w:spacing w:line="217" w:lineRule="exact"/>
              <w:ind w:left="105"/>
              <w:rPr>
                <w:szCs w:val="24"/>
              </w:rPr>
            </w:pPr>
            <w:r w:rsidRPr="00DD0D1F">
              <w:rPr>
                <w:szCs w:val="24"/>
              </w:rPr>
              <w:t>sülfürik asit (H</w:t>
            </w:r>
            <w:r w:rsidRPr="00DD0D1F">
              <w:rPr>
                <w:szCs w:val="24"/>
                <w:vertAlign w:val="subscript"/>
              </w:rPr>
              <w:t>2</w:t>
            </w:r>
            <w:r w:rsidRPr="00DD0D1F">
              <w:rPr>
                <w:szCs w:val="24"/>
              </w:rPr>
              <w:t>SO</w:t>
            </w:r>
            <w:r w:rsidRPr="00DD0D1F">
              <w:rPr>
                <w:szCs w:val="24"/>
                <w:vertAlign w:val="subscript"/>
              </w:rPr>
              <w:t>4</w:t>
            </w:r>
            <w:r w:rsidRPr="00DD0D1F">
              <w:rPr>
                <w:szCs w:val="24"/>
              </w:rPr>
              <w:t>) ve katı asit</w:t>
            </w:r>
          </w:p>
        </w:tc>
      </w:tr>
      <w:tr w:rsidR="00A508A2" w:rsidRPr="00DD0D1F" w14:paraId="7CCBFB3D"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52B8EA07" w14:textId="77777777" w:rsidR="00A508A2" w:rsidRPr="00DD0D1F" w:rsidRDefault="00A508A2" w:rsidP="00A508A2">
            <w:pPr>
              <w:pStyle w:val="TableParagraph"/>
              <w:ind w:left="107"/>
              <w:rPr>
                <w:szCs w:val="24"/>
              </w:rPr>
            </w:pPr>
            <w:r w:rsidRPr="00DD0D1F">
              <w:rPr>
                <w:szCs w:val="24"/>
              </w:rPr>
              <w:t>Baz yağı üretimi</w:t>
            </w:r>
          </w:p>
        </w:tc>
        <w:tc>
          <w:tcPr>
            <w:tcW w:w="3032" w:type="pct"/>
            <w:tcBorders>
              <w:top w:val="single" w:sz="4" w:space="0" w:color="000000"/>
              <w:left w:val="single" w:sz="4" w:space="0" w:color="000000"/>
              <w:bottom w:val="single" w:sz="4" w:space="0" w:color="000000"/>
              <w:right w:val="single" w:sz="4" w:space="0" w:color="000000"/>
            </w:tcBorders>
            <w:hideMark/>
          </w:tcPr>
          <w:p w14:paraId="1AF6E769" w14:textId="77777777" w:rsidR="00A508A2" w:rsidRPr="00DD0D1F" w:rsidRDefault="00A508A2" w:rsidP="00A508A2">
            <w:pPr>
              <w:pStyle w:val="TableParagraph"/>
              <w:spacing w:line="223" w:lineRule="exact"/>
              <w:ind w:left="105"/>
              <w:rPr>
                <w:szCs w:val="24"/>
              </w:rPr>
            </w:pPr>
            <w:r w:rsidRPr="00DD0D1F">
              <w:rPr>
                <w:szCs w:val="24"/>
              </w:rPr>
              <w:t>Asfalt ayırma, aromatik ekstraksiyon, mum işleme ve</w:t>
            </w:r>
          </w:p>
          <w:p w14:paraId="0D186AF5" w14:textId="77777777" w:rsidR="00A508A2" w:rsidRPr="00DD0D1F" w:rsidRDefault="00A508A2" w:rsidP="00A508A2">
            <w:pPr>
              <w:pStyle w:val="TableParagraph"/>
              <w:spacing w:line="217" w:lineRule="exact"/>
              <w:ind w:left="105"/>
              <w:rPr>
                <w:szCs w:val="24"/>
              </w:rPr>
            </w:pPr>
            <w:r w:rsidRPr="00DD0D1F">
              <w:rPr>
                <w:szCs w:val="24"/>
              </w:rPr>
              <w:t xml:space="preserve">yağlama yağı bitirme </w:t>
            </w:r>
          </w:p>
        </w:tc>
      </w:tr>
      <w:tr w:rsidR="00A508A2" w:rsidRPr="00DD0D1F" w14:paraId="4E0689D1" w14:textId="77777777" w:rsidTr="00A508A2">
        <w:trPr>
          <w:trHeight w:val="283"/>
        </w:trPr>
        <w:tc>
          <w:tcPr>
            <w:tcW w:w="1968" w:type="pct"/>
            <w:tcBorders>
              <w:top w:val="single" w:sz="4" w:space="0" w:color="000000"/>
              <w:left w:val="single" w:sz="4" w:space="0" w:color="000000"/>
              <w:bottom w:val="single" w:sz="4" w:space="0" w:color="000000"/>
              <w:right w:val="single" w:sz="4" w:space="0" w:color="000000"/>
            </w:tcBorders>
            <w:hideMark/>
          </w:tcPr>
          <w:p w14:paraId="387242E1" w14:textId="77777777" w:rsidR="00A508A2" w:rsidRPr="00DD0D1F" w:rsidRDefault="00A508A2" w:rsidP="00A508A2">
            <w:pPr>
              <w:pStyle w:val="TableParagraph"/>
              <w:ind w:left="107"/>
              <w:rPr>
                <w:szCs w:val="24"/>
              </w:rPr>
            </w:pPr>
            <w:r w:rsidRPr="00DD0D1F">
              <w:rPr>
                <w:szCs w:val="24"/>
              </w:rPr>
              <w:t>Bitüm üretimi</w:t>
            </w:r>
          </w:p>
        </w:tc>
        <w:tc>
          <w:tcPr>
            <w:tcW w:w="3032" w:type="pct"/>
            <w:tcBorders>
              <w:top w:val="single" w:sz="4" w:space="0" w:color="000000"/>
              <w:left w:val="single" w:sz="4" w:space="0" w:color="000000"/>
              <w:bottom w:val="single" w:sz="4" w:space="0" w:color="000000"/>
              <w:right w:val="single" w:sz="4" w:space="0" w:color="000000"/>
            </w:tcBorders>
            <w:hideMark/>
          </w:tcPr>
          <w:p w14:paraId="127C84FD" w14:textId="77777777" w:rsidR="00A508A2" w:rsidRPr="00DD0D1F" w:rsidRDefault="00A508A2" w:rsidP="00A508A2">
            <w:pPr>
              <w:pStyle w:val="TableParagraph"/>
              <w:ind w:left="105"/>
              <w:rPr>
                <w:szCs w:val="24"/>
              </w:rPr>
            </w:pPr>
            <w:r w:rsidRPr="00DD0D1F">
              <w:rPr>
                <w:szCs w:val="24"/>
              </w:rPr>
              <w:t>Depolamadan nihai ürün katkı maddelerine değin tüm teknikler</w:t>
            </w:r>
          </w:p>
        </w:tc>
      </w:tr>
      <w:tr w:rsidR="00A508A2" w:rsidRPr="00DD0D1F" w14:paraId="009ADD42"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6BE201B2" w14:textId="3429A22E" w:rsidR="00A508A2" w:rsidRPr="00DD0D1F" w:rsidRDefault="00AE07DE" w:rsidP="0098277B">
            <w:pPr>
              <w:pStyle w:val="TableParagraph"/>
              <w:ind w:left="107"/>
              <w:rPr>
                <w:szCs w:val="24"/>
              </w:rPr>
            </w:pPr>
            <w:r w:rsidRPr="00DD0D1F">
              <w:rPr>
                <w:szCs w:val="24"/>
              </w:rPr>
              <w:t xml:space="preserve">Katalitik </w:t>
            </w:r>
            <w:r w:rsidR="00A508A2" w:rsidRPr="00DD0D1F">
              <w:rPr>
                <w:szCs w:val="24"/>
              </w:rPr>
              <w:t>parçalama</w:t>
            </w:r>
            <w:r w:rsidRPr="00DD0D1F">
              <w:rPr>
                <w:szCs w:val="24"/>
              </w:rPr>
              <w:t xml:space="preserve"> </w:t>
            </w:r>
          </w:p>
        </w:tc>
        <w:tc>
          <w:tcPr>
            <w:tcW w:w="3032" w:type="pct"/>
            <w:tcBorders>
              <w:top w:val="single" w:sz="4" w:space="0" w:color="000000"/>
              <w:left w:val="single" w:sz="4" w:space="0" w:color="000000"/>
              <w:bottom w:val="single" w:sz="4" w:space="0" w:color="000000"/>
              <w:right w:val="single" w:sz="4" w:space="0" w:color="000000"/>
            </w:tcBorders>
          </w:tcPr>
          <w:p w14:paraId="586803A5" w14:textId="00FD7B2F" w:rsidR="00A508A2" w:rsidRPr="00DD0D1F" w:rsidRDefault="00A508A2" w:rsidP="00A508A2">
            <w:pPr>
              <w:pStyle w:val="TableParagraph"/>
              <w:spacing w:line="223" w:lineRule="exact"/>
              <w:ind w:left="105"/>
              <w:rPr>
                <w:szCs w:val="24"/>
              </w:rPr>
            </w:pPr>
            <w:r w:rsidRPr="00DD0D1F">
              <w:rPr>
                <w:szCs w:val="24"/>
              </w:rPr>
              <w:t>S</w:t>
            </w:r>
            <w:r w:rsidR="0098277B" w:rsidRPr="00DD0D1F">
              <w:rPr>
                <w:szCs w:val="24"/>
              </w:rPr>
              <w:t>ıvı katalitik parçalama gibi her türlü katalitik</w:t>
            </w:r>
            <w:r w:rsidRPr="00DD0D1F">
              <w:rPr>
                <w:szCs w:val="24"/>
              </w:rPr>
              <w:t xml:space="preserve"> parçalama üniteleri</w:t>
            </w:r>
          </w:p>
          <w:p w14:paraId="2960C60E" w14:textId="77777777" w:rsidR="00A508A2" w:rsidRPr="00DD0D1F" w:rsidRDefault="00A508A2" w:rsidP="00A508A2">
            <w:pPr>
              <w:pStyle w:val="TableParagraph"/>
              <w:spacing w:line="217" w:lineRule="exact"/>
              <w:ind w:left="105"/>
              <w:rPr>
                <w:szCs w:val="24"/>
              </w:rPr>
            </w:pPr>
          </w:p>
        </w:tc>
      </w:tr>
      <w:tr w:rsidR="00A508A2" w:rsidRPr="00DD0D1F" w14:paraId="7853DE51"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5026DC1B" w14:textId="0BD72506" w:rsidR="00A508A2" w:rsidRPr="00DD0D1F" w:rsidRDefault="00AE07DE" w:rsidP="00BC6AD9">
            <w:pPr>
              <w:pStyle w:val="TableParagraph"/>
              <w:ind w:left="107"/>
              <w:rPr>
                <w:szCs w:val="24"/>
              </w:rPr>
            </w:pPr>
            <w:r w:rsidRPr="00DD0D1F">
              <w:rPr>
                <w:szCs w:val="24"/>
              </w:rPr>
              <w:t xml:space="preserve">Katalitik </w:t>
            </w:r>
            <w:r w:rsidR="00A508A2" w:rsidRPr="00DD0D1F">
              <w:rPr>
                <w:szCs w:val="24"/>
              </w:rPr>
              <w:t>reformasyon</w:t>
            </w:r>
            <w:r w:rsidR="00FF71FC" w:rsidRPr="00DD0D1F">
              <w:rPr>
                <w:szCs w:val="24"/>
              </w:rPr>
              <w:t xml:space="preserve"> </w:t>
            </w:r>
          </w:p>
        </w:tc>
        <w:tc>
          <w:tcPr>
            <w:tcW w:w="3032" w:type="pct"/>
            <w:tcBorders>
              <w:top w:val="single" w:sz="4" w:space="0" w:color="000000"/>
              <w:left w:val="single" w:sz="4" w:space="0" w:color="000000"/>
              <w:bottom w:val="single" w:sz="4" w:space="0" w:color="000000"/>
              <w:right w:val="single" w:sz="4" w:space="0" w:color="000000"/>
            </w:tcBorders>
          </w:tcPr>
          <w:p w14:paraId="7DD6DB50" w14:textId="78E13BAA" w:rsidR="00A508A2" w:rsidRPr="00DD0D1F" w:rsidRDefault="00A508A2" w:rsidP="00A508A2">
            <w:pPr>
              <w:pStyle w:val="TableParagraph"/>
              <w:tabs>
                <w:tab w:val="left" w:pos="1285"/>
                <w:tab w:val="left" w:pos="1973"/>
                <w:tab w:val="left" w:pos="2474"/>
                <w:tab w:val="left" w:pos="4120"/>
              </w:tabs>
              <w:spacing w:line="223" w:lineRule="exact"/>
              <w:ind w:left="105"/>
              <w:rPr>
                <w:szCs w:val="24"/>
              </w:rPr>
            </w:pPr>
            <w:r w:rsidRPr="00DD0D1F">
              <w:rPr>
                <w:szCs w:val="24"/>
              </w:rPr>
              <w:t>Sürekli, çevrimsel ve yarı-re</w:t>
            </w:r>
            <w:r w:rsidR="0098277B" w:rsidRPr="00DD0D1F">
              <w:rPr>
                <w:szCs w:val="24"/>
              </w:rPr>
              <w:t>jeneratif katalitik</w:t>
            </w:r>
            <w:r w:rsidRPr="00DD0D1F">
              <w:rPr>
                <w:szCs w:val="24"/>
              </w:rPr>
              <w:t xml:space="preserve"> reformasyon.</w:t>
            </w:r>
          </w:p>
          <w:p w14:paraId="36A879C2" w14:textId="77777777" w:rsidR="00A508A2" w:rsidRPr="00DD0D1F" w:rsidRDefault="00A508A2" w:rsidP="00A508A2">
            <w:pPr>
              <w:pStyle w:val="TableParagraph"/>
              <w:spacing w:line="217" w:lineRule="exact"/>
              <w:ind w:left="105"/>
              <w:rPr>
                <w:szCs w:val="24"/>
              </w:rPr>
            </w:pPr>
          </w:p>
        </w:tc>
      </w:tr>
      <w:tr w:rsidR="00A508A2" w:rsidRPr="00DD0D1F" w14:paraId="35B421D0"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4484B745" w14:textId="77777777" w:rsidR="00A508A2" w:rsidRPr="00DD0D1F" w:rsidRDefault="00A508A2" w:rsidP="00A508A2">
            <w:pPr>
              <w:pStyle w:val="TableParagraph"/>
              <w:ind w:left="107"/>
              <w:rPr>
                <w:szCs w:val="24"/>
              </w:rPr>
            </w:pPr>
            <w:r w:rsidRPr="00DD0D1F">
              <w:rPr>
                <w:szCs w:val="24"/>
              </w:rPr>
              <w:t>Koklaştırma</w:t>
            </w:r>
          </w:p>
        </w:tc>
        <w:tc>
          <w:tcPr>
            <w:tcW w:w="3032" w:type="pct"/>
            <w:tcBorders>
              <w:top w:val="single" w:sz="4" w:space="0" w:color="000000"/>
              <w:left w:val="single" w:sz="4" w:space="0" w:color="000000"/>
              <w:bottom w:val="single" w:sz="4" w:space="0" w:color="000000"/>
              <w:right w:val="single" w:sz="4" w:space="0" w:color="000000"/>
            </w:tcBorders>
            <w:hideMark/>
          </w:tcPr>
          <w:p w14:paraId="3277B6FF" w14:textId="77777777" w:rsidR="00A508A2" w:rsidRPr="00DD0D1F" w:rsidRDefault="00A508A2" w:rsidP="00A508A2">
            <w:pPr>
              <w:pStyle w:val="TableParagraph"/>
              <w:ind w:left="105"/>
              <w:rPr>
                <w:szCs w:val="24"/>
              </w:rPr>
            </w:pPr>
            <w:r w:rsidRPr="00DD0D1F">
              <w:rPr>
                <w:szCs w:val="24"/>
              </w:rPr>
              <w:t>Geciktirmeli ve sıvı koklaştırma prosesleri. Kok kalsinasyonu</w:t>
            </w:r>
          </w:p>
        </w:tc>
      </w:tr>
      <w:tr w:rsidR="00A508A2" w:rsidRPr="00DD0D1F" w14:paraId="002E81B8"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5A8205D9" w14:textId="77777777" w:rsidR="00A508A2" w:rsidRPr="00DD0D1F" w:rsidRDefault="00A508A2" w:rsidP="00A508A2">
            <w:pPr>
              <w:pStyle w:val="TableParagraph"/>
              <w:ind w:left="107"/>
              <w:rPr>
                <w:szCs w:val="24"/>
              </w:rPr>
            </w:pPr>
            <w:r w:rsidRPr="00DD0D1F">
              <w:rPr>
                <w:szCs w:val="24"/>
              </w:rPr>
              <w:t>Soğutma</w:t>
            </w:r>
          </w:p>
        </w:tc>
        <w:tc>
          <w:tcPr>
            <w:tcW w:w="3032" w:type="pct"/>
            <w:tcBorders>
              <w:top w:val="single" w:sz="4" w:space="0" w:color="000000"/>
              <w:left w:val="single" w:sz="4" w:space="0" w:color="000000"/>
              <w:bottom w:val="single" w:sz="4" w:space="0" w:color="000000"/>
              <w:right w:val="single" w:sz="4" w:space="0" w:color="000000"/>
            </w:tcBorders>
            <w:hideMark/>
          </w:tcPr>
          <w:p w14:paraId="49273524" w14:textId="77777777" w:rsidR="00A508A2" w:rsidRPr="00DD0D1F" w:rsidRDefault="00A508A2" w:rsidP="00A508A2">
            <w:pPr>
              <w:pStyle w:val="TableParagraph"/>
              <w:ind w:left="105"/>
              <w:rPr>
                <w:szCs w:val="24"/>
              </w:rPr>
            </w:pPr>
            <w:r w:rsidRPr="00DD0D1F">
              <w:rPr>
                <w:szCs w:val="24"/>
              </w:rPr>
              <w:t>Rafinerilerde uygulanan soğutma teknikleri</w:t>
            </w:r>
          </w:p>
        </w:tc>
      </w:tr>
      <w:tr w:rsidR="00A508A2" w:rsidRPr="00DD0D1F" w14:paraId="6CDDE66C"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133328F1" w14:textId="77777777" w:rsidR="00A508A2" w:rsidRPr="00DD0D1F" w:rsidRDefault="00A508A2" w:rsidP="00A508A2">
            <w:pPr>
              <w:pStyle w:val="TableParagraph"/>
              <w:ind w:left="107"/>
              <w:rPr>
                <w:szCs w:val="24"/>
              </w:rPr>
            </w:pPr>
            <w:r w:rsidRPr="00DD0D1F">
              <w:rPr>
                <w:szCs w:val="24"/>
              </w:rPr>
              <w:t>Tuz giderme</w:t>
            </w:r>
          </w:p>
        </w:tc>
        <w:tc>
          <w:tcPr>
            <w:tcW w:w="3032" w:type="pct"/>
            <w:tcBorders>
              <w:top w:val="single" w:sz="4" w:space="0" w:color="000000"/>
              <w:left w:val="single" w:sz="4" w:space="0" w:color="000000"/>
              <w:bottom w:val="single" w:sz="4" w:space="0" w:color="000000"/>
              <w:right w:val="single" w:sz="4" w:space="0" w:color="000000"/>
            </w:tcBorders>
            <w:hideMark/>
          </w:tcPr>
          <w:p w14:paraId="2CB668C4" w14:textId="77777777" w:rsidR="00A508A2" w:rsidRPr="00DD0D1F" w:rsidRDefault="00A508A2" w:rsidP="00A508A2">
            <w:pPr>
              <w:pStyle w:val="TableParagraph"/>
              <w:ind w:left="105"/>
              <w:rPr>
                <w:szCs w:val="24"/>
              </w:rPr>
            </w:pPr>
            <w:r w:rsidRPr="00DD0D1F">
              <w:rPr>
                <w:szCs w:val="24"/>
              </w:rPr>
              <w:t>Ham petrolün tuzunun giderilmesi</w:t>
            </w:r>
          </w:p>
        </w:tc>
      </w:tr>
      <w:tr w:rsidR="00A508A2" w:rsidRPr="00DD0D1F" w14:paraId="39E0DD85"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tcPr>
          <w:p w14:paraId="17DDAAA2" w14:textId="77777777" w:rsidR="00A508A2" w:rsidRPr="00DD0D1F" w:rsidRDefault="00A508A2" w:rsidP="00A508A2">
            <w:pPr>
              <w:pStyle w:val="TableParagraph"/>
              <w:tabs>
                <w:tab w:val="left" w:pos="1358"/>
                <w:tab w:val="left" w:pos="2023"/>
                <w:tab w:val="left" w:pos="2531"/>
              </w:tabs>
              <w:spacing w:line="224" w:lineRule="exact"/>
              <w:ind w:left="107"/>
              <w:rPr>
                <w:szCs w:val="24"/>
              </w:rPr>
            </w:pPr>
            <w:r w:rsidRPr="00DD0D1F">
              <w:rPr>
                <w:szCs w:val="24"/>
              </w:rPr>
              <w:t>Enerji üretimi amaçlı yanma üniteler</w:t>
            </w:r>
          </w:p>
          <w:p w14:paraId="2DE7C3D2" w14:textId="77777777" w:rsidR="00A508A2" w:rsidRPr="00DD0D1F" w:rsidRDefault="00A508A2" w:rsidP="00A508A2">
            <w:pPr>
              <w:pStyle w:val="TableParagraph"/>
              <w:spacing w:line="216" w:lineRule="exact"/>
              <w:ind w:left="107"/>
              <w:rPr>
                <w:szCs w:val="24"/>
              </w:rPr>
            </w:pPr>
          </w:p>
        </w:tc>
        <w:tc>
          <w:tcPr>
            <w:tcW w:w="3032" w:type="pct"/>
            <w:tcBorders>
              <w:top w:val="single" w:sz="4" w:space="0" w:color="000000"/>
              <w:left w:val="single" w:sz="4" w:space="0" w:color="000000"/>
              <w:bottom w:val="single" w:sz="4" w:space="0" w:color="000000"/>
              <w:right w:val="single" w:sz="4" w:space="0" w:color="000000"/>
            </w:tcBorders>
          </w:tcPr>
          <w:p w14:paraId="2F502742" w14:textId="77777777" w:rsidR="00A508A2" w:rsidRPr="00DD0D1F" w:rsidRDefault="00A508A2" w:rsidP="00A508A2">
            <w:pPr>
              <w:pStyle w:val="TableParagraph"/>
              <w:spacing w:line="224" w:lineRule="exact"/>
              <w:ind w:left="105"/>
              <w:rPr>
                <w:szCs w:val="24"/>
              </w:rPr>
            </w:pPr>
            <w:r w:rsidRPr="00DD0D1F">
              <w:rPr>
                <w:szCs w:val="24"/>
              </w:rPr>
              <w:t>Yalnızca konvansiyonel veya ticari yakıtları kullanan üniteler haricinde rafineri yakıtlarını yakan yanma üniteleri</w:t>
            </w:r>
          </w:p>
          <w:p w14:paraId="30FECBE5" w14:textId="77777777" w:rsidR="00A508A2" w:rsidRPr="00DD0D1F" w:rsidRDefault="00A508A2" w:rsidP="00A508A2">
            <w:pPr>
              <w:pStyle w:val="TableParagraph"/>
              <w:spacing w:line="216" w:lineRule="exact"/>
              <w:ind w:left="105"/>
              <w:rPr>
                <w:szCs w:val="24"/>
              </w:rPr>
            </w:pPr>
          </w:p>
        </w:tc>
      </w:tr>
      <w:tr w:rsidR="00A508A2" w:rsidRPr="00DD0D1F" w14:paraId="4C37BBE5" w14:textId="77777777" w:rsidTr="00A508A2">
        <w:trPr>
          <w:trHeight w:val="510"/>
        </w:trPr>
        <w:tc>
          <w:tcPr>
            <w:tcW w:w="1968" w:type="pct"/>
            <w:tcBorders>
              <w:top w:val="single" w:sz="4" w:space="0" w:color="000000"/>
              <w:left w:val="single" w:sz="4" w:space="0" w:color="000000"/>
              <w:bottom w:val="single" w:sz="4" w:space="0" w:color="000000"/>
              <w:right w:val="single" w:sz="4" w:space="0" w:color="000000"/>
            </w:tcBorders>
            <w:hideMark/>
          </w:tcPr>
          <w:p w14:paraId="029EFC2E" w14:textId="77777777" w:rsidR="00A508A2" w:rsidRPr="00DD0D1F" w:rsidRDefault="00A508A2" w:rsidP="00A508A2">
            <w:pPr>
              <w:pStyle w:val="TableParagraph"/>
              <w:ind w:left="107"/>
              <w:rPr>
                <w:szCs w:val="24"/>
              </w:rPr>
            </w:pPr>
            <w:r w:rsidRPr="00DD0D1F">
              <w:rPr>
                <w:szCs w:val="24"/>
              </w:rPr>
              <w:t>Eterleşme</w:t>
            </w:r>
          </w:p>
        </w:tc>
        <w:tc>
          <w:tcPr>
            <w:tcW w:w="3032" w:type="pct"/>
            <w:tcBorders>
              <w:top w:val="single" w:sz="4" w:space="0" w:color="000000"/>
              <w:left w:val="single" w:sz="4" w:space="0" w:color="000000"/>
              <w:bottom w:val="single" w:sz="4" w:space="0" w:color="000000"/>
              <w:right w:val="single" w:sz="4" w:space="0" w:color="000000"/>
            </w:tcBorders>
            <w:hideMark/>
          </w:tcPr>
          <w:p w14:paraId="283D216B" w14:textId="77777777" w:rsidR="00A508A2" w:rsidRPr="00DD0D1F" w:rsidRDefault="00A508A2" w:rsidP="00A508A2">
            <w:pPr>
              <w:pStyle w:val="TableParagraph"/>
              <w:spacing w:line="223" w:lineRule="exact"/>
              <w:ind w:left="105"/>
              <w:rPr>
                <w:szCs w:val="24"/>
              </w:rPr>
            </w:pPr>
            <w:r w:rsidRPr="00DD0D1F">
              <w:rPr>
                <w:szCs w:val="24"/>
              </w:rPr>
              <w:t>Motor yakıtları katkı maddesi olarak kullanılan kimyasalların (ör. MTBE, ETBE ve TAME gibi alkoller ve eterler) üretimi</w:t>
            </w:r>
          </w:p>
        </w:tc>
      </w:tr>
      <w:tr w:rsidR="00A508A2" w:rsidRPr="00DD0D1F" w14:paraId="7B0005AA"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11302F9D" w14:textId="77777777" w:rsidR="00A508A2" w:rsidRPr="00DD0D1F" w:rsidRDefault="00A508A2" w:rsidP="00A508A2">
            <w:pPr>
              <w:pStyle w:val="TableParagraph"/>
              <w:ind w:left="107"/>
              <w:rPr>
                <w:szCs w:val="24"/>
              </w:rPr>
            </w:pPr>
            <w:r w:rsidRPr="00DD0D1F">
              <w:rPr>
                <w:szCs w:val="24"/>
              </w:rPr>
              <w:t>Gaz ayırma</w:t>
            </w:r>
          </w:p>
        </w:tc>
        <w:tc>
          <w:tcPr>
            <w:tcW w:w="3032" w:type="pct"/>
            <w:tcBorders>
              <w:top w:val="single" w:sz="4" w:space="0" w:color="000000"/>
              <w:left w:val="single" w:sz="4" w:space="0" w:color="000000"/>
              <w:bottom w:val="single" w:sz="4" w:space="0" w:color="000000"/>
              <w:right w:val="single" w:sz="4" w:space="0" w:color="000000"/>
            </w:tcBorders>
            <w:hideMark/>
          </w:tcPr>
          <w:p w14:paraId="009F5156" w14:textId="77777777" w:rsidR="00A508A2" w:rsidRPr="00DD0D1F" w:rsidRDefault="00A508A2" w:rsidP="00A508A2">
            <w:pPr>
              <w:pStyle w:val="TableParagraph"/>
              <w:spacing w:line="223" w:lineRule="exact"/>
              <w:ind w:left="105"/>
              <w:rPr>
                <w:szCs w:val="24"/>
              </w:rPr>
            </w:pPr>
            <w:r w:rsidRPr="00DD0D1F">
              <w:rPr>
                <w:szCs w:val="24"/>
              </w:rPr>
              <w:t>Hafif ham petrol fraksiyonlarının ayrılması, ör. Rafineri yakıt gazı (RFG), sıvılaştırılmış petrol gazı (LPG)</w:t>
            </w:r>
          </w:p>
        </w:tc>
      </w:tr>
      <w:tr w:rsidR="00A508A2" w:rsidRPr="00DD0D1F" w14:paraId="2287F2AD" w14:textId="77777777" w:rsidTr="00A508A2">
        <w:trPr>
          <w:trHeight w:val="382"/>
        </w:trPr>
        <w:tc>
          <w:tcPr>
            <w:tcW w:w="1968" w:type="pct"/>
            <w:tcBorders>
              <w:top w:val="single" w:sz="4" w:space="0" w:color="000000"/>
              <w:left w:val="single" w:sz="4" w:space="0" w:color="000000"/>
              <w:bottom w:val="single" w:sz="4" w:space="0" w:color="000000"/>
              <w:right w:val="single" w:sz="4" w:space="0" w:color="000000"/>
            </w:tcBorders>
          </w:tcPr>
          <w:p w14:paraId="4AE63827" w14:textId="77777777" w:rsidR="00A508A2" w:rsidRPr="00DD0D1F" w:rsidRDefault="00A508A2" w:rsidP="00A508A2">
            <w:pPr>
              <w:pStyle w:val="TableParagraph"/>
              <w:rPr>
                <w:szCs w:val="24"/>
              </w:rPr>
            </w:pPr>
          </w:p>
          <w:p w14:paraId="7D051D09" w14:textId="77777777" w:rsidR="00A508A2" w:rsidRPr="00DD0D1F" w:rsidRDefault="00A508A2" w:rsidP="00A508A2">
            <w:pPr>
              <w:pStyle w:val="TableParagraph"/>
              <w:ind w:left="107"/>
              <w:rPr>
                <w:szCs w:val="24"/>
              </w:rPr>
            </w:pPr>
            <w:r w:rsidRPr="00DD0D1F">
              <w:rPr>
                <w:szCs w:val="24"/>
              </w:rPr>
              <w:t>Hidrojen tüketen prosesler</w:t>
            </w:r>
          </w:p>
        </w:tc>
        <w:tc>
          <w:tcPr>
            <w:tcW w:w="3032" w:type="pct"/>
            <w:tcBorders>
              <w:top w:val="single" w:sz="4" w:space="0" w:color="000000"/>
              <w:left w:val="single" w:sz="4" w:space="0" w:color="000000"/>
              <w:bottom w:val="single" w:sz="4" w:space="0" w:color="000000"/>
              <w:right w:val="single" w:sz="4" w:space="0" w:color="000000"/>
            </w:tcBorders>
            <w:hideMark/>
          </w:tcPr>
          <w:p w14:paraId="4837DF8D" w14:textId="77777777" w:rsidR="00A508A2" w:rsidRPr="00DD0D1F" w:rsidRDefault="00A508A2" w:rsidP="00A508A2">
            <w:pPr>
              <w:pStyle w:val="TableParagraph"/>
              <w:tabs>
                <w:tab w:val="left" w:pos="1824"/>
                <w:tab w:val="left" w:pos="3442"/>
              </w:tabs>
              <w:ind w:left="105" w:right="105"/>
              <w:rPr>
                <w:szCs w:val="24"/>
              </w:rPr>
            </w:pPr>
            <w:r w:rsidRPr="00DD0D1F">
              <w:rPr>
                <w:szCs w:val="24"/>
              </w:rPr>
              <w:t>Hidro-parçalama, hidro-arıtma, hidro-arıtma işlemleri, hidro-dönüştürme, hidro-işleme ve hidrojenleme prosesleri</w:t>
            </w:r>
          </w:p>
        </w:tc>
      </w:tr>
      <w:tr w:rsidR="00A508A2" w:rsidRPr="00DD0D1F" w14:paraId="73321317" w14:textId="77777777" w:rsidTr="00A508A2">
        <w:trPr>
          <w:trHeight w:val="457"/>
        </w:trPr>
        <w:tc>
          <w:tcPr>
            <w:tcW w:w="1968" w:type="pct"/>
            <w:tcBorders>
              <w:top w:val="single" w:sz="4" w:space="0" w:color="000000"/>
              <w:left w:val="single" w:sz="4" w:space="0" w:color="000000"/>
              <w:bottom w:val="single" w:sz="4" w:space="0" w:color="000000"/>
              <w:right w:val="single" w:sz="4" w:space="0" w:color="000000"/>
            </w:tcBorders>
            <w:hideMark/>
          </w:tcPr>
          <w:p w14:paraId="54759124" w14:textId="77777777" w:rsidR="00A508A2" w:rsidRPr="00DD0D1F" w:rsidRDefault="00A508A2" w:rsidP="00A508A2">
            <w:pPr>
              <w:pStyle w:val="TableParagraph"/>
              <w:ind w:left="107"/>
              <w:rPr>
                <w:szCs w:val="24"/>
              </w:rPr>
            </w:pPr>
            <w:r w:rsidRPr="00DD0D1F">
              <w:rPr>
                <w:szCs w:val="24"/>
              </w:rPr>
              <w:t>Hidrojen üretimi</w:t>
            </w:r>
          </w:p>
        </w:tc>
        <w:tc>
          <w:tcPr>
            <w:tcW w:w="3032" w:type="pct"/>
            <w:tcBorders>
              <w:top w:val="single" w:sz="4" w:space="0" w:color="000000"/>
              <w:left w:val="single" w:sz="4" w:space="0" w:color="000000"/>
              <w:bottom w:val="single" w:sz="4" w:space="0" w:color="000000"/>
              <w:right w:val="single" w:sz="4" w:space="0" w:color="000000"/>
            </w:tcBorders>
            <w:hideMark/>
          </w:tcPr>
          <w:p w14:paraId="3D4DF80E" w14:textId="77777777" w:rsidR="00A508A2" w:rsidRPr="00DD0D1F" w:rsidRDefault="00A508A2" w:rsidP="00A508A2">
            <w:pPr>
              <w:pStyle w:val="TableParagraph"/>
              <w:spacing w:line="223" w:lineRule="exact"/>
              <w:ind w:left="105"/>
              <w:rPr>
                <w:szCs w:val="24"/>
              </w:rPr>
            </w:pPr>
            <w:r w:rsidRPr="00DD0D1F">
              <w:rPr>
                <w:szCs w:val="24"/>
              </w:rPr>
              <w:t>Kısmi oksitleme, buhar reformasyonu ve gaz ısıtmalı reformasyon ve hidrojen saflaştırma</w:t>
            </w:r>
          </w:p>
        </w:tc>
      </w:tr>
      <w:tr w:rsidR="00A508A2" w:rsidRPr="00DD0D1F" w14:paraId="3388A034"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631349AC" w14:textId="77777777" w:rsidR="00A508A2" w:rsidRPr="00DD0D1F" w:rsidRDefault="00A508A2" w:rsidP="00A508A2">
            <w:pPr>
              <w:pStyle w:val="TableParagraph"/>
              <w:ind w:left="107"/>
              <w:rPr>
                <w:szCs w:val="24"/>
              </w:rPr>
            </w:pPr>
            <w:r w:rsidRPr="00DD0D1F">
              <w:rPr>
                <w:szCs w:val="24"/>
              </w:rPr>
              <w:t>İzomerleştirme</w:t>
            </w:r>
          </w:p>
        </w:tc>
        <w:tc>
          <w:tcPr>
            <w:tcW w:w="3032" w:type="pct"/>
            <w:tcBorders>
              <w:top w:val="single" w:sz="4" w:space="0" w:color="000000"/>
              <w:left w:val="single" w:sz="4" w:space="0" w:color="000000"/>
              <w:bottom w:val="single" w:sz="4" w:space="0" w:color="000000"/>
              <w:right w:val="single" w:sz="4" w:space="0" w:color="000000"/>
            </w:tcBorders>
            <w:hideMark/>
          </w:tcPr>
          <w:p w14:paraId="75FE301C" w14:textId="77777777" w:rsidR="00A508A2" w:rsidRPr="00DD0D1F" w:rsidRDefault="00A508A2" w:rsidP="00A508A2">
            <w:pPr>
              <w:pStyle w:val="TableParagraph"/>
              <w:ind w:left="105"/>
              <w:rPr>
                <w:szCs w:val="24"/>
              </w:rPr>
            </w:pPr>
            <w:r w:rsidRPr="00DD0D1F">
              <w:rPr>
                <w:szCs w:val="24"/>
              </w:rPr>
              <w:t>Hidrokarbon bileşikleri olan C</w:t>
            </w:r>
            <w:r w:rsidRPr="00DD0D1F">
              <w:rPr>
                <w:szCs w:val="24"/>
                <w:vertAlign w:val="subscript"/>
              </w:rPr>
              <w:t>4</w:t>
            </w:r>
            <w:r w:rsidRPr="00DD0D1F">
              <w:rPr>
                <w:szCs w:val="24"/>
              </w:rPr>
              <w:t>, C</w:t>
            </w:r>
            <w:r w:rsidRPr="00DD0D1F">
              <w:rPr>
                <w:szCs w:val="24"/>
                <w:vertAlign w:val="subscript"/>
              </w:rPr>
              <w:t xml:space="preserve">5 </w:t>
            </w:r>
            <w:r w:rsidRPr="00DD0D1F">
              <w:rPr>
                <w:szCs w:val="24"/>
              </w:rPr>
              <w:t>ve C</w:t>
            </w:r>
            <w:r w:rsidRPr="00DD0D1F">
              <w:rPr>
                <w:szCs w:val="24"/>
                <w:vertAlign w:val="subscript"/>
              </w:rPr>
              <w:t>6</w:t>
            </w:r>
            <w:r w:rsidRPr="00DD0D1F">
              <w:rPr>
                <w:szCs w:val="24"/>
              </w:rPr>
              <w:t>'nın izomerleştirmesi</w:t>
            </w:r>
          </w:p>
        </w:tc>
      </w:tr>
      <w:tr w:rsidR="00A508A2" w:rsidRPr="00DD0D1F" w14:paraId="68BB2560"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1B76B273" w14:textId="77777777" w:rsidR="00A508A2" w:rsidRPr="00DD0D1F" w:rsidRDefault="00A508A2" w:rsidP="00A508A2">
            <w:pPr>
              <w:pStyle w:val="TableParagraph"/>
              <w:ind w:left="107"/>
              <w:rPr>
                <w:szCs w:val="24"/>
              </w:rPr>
            </w:pPr>
            <w:r w:rsidRPr="00DD0D1F">
              <w:rPr>
                <w:szCs w:val="24"/>
              </w:rPr>
              <w:t>Doğal gaz tesisleri</w:t>
            </w:r>
          </w:p>
        </w:tc>
        <w:tc>
          <w:tcPr>
            <w:tcW w:w="3032" w:type="pct"/>
            <w:tcBorders>
              <w:top w:val="single" w:sz="4" w:space="0" w:color="000000"/>
              <w:left w:val="single" w:sz="4" w:space="0" w:color="000000"/>
              <w:bottom w:val="single" w:sz="4" w:space="0" w:color="000000"/>
              <w:right w:val="single" w:sz="4" w:space="0" w:color="000000"/>
            </w:tcBorders>
            <w:hideMark/>
          </w:tcPr>
          <w:p w14:paraId="33A8AB29" w14:textId="77777777" w:rsidR="00A508A2" w:rsidRPr="00DD0D1F" w:rsidRDefault="00A508A2" w:rsidP="00A508A2">
            <w:pPr>
              <w:pStyle w:val="TableParagraph"/>
              <w:ind w:left="105"/>
              <w:rPr>
                <w:szCs w:val="24"/>
              </w:rPr>
            </w:pPr>
            <w:r w:rsidRPr="00DD0D1F">
              <w:rPr>
                <w:szCs w:val="24"/>
              </w:rPr>
              <w:t>NG sıvılaştırması da dahil olmak üzere doğal gaz (NG) işleme</w:t>
            </w:r>
          </w:p>
        </w:tc>
      </w:tr>
      <w:tr w:rsidR="00A508A2" w:rsidRPr="00DD0D1F" w14:paraId="336BA508"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6E95B9C6" w14:textId="77777777" w:rsidR="00A508A2" w:rsidRPr="00DD0D1F" w:rsidRDefault="00A508A2" w:rsidP="00A508A2">
            <w:pPr>
              <w:pStyle w:val="TableParagraph"/>
              <w:ind w:left="107"/>
              <w:rPr>
                <w:szCs w:val="24"/>
              </w:rPr>
            </w:pPr>
            <w:r w:rsidRPr="00DD0D1F">
              <w:rPr>
                <w:szCs w:val="24"/>
              </w:rPr>
              <w:t>Polimerleştirme</w:t>
            </w:r>
          </w:p>
        </w:tc>
        <w:tc>
          <w:tcPr>
            <w:tcW w:w="3032" w:type="pct"/>
            <w:tcBorders>
              <w:top w:val="single" w:sz="4" w:space="0" w:color="000000"/>
              <w:left w:val="single" w:sz="4" w:space="0" w:color="000000"/>
              <w:bottom w:val="single" w:sz="4" w:space="0" w:color="000000"/>
              <w:right w:val="single" w:sz="4" w:space="0" w:color="000000"/>
            </w:tcBorders>
            <w:hideMark/>
          </w:tcPr>
          <w:p w14:paraId="0104E256" w14:textId="77777777" w:rsidR="00A508A2" w:rsidRPr="00DD0D1F" w:rsidRDefault="00A508A2" w:rsidP="00A508A2">
            <w:pPr>
              <w:pStyle w:val="TableParagraph"/>
              <w:ind w:left="105"/>
              <w:rPr>
                <w:szCs w:val="24"/>
              </w:rPr>
            </w:pPr>
            <w:r w:rsidRPr="00DD0D1F">
              <w:rPr>
                <w:szCs w:val="24"/>
              </w:rPr>
              <w:t>Polimerleştirme, dimerizasyon ve yoğuşturma</w:t>
            </w:r>
          </w:p>
        </w:tc>
      </w:tr>
      <w:tr w:rsidR="00A508A2" w:rsidRPr="00DD0D1F" w14:paraId="4037CBC0"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43A6E8B1" w14:textId="77777777" w:rsidR="00A508A2" w:rsidRPr="00DD0D1F" w:rsidRDefault="00A508A2" w:rsidP="00A508A2">
            <w:pPr>
              <w:pStyle w:val="TableParagraph"/>
              <w:ind w:left="107"/>
              <w:rPr>
                <w:szCs w:val="24"/>
              </w:rPr>
            </w:pPr>
            <w:r w:rsidRPr="00DD0D1F">
              <w:rPr>
                <w:szCs w:val="24"/>
              </w:rPr>
              <w:t>Primer damıtma</w:t>
            </w:r>
          </w:p>
        </w:tc>
        <w:tc>
          <w:tcPr>
            <w:tcW w:w="3032" w:type="pct"/>
            <w:tcBorders>
              <w:top w:val="single" w:sz="4" w:space="0" w:color="000000"/>
              <w:left w:val="single" w:sz="4" w:space="0" w:color="000000"/>
              <w:bottom w:val="single" w:sz="4" w:space="0" w:color="000000"/>
              <w:right w:val="single" w:sz="4" w:space="0" w:color="000000"/>
            </w:tcBorders>
            <w:hideMark/>
          </w:tcPr>
          <w:p w14:paraId="7539A9E6" w14:textId="77777777" w:rsidR="00A508A2" w:rsidRPr="00DD0D1F" w:rsidRDefault="00A508A2" w:rsidP="00A508A2">
            <w:pPr>
              <w:pStyle w:val="TableParagraph"/>
              <w:ind w:left="105"/>
              <w:rPr>
                <w:szCs w:val="24"/>
              </w:rPr>
            </w:pPr>
            <w:r w:rsidRPr="00DD0D1F">
              <w:rPr>
                <w:szCs w:val="24"/>
              </w:rPr>
              <w:t>Atmosferik ve vakum damıtma</w:t>
            </w:r>
          </w:p>
        </w:tc>
      </w:tr>
      <w:tr w:rsidR="00A508A2" w:rsidRPr="00DD0D1F" w14:paraId="5AF6FD5C"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37904D82" w14:textId="77777777" w:rsidR="00A508A2" w:rsidRPr="00DD0D1F" w:rsidRDefault="00A508A2" w:rsidP="00A508A2">
            <w:pPr>
              <w:pStyle w:val="TableParagraph"/>
              <w:ind w:left="107"/>
              <w:rPr>
                <w:szCs w:val="24"/>
              </w:rPr>
            </w:pPr>
            <w:r w:rsidRPr="00DD0D1F">
              <w:rPr>
                <w:szCs w:val="24"/>
              </w:rPr>
              <w:t>Ürün arıtma işlemleri</w:t>
            </w:r>
          </w:p>
        </w:tc>
        <w:tc>
          <w:tcPr>
            <w:tcW w:w="3032" w:type="pct"/>
            <w:tcBorders>
              <w:top w:val="single" w:sz="4" w:space="0" w:color="000000"/>
              <w:left w:val="single" w:sz="4" w:space="0" w:color="000000"/>
              <w:bottom w:val="single" w:sz="4" w:space="0" w:color="000000"/>
              <w:right w:val="single" w:sz="4" w:space="0" w:color="000000"/>
            </w:tcBorders>
            <w:hideMark/>
          </w:tcPr>
          <w:p w14:paraId="35FA3604" w14:textId="77777777" w:rsidR="00A508A2" w:rsidRPr="00DD0D1F" w:rsidRDefault="00A508A2" w:rsidP="00A508A2">
            <w:pPr>
              <w:pStyle w:val="TableParagraph"/>
              <w:ind w:left="105"/>
              <w:rPr>
                <w:szCs w:val="24"/>
              </w:rPr>
            </w:pPr>
            <w:r w:rsidRPr="00DD0D1F">
              <w:rPr>
                <w:szCs w:val="24"/>
              </w:rPr>
              <w:t>Tatlandırma ve nihai ürün arıtma işlemleri</w:t>
            </w:r>
          </w:p>
        </w:tc>
      </w:tr>
      <w:tr w:rsidR="00A508A2" w:rsidRPr="00DD0D1F" w14:paraId="16884625"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tcPr>
          <w:p w14:paraId="50629E51" w14:textId="77777777" w:rsidR="00A508A2" w:rsidRPr="00DD0D1F" w:rsidRDefault="00A508A2" w:rsidP="00A508A2">
            <w:pPr>
              <w:pStyle w:val="TableParagraph"/>
              <w:spacing w:line="223" w:lineRule="exact"/>
              <w:ind w:left="107"/>
              <w:rPr>
                <w:szCs w:val="24"/>
              </w:rPr>
            </w:pPr>
            <w:r w:rsidRPr="00DD0D1F">
              <w:rPr>
                <w:szCs w:val="24"/>
              </w:rPr>
              <w:t>Rafineri malzemelerinin depolanması ve elleçlenmesi</w:t>
            </w:r>
          </w:p>
          <w:p w14:paraId="726078D7" w14:textId="77777777" w:rsidR="00A508A2" w:rsidRPr="00DD0D1F" w:rsidRDefault="00A508A2" w:rsidP="00A508A2">
            <w:pPr>
              <w:pStyle w:val="TableParagraph"/>
              <w:spacing w:line="217" w:lineRule="exact"/>
              <w:ind w:left="107"/>
              <w:rPr>
                <w:szCs w:val="24"/>
              </w:rPr>
            </w:pPr>
          </w:p>
        </w:tc>
        <w:tc>
          <w:tcPr>
            <w:tcW w:w="3032" w:type="pct"/>
            <w:tcBorders>
              <w:top w:val="single" w:sz="4" w:space="0" w:color="000000"/>
              <w:left w:val="single" w:sz="4" w:space="0" w:color="000000"/>
              <w:bottom w:val="single" w:sz="4" w:space="0" w:color="000000"/>
              <w:right w:val="single" w:sz="4" w:space="0" w:color="000000"/>
            </w:tcBorders>
          </w:tcPr>
          <w:p w14:paraId="7A08D420" w14:textId="77777777" w:rsidR="00A508A2" w:rsidRPr="00DD0D1F" w:rsidRDefault="00A508A2" w:rsidP="00A508A2">
            <w:pPr>
              <w:pStyle w:val="TableParagraph"/>
              <w:spacing w:line="223" w:lineRule="exact"/>
              <w:ind w:left="105"/>
              <w:rPr>
                <w:szCs w:val="24"/>
              </w:rPr>
            </w:pPr>
            <w:r w:rsidRPr="00DD0D1F">
              <w:rPr>
                <w:szCs w:val="24"/>
              </w:rPr>
              <w:t>Rafineri malzemelerinin depolanması, harmanlanması, yüklenmesi ve boşaltılması</w:t>
            </w:r>
          </w:p>
          <w:p w14:paraId="3FBED1ED" w14:textId="77777777" w:rsidR="00A508A2" w:rsidRPr="00DD0D1F" w:rsidRDefault="00A508A2" w:rsidP="00A508A2">
            <w:pPr>
              <w:pStyle w:val="TableParagraph"/>
              <w:spacing w:line="217" w:lineRule="exact"/>
              <w:ind w:left="105"/>
              <w:rPr>
                <w:szCs w:val="24"/>
              </w:rPr>
            </w:pPr>
          </w:p>
        </w:tc>
      </w:tr>
      <w:tr w:rsidR="00A508A2" w:rsidRPr="00DD0D1F" w14:paraId="1620DB42" w14:textId="77777777" w:rsidTr="00A508A2">
        <w:trPr>
          <w:trHeight w:val="458"/>
        </w:trPr>
        <w:tc>
          <w:tcPr>
            <w:tcW w:w="1968" w:type="pct"/>
            <w:tcBorders>
              <w:top w:val="single" w:sz="4" w:space="0" w:color="000000"/>
              <w:left w:val="single" w:sz="4" w:space="0" w:color="000000"/>
              <w:bottom w:val="single" w:sz="4" w:space="0" w:color="000000"/>
              <w:right w:val="single" w:sz="4" w:space="0" w:color="000000"/>
            </w:tcBorders>
          </w:tcPr>
          <w:p w14:paraId="04F7B324" w14:textId="77777777" w:rsidR="00A508A2" w:rsidRPr="00DD0D1F" w:rsidRDefault="00A508A2" w:rsidP="00A508A2">
            <w:pPr>
              <w:pStyle w:val="TableParagraph"/>
              <w:tabs>
                <w:tab w:val="left" w:pos="1309"/>
                <w:tab w:val="left" w:pos="1823"/>
                <w:tab w:val="left" w:pos="2460"/>
              </w:tabs>
              <w:spacing w:line="223" w:lineRule="exact"/>
              <w:ind w:left="107"/>
              <w:rPr>
                <w:szCs w:val="24"/>
              </w:rPr>
            </w:pPr>
            <w:r w:rsidRPr="00DD0D1F">
              <w:rPr>
                <w:szCs w:val="24"/>
              </w:rPr>
              <w:t>Visbreyking ve diğer ısıl dönüştürmeler</w:t>
            </w:r>
          </w:p>
          <w:p w14:paraId="2DA01A4F" w14:textId="77777777" w:rsidR="00A508A2" w:rsidRPr="00DD0D1F" w:rsidRDefault="00A508A2" w:rsidP="00A508A2">
            <w:pPr>
              <w:pStyle w:val="TableParagraph"/>
              <w:spacing w:line="215" w:lineRule="exact"/>
              <w:ind w:left="107"/>
              <w:rPr>
                <w:szCs w:val="24"/>
              </w:rPr>
            </w:pPr>
          </w:p>
        </w:tc>
        <w:tc>
          <w:tcPr>
            <w:tcW w:w="3032" w:type="pct"/>
            <w:tcBorders>
              <w:top w:val="single" w:sz="4" w:space="0" w:color="000000"/>
              <w:left w:val="single" w:sz="4" w:space="0" w:color="000000"/>
              <w:bottom w:val="single" w:sz="4" w:space="0" w:color="000000"/>
              <w:right w:val="single" w:sz="4" w:space="0" w:color="000000"/>
            </w:tcBorders>
          </w:tcPr>
          <w:p w14:paraId="721E254F" w14:textId="77777777" w:rsidR="00A508A2" w:rsidRPr="00DD0D1F" w:rsidRDefault="00A508A2" w:rsidP="00A508A2">
            <w:pPr>
              <w:pStyle w:val="TableParagraph"/>
              <w:spacing w:line="223" w:lineRule="exact"/>
              <w:ind w:left="105"/>
              <w:rPr>
                <w:szCs w:val="24"/>
              </w:rPr>
            </w:pPr>
            <w:r w:rsidRPr="00DD0D1F">
              <w:rPr>
                <w:szCs w:val="24"/>
              </w:rPr>
              <w:t>Visbreyking veya ısıl gaz yağı prosesi gibi ısıl işlemler</w:t>
            </w:r>
          </w:p>
          <w:p w14:paraId="098A3506" w14:textId="77777777" w:rsidR="00A508A2" w:rsidRPr="00DD0D1F" w:rsidRDefault="00A508A2" w:rsidP="00A508A2">
            <w:pPr>
              <w:pStyle w:val="TableParagraph"/>
              <w:spacing w:line="215" w:lineRule="exact"/>
              <w:ind w:left="105"/>
              <w:rPr>
                <w:szCs w:val="24"/>
              </w:rPr>
            </w:pPr>
          </w:p>
        </w:tc>
      </w:tr>
      <w:tr w:rsidR="00A508A2" w:rsidRPr="00DD0D1F" w14:paraId="227F4281"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05882FAC" w14:textId="77777777" w:rsidR="00A508A2" w:rsidRPr="00DD0D1F" w:rsidRDefault="00A508A2" w:rsidP="00A508A2">
            <w:pPr>
              <w:pStyle w:val="TableParagraph"/>
              <w:ind w:left="107"/>
              <w:rPr>
                <w:szCs w:val="24"/>
              </w:rPr>
            </w:pPr>
            <w:r w:rsidRPr="00DD0D1F">
              <w:rPr>
                <w:szCs w:val="24"/>
              </w:rPr>
              <w:t>Atık gaz arıtma</w:t>
            </w:r>
          </w:p>
        </w:tc>
        <w:tc>
          <w:tcPr>
            <w:tcW w:w="3032" w:type="pct"/>
            <w:tcBorders>
              <w:top w:val="single" w:sz="4" w:space="0" w:color="000000"/>
              <w:left w:val="single" w:sz="4" w:space="0" w:color="000000"/>
              <w:bottom w:val="single" w:sz="4" w:space="0" w:color="000000"/>
              <w:right w:val="single" w:sz="4" w:space="0" w:color="000000"/>
            </w:tcBorders>
            <w:hideMark/>
          </w:tcPr>
          <w:p w14:paraId="549991E8" w14:textId="77777777" w:rsidR="00A508A2" w:rsidRPr="00DD0D1F" w:rsidRDefault="00A508A2" w:rsidP="00A508A2">
            <w:pPr>
              <w:pStyle w:val="TableParagraph"/>
              <w:ind w:left="105"/>
              <w:rPr>
                <w:szCs w:val="24"/>
              </w:rPr>
            </w:pPr>
            <w:r w:rsidRPr="00DD0D1F">
              <w:rPr>
                <w:szCs w:val="24"/>
              </w:rPr>
              <w:t>Havaya yayılan emisyonları azaltma teknikleri</w:t>
            </w:r>
          </w:p>
        </w:tc>
      </w:tr>
      <w:tr w:rsidR="00A508A2" w:rsidRPr="00DD0D1F" w14:paraId="589EE3E3"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072724CF" w14:textId="77777777" w:rsidR="00A508A2" w:rsidRPr="00DD0D1F" w:rsidRDefault="00A508A2" w:rsidP="00A508A2">
            <w:pPr>
              <w:pStyle w:val="TableParagraph"/>
              <w:ind w:left="107"/>
              <w:rPr>
                <w:szCs w:val="24"/>
              </w:rPr>
            </w:pPr>
            <w:r w:rsidRPr="00DD0D1F">
              <w:rPr>
                <w:szCs w:val="24"/>
              </w:rPr>
              <w:t>Atık su arıtma</w:t>
            </w:r>
          </w:p>
        </w:tc>
        <w:tc>
          <w:tcPr>
            <w:tcW w:w="3032" w:type="pct"/>
            <w:tcBorders>
              <w:top w:val="single" w:sz="4" w:space="0" w:color="000000"/>
              <w:left w:val="single" w:sz="4" w:space="0" w:color="000000"/>
              <w:bottom w:val="single" w:sz="4" w:space="0" w:color="000000"/>
              <w:right w:val="single" w:sz="4" w:space="0" w:color="000000"/>
            </w:tcBorders>
            <w:hideMark/>
          </w:tcPr>
          <w:p w14:paraId="03BBD9CB" w14:textId="77777777" w:rsidR="00A508A2" w:rsidRPr="00DD0D1F" w:rsidRDefault="00A508A2" w:rsidP="00A508A2">
            <w:pPr>
              <w:pStyle w:val="TableParagraph"/>
              <w:ind w:left="105"/>
              <w:rPr>
                <w:szCs w:val="24"/>
              </w:rPr>
            </w:pPr>
            <w:r w:rsidRPr="00DD0D1F">
              <w:rPr>
                <w:szCs w:val="24"/>
              </w:rPr>
              <w:t>Serbest bırakma öncesinde atık su arıtma teknikleri</w:t>
            </w:r>
          </w:p>
        </w:tc>
      </w:tr>
      <w:tr w:rsidR="00A508A2" w:rsidRPr="00DD0D1F" w14:paraId="68133C82"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62995C92" w14:textId="77777777" w:rsidR="00A508A2" w:rsidRPr="00DD0D1F" w:rsidRDefault="00A508A2" w:rsidP="00A508A2">
            <w:pPr>
              <w:pStyle w:val="TableParagraph"/>
              <w:ind w:left="107"/>
              <w:rPr>
                <w:szCs w:val="24"/>
              </w:rPr>
            </w:pPr>
            <w:r w:rsidRPr="00DD0D1F">
              <w:rPr>
                <w:szCs w:val="24"/>
              </w:rPr>
              <w:t>Atık yönetimi</w:t>
            </w:r>
          </w:p>
        </w:tc>
        <w:tc>
          <w:tcPr>
            <w:tcW w:w="3032" w:type="pct"/>
            <w:tcBorders>
              <w:top w:val="single" w:sz="4" w:space="0" w:color="000000"/>
              <w:left w:val="single" w:sz="4" w:space="0" w:color="000000"/>
              <w:bottom w:val="single" w:sz="4" w:space="0" w:color="000000"/>
              <w:right w:val="single" w:sz="4" w:space="0" w:color="000000"/>
            </w:tcBorders>
            <w:hideMark/>
          </w:tcPr>
          <w:p w14:paraId="30813677" w14:textId="77777777" w:rsidR="00A508A2" w:rsidRPr="00DD0D1F" w:rsidRDefault="00A508A2" w:rsidP="00A508A2">
            <w:pPr>
              <w:pStyle w:val="TableParagraph"/>
              <w:ind w:left="105"/>
              <w:rPr>
                <w:szCs w:val="24"/>
              </w:rPr>
            </w:pPr>
            <w:r w:rsidRPr="00DD0D1F">
              <w:rPr>
                <w:szCs w:val="24"/>
              </w:rPr>
              <w:t>Atık üretimini önleme ve azaltma teknikleri</w:t>
            </w:r>
          </w:p>
        </w:tc>
      </w:tr>
    </w:tbl>
    <w:p w14:paraId="450539CB" w14:textId="3523CE3B" w:rsidR="00A508A2" w:rsidRPr="00DD0D1F" w:rsidRDefault="00A508A2" w:rsidP="00A508A2">
      <w:pPr>
        <w:pStyle w:val="GvdeMetni"/>
        <w:rPr>
          <w:sz w:val="24"/>
          <w:szCs w:val="24"/>
        </w:rPr>
      </w:pPr>
    </w:p>
    <w:p w14:paraId="0387F73F" w14:textId="07EAED35" w:rsidR="00A508A2" w:rsidRPr="00DD0D1F" w:rsidRDefault="00A508A2" w:rsidP="00FF111D">
      <w:pPr>
        <w:pStyle w:val="Balk1"/>
        <w:keepNext w:val="0"/>
        <w:keepLines w:val="0"/>
        <w:widowControl w:val="0"/>
        <w:numPr>
          <w:ilvl w:val="0"/>
          <w:numId w:val="115"/>
        </w:numPr>
        <w:autoSpaceDE w:val="0"/>
        <w:autoSpaceDN w:val="0"/>
        <w:spacing w:before="159"/>
        <w:rPr>
          <w:rFonts w:cs="Times New Roman"/>
          <w:szCs w:val="24"/>
          <w:lang w:val="tr-TR"/>
        </w:rPr>
      </w:pPr>
      <w:r w:rsidRPr="00DD0D1F">
        <w:rPr>
          <w:rFonts w:cs="Times New Roman"/>
          <w:szCs w:val="24"/>
          <w:lang w:val="tr-TR"/>
        </w:rPr>
        <w:t>GENEL MET</w:t>
      </w:r>
    </w:p>
    <w:p w14:paraId="1224D879" w14:textId="24625409" w:rsidR="00A508A2" w:rsidRPr="00DD0D1F" w:rsidRDefault="00A508A2" w:rsidP="00A508A2">
      <w:pPr>
        <w:pStyle w:val="GvdeMetni"/>
        <w:spacing w:before="245" w:line="360" w:lineRule="auto"/>
        <w:ind w:right="489"/>
        <w:jc w:val="both"/>
        <w:rPr>
          <w:sz w:val="24"/>
          <w:szCs w:val="24"/>
        </w:rPr>
      </w:pPr>
      <w:r w:rsidRPr="00DD0D1F">
        <w:rPr>
          <w:sz w:val="24"/>
          <w:szCs w:val="24"/>
        </w:rPr>
        <w:t>Başlık  1.</w:t>
      </w:r>
      <w:hyperlink w:anchor="_bookmark878" w:history="1">
        <w:r w:rsidRPr="00DD0D1F">
          <w:rPr>
            <w:sz w:val="24"/>
            <w:szCs w:val="24"/>
          </w:rPr>
          <w:t xml:space="preserve">2 </w:t>
        </w:r>
      </w:hyperlink>
      <w:r w:rsidRPr="00DD0D1F">
        <w:rPr>
          <w:sz w:val="24"/>
          <w:szCs w:val="24"/>
        </w:rPr>
        <w:t xml:space="preserve">ila 1. </w:t>
      </w:r>
      <w:hyperlink w:anchor="_bookmark917" w:history="1">
        <w:r w:rsidRPr="00DD0D1F">
          <w:rPr>
            <w:sz w:val="24"/>
            <w:szCs w:val="24"/>
          </w:rPr>
          <w:t xml:space="preserve">19'da </w:t>
        </w:r>
      </w:hyperlink>
      <w:r w:rsidRPr="00DD0D1F">
        <w:rPr>
          <w:sz w:val="24"/>
          <w:szCs w:val="24"/>
        </w:rPr>
        <w:t xml:space="preserve">belirtilen prosese özgü </w:t>
      </w:r>
      <w:r w:rsidR="00460B68" w:rsidRPr="00DD0D1F">
        <w:rPr>
          <w:sz w:val="24"/>
          <w:szCs w:val="24"/>
        </w:rPr>
        <w:t>MET Sonuçları</w:t>
      </w:r>
      <w:r w:rsidRPr="00DD0D1F">
        <w:rPr>
          <w:sz w:val="24"/>
          <w:szCs w:val="24"/>
        </w:rPr>
        <w:t xml:space="preserve">, bu başlık de belirtilen genel </w:t>
      </w:r>
      <w:r w:rsidR="00460B68" w:rsidRPr="00DD0D1F">
        <w:rPr>
          <w:sz w:val="24"/>
          <w:szCs w:val="24"/>
        </w:rPr>
        <w:t xml:space="preserve">MET Sonuçlarına </w:t>
      </w:r>
      <w:r w:rsidRPr="00DD0D1F">
        <w:rPr>
          <w:sz w:val="24"/>
          <w:szCs w:val="24"/>
        </w:rPr>
        <w:t>ilaveten uygulanır.</w:t>
      </w:r>
    </w:p>
    <w:p w14:paraId="2A91505B" w14:textId="77777777" w:rsidR="00A508A2" w:rsidRPr="00DD0D1F" w:rsidRDefault="00A508A2" w:rsidP="00A508A2">
      <w:pPr>
        <w:pStyle w:val="GvdeMetni"/>
        <w:spacing w:before="3" w:line="360" w:lineRule="auto"/>
        <w:jc w:val="both"/>
        <w:rPr>
          <w:sz w:val="24"/>
          <w:szCs w:val="24"/>
        </w:rPr>
      </w:pPr>
    </w:p>
    <w:p w14:paraId="23C487F4"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80" w:name="_bookmark863"/>
      <w:bookmarkStart w:id="181" w:name="5.1.1_Environmental_management_systems"/>
      <w:bookmarkEnd w:id="180"/>
      <w:bookmarkEnd w:id="181"/>
      <w:r w:rsidRPr="00DD0D1F">
        <w:rPr>
          <w:rFonts w:cs="Times New Roman"/>
          <w:bCs/>
          <w:szCs w:val="24"/>
          <w:lang w:val="tr-TR"/>
        </w:rPr>
        <w:t>Çevre yönetimi sistemleri</w:t>
      </w:r>
    </w:p>
    <w:p w14:paraId="45A06DC3" w14:textId="77777777" w:rsidR="00A508A2" w:rsidRPr="00DD0D1F" w:rsidRDefault="00A508A2" w:rsidP="00A508A2">
      <w:pPr>
        <w:pStyle w:val="GvdeMetni"/>
        <w:spacing w:before="6" w:line="360" w:lineRule="auto"/>
        <w:jc w:val="both"/>
        <w:rPr>
          <w:b/>
          <w:sz w:val="24"/>
          <w:szCs w:val="24"/>
        </w:rPr>
      </w:pPr>
    </w:p>
    <w:p w14:paraId="369FAEAD" w14:textId="6CEA299D" w:rsidR="00A508A2" w:rsidRPr="00DD0D1F" w:rsidRDefault="00A508A2" w:rsidP="00A508A2">
      <w:pPr>
        <w:rPr>
          <w:rFonts w:cs="Times New Roman"/>
          <w:b/>
          <w:bCs/>
          <w:szCs w:val="24"/>
          <w:lang w:val="tr-TR"/>
        </w:rPr>
      </w:pPr>
      <w:r w:rsidRPr="00DD0D1F">
        <w:rPr>
          <w:rFonts w:cs="Times New Roman"/>
          <w:b/>
          <w:bCs/>
          <w:szCs w:val="24"/>
          <w:lang w:val="tr-TR"/>
        </w:rPr>
        <w:t xml:space="preserve">MET 1: </w:t>
      </w:r>
      <w:r w:rsidRPr="00DD0D1F">
        <w:rPr>
          <w:rFonts w:cs="Times New Roman"/>
          <w:bCs/>
          <w:szCs w:val="24"/>
          <w:lang w:val="tr-TR"/>
        </w:rPr>
        <w:t>Madeni yağ ve gazın artırılması ile ilgili olarak tesislerin genel çevresel p</w:t>
      </w:r>
      <w:r w:rsidR="0061478E" w:rsidRPr="00DD0D1F">
        <w:rPr>
          <w:rFonts w:cs="Times New Roman"/>
          <w:bCs/>
          <w:szCs w:val="24"/>
          <w:lang w:val="tr-TR"/>
        </w:rPr>
        <w:t>erformansının iyileştirilmesi için</w:t>
      </w:r>
      <w:r w:rsidRPr="00DD0D1F">
        <w:rPr>
          <w:rFonts w:cs="Times New Roman"/>
          <w:bCs/>
          <w:szCs w:val="24"/>
          <w:lang w:val="tr-TR"/>
        </w:rPr>
        <w:t xml:space="preserve">, </w:t>
      </w:r>
      <w:r w:rsidR="0061478E" w:rsidRPr="00DD0D1F">
        <w:rPr>
          <w:rFonts w:cs="Times New Roman"/>
          <w:bCs/>
          <w:szCs w:val="24"/>
          <w:lang w:val="tr-TR"/>
        </w:rPr>
        <w:t>aşağıdaki özelliklerin tamamına</w:t>
      </w:r>
      <w:r w:rsidRPr="00DD0D1F">
        <w:rPr>
          <w:rFonts w:cs="Times New Roman"/>
          <w:bCs/>
          <w:szCs w:val="24"/>
          <w:lang w:val="tr-TR"/>
        </w:rPr>
        <w:t xml:space="preserve"> </w:t>
      </w:r>
      <w:r w:rsidR="00AE07DE" w:rsidRPr="00DD0D1F">
        <w:rPr>
          <w:rFonts w:cs="Times New Roman"/>
          <w:bCs/>
          <w:szCs w:val="24"/>
          <w:lang w:val="tr-TR"/>
        </w:rPr>
        <w:t>sahip</w:t>
      </w:r>
      <w:r w:rsidRPr="00DD0D1F">
        <w:rPr>
          <w:rFonts w:cs="Times New Roman"/>
          <w:bCs/>
          <w:szCs w:val="24"/>
          <w:lang w:val="tr-TR"/>
        </w:rPr>
        <w:t xml:space="preserve"> ol</w:t>
      </w:r>
      <w:r w:rsidR="0061478E" w:rsidRPr="00DD0D1F">
        <w:rPr>
          <w:rFonts w:cs="Times New Roman"/>
          <w:bCs/>
          <w:szCs w:val="24"/>
          <w:lang w:val="tr-TR"/>
        </w:rPr>
        <w:t>an bir çevre yönetim sistemi</w:t>
      </w:r>
      <w:r w:rsidR="00AE07DE" w:rsidRPr="00DD0D1F">
        <w:rPr>
          <w:rFonts w:cs="Times New Roman"/>
          <w:bCs/>
          <w:szCs w:val="24"/>
          <w:lang w:val="tr-TR"/>
        </w:rPr>
        <w:t xml:space="preserve"> </w:t>
      </w:r>
      <w:r w:rsidRPr="00DD0D1F">
        <w:rPr>
          <w:rFonts w:cs="Times New Roman"/>
          <w:bCs/>
          <w:szCs w:val="24"/>
          <w:lang w:val="tr-TR"/>
        </w:rPr>
        <w:t xml:space="preserve">(ÇYS) </w:t>
      </w:r>
      <w:r w:rsidR="00AE07DE" w:rsidRPr="00DD0D1F">
        <w:rPr>
          <w:rFonts w:cs="Times New Roman"/>
          <w:bCs/>
          <w:szCs w:val="24"/>
          <w:lang w:val="tr-TR"/>
        </w:rPr>
        <w:t>uygulanır.</w:t>
      </w:r>
    </w:p>
    <w:p w14:paraId="52C45A1E" w14:textId="7B6773C8" w:rsidR="00A508A2" w:rsidRPr="00DD0D1F" w:rsidRDefault="00A508A2" w:rsidP="00FF111D">
      <w:pPr>
        <w:pStyle w:val="ListeParagraf"/>
        <w:widowControl w:val="0"/>
        <w:numPr>
          <w:ilvl w:val="3"/>
          <w:numId w:val="76"/>
        </w:numPr>
        <w:tabs>
          <w:tab w:val="left" w:pos="2219"/>
          <w:tab w:val="left" w:pos="2220"/>
        </w:tabs>
        <w:autoSpaceDE w:val="0"/>
        <w:autoSpaceDN w:val="0"/>
        <w:ind w:hanging="464"/>
        <w:contextualSpacing w:val="0"/>
        <w:jc w:val="both"/>
        <w:rPr>
          <w:rFonts w:cs="Times New Roman"/>
          <w:szCs w:val="24"/>
          <w:lang w:val="tr-TR"/>
        </w:rPr>
      </w:pPr>
      <w:r w:rsidRPr="00DD0D1F">
        <w:rPr>
          <w:rFonts w:cs="Times New Roman"/>
          <w:szCs w:val="24"/>
          <w:lang w:val="tr-TR"/>
        </w:rPr>
        <w:t xml:space="preserve">üst yönetim de dahil olmak üzere, yönetimin </w:t>
      </w:r>
      <w:r w:rsidR="00FF71FC" w:rsidRPr="00DD0D1F">
        <w:rPr>
          <w:rFonts w:cs="Times New Roman"/>
          <w:szCs w:val="24"/>
          <w:lang w:val="tr-TR"/>
        </w:rPr>
        <w:t>bağlılığı,</w:t>
      </w:r>
    </w:p>
    <w:p w14:paraId="51C20E1C"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right="496" w:hanging="526"/>
        <w:contextualSpacing w:val="0"/>
        <w:jc w:val="both"/>
        <w:rPr>
          <w:rFonts w:cs="Times New Roman"/>
          <w:szCs w:val="24"/>
          <w:lang w:val="tr-TR"/>
        </w:rPr>
      </w:pPr>
      <w:r w:rsidRPr="00DD0D1F">
        <w:rPr>
          <w:rFonts w:cs="Times New Roman"/>
          <w:szCs w:val="24"/>
          <w:lang w:val="tr-TR"/>
        </w:rPr>
        <w:t>yönetim tarafından tesisin sürekli olarak iyileştirilmesini de kapsayacak olan çevre politikası tanımı,</w:t>
      </w:r>
    </w:p>
    <w:p w14:paraId="1CA42084" w14:textId="77777777" w:rsidR="00A508A2" w:rsidRPr="00DD0D1F" w:rsidRDefault="00A508A2" w:rsidP="00FF111D">
      <w:pPr>
        <w:pStyle w:val="ListeParagraf"/>
        <w:widowControl w:val="0"/>
        <w:numPr>
          <w:ilvl w:val="3"/>
          <w:numId w:val="76"/>
        </w:numPr>
        <w:tabs>
          <w:tab w:val="left" w:pos="2219"/>
          <w:tab w:val="left" w:pos="2220"/>
        </w:tabs>
        <w:autoSpaceDE w:val="0"/>
        <w:autoSpaceDN w:val="0"/>
        <w:spacing w:before="1"/>
        <w:ind w:right="494" w:hanging="586"/>
        <w:contextualSpacing w:val="0"/>
        <w:jc w:val="both"/>
        <w:rPr>
          <w:rFonts w:cs="Times New Roman"/>
          <w:szCs w:val="24"/>
          <w:lang w:val="tr-TR"/>
        </w:rPr>
      </w:pPr>
      <w:r w:rsidRPr="00DD0D1F">
        <w:rPr>
          <w:rFonts w:cs="Times New Roman"/>
          <w:szCs w:val="24"/>
          <w:lang w:val="tr-TR"/>
        </w:rPr>
        <w:t>gereken prosedürlerin, hedeflerin ve amaçların finansal planlama ve yatırım ile birlikte planlanması ve belirlenmesi,</w:t>
      </w:r>
    </w:p>
    <w:p w14:paraId="5F802159"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hanging="574"/>
        <w:contextualSpacing w:val="0"/>
        <w:jc w:val="both"/>
        <w:rPr>
          <w:rFonts w:cs="Times New Roman"/>
          <w:szCs w:val="24"/>
          <w:lang w:val="tr-TR"/>
        </w:rPr>
      </w:pPr>
      <w:r w:rsidRPr="00DD0D1F">
        <w:rPr>
          <w:rFonts w:cs="Times New Roman"/>
          <w:szCs w:val="24"/>
          <w:lang w:val="tr-TR"/>
        </w:rPr>
        <w:t>prosedürlerin, aşağıdakilere özellikle dikkat edilerek yürütülmesi:</w:t>
      </w:r>
    </w:p>
    <w:p w14:paraId="518C326A" w14:textId="77777777" w:rsidR="00A508A2" w:rsidRPr="00DD0D1F" w:rsidRDefault="00A508A2" w:rsidP="00A508A2">
      <w:pPr>
        <w:pStyle w:val="GvdeMetni"/>
        <w:spacing w:line="360" w:lineRule="auto"/>
        <w:jc w:val="both"/>
        <w:rPr>
          <w:sz w:val="24"/>
          <w:szCs w:val="24"/>
        </w:rPr>
      </w:pPr>
    </w:p>
    <w:p w14:paraId="0A76F99B"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yapı ve sorumluluk</w:t>
      </w:r>
    </w:p>
    <w:p w14:paraId="115274C5"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eğitim, farkındalık ve yeterlik</w:t>
      </w:r>
    </w:p>
    <w:p w14:paraId="23566BA8" w14:textId="77777777" w:rsidR="00A508A2" w:rsidRPr="00DD0D1F" w:rsidRDefault="00A508A2" w:rsidP="00FF111D">
      <w:pPr>
        <w:pStyle w:val="ListeParagraf"/>
        <w:widowControl w:val="0"/>
        <w:numPr>
          <w:ilvl w:val="4"/>
          <w:numId w:val="76"/>
        </w:numPr>
        <w:tabs>
          <w:tab w:val="left" w:pos="2721"/>
          <w:tab w:val="left" w:pos="2722"/>
        </w:tabs>
        <w:autoSpaceDE w:val="0"/>
        <w:autoSpaceDN w:val="0"/>
        <w:spacing w:before="2"/>
        <w:ind w:hanging="476"/>
        <w:contextualSpacing w:val="0"/>
        <w:rPr>
          <w:rFonts w:cs="Times New Roman"/>
          <w:szCs w:val="24"/>
          <w:lang w:val="tr-TR"/>
        </w:rPr>
      </w:pPr>
      <w:r w:rsidRPr="00DD0D1F">
        <w:rPr>
          <w:rFonts w:cs="Times New Roman"/>
          <w:szCs w:val="24"/>
          <w:lang w:val="tr-TR"/>
        </w:rPr>
        <w:t>iletişim</w:t>
      </w:r>
    </w:p>
    <w:p w14:paraId="456CC773"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çalışan katılımı</w:t>
      </w:r>
    </w:p>
    <w:p w14:paraId="792C6230"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dokümantasyon</w:t>
      </w:r>
    </w:p>
    <w:p w14:paraId="36BFBC5B" w14:textId="77777777" w:rsidR="00A508A2" w:rsidRPr="00DD0D1F" w:rsidRDefault="00A508A2" w:rsidP="00FF111D">
      <w:pPr>
        <w:pStyle w:val="ListeParagraf"/>
        <w:widowControl w:val="0"/>
        <w:numPr>
          <w:ilvl w:val="4"/>
          <w:numId w:val="76"/>
        </w:numPr>
        <w:tabs>
          <w:tab w:val="left" w:pos="2721"/>
          <w:tab w:val="left" w:pos="2722"/>
        </w:tabs>
        <w:autoSpaceDE w:val="0"/>
        <w:autoSpaceDN w:val="0"/>
        <w:spacing w:before="1"/>
        <w:ind w:hanging="476"/>
        <w:contextualSpacing w:val="0"/>
        <w:rPr>
          <w:rFonts w:cs="Times New Roman"/>
          <w:szCs w:val="24"/>
          <w:lang w:val="tr-TR"/>
        </w:rPr>
      </w:pPr>
      <w:r w:rsidRPr="00DD0D1F">
        <w:rPr>
          <w:rFonts w:cs="Times New Roman"/>
          <w:szCs w:val="24"/>
          <w:lang w:val="tr-TR"/>
        </w:rPr>
        <w:t>etkili proses kontrolü</w:t>
      </w:r>
    </w:p>
    <w:p w14:paraId="74A9BEB4"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bakım programları</w:t>
      </w:r>
    </w:p>
    <w:p w14:paraId="2F0602D1" w14:textId="77777777" w:rsidR="00A508A2" w:rsidRPr="00DD0D1F" w:rsidRDefault="00A508A2" w:rsidP="00FF111D">
      <w:pPr>
        <w:pStyle w:val="ListeParagraf"/>
        <w:widowControl w:val="0"/>
        <w:numPr>
          <w:ilvl w:val="4"/>
          <w:numId w:val="76"/>
        </w:numPr>
        <w:tabs>
          <w:tab w:val="left" w:pos="2721"/>
          <w:tab w:val="left" w:pos="2722"/>
        </w:tabs>
        <w:autoSpaceDE w:val="0"/>
        <w:autoSpaceDN w:val="0"/>
        <w:spacing w:before="2"/>
        <w:ind w:hanging="476"/>
        <w:contextualSpacing w:val="0"/>
        <w:rPr>
          <w:rFonts w:cs="Times New Roman"/>
          <w:szCs w:val="24"/>
          <w:lang w:val="tr-TR"/>
        </w:rPr>
      </w:pPr>
      <w:r w:rsidRPr="00DD0D1F">
        <w:rPr>
          <w:rFonts w:cs="Times New Roman"/>
          <w:szCs w:val="24"/>
          <w:lang w:val="tr-TR"/>
        </w:rPr>
        <w:t>acil durumlara hazırlık ve müdahale</w:t>
      </w:r>
    </w:p>
    <w:p w14:paraId="14A6D67B"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çevre mevzuatına olan uygunluğun korunması.</w:t>
      </w:r>
    </w:p>
    <w:p w14:paraId="25A04612" w14:textId="77777777" w:rsidR="00A508A2" w:rsidRPr="00DD0D1F" w:rsidRDefault="00A508A2" w:rsidP="00FF111D">
      <w:pPr>
        <w:pStyle w:val="ListeParagraf"/>
        <w:widowControl w:val="0"/>
        <w:numPr>
          <w:ilvl w:val="3"/>
          <w:numId w:val="76"/>
        </w:numPr>
        <w:tabs>
          <w:tab w:val="left" w:pos="2219"/>
          <w:tab w:val="left" w:pos="2220"/>
        </w:tabs>
        <w:autoSpaceDE w:val="0"/>
        <w:autoSpaceDN w:val="0"/>
        <w:spacing w:before="1"/>
        <w:ind w:right="525" w:hanging="514"/>
        <w:contextualSpacing w:val="0"/>
        <w:jc w:val="both"/>
        <w:rPr>
          <w:rFonts w:cs="Times New Roman"/>
          <w:szCs w:val="24"/>
          <w:lang w:val="tr-TR"/>
        </w:rPr>
      </w:pPr>
      <w:r w:rsidRPr="00DD0D1F">
        <w:rPr>
          <w:rFonts w:cs="Times New Roman"/>
          <w:szCs w:val="24"/>
          <w:lang w:val="tr-TR"/>
        </w:rPr>
        <w:t>aşağıdaki hususlara özellikle dikkat edilerek performansın kontrol edilmesi ve düzeltici önlem alınması:</w:t>
      </w:r>
    </w:p>
    <w:p w14:paraId="555C2070"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right="490" w:hanging="476"/>
        <w:contextualSpacing w:val="0"/>
        <w:rPr>
          <w:rFonts w:cs="Times New Roman"/>
          <w:szCs w:val="24"/>
          <w:lang w:val="tr-TR"/>
        </w:rPr>
      </w:pPr>
      <w:r w:rsidRPr="00DD0D1F">
        <w:rPr>
          <w:rFonts w:cs="Times New Roman"/>
          <w:szCs w:val="24"/>
          <w:lang w:val="tr-TR"/>
        </w:rPr>
        <w:t>izleme ve ölçme (ayrıca Genel İzleme İlkeleri hakkındaki referans belgeye de bkz.)</w:t>
      </w:r>
    </w:p>
    <w:p w14:paraId="4A554A8B"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düzeltici ve önleyici tedbir</w:t>
      </w:r>
    </w:p>
    <w:p w14:paraId="451998E1" w14:textId="6A7494F0"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kayı</w:t>
      </w:r>
      <w:r w:rsidR="00FF71FC" w:rsidRPr="00DD0D1F">
        <w:rPr>
          <w:rFonts w:cs="Times New Roman"/>
          <w:szCs w:val="24"/>
          <w:lang w:val="tr-TR"/>
        </w:rPr>
        <w:t>t</w:t>
      </w:r>
      <w:r w:rsidRPr="00DD0D1F">
        <w:rPr>
          <w:rFonts w:cs="Times New Roman"/>
          <w:szCs w:val="24"/>
          <w:lang w:val="tr-TR"/>
        </w:rPr>
        <w:t>ların tutulması</w:t>
      </w:r>
    </w:p>
    <w:p w14:paraId="020AB62D" w14:textId="77777777" w:rsidR="00A508A2" w:rsidRPr="00DD0D1F" w:rsidRDefault="00A508A2" w:rsidP="00FF111D">
      <w:pPr>
        <w:pStyle w:val="ListeParagraf"/>
        <w:widowControl w:val="0"/>
        <w:numPr>
          <w:ilvl w:val="4"/>
          <w:numId w:val="76"/>
        </w:numPr>
        <w:tabs>
          <w:tab w:val="left" w:pos="2722"/>
        </w:tabs>
        <w:autoSpaceDE w:val="0"/>
        <w:autoSpaceDN w:val="0"/>
        <w:ind w:right="495" w:hanging="476"/>
        <w:contextualSpacing w:val="0"/>
        <w:rPr>
          <w:rFonts w:cs="Times New Roman"/>
          <w:szCs w:val="24"/>
          <w:lang w:val="tr-TR"/>
        </w:rPr>
      </w:pPr>
      <w:r w:rsidRPr="00DD0D1F">
        <w:rPr>
          <w:rFonts w:cs="Times New Roman"/>
          <w:szCs w:val="24"/>
          <w:lang w:val="tr-TR"/>
        </w:rPr>
        <w:t>ÇS’nin planlanan düzenlemelere uygun olup olmadığını ve uygun şekilde uygulanıp uygulanmadığını belirlemek amacıyla bağımsız (uygulanabilir olduğunda) iç ve dış denetimin yapılması</w:t>
      </w:r>
    </w:p>
    <w:p w14:paraId="1F4DF466"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right="494" w:hanging="574"/>
        <w:contextualSpacing w:val="0"/>
        <w:jc w:val="both"/>
        <w:rPr>
          <w:rFonts w:cs="Times New Roman"/>
          <w:szCs w:val="24"/>
          <w:lang w:val="tr-TR"/>
        </w:rPr>
      </w:pPr>
      <w:r w:rsidRPr="00DD0D1F">
        <w:rPr>
          <w:rFonts w:cs="Times New Roman"/>
          <w:szCs w:val="24"/>
          <w:lang w:val="tr-TR"/>
        </w:rPr>
        <w:t>ÇYS'nin kesintisiz uygunluğunun, yeterliliğinin ve etkililiğinin üst yönetimce gözden geçirilmesi,</w:t>
      </w:r>
    </w:p>
    <w:p w14:paraId="0CA5BE0E" w14:textId="77777777" w:rsidR="00A508A2" w:rsidRPr="00DD0D1F" w:rsidRDefault="00A508A2" w:rsidP="00FF111D">
      <w:pPr>
        <w:pStyle w:val="ListeParagraf"/>
        <w:widowControl w:val="0"/>
        <w:numPr>
          <w:ilvl w:val="3"/>
          <w:numId w:val="76"/>
        </w:numPr>
        <w:tabs>
          <w:tab w:val="left" w:pos="2219"/>
          <w:tab w:val="left" w:pos="2220"/>
        </w:tabs>
        <w:autoSpaceDE w:val="0"/>
        <w:autoSpaceDN w:val="0"/>
        <w:spacing w:before="1"/>
        <w:ind w:hanging="637"/>
        <w:contextualSpacing w:val="0"/>
        <w:jc w:val="both"/>
        <w:rPr>
          <w:rFonts w:cs="Times New Roman"/>
          <w:szCs w:val="24"/>
          <w:lang w:val="tr-TR"/>
        </w:rPr>
      </w:pPr>
      <w:r w:rsidRPr="00DD0D1F">
        <w:rPr>
          <w:rFonts w:cs="Times New Roman"/>
          <w:szCs w:val="24"/>
          <w:lang w:val="tr-TR"/>
        </w:rPr>
        <w:t>daha temiz teknolojilerin geliştirilmesinin takibi,</w:t>
      </w:r>
    </w:p>
    <w:p w14:paraId="4D78E020"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right="487" w:hanging="696"/>
        <w:contextualSpacing w:val="0"/>
        <w:jc w:val="both"/>
        <w:rPr>
          <w:rFonts w:cs="Times New Roman"/>
          <w:szCs w:val="24"/>
          <w:lang w:val="tr-TR"/>
        </w:rPr>
      </w:pPr>
      <w:r w:rsidRPr="00DD0D1F">
        <w:rPr>
          <w:rFonts w:cs="Times New Roman"/>
          <w:szCs w:val="24"/>
          <w:lang w:val="tr-TR"/>
        </w:rPr>
        <w:t>yeni bir tesisin tasarlanması aşamasında ve işletim süresinin tamamında tesisin nihai olarak devreden çıkarılmasından kaynaklanan çevresel etkilerin göz önünde tutulması,</w:t>
      </w:r>
    </w:p>
    <w:p w14:paraId="313AF894" w14:textId="19B464E1" w:rsidR="00A508A2" w:rsidRPr="00DD0D1F" w:rsidRDefault="00A508A2" w:rsidP="00FF111D">
      <w:pPr>
        <w:pStyle w:val="ListeParagraf"/>
        <w:widowControl w:val="0"/>
        <w:numPr>
          <w:ilvl w:val="3"/>
          <w:numId w:val="76"/>
        </w:numPr>
        <w:tabs>
          <w:tab w:val="left" w:pos="2219"/>
          <w:tab w:val="left" w:pos="2220"/>
        </w:tabs>
        <w:autoSpaceDE w:val="0"/>
        <w:autoSpaceDN w:val="0"/>
        <w:ind w:hanging="574"/>
        <w:contextualSpacing w:val="0"/>
        <w:jc w:val="both"/>
        <w:rPr>
          <w:rFonts w:cs="Times New Roman"/>
          <w:szCs w:val="24"/>
          <w:lang w:val="tr-TR"/>
        </w:rPr>
      </w:pPr>
      <w:r w:rsidRPr="00DD0D1F">
        <w:rPr>
          <w:rFonts w:cs="Times New Roman"/>
          <w:szCs w:val="24"/>
          <w:lang w:val="tr-TR"/>
        </w:rPr>
        <w:t>karşılaştırmalı sektörel değerlendirmelerin düzenli olarak yapılması.</w:t>
      </w:r>
      <w:bookmarkStart w:id="182" w:name="_bookmark864"/>
      <w:bookmarkStart w:id="183" w:name="5.1.2_Energy_efficiency"/>
      <w:bookmarkEnd w:id="182"/>
      <w:bookmarkEnd w:id="183"/>
    </w:p>
    <w:p w14:paraId="7D3A6390" w14:textId="21710E10" w:rsidR="004001BE" w:rsidRPr="00DD0D1F" w:rsidRDefault="004001BE" w:rsidP="004001BE">
      <w:pPr>
        <w:widowControl w:val="0"/>
        <w:tabs>
          <w:tab w:val="left" w:pos="2219"/>
          <w:tab w:val="left" w:pos="2220"/>
        </w:tabs>
        <w:autoSpaceDE w:val="0"/>
        <w:autoSpaceDN w:val="0"/>
        <w:rPr>
          <w:rFonts w:cs="Times New Roman"/>
          <w:b/>
          <w:szCs w:val="24"/>
          <w:lang w:val="tr-TR"/>
        </w:rPr>
      </w:pPr>
      <w:r w:rsidRPr="00DD0D1F">
        <w:rPr>
          <w:rFonts w:cs="Times New Roman"/>
          <w:b/>
          <w:szCs w:val="24"/>
          <w:lang w:val="tr-TR"/>
        </w:rPr>
        <w:t>Uygulanabilirlik</w:t>
      </w:r>
    </w:p>
    <w:p w14:paraId="09354073" w14:textId="03345AD2" w:rsidR="004001BE" w:rsidRPr="00DD0D1F" w:rsidRDefault="004001BE" w:rsidP="004001BE">
      <w:pPr>
        <w:widowControl w:val="0"/>
        <w:tabs>
          <w:tab w:val="left" w:pos="2219"/>
          <w:tab w:val="left" w:pos="2220"/>
        </w:tabs>
        <w:autoSpaceDE w:val="0"/>
        <w:autoSpaceDN w:val="0"/>
        <w:rPr>
          <w:rFonts w:cs="Times New Roman"/>
          <w:szCs w:val="24"/>
          <w:lang w:val="tr-TR"/>
        </w:rPr>
      </w:pPr>
      <w:r w:rsidRPr="00DD0D1F">
        <w:rPr>
          <w:rFonts w:cs="Times New Roman"/>
          <w:szCs w:val="24"/>
          <w:lang w:val="tr-TR"/>
        </w:rPr>
        <w:t xml:space="preserve">                     Çevresel Yönetim Sisteminin kapsamı (örn. ayrıntı düzeyi) ve doğası (örn. standartlaştırılmış veya standartlaştırılmamış) genellikle kurulumun doğası, ölçeği ve karmaşıklığı ve sahip olabileceği çevresel etki aralığı ile ilişkili olacaktır.</w:t>
      </w:r>
    </w:p>
    <w:p w14:paraId="3E5F0E26" w14:textId="77777777" w:rsidR="00A508A2" w:rsidRPr="00DD0D1F" w:rsidRDefault="00A508A2" w:rsidP="00A508A2">
      <w:pPr>
        <w:pStyle w:val="ListeParagraf"/>
        <w:tabs>
          <w:tab w:val="left" w:pos="2219"/>
          <w:tab w:val="left" w:pos="2220"/>
        </w:tabs>
        <w:ind w:left="2219"/>
        <w:rPr>
          <w:rFonts w:cs="Times New Roman"/>
          <w:szCs w:val="24"/>
          <w:lang w:val="tr-TR"/>
        </w:rPr>
      </w:pPr>
    </w:p>
    <w:p w14:paraId="5FAE8D1D"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r w:rsidRPr="00DD0D1F">
        <w:rPr>
          <w:rFonts w:cs="Times New Roman"/>
          <w:bCs/>
          <w:szCs w:val="24"/>
          <w:lang w:val="tr-TR"/>
        </w:rPr>
        <w:t xml:space="preserve">Enerji verimliliği </w:t>
      </w:r>
    </w:p>
    <w:p w14:paraId="2F05F262" w14:textId="456D66A4" w:rsidR="00A508A2" w:rsidRPr="00DD0D1F" w:rsidRDefault="00A508A2" w:rsidP="00A508A2">
      <w:pPr>
        <w:tabs>
          <w:tab w:val="left" w:pos="1585"/>
        </w:tabs>
        <w:rPr>
          <w:rFonts w:cs="Times New Roman"/>
          <w:b/>
          <w:bCs/>
          <w:szCs w:val="24"/>
          <w:lang w:val="tr-TR"/>
        </w:rPr>
      </w:pPr>
      <w:r w:rsidRPr="00DD0D1F">
        <w:rPr>
          <w:rFonts w:cs="Times New Roman"/>
          <w:b/>
          <w:bCs/>
          <w:szCs w:val="24"/>
          <w:lang w:val="tr-TR"/>
        </w:rPr>
        <w:t xml:space="preserve">MET 2: </w:t>
      </w:r>
      <w:r w:rsidRPr="00DD0D1F">
        <w:rPr>
          <w:rFonts w:cs="Times New Roman"/>
          <w:bCs/>
          <w:szCs w:val="24"/>
          <w:lang w:val="tr-TR"/>
        </w:rPr>
        <w:t>Enerjinin verimli olarak kullanılması</w:t>
      </w:r>
      <w:r w:rsidR="0061478E" w:rsidRPr="00DD0D1F">
        <w:rPr>
          <w:rFonts w:cs="Times New Roman"/>
          <w:bCs/>
          <w:szCs w:val="24"/>
          <w:lang w:val="tr-TR"/>
        </w:rPr>
        <w:t xml:space="preserve"> için</w:t>
      </w:r>
      <w:r w:rsidRPr="00DD0D1F">
        <w:rPr>
          <w:rFonts w:cs="Times New Roman"/>
          <w:bCs/>
          <w:szCs w:val="24"/>
          <w:lang w:val="tr-TR"/>
        </w:rPr>
        <w:t>, aşağıda verilen tekniklerin uygun kom</w:t>
      </w:r>
      <w:r w:rsidR="00FF71FC" w:rsidRPr="00DD0D1F">
        <w:rPr>
          <w:rFonts w:cs="Times New Roman"/>
          <w:bCs/>
          <w:szCs w:val="24"/>
          <w:lang w:val="tr-TR"/>
        </w:rPr>
        <w:t>binasyonundan yararlanılır.</w:t>
      </w:r>
    </w:p>
    <w:p w14:paraId="21BA370A" w14:textId="77777777" w:rsidR="00A508A2" w:rsidRPr="00DD0D1F" w:rsidRDefault="00A508A2" w:rsidP="00A508A2">
      <w:pPr>
        <w:pStyle w:val="GvdeMetni"/>
        <w:spacing w:before="9"/>
        <w:rPr>
          <w:b/>
          <w:sz w:val="24"/>
          <w:szCs w:val="24"/>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4391"/>
      </w:tblGrid>
      <w:tr w:rsidR="00A508A2" w:rsidRPr="00DD0D1F" w14:paraId="0E39CA06" w14:textId="77777777" w:rsidTr="00A508A2">
        <w:trPr>
          <w:trHeight w:val="282"/>
        </w:trPr>
        <w:tc>
          <w:tcPr>
            <w:tcW w:w="4333" w:type="dxa"/>
          </w:tcPr>
          <w:p w14:paraId="7FDE4615" w14:textId="77777777" w:rsidR="00A508A2" w:rsidRPr="00DD0D1F" w:rsidRDefault="00A508A2" w:rsidP="00A508A2">
            <w:pPr>
              <w:pStyle w:val="TableParagraph"/>
              <w:spacing w:before="24"/>
              <w:ind w:left="1690" w:right="1691"/>
              <w:jc w:val="center"/>
              <w:rPr>
                <w:b/>
                <w:szCs w:val="24"/>
              </w:rPr>
            </w:pPr>
            <w:r w:rsidRPr="00DD0D1F">
              <w:rPr>
                <w:b/>
                <w:bCs/>
                <w:szCs w:val="24"/>
              </w:rPr>
              <w:t>Teknik</w:t>
            </w:r>
          </w:p>
        </w:tc>
        <w:tc>
          <w:tcPr>
            <w:tcW w:w="4391" w:type="dxa"/>
          </w:tcPr>
          <w:p w14:paraId="0D339076" w14:textId="77777777" w:rsidR="00A508A2" w:rsidRPr="00DD0D1F" w:rsidRDefault="00A508A2" w:rsidP="00A508A2">
            <w:pPr>
              <w:pStyle w:val="TableParagraph"/>
              <w:spacing w:before="24"/>
              <w:ind w:left="1676" w:right="1676"/>
              <w:jc w:val="center"/>
              <w:rPr>
                <w:b/>
                <w:szCs w:val="24"/>
              </w:rPr>
            </w:pPr>
            <w:r w:rsidRPr="00DD0D1F">
              <w:rPr>
                <w:b/>
                <w:bCs/>
                <w:szCs w:val="24"/>
              </w:rPr>
              <w:t>Açıklama</w:t>
            </w:r>
          </w:p>
        </w:tc>
      </w:tr>
      <w:tr w:rsidR="00A508A2" w:rsidRPr="00DD0D1F" w14:paraId="005F416C" w14:textId="77777777" w:rsidTr="00A508A2">
        <w:trPr>
          <w:trHeight w:val="285"/>
        </w:trPr>
        <w:tc>
          <w:tcPr>
            <w:tcW w:w="8724" w:type="dxa"/>
            <w:gridSpan w:val="2"/>
          </w:tcPr>
          <w:p w14:paraId="5A0802C6" w14:textId="77777777" w:rsidR="00A508A2" w:rsidRPr="00DD0D1F" w:rsidRDefault="00A508A2" w:rsidP="00A508A2">
            <w:pPr>
              <w:pStyle w:val="TableParagraph"/>
              <w:tabs>
                <w:tab w:val="left" w:pos="828"/>
              </w:tabs>
              <w:spacing w:before="22"/>
              <w:ind w:left="285"/>
              <w:rPr>
                <w:szCs w:val="24"/>
              </w:rPr>
            </w:pPr>
            <w:r w:rsidRPr="00DD0D1F">
              <w:rPr>
                <w:szCs w:val="24"/>
              </w:rPr>
              <w:t>i.</w:t>
            </w:r>
            <w:r w:rsidRPr="00DD0D1F">
              <w:rPr>
                <w:szCs w:val="24"/>
              </w:rPr>
              <w:tab/>
              <w:t>Tasarım teknikleri</w:t>
            </w:r>
          </w:p>
        </w:tc>
      </w:tr>
      <w:tr w:rsidR="00A508A2" w:rsidRPr="00DD0D1F" w14:paraId="72DDD554" w14:textId="77777777" w:rsidTr="00A508A2">
        <w:trPr>
          <w:trHeight w:val="918"/>
        </w:trPr>
        <w:tc>
          <w:tcPr>
            <w:tcW w:w="4333" w:type="dxa"/>
          </w:tcPr>
          <w:p w14:paraId="615D7764" w14:textId="77777777" w:rsidR="00A508A2" w:rsidRPr="00DD0D1F" w:rsidRDefault="00A508A2" w:rsidP="00A508A2">
            <w:pPr>
              <w:pStyle w:val="TableParagraph"/>
              <w:spacing w:before="5"/>
              <w:rPr>
                <w:b/>
                <w:szCs w:val="24"/>
              </w:rPr>
            </w:pPr>
          </w:p>
          <w:p w14:paraId="59BA2925" w14:textId="77777777" w:rsidR="00A508A2" w:rsidRPr="00DD0D1F" w:rsidRDefault="00A508A2" w:rsidP="00A508A2">
            <w:pPr>
              <w:pStyle w:val="TableParagraph"/>
              <w:tabs>
                <w:tab w:val="left" w:pos="816"/>
              </w:tabs>
              <w:ind w:left="391"/>
              <w:rPr>
                <w:szCs w:val="24"/>
              </w:rPr>
            </w:pPr>
            <w:r w:rsidRPr="00DD0D1F">
              <w:rPr>
                <w:szCs w:val="24"/>
              </w:rPr>
              <w:t>a.</w:t>
            </w:r>
            <w:r w:rsidRPr="00DD0D1F">
              <w:rPr>
                <w:szCs w:val="24"/>
              </w:rPr>
              <w:tab/>
              <w:t>Pinch analizi</w:t>
            </w:r>
          </w:p>
        </w:tc>
        <w:tc>
          <w:tcPr>
            <w:tcW w:w="4391" w:type="dxa"/>
          </w:tcPr>
          <w:p w14:paraId="55C9554B" w14:textId="77777777" w:rsidR="00A508A2" w:rsidRPr="00DD0D1F" w:rsidRDefault="00A508A2" w:rsidP="00A508A2">
            <w:pPr>
              <w:pStyle w:val="TableParagraph"/>
              <w:ind w:left="100" w:right="93"/>
              <w:rPr>
                <w:szCs w:val="24"/>
              </w:rPr>
            </w:pPr>
            <w:r w:rsidRPr="00DD0D1F">
              <w:rPr>
                <w:szCs w:val="24"/>
              </w:rPr>
              <w:t>Proseslerin enerji tüketimini en aza düşürmek amacıyla termodinamik hedeflerin sistematik hesaplamasına dayandırılan metodolojidir.</w:t>
            </w:r>
          </w:p>
          <w:p w14:paraId="27DA0AD2" w14:textId="77777777" w:rsidR="00A508A2" w:rsidRPr="00DD0D1F" w:rsidRDefault="00A508A2" w:rsidP="00A508A2">
            <w:pPr>
              <w:pStyle w:val="TableParagraph"/>
              <w:spacing w:line="228" w:lineRule="exact"/>
              <w:ind w:left="100" w:right="93"/>
              <w:rPr>
                <w:szCs w:val="24"/>
              </w:rPr>
            </w:pPr>
            <w:r w:rsidRPr="00DD0D1F">
              <w:rPr>
                <w:szCs w:val="24"/>
              </w:rPr>
              <w:t xml:space="preserve"> Sistem tasarımları toplamının değerlendirilmesinde araç olarak kullanılır</w:t>
            </w:r>
          </w:p>
        </w:tc>
      </w:tr>
      <w:tr w:rsidR="00A508A2" w:rsidRPr="00DD0D1F" w14:paraId="4AAC1949" w14:textId="77777777" w:rsidTr="00A508A2">
        <w:trPr>
          <w:trHeight w:val="1149"/>
        </w:trPr>
        <w:tc>
          <w:tcPr>
            <w:tcW w:w="4333" w:type="dxa"/>
          </w:tcPr>
          <w:p w14:paraId="434DFCD0" w14:textId="77777777" w:rsidR="00A508A2" w:rsidRPr="00DD0D1F" w:rsidRDefault="00A508A2" w:rsidP="00A508A2">
            <w:pPr>
              <w:pStyle w:val="TableParagraph"/>
              <w:rPr>
                <w:b/>
                <w:szCs w:val="24"/>
              </w:rPr>
            </w:pPr>
          </w:p>
          <w:p w14:paraId="21E896CC" w14:textId="77777777" w:rsidR="00A508A2" w:rsidRPr="00DD0D1F" w:rsidRDefault="00A508A2" w:rsidP="00A508A2">
            <w:pPr>
              <w:pStyle w:val="TableParagraph"/>
              <w:spacing w:before="5"/>
              <w:rPr>
                <w:b/>
                <w:szCs w:val="24"/>
              </w:rPr>
            </w:pPr>
          </w:p>
          <w:p w14:paraId="72EDE4C7" w14:textId="77777777" w:rsidR="00A508A2" w:rsidRPr="00DD0D1F" w:rsidRDefault="00A508A2" w:rsidP="00A508A2">
            <w:pPr>
              <w:pStyle w:val="TableParagraph"/>
              <w:tabs>
                <w:tab w:val="left" w:pos="816"/>
              </w:tabs>
              <w:ind w:left="391"/>
              <w:rPr>
                <w:szCs w:val="24"/>
              </w:rPr>
            </w:pPr>
            <w:r w:rsidRPr="00DD0D1F">
              <w:rPr>
                <w:szCs w:val="24"/>
              </w:rPr>
              <w:t>b.</w:t>
            </w:r>
            <w:r w:rsidRPr="00DD0D1F">
              <w:rPr>
                <w:szCs w:val="24"/>
              </w:rPr>
              <w:tab/>
              <w:t>Isı entegrasyonu</w:t>
            </w:r>
          </w:p>
        </w:tc>
        <w:tc>
          <w:tcPr>
            <w:tcW w:w="4391" w:type="dxa"/>
          </w:tcPr>
          <w:p w14:paraId="2B6E89E0" w14:textId="77777777" w:rsidR="00A508A2" w:rsidRPr="00DD0D1F" w:rsidRDefault="00A508A2" w:rsidP="00A508A2">
            <w:pPr>
              <w:pStyle w:val="TableParagraph"/>
              <w:ind w:left="100" w:right="100"/>
              <w:jc w:val="both"/>
              <w:rPr>
                <w:szCs w:val="24"/>
              </w:rPr>
            </w:pPr>
            <w:r w:rsidRPr="00DD0D1F">
              <w:rPr>
                <w:szCs w:val="24"/>
              </w:rPr>
              <w:t>Proses sistemlerinin ısı entegrasyonu, çeşitli proseslerde ihtiyaç duyulan ısının büyük bölümünün ısıtılacak akımlar ile soğutulacak akımlar arasında ısı değişimi yapılması yoluyla elde edilmesini sağlar</w:t>
            </w:r>
          </w:p>
        </w:tc>
      </w:tr>
      <w:tr w:rsidR="00A508A2" w:rsidRPr="00DD0D1F" w14:paraId="4EB46873" w14:textId="77777777" w:rsidTr="00A508A2">
        <w:trPr>
          <w:trHeight w:val="1024"/>
        </w:trPr>
        <w:tc>
          <w:tcPr>
            <w:tcW w:w="4333" w:type="dxa"/>
          </w:tcPr>
          <w:p w14:paraId="4752E73A" w14:textId="77777777" w:rsidR="00A508A2" w:rsidRPr="00DD0D1F" w:rsidRDefault="00A508A2" w:rsidP="00A508A2">
            <w:pPr>
              <w:pStyle w:val="TableParagraph"/>
              <w:rPr>
                <w:b/>
                <w:szCs w:val="24"/>
              </w:rPr>
            </w:pPr>
          </w:p>
          <w:p w14:paraId="527D7084" w14:textId="77777777" w:rsidR="00A508A2" w:rsidRPr="00DD0D1F" w:rsidRDefault="00A508A2" w:rsidP="00A508A2">
            <w:pPr>
              <w:pStyle w:val="TableParagraph"/>
              <w:tabs>
                <w:tab w:val="left" w:pos="816"/>
              </w:tabs>
              <w:spacing w:before="138"/>
              <w:ind w:left="391"/>
              <w:rPr>
                <w:szCs w:val="24"/>
              </w:rPr>
            </w:pPr>
            <w:r w:rsidRPr="00DD0D1F">
              <w:rPr>
                <w:szCs w:val="24"/>
              </w:rPr>
              <w:t>c.</w:t>
            </w:r>
            <w:r w:rsidRPr="00DD0D1F">
              <w:rPr>
                <w:szCs w:val="24"/>
              </w:rPr>
              <w:tab/>
              <w:t>Isı ve enerji geri kazanımı</w:t>
            </w:r>
          </w:p>
        </w:tc>
        <w:tc>
          <w:tcPr>
            <w:tcW w:w="4391" w:type="dxa"/>
          </w:tcPr>
          <w:p w14:paraId="315246A1" w14:textId="77777777" w:rsidR="00A508A2" w:rsidRPr="00DD0D1F" w:rsidRDefault="00A508A2" w:rsidP="00A508A2">
            <w:pPr>
              <w:pStyle w:val="TableParagraph"/>
              <w:spacing w:line="225" w:lineRule="exact"/>
              <w:ind w:left="100"/>
              <w:rPr>
                <w:szCs w:val="24"/>
              </w:rPr>
            </w:pPr>
            <w:r w:rsidRPr="00DD0D1F">
              <w:rPr>
                <w:szCs w:val="24"/>
              </w:rPr>
              <w:t>Enerji geri kazanımı cihazlarının kullanımı, ör.:</w:t>
            </w:r>
          </w:p>
          <w:p w14:paraId="3C6C5DB0" w14:textId="77777777" w:rsidR="00A508A2" w:rsidRPr="00DD0D1F" w:rsidRDefault="00A508A2" w:rsidP="00FF111D">
            <w:pPr>
              <w:pStyle w:val="TableParagraph"/>
              <w:numPr>
                <w:ilvl w:val="0"/>
                <w:numId w:val="105"/>
              </w:numPr>
              <w:tabs>
                <w:tab w:val="left" w:pos="666"/>
                <w:tab w:val="left" w:pos="667"/>
              </w:tabs>
              <w:spacing w:line="268" w:lineRule="exact"/>
              <w:rPr>
                <w:szCs w:val="24"/>
              </w:rPr>
            </w:pPr>
            <w:r w:rsidRPr="00DD0D1F">
              <w:rPr>
                <w:szCs w:val="24"/>
              </w:rPr>
              <w:t>atık ısı boylerleri</w:t>
            </w:r>
          </w:p>
          <w:p w14:paraId="2453028E" w14:textId="77777777" w:rsidR="00A508A2" w:rsidRPr="00DD0D1F" w:rsidRDefault="00A508A2" w:rsidP="00FF111D">
            <w:pPr>
              <w:pStyle w:val="TableParagraph"/>
              <w:numPr>
                <w:ilvl w:val="0"/>
                <w:numId w:val="105"/>
              </w:numPr>
              <w:tabs>
                <w:tab w:val="left" w:pos="666"/>
                <w:tab w:val="left" w:pos="667"/>
              </w:tabs>
              <w:spacing w:line="265" w:lineRule="exact"/>
              <w:rPr>
                <w:szCs w:val="24"/>
              </w:rPr>
            </w:pPr>
            <w:r w:rsidRPr="00DD0D1F">
              <w:rPr>
                <w:szCs w:val="24"/>
              </w:rPr>
              <w:t>FCC birimindeki genleştirici/enerji geri kazanımı</w:t>
            </w:r>
          </w:p>
          <w:p w14:paraId="1F95BE5B" w14:textId="77777777" w:rsidR="00A508A2" w:rsidRPr="00DD0D1F" w:rsidRDefault="00A508A2" w:rsidP="00FF111D">
            <w:pPr>
              <w:pStyle w:val="TableParagraph"/>
              <w:numPr>
                <w:ilvl w:val="0"/>
                <w:numId w:val="105"/>
              </w:numPr>
              <w:tabs>
                <w:tab w:val="left" w:pos="666"/>
                <w:tab w:val="left" w:pos="667"/>
              </w:tabs>
              <w:spacing w:line="246" w:lineRule="exact"/>
              <w:rPr>
                <w:szCs w:val="24"/>
              </w:rPr>
            </w:pPr>
            <w:r w:rsidRPr="00DD0D1F">
              <w:rPr>
                <w:szCs w:val="24"/>
              </w:rPr>
              <w:t>atık ısının kent ısıtmasında kullanımı</w:t>
            </w:r>
          </w:p>
        </w:tc>
      </w:tr>
      <w:tr w:rsidR="00A508A2" w:rsidRPr="00DD0D1F" w14:paraId="7EB51E0D" w14:textId="77777777" w:rsidTr="00A508A2">
        <w:trPr>
          <w:trHeight w:val="282"/>
        </w:trPr>
        <w:tc>
          <w:tcPr>
            <w:tcW w:w="8724" w:type="dxa"/>
            <w:gridSpan w:val="2"/>
          </w:tcPr>
          <w:p w14:paraId="7A17D0E0" w14:textId="77777777" w:rsidR="00A508A2" w:rsidRPr="00DD0D1F" w:rsidRDefault="00A508A2" w:rsidP="00A508A2">
            <w:pPr>
              <w:pStyle w:val="TableParagraph"/>
              <w:tabs>
                <w:tab w:val="left" w:pos="828"/>
              </w:tabs>
              <w:spacing w:before="19"/>
              <w:ind w:left="230"/>
              <w:rPr>
                <w:szCs w:val="24"/>
              </w:rPr>
            </w:pPr>
            <w:r w:rsidRPr="00DD0D1F">
              <w:rPr>
                <w:szCs w:val="24"/>
              </w:rPr>
              <w:t>ii.</w:t>
            </w:r>
            <w:r w:rsidRPr="00DD0D1F">
              <w:rPr>
                <w:szCs w:val="24"/>
              </w:rPr>
              <w:tab/>
              <w:t>Proses kontrolü ve bakımı teknikleri</w:t>
            </w:r>
          </w:p>
        </w:tc>
      </w:tr>
      <w:tr w:rsidR="00A508A2" w:rsidRPr="00DD0D1F" w14:paraId="05F62414" w14:textId="77777777" w:rsidTr="00A508A2">
        <w:trPr>
          <w:trHeight w:val="921"/>
        </w:trPr>
        <w:tc>
          <w:tcPr>
            <w:tcW w:w="4333" w:type="dxa"/>
          </w:tcPr>
          <w:p w14:paraId="054EE285" w14:textId="77777777" w:rsidR="00A508A2" w:rsidRPr="00DD0D1F" w:rsidRDefault="00A508A2" w:rsidP="00A508A2">
            <w:pPr>
              <w:pStyle w:val="TableParagraph"/>
              <w:spacing w:before="5"/>
              <w:rPr>
                <w:b/>
                <w:szCs w:val="24"/>
              </w:rPr>
            </w:pPr>
          </w:p>
          <w:p w14:paraId="3E54BD4B" w14:textId="77777777" w:rsidR="00A508A2" w:rsidRPr="00DD0D1F" w:rsidRDefault="00A508A2" w:rsidP="00A508A2">
            <w:pPr>
              <w:pStyle w:val="TableParagraph"/>
              <w:tabs>
                <w:tab w:val="left" w:pos="948"/>
              </w:tabs>
              <w:ind w:left="391"/>
              <w:rPr>
                <w:szCs w:val="24"/>
              </w:rPr>
            </w:pPr>
            <w:r w:rsidRPr="00DD0D1F">
              <w:rPr>
                <w:szCs w:val="24"/>
              </w:rPr>
              <w:t>a.</w:t>
            </w:r>
            <w:r w:rsidRPr="00DD0D1F">
              <w:rPr>
                <w:szCs w:val="24"/>
              </w:rPr>
              <w:tab/>
              <w:t>Proses optimizasyonu</w:t>
            </w:r>
          </w:p>
        </w:tc>
        <w:tc>
          <w:tcPr>
            <w:tcW w:w="4391" w:type="dxa"/>
          </w:tcPr>
          <w:p w14:paraId="53EEA9D5" w14:textId="77777777" w:rsidR="00A508A2" w:rsidRPr="00DD0D1F" w:rsidRDefault="00A508A2" w:rsidP="00A508A2">
            <w:pPr>
              <w:pStyle w:val="TableParagraph"/>
              <w:ind w:left="100" w:right="102"/>
              <w:jc w:val="both"/>
              <w:rPr>
                <w:szCs w:val="24"/>
              </w:rPr>
            </w:pPr>
            <w:r w:rsidRPr="00DD0D1F">
              <w:rPr>
                <w:szCs w:val="24"/>
              </w:rPr>
              <w:t>İşlenen besleme malzemesinin tonu başına düşen yakıt tüketimini azaltmak amacıyla otomatik kontrollü yanma; genellikle fırın verimini artırmak için ısı entegrasyonu ile kombine edilir</w:t>
            </w:r>
          </w:p>
        </w:tc>
      </w:tr>
      <w:tr w:rsidR="00A508A2" w:rsidRPr="00DD0D1F" w14:paraId="0CC4522A" w14:textId="77777777" w:rsidTr="00A508A2">
        <w:trPr>
          <w:trHeight w:val="460"/>
        </w:trPr>
        <w:tc>
          <w:tcPr>
            <w:tcW w:w="4333" w:type="dxa"/>
          </w:tcPr>
          <w:p w14:paraId="4ED2C29F" w14:textId="77777777" w:rsidR="00A508A2" w:rsidRPr="00DD0D1F" w:rsidRDefault="00A508A2" w:rsidP="00A508A2">
            <w:pPr>
              <w:pStyle w:val="TableParagraph"/>
              <w:tabs>
                <w:tab w:val="left" w:pos="948"/>
              </w:tabs>
              <w:spacing w:line="223" w:lineRule="exact"/>
              <w:ind w:left="391"/>
              <w:rPr>
                <w:szCs w:val="24"/>
              </w:rPr>
            </w:pPr>
            <w:r w:rsidRPr="00DD0D1F">
              <w:rPr>
                <w:szCs w:val="24"/>
              </w:rPr>
              <w:t>b.</w:t>
            </w:r>
            <w:r w:rsidRPr="00DD0D1F">
              <w:rPr>
                <w:szCs w:val="24"/>
              </w:rPr>
              <w:tab/>
              <w:t>Buhar tüketiminin yönetimi ve azaltılması</w:t>
            </w:r>
          </w:p>
          <w:p w14:paraId="06811FD0" w14:textId="77777777" w:rsidR="00A508A2" w:rsidRPr="00DD0D1F" w:rsidRDefault="00A508A2" w:rsidP="00A508A2">
            <w:pPr>
              <w:pStyle w:val="TableParagraph"/>
              <w:spacing w:line="217" w:lineRule="exact"/>
              <w:ind w:left="960"/>
              <w:rPr>
                <w:szCs w:val="24"/>
              </w:rPr>
            </w:pPr>
          </w:p>
        </w:tc>
        <w:tc>
          <w:tcPr>
            <w:tcW w:w="4391" w:type="dxa"/>
          </w:tcPr>
          <w:p w14:paraId="22AE1E12" w14:textId="77777777" w:rsidR="00A508A2" w:rsidRPr="00DD0D1F" w:rsidRDefault="00A508A2" w:rsidP="00A508A2">
            <w:pPr>
              <w:pStyle w:val="TableParagraph"/>
              <w:spacing w:line="223" w:lineRule="exact"/>
              <w:ind w:left="100"/>
              <w:rPr>
                <w:szCs w:val="24"/>
              </w:rPr>
            </w:pPr>
            <w:r w:rsidRPr="00DD0D1F">
              <w:rPr>
                <w:szCs w:val="24"/>
              </w:rPr>
              <w:t>Buhar tüketimini azaltmak ve kullanımını optimize etmek için tahliye vanası sistemlerinin sistematik haritalaması</w:t>
            </w:r>
          </w:p>
        </w:tc>
      </w:tr>
      <w:tr w:rsidR="00A508A2" w:rsidRPr="00DD0D1F" w14:paraId="0930F63A" w14:textId="77777777" w:rsidTr="00A508A2">
        <w:trPr>
          <w:trHeight w:val="688"/>
        </w:trPr>
        <w:tc>
          <w:tcPr>
            <w:tcW w:w="4333" w:type="dxa"/>
          </w:tcPr>
          <w:p w14:paraId="6290BC85" w14:textId="77777777" w:rsidR="00A508A2" w:rsidRPr="00DD0D1F" w:rsidRDefault="00A508A2" w:rsidP="00A508A2">
            <w:pPr>
              <w:pStyle w:val="TableParagraph"/>
              <w:spacing w:before="5"/>
              <w:rPr>
                <w:b/>
                <w:szCs w:val="24"/>
              </w:rPr>
            </w:pPr>
          </w:p>
          <w:p w14:paraId="659D1B0C" w14:textId="77777777" w:rsidR="00A508A2" w:rsidRPr="00DD0D1F" w:rsidRDefault="00A508A2" w:rsidP="00A508A2">
            <w:pPr>
              <w:pStyle w:val="TableParagraph"/>
              <w:tabs>
                <w:tab w:val="left" w:pos="948"/>
              </w:tabs>
              <w:ind w:left="391"/>
              <w:rPr>
                <w:szCs w:val="24"/>
              </w:rPr>
            </w:pPr>
            <w:r w:rsidRPr="00DD0D1F">
              <w:rPr>
                <w:szCs w:val="24"/>
              </w:rPr>
              <w:t>c.</w:t>
            </w:r>
            <w:r w:rsidRPr="00DD0D1F">
              <w:rPr>
                <w:szCs w:val="24"/>
              </w:rPr>
              <w:tab/>
              <w:t>Karşılaştırmalı enerji değerlendirmesi</w:t>
            </w:r>
          </w:p>
        </w:tc>
        <w:tc>
          <w:tcPr>
            <w:tcW w:w="4391" w:type="dxa"/>
          </w:tcPr>
          <w:p w14:paraId="5723884E" w14:textId="77777777" w:rsidR="00A508A2" w:rsidRPr="00DD0D1F" w:rsidRDefault="00A508A2" w:rsidP="00A508A2">
            <w:pPr>
              <w:pStyle w:val="TableParagraph"/>
              <w:tabs>
                <w:tab w:val="left" w:pos="1361"/>
                <w:tab w:val="left" w:pos="1755"/>
                <w:tab w:val="left" w:pos="2606"/>
                <w:tab w:val="left" w:pos="3133"/>
              </w:tabs>
              <w:spacing w:line="223" w:lineRule="exact"/>
              <w:ind w:left="100"/>
              <w:rPr>
                <w:szCs w:val="24"/>
              </w:rPr>
            </w:pPr>
            <w:r w:rsidRPr="00DD0D1F">
              <w:rPr>
                <w:szCs w:val="24"/>
              </w:rPr>
              <w:t>En iyi uygulamalardan dersler çıkararak sürekli iyileştirmenin sağlanması amacıyla sıralama ve karşılaştırmalı değerlendirme faaliyetlerine katılım</w:t>
            </w:r>
          </w:p>
        </w:tc>
      </w:tr>
      <w:tr w:rsidR="00A508A2" w:rsidRPr="00DD0D1F" w14:paraId="037B414E" w14:textId="77777777" w:rsidTr="00A508A2">
        <w:trPr>
          <w:trHeight w:val="285"/>
        </w:trPr>
        <w:tc>
          <w:tcPr>
            <w:tcW w:w="8724" w:type="dxa"/>
            <w:gridSpan w:val="2"/>
          </w:tcPr>
          <w:p w14:paraId="3662B309" w14:textId="77777777" w:rsidR="00A508A2" w:rsidRPr="00DD0D1F" w:rsidRDefault="00A508A2" w:rsidP="00A508A2">
            <w:pPr>
              <w:pStyle w:val="TableParagraph"/>
              <w:tabs>
                <w:tab w:val="left" w:pos="828"/>
              </w:tabs>
              <w:spacing w:before="22"/>
              <w:ind w:left="251"/>
              <w:rPr>
                <w:szCs w:val="24"/>
              </w:rPr>
            </w:pPr>
            <w:r w:rsidRPr="00DD0D1F">
              <w:rPr>
                <w:szCs w:val="24"/>
              </w:rPr>
              <w:t>iii.</w:t>
            </w:r>
            <w:r w:rsidRPr="00DD0D1F">
              <w:rPr>
                <w:szCs w:val="24"/>
              </w:rPr>
              <w:tab/>
              <w:t>Enerji verimine sahip üretim teknikleri</w:t>
            </w:r>
          </w:p>
        </w:tc>
      </w:tr>
      <w:tr w:rsidR="00A508A2" w:rsidRPr="00DD0D1F" w14:paraId="7A20C6FA" w14:textId="77777777" w:rsidTr="00A508A2">
        <w:trPr>
          <w:trHeight w:val="690"/>
        </w:trPr>
        <w:tc>
          <w:tcPr>
            <w:tcW w:w="4333" w:type="dxa"/>
          </w:tcPr>
          <w:p w14:paraId="2A85096E" w14:textId="77777777" w:rsidR="00A508A2" w:rsidRPr="00DD0D1F" w:rsidRDefault="00A508A2" w:rsidP="00A508A2">
            <w:pPr>
              <w:pStyle w:val="TableParagraph"/>
              <w:spacing w:before="5"/>
              <w:rPr>
                <w:b/>
                <w:szCs w:val="24"/>
              </w:rPr>
            </w:pPr>
          </w:p>
          <w:p w14:paraId="4CC78E5D" w14:textId="77777777" w:rsidR="00A508A2" w:rsidRPr="00DD0D1F" w:rsidRDefault="00A508A2" w:rsidP="00A508A2">
            <w:pPr>
              <w:pStyle w:val="TableParagraph"/>
              <w:tabs>
                <w:tab w:val="left" w:pos="988"/>
              </w:tabs>
              <w:ind w:left="439"/>
              <w:rPr>
                <w:szCs w:val="24"/>
              </w:rPr>
            </w:pPr>
            <w:r w:rsidRPr="00DD0D1F">
              <w:rPr>
                <w:szCs w:val="24"/>
              </w:rPr>
              <w:t>a.</w:t>
            </w:r>
            <w:r w:rsidRPr="00DD0D1F">
              <w:rPr>
                <w:szCs w:val="24"/>
              </w:rPr>
              <w:tab/>
              <w:t>Kombine ısı ve enerji kullanımı</w:t>
            </w:r>
          </w:p>
        </w:tc>
        <w:tc>
          <w:tcPr>
            <w:tcW w:w="4391" w:type="dxa"/>
          </w:tcPr>
          <w:p w14:paraId="1EAD519D" w14:textId="77777777" w:rsidR="00A508A2" w:rsidRPr="00DD0D1F" w:rsidRDefault="00A508A2" w:rsidP="00A508A2">
            <w:pPr>
              <w:pStyle w:val="TableParagraph"/>
              <w:ind w:left="136" w:right="93"/>
              <w:rPr>
                <w:szCs w:val="24"/>
              </w:rPr>
            </w:pPr>
            <w:r w:rsidRPr="00DD0D1F">
              <w:rPr>
                <w:szCs w:val="24"/>
              </w:rPr>
              <w:t>Aynı yakıttan ısının (ör. buhar) ve elektrik enerjisinin birlikte üretimi (veya ortak üretimi) için tasarlanan sistem</w:t>
            </w:r>
          </w:p>
        </w:tc>
      </w:tr>
      <w:tr w:rsidR="00A508A2" w:rsidRPr="00DD0D1F" w14:paraId="2EB0F068" w14:textId="77777777" w:rsidTr="00A508A2">
        <w:trPr>
          <w:trHeight w:val="918"/>
        </w:trPr>
        <w:tc>
          <w:tcPr>
            <w:tcW w:w="4333" w:type="dxa"/>
          </w:tcPr>
          <w:p w14:paraId="567E67F2" w14:textId="77777777" w:rsidR="00A508A2" w:rsidRPr="00DD0D1F" w:rsidRDefault="00A508A2" w:rsidP="00A508A2">
            <w:pPr>
              <w:pStyle w:val="TableParagraph"/>
              <w:spacing w:before="5"/>
              <w:rPr>
                <w:b/>
                <w:szCs w:val="24"/>
              </w:rPr>
            </w:pPr>
          </w:p>
          <w:p w14:paraId="4A6683F5" w14:textId="77777777" w:rsidR="00A508A2" w:rsidRPr="00DD0D1F" w:rsidRDefault="00A508A2" w:rsidP="00A508A2">
            <w:pPr>
              <w:pStyle w:val="TableParagraph"/>
              <w:tabs>
                <w:tab w:val="left" w:pos="988"/>
              </w:tabs>
              <w:ind w:left="989" w:right="234" w:hanging="550"/>
              <w:rPr>
                <w:szCs w:val="24"/>
              </w:rPr>
            </w:pPr>
            <w:r w:rsidRPr="00DD0D1F">
              <w:rPr>
                <w:szCs w:val="24"/>
              </w:rPr>
              <w:t>b.</w:t>
            </w:r>
            <w:r w:rsidRPr="00DD0D1F">
              <w:rPr>
                <w:szCs w:val="24"/>
              </w:rPr>
              <w:tab/>
              <w:t>Entegre Gazlaştırma Kombine Çevrimi (IGCC)</w:t>
            </w:r>
          </w:p>
        </w:tc>
        <w:tc>
          <w:tcPr>
            <w:tcW w:w="4391" w:type="dxa"/>
          </w:tcPr>
          <w:p w14:paraId="59E12E10" w14:textId="77777777" w:rsidR="00A508A2" w:rsidRPr="00DD0D1F" w:rsidRDefault="00A508A2" w:rsidP="00A508A2">
            <w:pPr>
              <w:pStyle w:val="TableParagraph"/>
              <w:ind w:left="136" w:right="97"/>
              <w:jc w:val="both"/>
              <w:rPr>
                <w:szCs w:val="24"/>
              </w:rPr>
            </w:pPr>
            <w:r w:rsidRPr="00DD0D1F">
              <w:rPr>
                <w:szCs w:val="24"/>
              </w:rPr>
              <w:t>Amacı, farklı yakıt türlerinden (ör. ağır akaryakıt veya kok) yüksek verimli dönüşüm ile buhar, hidrojen (isteğe bağlı) ve elektrik enerjisini üretilmesi olan tekniktir</w:t>
            </w:r>
          </w:p>
        </w:tc>
      </w:tr>
    </w:tbl>
    <w:p w14:paraId="5503A264" w14:textId="77777777" w:rsidR="00A508A2" w:rsidRPr="00DD0D1F" w:rsidRDefault="00A508A2" w:rsidP="00A508A2">
      <w:pPr>
        <w:pStyle w:val="GvdeMetni"/>
        <w:rPr>
          <w:b/>
          <w:sz w:val="24"/>
          <w:szCs w:val="24"/>
        </w:rPr>
      </w:pPr>
    </w:p>
    <w:p w14:paraId="0779C3A7" w14:textId="77777777" w:rsidR="00A508A2" w:rsidRPr="00DD0D1F" w:rsidRDefault="00A508A2" w:rsidP="00A508A2">
      <w:pPr>
        <w:pStyle w:val="GvdeMetni"/>
        <w:spacing w:before="7"/>
        <w:rPr>
          <w:b/>
          <w:sz w:val="24"/>
          <w:szCs w:val="24"/>
        </w:rPr>
      </w:pPr>
    </w:p>
    <w:p w14:paraId="52082935" w14:textId="2D94C04F"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84" w:name="_bookmark865"/>
      <w:bookmarkStart w:id="185" w:name="5.1.3_Solid_materials_storage_and_handli"/>
      <w:bookmarkEnd w:id="184"/>
      <w:bookmarkEnd w:id="185"/>
      <w:r w:rsidRPr="00DD0D1F">
        <w:rPr>
          <w:rFonts w:cs="Times New Roman"/>
          <w:bCs/>
          <w:szCs w:val="24"/>
          <w:lang w:val="tr-TR"/>
        </w:rPr>
        <w:t>Kat</w:t>
      </w:r>
      <w:r w:rsidR="00DD0D1F" w:rsidRPr="00DD0D1F">
        <w:rPr>
          <w:rFonts w:cs="Times New Roman"/>
          <w:bCs/>
          <w:szCs w:val="24"/>
          <w:lang w:val="tr-TR"/>
        </w:rPr>
        <w:t>ı</w:t>
      </w:r>
      <w:r w:rsidRPr="00DD0D1F">
        <w:rPr>
          <w:rFonts w:cs="Times New Roman"/>
          <w:bCs/>
          <w:szCs w:val="24"/>
          <w:lang w:val="tr-TR"/>
        </w:rPr>
        <w:t xml:space="preserve"> malzemelerin depolama ve elleçlemesi</w:t>
      </w:r>
    </w:p>
    <w:p w14:paraId="0EC92ABF" w14:textId="7F4E4CC4" w:rsidR="00A508A2" w:rsidRPr="00DD0D1F" w:rsidRDefault="00A508A2" w:rsidP="00A508A2">
      <w:pPr>
        <w:rPr>
          <w:rFonts w:cs="Times New Roman"/>
          <w:bCs/>
          <w:szCs w:val="24"/>
          <w:lang w:val="tr-TR"/>
        </w:rPr>
      </w:pPr>
      <w:bookmarkStart w:id="186" w:name="_bookmark866"/>
      <w:bookmarkEnd w:id="186"/>
      <w:r w:rsidRPr="00DD0D1F">
        <w:rPr>
          <w:rFonts w:cs="Times New Roman"/>
          <w:b/>
          <w:bCs/>
          <w:szCs w:val="24"/>
          <w:lang w:val="tr-TR"/>
        </w:rPr>
        <w:t xml:space="preserve">MET 3: </w:t>
      </w:r>
      <w:r w:rsidRPr="00DD0D1F">
        <w:rPr>
          <w:rFonts w:cs="Times New Roman"/>
          <w:bCs/>
          <w:szCs w:val="24"/>
          <w:lang w:val="tr-TR"/>
        </w:rPr>
        <w:t xml:space="preserve">Tozlu malzemelerin depolamasından ve elleçlemesinden kaynaklan toz emisyonlarını önlemek veya bunun mümkün olmaması halinde azaltmak </w:t>
      </w:r>
      <w:r w:rsidR="0061478E" w:rsidRPr="00DD0D1F">
        <w:rPr>
          <w:rFonts w:cs="Times New Roman"/>
          <w:bCs/>
          <w:szCs w:val="24"/>
          <w:lang w:val="tr-TR"/>
        </w:rPr>
        <w:t xml:space="preserve">için, </w:t>
      </w:r>
      <w:r w:rsidRPr="00DD0D1F">
        <w:rPr>
          <w:rFonts w:cs="Times New Roman"/>
          <w:bCs/>
          <w:szCs w:val="24"/>
          <w:lang w:val="tr-TR"/>
        </w:rPr>
        <w:t>aşağıdaki tekniklerden biri veya daha fazlasının kombinasyonu kullanılır:</w:t>
      </w:r>
    </w:p>
    <w:p w14:paraId="5679947D" w14:textId="77777777" w:rsidR="00A508A2" w:rsidRPr="00DD0D1F" w:rsidRDefault="00A508A2" w:rsidP="00A508A2">
      <w:pPr>
        <w:pStyle w:val="GvdeMetni"/>
        <w:spacing w:before="2" w:line="360" w:lineRule="auto"/>
        <w:jc w:val="both"/>
        <w:rPr>
          <w:b/>
          <w:sz w:val="24"/>
          <w:szCs w:val="24"/>
        </w:rPr>
      </w:pPr>
    </w:p>
    <w:p w14:paraId="1142549B" w14:textId="440E17DC" w:rsidR="00A508A2" w:rsidRPr="00DD0D1F" w:rsidRDefault="00A508A2" w:rsidP="00FF111D">
      <w:pPr>
        <w:pStyle w:val="ListeParagraf"/>
        <w:widowControl w:val="0"/>
        <w:numPr>
          <w:ilvl w:val="0"/>
          <w:numId w:val="110"/>
        </w:numPr>
        <w:tabs>
          <w:tab w:val="left" w:pos="1084"/>
          <w:tab w:val="left" w:pos="1085"/>
        </w:tabs>
        <w:autoSpaceDE w:val="0"/>
        <w:autoSpaceDN w:val="0"/>
        <w:ind w:left="360" w:right="1631"/>
        <w:contextualSpacing w:val="0"/>
        <w:rPr>
          <w:rFonts w:cs="Times New Roman"/>
          <w:szCs w:val="24"/>
          <w:lang w:val="tr-TR"/>
        </w:rPr>
      </w:pPr>
      <w:r w:rsidRPr="00DD0D1F">
        <w:rPr>
          <w:rFonts w:cs="Times New Roman"/>
          <w:szCs w:val="24"/>
          <w:lang w:val="tr-TR"/>
        </w:rPr>
        <w:t>dökme toz malzemelerin, toz azaltımı</w:t>
      </w:r>
      <w:r w:rsidR="00CA4F2C" w:rsidRPr="00DD0D1F">
        <w:rPr>
          <w:rFonts w:cs="Times New Roman"/>
          <w:szCs w:val="24"/>
          <w:lang w:val="tr-TR"/>
        </w:rPr>
        <w:t xml:space="preserve"> sistemi (ör. kumaş filtre) ile</w:t>
      </w:r>
      <w:r w:rsidR="005F1561" w:rsidRPr="00DD0D1F">
        <w:rPr>
          <w:rFonts w:cs="Times New Roman"/>
          <w:szCs w:val="24"/>
          <w:lang w:val="tr-TR"/>
        </w:rPr>
        <w:t xml:space="preserve"> </w:t>
      </w:r>
      <w:r w:rsidR="00353734" w:rsidRPr="00DD0D1F">
        <w:rPr>
          <w:rFonts w:cs="Times New Roman"/>
          <w:szCs w:val="24"/>
          <w:lang w:val="tr-TR"/>
        </w:rPr>
        <w:t>donanmış</w:t>
      </w:r>
      <w:r w:rsidR="00353734" w:rsidRPr="00DD0D1F" w:rsidDel="00353734">
        <w:rPr>
          <w:rFonts w:cs="Times New Roman"/>
          <w:szCs w:val="24"/>
          <w:lang w:val="tr-TR"/>
        </w:rPr>
        <w:t xml:space="preserve"> </w:t>
      </w:r>
      <w:r w:rsidRPr="00DD0D1F">
        <w:rPr>
          <w:rFonts w:cs="Times New Roman"/>
          <w:szCs w:val="24"/>
          <w:lang w:val="tr-TR"/>
        </w:rPr>
        <w:t>kapalı silolarda depolanması,</w:t>
      </w:r>
    </w:p>
    <w:p w14:paraId="38B485F1" w14:textId="77777777" w:rsidR="00A508A2" w:rsidRPr="00DD0D1F" w:rsidRDefault="00A508A2" w:rsidP="00FF111D">
      <w:pPr>
        <w:pStyle w:val="ListeParagraf"/>
        <w:widowControl w:val="0"/>
        <w:numPr>
          <w:ilvl w:val="0"/>
          <w:numId w:val="110"/>
        </w:numPr>
        <w:tabs>
          <w:tab w:val="left" w:pos="1084"/>
          <w:tab w:val="left" w:pos="1085"/>
        </w:tabs>
        <w:autoSpaceDE w:val="0"/>
        <w:autoSpaceDN w:val="0"/>
        <w:spacing w:before="1"/>
        <w:ind w:left="360"/>
        <w:contextualSpacing w:val="0"/>
        <w:rPr>
          <w:rFonts w:cs="Times New Roman"/>
          <w:szCs w:val="24"/>
          <w:lang w:val="tr-TR"/>
        </w:rPr>
      </w:pPr>
      <w:r w:rsidRPr="00DD0D1F">
        <w:rPr>
          <w:rFonts w:cs="Times New Roman"/>
          <w:szCs w:val="24"/>
          <w:lang w:val="tr-TR"/>
        </w:rPr>
        <w:t>ince malzemelerin kapalı kaplarda veya mühürlü torbalarda depolanması,</w:t>
      </w:r>
    </w:p>
    <w:p w14:paraId="00833AE8" w14:textId="77777777" w:rsidR="00A508A2" w:rsidRPr="00DD0D1F" w:rsidRDefault="00A508A2" w:rsidP="00FF111D">
      <w:pPr>
        <w:pStyle w:val="ListeParagraf"/>
        <w:widowControl w:val="0"/>
        <w:numPr>
          <w:ilvl w:val="0"/>
          <w:numId w:val="110"/>
        </w:numPr>
        <w:tabs>
          <w:tab w:val="left" w:pos="1084"/>
          <w:tab w:val="left" w:pos="1085"/>
        </w:tabs>
        <w:autoSpaceDE w:val="0"/>
        <w:autoSpaceDN w:val="0"/>
        <w:ind w:left="360" w:right="1625"/>
        <w:contextualSpacing w:val="0"/>
        <w:rPr>
          <w:rFonts w:cs="Times New Roman"/>
          <w:szCs w:val="24"/>
          <w:lang w:val="tr-TR"/>
        </w:rPr>
      </w:pPr>
      <w:r w:rsidRPr="00DD0D1F">
        <w:rPr>
          <w:rFonts w:cs="Times New Roman"/>
          <w:szCs w:val="24"/>
          <w:lang w:val="tr-TR"/>
        </w:rPr>
        <w:t>kaba tozlu malzeme yığınlarının ıslak tutulması, yüzeyin kabuk tabakası oluşturan ajanlarla stabilizasyonu veya yığınların örtü altında depolanması ve</w:t>
      </w:r>
    </w:p>
    <w:p w14:paraId="45778D47" w14:textId="77777777" w:rsidR="00A508A2" w:rsidRPr="00DD0D1F" w:rsidRDefault="00A508A2" w:rsidP="00FF111D">
      <w:pPr>
        <w:pStyle w:val="ListeParagraf"/>
        <w:widowControl w:val="0"/>
        <w:numPr>
          <w:ilvl w:val="0"/>
          <w:numId w:val="110"/>
        </w:numPr>
        <w:tabs>
          <w:tab w:val="left" w:pos="1084"/>
          <w:tab w:val="left" w:pos="1085"/>
        </w:tabs>
        <w:autoSpaceDE w:val="0"/>
        <w:autoSpaceDN w:val="0"/>
        <w:ind w:left="360"/>
        <w:contextualSpacing w:val="0"/>
        <w:rPr>
          <w:rFonts w:cs="Times New Roman"/>
          <w:szCs w:val="24"/>
          <w:lang w:val="tr-TR"/>
        </w:rPr>
      </w:pPr>
      <w:r w:rsidRPr="00DD0D1F">
        <w:rPr>
          <w:rFonts w:cs="Times New Roman"/>
          <w:szCs w:val="24"/>
          <w:lang w:val="tr-TR"/>
        </w:rPr>
        <w:t>yol temizleme araçlarının kullanılması.</w:t>
      </w:r>
    </w:p>
    <w:p w14:paraId="720F6C84"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87" w:name="_bookmark867"/>
      <w:bookmarkStart w:id="188" w:name="5.1.4_Monitoring_of_emissions_to_air_and"/>
      <w:bookmarkEnd w:id="187"/>
      <w:bookmarkEnd w:id="188"/>
      <w:r w:rsidRPr="00DD0D1F">
        <w:rPr>
          <w:rFonts w:cs="Times New Roman"/>
          <w:bCs/>
          <w:szCs w:val="24"/>
          <w:lang w:val="tr-TR"/>
        </w:rPr>
        <w:t>Havaya yayılan emisyonları ve kilit proses parametrelerini izleme</w:t>
      </w:r>
    </w:p>
    <w:p w14:paraId="54C30222" w14:textId="77777777" w:rsidR="00A508A2" w:rsidRPr="00DD0D1F" w:rsidRDefault="00A508A2" w:rsidP="00A508A2">
      <w:pPr>
        <w:pStyle w:val="GvdeMetni"/>
        <w:spacing w:before="8" w:line="360" w:lineRule="auto"/>
        <w:jc w:val="both"/>
        <w:rPr>
          <w:b/>
          <w:sz w:val="24"/>
          <w:szCs w:val="24"/>
        </w:rPr>
      </w:pPr>
    </w:p>
    <w:p w14:paraId="5835A7B2" w14:textId="20C205A5" w:rsidR="00A508A2" w:rsidRPr="00DD0D1F" w:rsidRDefault="00A508A2" w:rsidP="00A508A2">
      <w:pPr>
        <w:rPr>
          <w:rFonts w:cs="Times New Roman"/>
          <w:bCs/>
          <w:szCs w:val="24"/>
          <w:lang w:val="tr-TR"/>
        </w:rPr>
      </w:pPr>
      <w:bookmarkStart w:id="189" w:name="_bookmark868"/>
      <w:bookmarkEnd w:id="189"/>
      <w:r w:rsidRPr="00DD0D1F">
        <w:rPr>
          <w:rFonts w:cs="Times New Roman"/>
          <w:b/>
          <w:bCs/>
          <w:szCs w:val="24"/>
          <w:lang w:val="tr-TR"/>
        </w:rPr>
        <w:t xml:space="preserve">MET 4: </w:t>
      </w:r>
      <w:r w:rsidRPr="00DD0D1F">
        <w:rPr>
          <w:rFonts w:cs="Times New Roman"/>
          <w:bCs/>
          <w:szCs w:val="24"/>
          <w:lang w:val="tr-TR"/>
        </w:rPr>
        <w:t xml:space="preserve">En azından aşağıda açıklanan sıklıkla ve EN standartları uyarınca izleme tekniklerinden yararlanarak havaya yayılan emisyonların </w:t>
      </w:r>
      <w:r w:rsidR="0061478E" w:rsidRPr="00DD0D1F">
        <w:rPr>
          <w:rFonts w:cs="Times New Roman"/>
          <w:bCs/>
          <w:szCs w:val="24"/>
          <w:lang w:val="tr-TR"/>
        </w:rPr>
        <w:t>izlenir.</w:t>
      </w:r>
      <w:r w:rsidRPr="00DD0D1F">
        <w:rPr>
          <w:rFonts w:cs="Times New Roman"/>
          <w:bCs/>
          <w:szCs w:val="24"/>
          <w:lang w:val="tr-TR"/>
        </w:rPr>
        <w:t xml:space="preserve"> EN standartlarının mevcut olmaması durumunda, eşdeğer bilimsel nitelikteki verileri sağlayan ISO, ulusal veya diğer uluslararası standartlar kullanı</w:t>
      </w:r>
      <w:r w:rsidR="005F1561" w:rsidRPr="00DD0D1F">
        <w:rPr>
          <w:rFonts w:cs="Times New Roman"/>
          <w:bCs/>
          <w:szCs w:val="24"/>
          <w:lang w:val="tr-TR"/>
        </w:rPr>
        <w:t>lır.</w:t>
      </w:r>
    </w:p>
    <w:p w14:paraId="1D6F2D3C" w14:textId="77777777" w:rsidR="00A508A2" w:rsidRPr="00DD0D1F" w:rsidRDefault="00A508A2" w:rsidP="00A508A2">
      <w:pPr>
        <w:pStyle w:val="GvdeMetni"/>
        <w:rPr>
          <w:b/>
          <w:sz w:val="24"/>
          <w:szCs w:val="24"/>
        </w:rPr>
      </w:pPr>
    </w:p>
    <w:p w14:paraId="4D271AE8"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0"/>
        <w:gridCol w:w="1867"/>
        <w:gridCol w:w="1965"/>
        <w:gridCol w:w="1505"/>
      </w:tblGrid>
      <w:tr w:rsidR="00A508A2" w:rsidRPr="00DD0D1F" w14:paraId="6E944F14" w14:textId="77777777" w:rsidTr="005F1561">
        <w:trPr>
          <w:trHeight w:val="460"/>
        </w:trPr>
        <w:tc>
          <w:tcPr>
            <w:tcW w:w="1637" w:type="pct"/>
          </w:tcPr>
          <w:p w14:paraId="70401463" w14:textId="77777777" w:rsidR="00A508A2" w:rsidRPr="00DD0D1F" w:rsidRDefault="00A508A2" w:rsidP="00A508A2">
            <w:pPr>
              <w:pStyle w:val="TableParagraph"/>
              <w:spacing w:before="113"/>
              <w:ind w:left="837"/>
              <w:rPr>
                <w:b/>
                <w:szCs w:val="24"/>
              </w:rPr>
            </w:pPr>
            <w:r w:rsidRPr="00DD0D1F">
              <w:rPr>
                <w:b/>
                <w:bCs/>
                <w:szCs w:val="24"/>
              </w:rPr>
              <w:t>Açıklama</w:t>
            </w:r>
          </w:p>
        </w:tc>
        <w:tc>
          <w:tcPr>
            <w:tcW w:w="1420" w:type="pct"/>
          </w:tcPr>
          <w:p w14:paraId="655B1F8F" w14:textId="77777777" w:rsidR="00A508A2" w:rsidRPr="00DD0D1F" w:rsidRDefault="00A508A2" w:rsidP="00A508A2">
            <w:pPr>
              <w:pStyle w:val="TableParagraph"/>
              <w:spacing w:before="113"/>
              <w:ind w:left="145" w:right="142"/>
              <w:jc w:val="center"/>
              <w:rPr>
                <w:b/>
                <w:szCs w:val="24"/>
              </w:rPr>
            </w:pPr>
            <w:r w:rsidRPr="00DD0D1F">
              <w:rPr>
                <w:b/>
                <w:bCs/>
                <w:szCs w:val="24"/>
              </w:rPr>
              <w:t>Proses birimi</w:t>
            </w:r>
          </w:p>
        </w:tc>
        <w:tc>
          <w:tcPr>
            <w:tcW w:w="1008" w:type="pct"/>
          </w:tcPr>
          <w:p w14:paraId="73D6AC0E" w14:textId="77777777" w:rsidR="00A508A2" w:rsidRPr="00DD0D1F" w:rsidRDefault="00A508A2" w:rsidP="00A508A2">
            <w:pPr>
              <w:pStyle w:val="TableParagraph"/>
              <w:spacing w:line="228" w:lineRule="exact"/>
              <w:ind w:left="496" w:right="466" w:firstLine="2"/>
              <w:jc w:val="center"/>
              <w:rPr>
                <w:b/>
                <w:szCs w:val="24"/>
              </w:rPr>
            </w:pPr>
            <w:r w:rsidRPr="00DD0D1F">
              <w:rPr>
                <w:b/>
                <w:bCs/>
                <w:szCs w:val="24"/>
              </w:rPr>
              <w:t>Minimum sıklık</w:t>
            </w:r>
          </w:p>
        </w:tc>
        <w:tc>
          <w:tcPr>
            <w:tcW w:w="935" w:type="pct"/>
          </w:tcPr>
          <w:p w14:paraId="0D937FA3" w14:textId="77777777" w:rsidR="00A508A2" w:rsidRPr="00DD0D1F" w:rsidRDefault="00A508A2" w:rsidP="00A508A2">
            <w:pPr>
              <w:pStyle w:val="TableParagraph"/>
              <w:spacing w:line="228" w:lineRule="exact"/>
              <w:ind w:left="459" w:right="357" w:hanging="72"/>
              <w:jc w:val="center"/>
              <w:rPr>
                <w:b/>
                <w:szCs w:val="24"/>
              </w:rPr>
            </w:pPr>
            <w:r w:rsidRPr="00DD0D1F">
              <w:rPr>
                <w:b/>
                <w:bCs/>
                <w:szCs w:val="24"/>
              </w:rPr>
              <w:t>İzleme tekniği</w:t>
            </w:r>
          </w:p>
        </w:tc>
      </w:tr>
      <w:tr w:rsidR="00A508A2" w:rsidRPr="00DD0D1F" w14:paraId="3F0004D5" w14:textId="77777777" w:rsidTr="005F1561">
        <w:trPr>
          <w:trHeight w:val="460"/>
        </w:trPr>
        <w:tc>
          <w:tcPr>
            <w:tcW w:w="1637" w:type="pct"/>
            <w:vMerge w:val="restart"/>
          </w:tcPr>
          <w:p w14:paraId="4AAA9B51" w14:textId="77777777" w:rsidR="00A508A2" w:rsidRPr="00DD0D1F" w:rsidRDefault="00A508A2" w:rsidP="00A508A2">
            <w:pPr>
              <w:pStyle w:val="TableParagraph"/>
              <w:rPr>
                <w:b/>
                <w:szCs w:val="24"/>
              </w:rPr>
            </w:pPr>
          </w:p>
          <w:p w14:paraId="0E153F61" w14:textId="77777777" w:rsidR="00A508A2" w:rsidRPr="00DD0D1F" w:rsidRDefault="00A508A2" w:rsidP="00A508A2">
            <w:pPr>
              <w:pStyle w:val="TableParagraph"/>
              <w:rPr>
                <w:b/>
                <w:szCs w:val="24"/>
              </w:rPr>
            </w:pPr>
          </w:p>
          <w:p w14:paraId="602D349E" w14:textId="77777777" w:rsidR="00A508A2" w:rsidRPr="00DD0D1F" w:rsidRDefault="00A508A2" w:rsidP="00A508A2">
            <w:pPr>
              <w:pStyle w:val="TableParagraph"/>
              <w:rPr>
                <w:b/>
                <w:szCs w:val="24"/>
              </w:rPr>
            </w:pPr>
          </w:p>
          <w:p w14:paraId="41487D12" w14:textId="77777777" w:rsidR="00A508A2" w:rsidRPr="00DD0D1F" w:rsidRDefault="00A508A2" w:rsidP="00A508A2">
            <w:pPr>
              <w:pStyle w:val="TableParagraph"/>
              <w:rPr>
                <w:b/>
                <w:szCs w:val="24"/>
              </w:rPr>
            </w:pPr>
          </w:p>
          <w:p w14:paraId="14F2F60E" w14:textId="77777777" w:rsidR="00A508A2" w:rsidRPr="00DD0D1F" w:rsidRDefault="00A508A2" w:rsidP="00A508A2">
            <w:pPr>
              <w:pStyle w:val="TableParagraph"/>
              <w:rPr>
                <w:b/>
                <w:szCs w:val="24"/>
              </w:rPr>
            </w:pPr>
          </w:p>
          <w:p w14:paraId="47D63ABF" w14:textId="77777777" w:rsidR="00A508A2" w:rsidRPr="00DD0D1F" w:rsidRDefault="00A508A2" w:rsidP="00A508A2">
            <w:pPr>
              <w:pStyle w:val="TableParagraph"/>
              <w:spacing w:before="4"/>
              <w:rPr>
                <w:b/>
                <w:szCs w:val="24"/>
              </w:rPr>
            </w:pPr>
          </w:p>
          <w:p w14:paraId="00988C0E" w14:textId="77777777" w:rsidR="00A508A2" w:rsidRPr="00DD0D1F" w:rsidRDefault="00A508A2" w:rsidP="00A508A2">
            <w:pPr>
              <w:pStyle w:val="TableParagraph"/>
              <w:tabs>
                <w:tab w:val="left" w:pos="525"/>
              </w:tabs>
              <w:ind w:left="525" w:right="527" w:hanging="310"/>
              <w:rPr>
                <w:szCs w:val="24"/>
              </w:rPr>
            </w:pPr>
            <w:r w:rsidRPr="00DD0D1F">
              <w:rPr>
                <w:szCs w:val="24"/>
              </w:rPr>
              <w:t>i.</w:t>
            </w:r>
            <w:r w:rsidRPr="00DD0D1F">
              <w:rPr>
                <w:szCs w:val="24"/>
              </w:rPr>
              <w:tab/>
              <w:t>SO</w:t>
            </w:r>
            <w:r w:rsidRPr="00DD0D1F">
              <w:rPr>
                <w:szCs w:val="24"/>
                <w:vertAlign w:val="subscript"/>
              </w:rPr>
              <w:t>X</w:t>
            </w:r>
            <w:r w:rsidRPr="00DD0D1F">
              <w:rPr>
                <w:szCs w:val="24"/>
              </w:rPr>
              <w:t>, NO</w:t>
            </w:r>
            <w:r w:rsidRPr="00DD0D1F">
              <w:rPr>
                <w:szCs w:val="24"/>
                <w:vertAlign w:val="subscript"/>
              </w:rPr>
              <w:t>X</w:t>
            </w:r>
            <w:r w:rsidRPr="00DD0D1F">
              <w:rPr>
                <w:szCs w:val="24"/>
              </w:rPr>
              <w:t xml:space="preserve"> ve toz emisyonları</w:t>
            </w:r>
          </w:p>
        </w:tc>
        <w:tc>
          <w:tcPr>
            <w:tcW w:w="1420" w:type="pct"/>
          </w:tcPr>
          <w:p w14:paraId="7741A051" w14:textId="77777777" w:rsidR="00A508A2" w:rsidRPr="00DD0D1F" w:rsidRDefault="00A508A2" w:rsidP="00A508A2">
            <w:pPr>
              <w:pStyle w:val="TableParagraph"/>
              <w:spacing w:before="108"/>
              <w:ind w:left="92" w:right="142"/>
              <w:jc w:val="center"/>
              <w:rPr>
                <w:szCs w:val="24"/>
              </w:rPr>
            </w:pPr>
            <w:r w:rsidRPr="00DD0D1F">
              <w:rPr>
                <w:szCs w:val="24"/>
              </w:rPr>
              <w:t>Katalitik  parçalama</w:t>
            </w:r>
          </w:p>
        </w:tc>
        <w:tc>
          <w:tcPr>
            <w:tcW w:w="1008" w:type="pct"/>
          </w:tcPr>
          <w:p w14:paraId="2BB03C37" w14:textId="77777777" w:rsidR="00A508A2" w:rsidRPr="00DD0D1F" w:rsidRDefault="00A508A2" w:rsidP="00A508A2">
            <w:pPr>
              <w:pStyle w:val="TableParagraph"/>
              <w:spacing w:before="108"/>
              <w:ind w:right="50"/>
              <w:jc w:val="center"/>
              <w:rPr>
                <w:szCs w:val="24"/>
              </w:rPr>
            </w:pPr>
            <w:r w:rsidRPr="00DD0D1F">
              <w:rPr>
                <w:szCs w:val="24"/>
              </w:rPr>
              <w:t>Sürekli (</w:t>
            </w:r>
            <w:r w:rsidRPr="00DD0D1F">
              <w:rPr>
                <w:szCs w:val="24"/>
                <w:vertAlign w:val="superscript"/>
              </w:rPr>
              <w:t>1</w:t>
            </w:r>
            <w:r w:rsidRPr="00DD0D1F">
              <w:rPr>
                <w:szCs w:val="24"/>
              </w:rPr>
              <w:t>) (</w:t>
            </w:r>
            <w:r w:rsidRPr="00DD0D1F">
              <w:rPr>
                <w:szCs w:val="24"/>
                <w:vertAlign w:val="superscript"/>
              </w:rPr>
              <w:t>2</w:t>
            </w:r>
            <w:r w:rsidRPr="00DD0D1F">
              <w:rPr>
                <w:szCs w:val="24"/>
              </w:rPr>
              <w:t>)</w:t>
            </w:r>
          </w:p>
        </w:tc>
        <w:tc>
          <w:tcPr>
            <w:tcW w:w="935" w:type="pct"/>
          </w:tcPr>
          <w:p w14:paraId="2302C181" w14:textId="77777777" w:rsidR="00A508A2" w:rsidRPr="00DD0D1F" w:rsidRDefault="00A508A2" w:rsidP="00A508A2">
            <w:pPr>
              <w:pStyle w:val="TableParagraph"/>
              <w:spacing w:line="223" w:lineRule="exact"/>
              <w:ind w:left="53" w:right="101"/>
              <w:jc w:val="center"/>
              <w:rPr>
                <w:szCs w:val="24"/>
              </w:rPr>
            </w:pPr>
            <w:r w:rsidRPr="00DD0D1F">
              <w:rPr>
                <w:szCs w:val="24"/>
              </w:rPr>
              <w:t>Doğrudan ölçüm</w:t>
            </w:r>
          </w:p>
          <w:p w14:paraId="3BC63C31" w14:textId="77777777" w:rsidR="00A508A2" w:rsidRPr="00DD0D1F" w:rsidRDefault="00A508A2" w:rsidP="00A508A2">
            <w:pPr>
              <w:pStyle w:val="TableParagraph"/>
              <w:spacing w:line="217" w:lineRule="exact"/>
              <w:ind w:left="50" w:right="101"/>
              <w:jc w:val="center"/>
              <w:rPr>
                <w:szCs w:val="24"/>
              </w:rPr>
            </w:pPr>
          </w:p>
        </w:tc>
      </w:tr>
      <w:tr w:rsidR="00A508A2" w:rsidRPr="00DD0D1F" w14:paraId="72306C5D" w14:textId="77777777" w:rsidTr="005F1561">
        <w:trPr>
          <w:trHeight w:val="690"/>
        </w:trPr>
        <w:tc>
          <w:tcPr>
            <w:tcW w:w="1637" w:type="pct"/>
            <w:vMerge/>
            <w:tcBorders>
              <w:top w:val="nil"/>
            </w:tcBorders>
          </w:tcPr>
          <w:p w14:paraId="7EC641D5" w14:textId="77777777" w:rsidR="00A508A2" w:rsidRPr="00DD0D1F" w:rsidRDefault="00A508A2" w:rsidP="00A508A2">
            <w:pPr>
              <w:rPr>
                <w:rFonts w:cs="Times New Roman"/>
                <w:szCs w:val="24"/>
                <w:lang w:val="tr-TR"/>
              </w:rPr>
            </w:pPr>
          </w:p>
        </w:tc>
        <w:tc>
          <w:tcPr>
            <w:tcW w:w="1420" w:type="pct"/>
          </w:tcPr>
          <w:p w14:paraId="16D87C25" w14:textId="77777777" w:rsidR="00A508A2" w:rsidRPr="00DD0D1F" w:rsidRDefault="00A508A2" w:rsidP="00A508A2">
            <w:pPr>
              <w:pStyle w:val="TableParagraph"/>
              <w:spacing w:line="223" w:lineRule="exact"/>
              <w:ind w:left="94" w:right="142"/>
              <w:jc w:val="center"/>
              <w:rPr>
                <w:szCs w:val="24"/>
              </w:rPr>
            </w:pPr>
            <w:r w:rsidRPr="00DD0D1F">
              <w:rPr>
                <w:szCs w:val="24"/>
              </w:rPr>
              <w:t>≥ 100 MW (</w:t>
            </w:r>
            <w:r w:rsidRPr="00DD0D1F">
              <w:rPr>
                <w:szCs w:val="24"/>
                <w:vertAlign w:val="superscript"/>
              </w:rPr>
              <w:t>3</w:t>
            </w:r>
            <w:r w:rsidRPr="00DD0D1F">
              <w:rPr>
                <w:szCs w:val="24"/>
              </w:rPr>
              <w:t>) yanma birimleri ile kalsinasyon birimleri</w:t>
            </w:r>
          </w:p>
        </w:tc>
        <w:tc>
          <w:tcPr>
            <w:tcW w:w="1008" w:type="pct"/>
          </w:tcPr>
          <w:p w14:paraId="0A1F6359" w14:textId="77777777" w:rsidR="00A508A2" w:rsidRPr="00DD0D1F" w:rsidRDefault="00A508A2" w:rsidP="00A508A2">
            <w:pPr>
              <w:pStyle w:val="TableParagraph"/>
              <w:spacing w:before="5"/>
              <w:jc w:val="center"/>
              <w:rPr>
                <w:b/>
                <w:szCs w:val="24"/>
              </w:rPr>
            </w:pPr>
          </w:p>
          <w:p w14:paraId="713300E1" w14:textId="77777777" w:rsidR="00A508A2" w:rsidRPr="00DD0D1F" w:rsidRDefault="00A508A2" w:rsidP="00A508A2">
            <w:pPr>
              <w:pStyle w:val="TableParagraph"/>
              <w:ind w:right="50"/>
              <w:jc w:val="center"/>
              <w:rPr>
                <w:szCs w:val="24"/>
              </w:rPr>
            </w:pPr>
            <w:r w:rsidRPr="00DD0D1F">
              <w:rPr>
                <w:szCs w:val="24"/>
              </w:rPr>
              <w:t>Sürekli (</w:t>
            </w:r>
            <w:r w:rsidRPr="00DD0D1F">
              <w:rPr>
                <w:szCs w:val="24"/>
                <w:vertAlign w:val="superscript"/>
              </w:rPr>
              <w:t>1</w:t>
            </w:r>
            <w:r w:rsidRPr="00DD0D1F">
              <w:rPr>
                <w:szCs w:val="24"/>
              </w:rPr>
              <w:t>) (</w:t>
            </w:r>
            <w:r w:rsidRPr="00DD0D1F">
              <w:rPr>
                <w:szCs w:val="24"/>
                <w:vertAlign w:val="superscript"/>
              </w:rPr>
              <w:t>2</w:t>
            </w:r>
            <w:r w:rsidRPr="00DD0D1F">
              <w:rPr>
                <w:szCs w:val="24"/>
              </w:rPr>
              <w:t>)</w:t>
            </w:r>
          </w:p>
        </w:tc>
        <w:tc>
          <w:tcPr>
            <w:tcW w:w="935" w:type="pct"/>
          </w:tcPr>
          <w:p w14:paraId="4CB5B6BE" w14:textId="77777777" w:rsidR="00A508A2" w:rsidRPr="00DD0D1F" w:rsidRDefault="00A508A2" w:rsidP="00A508A2">
            <w:pPr>
              <w:pStyle w:val="TableParagraph"/>
              <w:spacing w:before="108"/>
              <w:ind w:left="187" w:right="228" w:hanging="24"/>
              <w:jc w:val="center"/>
              <w:rPr>
                <w:szCs w:val="24"/>
              </w:rPr>
            </w:pPr>
            <w:r w:rsidRPr="00DD0D1F">
              <w:rPr>
                <w:szCs w:val="24"/>
              </w:rPr>
              <w:t>Doğrudan ölçüm (</w:t>
            </w:r>
            <w:r w:rsidRPr="00DD0D1F">
              <w:rPr>
                <w:szCs w:val="24"/>
                <w:vertAlign w:val="superscript"/>
              </w:rPr>
              <w:t>4</w:t>
            </w:r>
            <w:r w:rsidRPr="00DD0D1F">
              <w:rPr>
                <w:szCs w:val="24"/>
              </w:rPr>
              <w:t>)</w:t>
            </w:r>
          </w:p>
        </w:tc>
      </w:tr>
      <w:tr w:rsidR="00A508A2" w:rsidRPr="00DD0D1F" w14:paraId="7DF6415D" w14:textId="77777777" w:rsidTr="005F1561">
        <w:trPr>
          <w:trHeight w:val="689"/>
        </w:trPr>
        <w:tc>
          <w:tcPr>
            <w:tcW w:w="1637" w:type="pct"/>
            <w:vMerge/>
            <w:tcBorders>
              <w:top w:val="nil"/>
            </w:tcBorders>
          </w:tcPr>
          <w:p w14:paraId="46BA27B7" w14:textId="77777777" w:rsidR="00A508A2" w:rsidRPr="00DD0D1F" w:rsidRDefault="00A508A2" w:rsidP="00A508A2">
            <w:pPr>
              <w:rPr>
                <w:rFonts w:cs="Times New Roman"/>
                <w:szCs w:val="24"/>
                <w:lang w:val="tr-TR"/>
              </w:rPr>
            </w:pPr>
          </w:p>
        </w:tc>
        <w:tc>
          <w:tcPr>
            <w:tcW w:w="1420" w:type="pct"/>
          </w:tcPr>
          <w:p w14:paraId="6E92821A" w14:textId="77777777" w:rsidR="00A508A2" w:rsidRPr="00DD0D1F" w:rsidRDefault="00A508A2" w:rsidP="00A508A2">
            <w:pPr>
              <w:pStyle w:val="TableParagraph"/>
              <w:spacing w:before="109"/>
              <w:ind w:left="268" w:right="316" w:firstLine="86"/>
              <w:rPr>
                <w:szCs w:val="24"/>
              </w:rPr>
            </w:pPr>
            <w:r w:rsidRPr="00DD0D1F">
              <w:rPr>
                <w:szCs w:val="24"/>
              </w:rPr>
              <w:t>50 ila 100 MW (</w:t>
            </w:r>
            <w:r w:rsidRPr="00DD0D1F">
              <w:rPr>
                <w:szCs w:val="24"/>
                <w:vertAlign w:val="superscript"/>
              </w:rPr>
              <w:t>3</w:t>
            </w:r>
            <w:r w:rsidRPr="00DD0D1F">
              <w:rPr>
                <w:szCs w:val="24"/>
              </w:rPr>
              <w:t>) yanma birimleri</w:t>
            </w:r>
          </w:p>
        </w:tc>
        <w:tc>
          <w:tcPr>
            <w:tcW w:w="1008" w:type="pct"/>
          </w:tcPr>
          <w:p w14:paraId="05960B7F" w14:textId="77777777" w:rsidR="00A508A2" w:rsidRPr="00DD0D1F" w:rsidRDefault="00A508A2" w:rsidP="00A508A2">
            <w:pPr>
              <w:pStyle w:val="TableParagraph"/>
              <w:spacing w:before="5"/>
              <w:jc w:val="center"/>
              <w:rPr>
                <w:b/>
                <w:szCs w:val="24"/>
              </w:rPr>
            </w:pPr>
          </w:p>
          <w:p w14:paraId="6843B7EA" w14:textId="77777777" w:rsidR="00A508A2" w:rsidRPr="00DD0D1F" w:rsidRDefault="00A508A2" w:rsidP="00A508A2">
            <w:pPr>
              <w:pStyle w:val="TableParagraph"/>
              <w:ind w:right="50"/>
              <w:jc w:val="center"/>
              <w:rPr>
                <w:szCs w:val="24"/>
              </w:rPr>
            </w:pPr>
            <w:r w:rsidRPr="00DD0D1F">
              <w:rPr>
                <w:szCs w:val="24"/>
              </w:rPr>
              <w:t>Sürekli (</w:t>
            </w:r>
            <w:r w:rsidRPr="00DD0D1F">
              <w:rPr>
                <w:szCs w:val="24"/>
                <w:vertAlign w:val="superscript"/>
              </w:rPr>
              <w:t>1</w:t>
            </w:r>
            <w:r w:rsidRPr="00DD0D1F">
              <w:rPr>
                <w:szCs w:val="24"/>
              </w:rPr>
              <w:t>) (</w:t>
            </w:r>
            <w:r w:rsidRPr="00DD0D1F">
              <w:rPr>
                <w:szCs w:val="24"/>
                <w:vertAlign w:val="superscript"/>
              </w:rPr>
              <w:t>2</w:t>
            </w:r>
            <w:r w:rsidRPr="00DD0D1F">
              <w:rPr>
                <w:szCs w:val="24"/>
              </w:rPr>
              <w:t>)</w:t>
            </w:r>
          </w:p>
        </w:tc>
        <w:tc>
          <w:tcPr>
            <w:tcW w:w="935" w:type="pct"/>
          </w:tcPr>
          <w:p w14:paraId="08F36F5E" w14:textId="77777777" w:rsidR="00A508A2" w:rsidRPr="00DD0D1F" w:rsidRDefault="00A508A2" w:rsidP="00A508A2">
            <w:pPr>
              <w:pStyle w:val="TableParagraph"/>
              <w:spacing w:line="224" w:lineRule="exact"/>
              <w:ind w:left="50" w:right="101"/>
              <w:jc w:val="center"/>
              <w:rPr>
                <w:szCs w:val="24"/>
              </w:rPr>
            </w:pPr>
            <w:r w:rsidRPr="00DD0D1F">
              <w:rPr>
                <w:szCs w:val="24"/>
              </w:rPr>
              <w:t>Doğrudan ölçüm veya dolaylı izleme</w:t>
            </w:r>
          </w:p>
          <w:p w14:paraId="7E041713" w14:textId="77777777" w:rsidR="00A508A2" w:rsidRPr="00DD0D1F" w:rsidRDefault="00A508A2" w:rsidP="00A508A2">
            <w:pPr>
              <w:pStyle w:val="TableParagraph"/>
              <w:spacing w:line="228" w:lineRule="exact"/>
              <w:ind w:left="70" w:right="122" w:firstLine="1"/>
              <w:jc w:val="center"/>
              <w:rPr>
                <w:szCs w:val="24"/>
              </w:rPr>
            </w:pPr>
          </w:p>
        </w:tc>
      </w:tr>
      <w:tr w:rsidR="00A508A2" w:rsidRPr="00DD0D1F" w14:paraId="3E947249" w14:textId="77777777" w:rsidTr="005F1561">
        <w:trPr>
          <w:trHeight w:val="690"/>
        </w:trPr>
        <w:tc>
          <w:tcPr>
            <w:tcW w:w="1637" w:type="pct"/>
            <w:vMerge/>
            <w:tcBorders>
              <w:top w:val="nil"/>
            </w:tcBorders>
          </w:tcPr>
          <w:p w14:paraId="6B368A96" w14:textId="77777777" w:rsidR="00A508A2" w:rsidRPr="00DD0D1F" w:rsidRDefault="00A508A2" w:rsidP="00A508A2">
            <w:pPr>
              <w:rPr>
                <w:rFonts w:cs="Times New Roman"/>
                <w:szCs w:val="24"/>
                <w:lang w:val="tr-TR"/>
              </w:rPr>
            </w:pPr>
          </w:p>
        </w:tc>
        <w:tc>
          <w:tcPr>
            <w:tcW w:w="1420" w:type="pct"/>
          </w:tcPr>
          <w:p w14:paraId="266F9BCC" w14:textId="77777777" w:rsidR="00A508A2" w:rsidRPr="00DD0D1F" w:rsidRDefault="00A508A2" w:rsidP="00A508A2">
            <w:pPr>
              <w:pStyle w:val="TableParagraph"/>
              <w:spacing w:before="108"/>
              <w:ind w:left="94" w:right="142"/>
              <w:jc w:val="center"/>
              <w:rPr>
                <w:szCs w:val="24"/>
              </w:rPr>
            </w:pPr>
            <w:r w:rsidRPr="00DD0D1F">
              <w:rPr>
                <w:szCs w:val="24"/>
              </w:rPr>
              <w:t>&lt;50 MW yanma birimleri (</w:t>
            </w:r>
            <w:r w:rsidRPr="00DD0D1F">
              <w:rPr>
                <w:szCs w:val="24"/>
                <w:vertAlign w:val="superscript"/>
              </w:rPr>
              <w:t>3</w:t>
            </w:r>
            <w:r w:rsidRPr="00DD0D1F">
              <w:rPr>
                <w:szCs w:val="24"/>
              </w:rPr>
              <w:t>)</w:t>
            </w:r>
          </w:p>
          <w:p w14:paraId="22B8ABF7" w14:textId="77777777" w:rsidR="00A508A2" w:rsidRPr="00DD0D1F" w:rsidRDefault="00A508A2" w:rsidP="00A508A2">
            <w:pPr>
              <w:pStyle w:val="TableParagraph"/>
              <w:ind w:left="95" w:right="142"/>
              <w:jc w:val="center"/>
              <w:rPr>
                <w:szCs w:val="24"/>
              </w:rPr>
            </w:pPr>
          </w:p>
        </w:tc>
        <w:tc>
          <w:tcPr>
            <w:tcW w:w="1008" w:type="pct"/>
          </w:tcPr>
          <w:p w14:paraId="21A9E7D1" w14:textId="77777777" w:rsidR="00A508A2" w:rsidRPr="00DD0D1F" w:rsidRDefault="00A508A2" w:rsidP="00A508A2">
            <w:pPr>
              <w:pStyle w:val="TableParagraph"/>
              <w:ind w:left="83" w:right="135" w:firstLine="1"/>
              <w:jc w:val="center"/>
              <w:rPr>
                <w:szCs w:val="24"/>
              </w:rPr>
            </w:pPr>
            <w:r w:rsidRPr="00DD0D1F">
              <w:rPr>
                <w:szCs w:val="24"/>
              </w:rPr>
              <w:t>Yılda bir kez ve anlamlı yakıt değişiklikleri sonrasında (</w:t>
            </w:r>
            <w:r w:rsidRPr="00DD0D1F">
              <w:rPr>
                <w:szCs w:val="24"/>
                <w:vertAlign w:val="superscript"/>
              </w:rPr>
              <w:t>5</w:t>
            </w:r>
            <w:r w:rsidRPr="00DD0D1F">
              <w:rPr>
                <w:szCs w:val="24"/>
              </w:rPr>
              <w:t>)</w:t>
            </w:r>
          </w:p>
        </w:tc>
        <w:tc>
          <w:tcPr>
            <w:tcW w:w="935" w:type="pct"/>
          </w:tcPr>
          <w:p w14:paraId="0E2F028A" w14:textId="77777777" w:rsidR="00A508A2" w:rsidRPr="00DD0D1F" w:rsidRDefault="00A508A2" w:rsidP="00A508A2">
            <w:pPr>
              <w:pStyle w:val="TableParagraph"/>
              <w:ind w:left="204" w:right="256" w:firstLine="2"/>
              <w:jc w:val="center"/>
              <w:rPr>
                <w:szCs w:val="24"/>
              </w:rPr>
            </w:pPr>
            <w:r w:rsidRPr="00DD0D1F">
              <w:rPr>
                <w:szCs w:val="24"/>
              </w:rPr>
              <w:t>Doğrudan ölçüm veya dolaylı izleme</w:t>
            </w:r>
          </w:p>
          <w:p w14:paraId="3C8111CB" w14:textId="77777777" w:rsidR="00A508A2" w:rsidRPr="00DD0D1F" w:rsidRDefault="00A508A2" w:rsidP="00A508A2">
            <w:pPr>
              <w:pStyle w:val="TableParagraph"/>
              <w:spacing w:line="217" w:lineRule="exact"/>
              <w:ind w:left="54" w:right="101"/>
              <w:jc w:val="center"/>
              <w:rPr>
                <w:szCs w:val="24"/>
              </w:rPr>
            </w:pPr>
          </w:p>
        </w:tc>
      </w:tr>
      <w:tr w:rsidR="00A508A2" w:rsidRPr="00DD0D1F" w14:paraId="0909F827" w14:textId="77777777" w:rsidTr="005F1561">
        <w:trPr>
          <w:trHeight w:val="918"/>
        </w:trPr>
        <w:tc>
          <w:tcPr>
            <w:tcW w:w="1637" w:type="pct"/>
            <w:vMerge/>
            <w:tcBorders>
              <w:top w:val="nil"/>
            </w:tcBorders>
          </w:tcPr>
          <w:p w14:paraId="5FF136AE" w14:textId="77777777" w:rsidR="00A508A2" w:rsidRPr="00DD0D1F" w:rsidRDefault="00A508A2" w:rsidP="00A508A2">
            <w:pPr>
              <w:rPr>
                <w:rFonts w:cs="Times New Roman"/>
                <w:szCs w:val="24"/>
                <w:lang w:val="tr-TR"/>
              </w:rPr>
            </w:pPr>
          </w:p>
        </w:tc>
        <w:tc>
          <w:tcPr>
            <w:tcW w:w="1420" w:type="pct"/>
          </w:tcPr>
          <w:p w14:paraId="43CB9B16" w14:textId="77777777" w:rsidR="00A508A2" w:rsidRPr="00DD0D1F" w:rsidRDefault="00A508A2" w:rsidP="00A508A2">
            <w:pPr>
              <w:pStyle w:val="TableParagraph"/>
              <w:spacing w:before="5"/>
              <w:rPr>
                <w:b/>
                <w:szCs w:val="24"/>
              </w:rPr>
            </w:pPr>
          </w:p>
          <w:p w14:paraId="750967B7" w14:textId="77777777" w:rsidR="00A508A2" w:rsidRPr="00DD0D1F" w:rsidRDefault="00A508A2" w:rsidP="00A508A2">
            <w:pPr>
              <w:pStyle w:val="TableParagraph"/>
              <w:ind w:left="825" w:right="226" w:hanging="648"/>
              <w:rPr>
                <w:szCs w:val="24"/>
              </w:rPr>
            </w:pPr>
            <w:r w:rsidRPr="00DD0D1F">
              <w:rPr>
                <w:szCs w:val="24"/>
              </w:rPr>
              <w:t>Kükürt geri kazanım birimleri (SRU)</w:t>
            </w:r>
          </w:p>
        </w:tc>
        <w:tc>
          <w:tcPr>
            <w:tcW w:w="1008" w:type="pct"/>
          </w:tcPr>
          <w:p w14:paraId="04DCD7B0" w14:textId="77777777" w:rsidR="00A508A2" w:rsidRPr="00DD0D1F" w:rsidRDefault="00A508A2" w:rsidP="00A508A2">
            <w:pPr>
              <w:pStyle w:val="TableParagraph"/>
              <w:spacing w:before="223"/>
              <w:ind w:left="273" w:right="283" w:firstLine="160"/>
              <w:jc w:val="center"/>
              <w:rPr>
                <w:szCs w:val="24"/>
              </w:rPr>
            </w:pPr>
            <w:r w:rsidRPr="00DD0D1F">
              <w:rPr>
                <w:szCs w:val="24"/>
              </w:rPr>
              <w:t>Yalnızca SO</w:t>
            </w:r>
            <w:r w:rsidRPr="00DD0D1F">
              <w:rPr>
                <w:szCs w:val="24"/>
                <w:vertAlign w:val="subscript"/>
              </w:rPr>
              <w:t xml:space="preserve">2 </w:t>
            </w:r>
            <w:r w:rsidRPr="00DD0D1F">
              <w:rPr>
                <w:szCs w:val="24"/>
              </w:rPr>
              <w:t>için sürekli (</w:t>
            </w:r>
            <w:r w:rsidRPr="00DD0D1F">
              <w:rPr>
                <w:szCs w:val="24"/>
                <w:vertAlign w:val="superscript"/>
              </w:rPr>
              <w:t>2</w:t>
            </w:r>
            <w:r w:rsidRPr="00DD0D1F">
              <w:rPr>
                <w:szCs w:val="24"/>
              </w:rPr>
              <w:t>)</w:t>
            </w:r>
          </w:p>
        </w:tc>
        <w:tc>
          <w:tcPr>
            <w:tcW w:w="935" w:type="pct"/>
          </w:tcPr>
          <w:p w14:paraId="274B2653" w14:textId="77777777" w:rsidR="00A508A2" w:rsidRPr="00DD0D1F" w:rsidRDefault="00A508A2" w:rsidP="00A508A2">
            <w:pPr>
              <w:pStyle w:val="TableParagraph"/>
              <w:ind w:left="72" w:right="120" w:hanging="1"/>
              <w:jc w:val="center"/>
              <w:rPr>
                <w:szCs w:val="24"/>
              </w:rPr>
            </w:pPr>
            <w:r w:rsidRPr="00DD0D1F">
              <w:rPr>
                <w:szCs w:val="24"/>
              </w:rPr>
              <w:t>Doğrudan ölçüm veya dolaylı izleme (</w:t>
            </w:r>
            <w:r w:rsidRPr="00DD0D1F">
              <w:rPr>
                <w:szCs w:val="24"/>
                <w:vertAlign w:val="superscript"/>
              </w:rPr>
              <w:t>6</w:t>
            </w:r>
            <w:r w:rsidRPr="00DD0D1F">
              <w:rPr>
                <w:szCs w:val="24"/>
              </w:rPr>
              <w:t>)</w:t>
            </w:r>
          </w:p>
        </w:tc>
      </w:tr>
      <w:tr w:rsidR="00A508A2" w:rsidRPr="00DD0D1F" w14:paraId="4AD0BE68" w14:textId="77777777" w:rsidTr="005F1561">
        <w:trPr>
          <w:trHeight w:val="459"/>
        </w:trPr>
        <w:tc>
          <w:tcPr>
            <w:tcW w:w="1637" w:type="pct"/>
          </w:tcPr>
          <w:p w14:paraId="5E8193E8" w14:textId="77777777" w:rsidR="00A508A2" w:rsidRPr="00DD0D1F" w:rsidRDefault="00A508A2" w:rsidP="00A508A2">
            <w:pPr>
              <w:pStyle w:val="TableParagraph"/>
              <w:tabs>
                <w:tab w:val="left" w:pos="525"/>
              </w:tabs>
              <w:spacing w:before="107"/>
              <w:ind w:left="160"/>
              <w:rPr>
                <w:szCs w:val="24"/>
              </w:rPr>
            </w:pPr>
            <w:r w:rsidRPr="00DD0D1F">
              <w:rPr>
                <w:szCs w:val="24"/>
              </w:rPr>
              <w:t>ii.</w:t>
            </w:r>
            <w:r w:rsidRPr="00DD0D1F">
              <w:rPr>
                <w:szCs w:val="24"/>
              </w:rPr>
              <w:tab/>
              <w:t>NH</w:t>
            </w:r>
            <w:r w:rsidRPr="00DD0D1F">
              <w:rPr>
                <w:szCs w:val="24"/>
                <w:vertAlign w:val="subscript"/>
              </w:rPr>
              <w:t xml:space="preserve">3 </w:t>
            </w:r>
            <w:r w:rsidRPr="00DD0D1F">
              <w:rPr>
                <w:szCs w:val="24"/>
              </w:rPr>
              <w:t>emisyonları</w:t>
            </w:r>
          </w:p>
        </w:tc>
        <w:tc>
          <w:tcPr>
            <w:tcW w:w="1420" w:type="pct"/>
          </w:tcPr>
          <w:p w14:paraId="2C141DC6" w14:textId="4F80B51C" w:rsidR="00A508A2" w:rsidRPr="00DD0D1F" w:rsidRDefault="00A508A2" w:rsidP="00353734">
            <w:pPr>
              <w:pStyle w:val="TableParagraph"/>
              <w:spacing w:line="223" w:lineRule="exact"/>
              <w:ind w:left="91" w:right="142"/>
              <w:jc w:val="center"/>
              <w:rPr>
                <w:szCs w:val="24"/>
              </w:rPr>
            </w:pPr>
            <w:r w:rsidRPr="00DD0D1F">
              <w:rPr>
                <w:szCs w:val="24"/>
              </w:rPr>
              <w:t xml:space="preserve">SCR veya SNCR ile </w:t>
            </w:r>
            <w:r w:rsidR="00353734" w:rsidRPr="00DD0D1F">
              <w:rPr>
                <w:szCs w:val="24"/>
              </w:rPr>
              <w:t xml:space="preserve">donanmış  </w:t>
            </w:r>
            <w:r w:rsidRPr="00DD0D1F">
              <w:rPr>
                <w:szCs w:val="24"/>
              </w:rPr>
              <w:t>tüm birimler</w:t>
            </w:r>
          </w:p>
        </w:tc>
        <w:tc>
          <w:tcPr>
            <w:tcW w:w="1008" w:type="pct"/>
          </w:tcPr>
          <w:p w14:paraId="1AC6FD63" w14:textId="77777777" w:rsidR="00A508A2" w:rsidRPr="00DD0D1F" w:rsidRDefault="00A508A2" w:rsidP="00A508A2">
            <w:pPr>
              <w:pStyle w:val="TableParagraph"/>
              <w:spacing w:before="107"/>
              <w:ind w:right="50"/>
              <w:jc w:val="center"/>
              <w:rPr>
                <w:szCs w:val="24"/>
              </w:rPr>
            </w:pPr>
            <w:r w:rsidRPr="00DD0D1F">
              <w:rPr>
                <w:szCs w:val="24"/>
              </w:rPr>
              <w:t>Sürekli</w:t>
            </w:r>
          </w:p>
        </w:tc>
        <w:tc>
          <w:tcPr>
            <w:tcW w:w="935" w:type="pct"/>
          </w:tcPr>
          <w:p w14:paraId="5EF38B3E" w14:textId="77777777" w:rsidR="00A508A2" w:rsidRPr="00DD0D1F" w:rsidRDefault="00A508A2" w:rsidP="00A508A2">
            <w:pPr>
              <w:pStyle w:val="TableParagraph"/>
              <w:spacing w:line="223" w:lineRule="exact"/>
              <w:ind w:left="53" w:right="101"/>
              <w:jc w:val="center"/>
              <w:rPr>
                <w:szCs w:val="24"/>
              </w:rPr>
            </w:pPr>
            <w:r w:rsidRPr="00DD0D1F">
              <w:rPr>
                <w:szCs w:val="24"/>
              </w:rPr>
              <w:t xml:space="preserve">Doğrudan </w:t>
            </w:r>
          </w:p>
          <w:p w14:paraId="40319FEB" w14:textId="77777777" w:rsidR="00A508A2" w:rsidRPr="00DD0D1F" w:rsidRDefault="00A508A2" w:rsidP="00A508A2">
            <w:pPr>
              <w:pStyle w:val="TableParagraph"/>
              <w:spacing w:line="223" w:lineRule="exact"/>
              <w:ind w:left="53" w:right="101"/>
              <w:jc w:val="center"/>
              <w:rPr>
                <w:szCs w:val="24"/>
              </w:rPr>
            </w:pPr>
            <w:r w:rsidRPr="00DD0D1F">
              <w:rPr>
                <w:szCs w:val="24"/>
              </w:rPr>
              <w:t>ölçüm</w:t>
            </w:r>
          </w:p>
        </w:tc>
      </w:tr>
      <w:tr w:rsidR="00A508A2" w:rsidRPr="00DD0D1F" w14:paraId="3E0E94B3" w14:textId="77777777" w:rsidTr="005F1561">
        <w:trPr>
          <w:trHeight w:val="691"/>
        </w:trPr>
        <w:tc>
          <w:tcPr>
            <w:tcW w:w="1637" w:type="pct"/>
            <w:vMerge w:val="restart"/>
          </w:tcPr>
          <w:p w14:paraId="452572EC" w14:textId="77777777" w:rsidR="00A508A2" w:rsidRPr="00DD0D1F" w:rsidRDefault="00A508A2" w:rsidP="00A508A2">
            <w:pPr>
              <w:pStyle w:val="TableParagraph"/>
              <w:rPr>
                <w:b/>
                <w:szCs w:val="24"/>
              </w:rPr>
            </w:pPr>
          </w:p>
          <w:p w14:paraId="48B6AB17" w14:textId="77777777" w:rsidR="00A508A2" w:rsidRPr="00DD0D1F" w:rsidRDefault="00A508A2" w:rsidP="00A508A2">
            <w:pPr>
              <w:pStyle w:val="TableParagraph"/>
              <w:spacing w:before="10"/>
              <w:rPr>
                <w:b/>
                <w:szCs w:val="24"/>
              </w:rPr>
            </w:pPr>
          </w:p>
          <w:p w14:paraId="22CE65A7" w14:textId="77777777" w:rsidR="00A508A2" w:rsidRPr="00DD0D1F" w:rsidRDefault="00A508A2" w:rsidP="00A508A2">
            <w:pPr>
              <w:pStyle w:val="TableParagraph"/>
              <w:tabs>
                <w:tab w:val="left" w:pos="525"/>
              </w:tabs>
              <w:ind w:left="102"/>
              <w:rPr>
                <w:szCs w:val="24"/>
              </w:rPr>
            </w:pPr>
            <w:r w:rsidRPr="00DD0D1F">
              <w:rPr>
                <w:szCs w:val="24"/>
              </w:rPr>
              <w:t>iii.</w:t>
            </w:r>
            <w:r w:rsidRPr="00DD0D1F">
              <w:rPr>
                <w:szCs w:val="24"/>
              </w:rPr>
              <w:tab/>
              <w:t>CO emisyonları</w:t>
            </w:r>
          </w:p>
        </w:tc>
        <w:tc>
          <w:tcPr>
            <w:tcW w:w="1420" w:type="pct"/>
          </w:tcPr>
          <w:p w14:paraId="631E7867" w14:textId="77777777" w:rsidR="00A508A2" w:rsidRPr="00DD0D1F" w:rsidRDefault="00A508A2" w:rsidP="00A508A2">
            <w:pPr>
              <w:pStyle w:val="TableParagraph"/>
              <w:ind w:left="91" w:right="142"/>
              <w:jc w:val="center"/>
              <w:rPr>
                <w:szCs w:val="24"/>
              </w:rPr>
            </w:pPr>
            <w:r w:rsidRPr="00DD0D1F">
              <w:rPr>
                <w:szCs w:val="24"/>
              </w:rPr>
              <w:t>≥ 100 MW katalitik  parçalama ve yanma birimleri (</w:t>
            </w:r>
            <w:r w:rsidRPr="00DD0D1F">
              <w:rPr>
                <w:szCs w:val="24"/>
                <w:vertAlign w:val="superscript"/>
              </w:rPr>
              <w:t>3</w:t>
            </w:r>
            <w:r w:rsidRPr="00DD0D1F">
              <w:rPr>
                <w:szCs w:val="24"/>
              </w:rPr>
              <w:t>)</w:t>
            </w:r>
          </w:p>
        </w:tc>
        <w:tc>
          <w:tcPr>
            <w:tcW w:w="1008" w:type="pct"/>
          </w:tcPr>
          <w:p w14:paraId="22FE053A" w14:textId="77777777" w:rsidR="00A508A2" w:rsidRPr="00DD0D1F" w:rsidRDefault="00A508A2" w:rsidP="00A508A2">
            <w:pPr>
              <w:pStyle w:val="TableParagraph"/>
              <w:spacing w:before="5"/>
              <w:jc w:val="center"/>
              <w:rPr>
                <w:b/>
                <w:szCs w:val="24"/>
              </w:rPr>
            </w:pPr>
          </w:p>
          <w:p w14:paraId="061B3493" w14:textId="77777777" w:rsidR="00A508A2" w:rsidRPr="00DD0D1F" w:rsidRDefault="00A508A2" w:rsidP="00A508A2">
            <w:pPr>
              <w:pStyle w:val="TableParagraph"/>
              <w:ind w:right="50"/>
              <w:jc w:val="center"/>
              <w:rPr>
                <w:szCs w:val="24"/>
              </w:rPr>
            </w:pPr>
            <w:r w:rsidRPr="00DD0D1F">
              <w:rPr>
                <w:szCs w:val="24"/>
              </w:rPr>
              <w:t>Sürekli</w:t>
            </w:r>
          </w:p>
        </w:tc>
        <w:tc>
          <w:tcPr>
            <w:tcW w:w="935" w:type="pct"/>
          </w:tcPr>
          <w:p w14:paraId="5CBCAF36" w14:textId="77777777" w:rsidR="00A508A2" w:rsidRPr="00DD0D1F" w:rsidRDefault="00A508A2" w:rsidP="00A508A2">
            <w:pPr>
              <w:pStyle w:val="TableParagraph"/>
              <w:spacing w:before="108"/>
              <w:ind w:left="163" w:right="354"/>
              <w:jc w:val="center"/>
              <w:rPr>
                <w:szCs w:val="24"/>
              </w:rPr>
            </w:pPr>
            <w:r w:rsidRPr="00DD0D1F">
              <w:rPr>
                <w:szCs w:val="24"/>
              </w:rPr>
              <w:t xml:space="preserve">Doğrudan </w:t>
            </w:r>
          </w:p>
          <w:p w14:paraId="4D9A9337" w14:textId="77777777" w:rsidR="00A508A2" w:rsidRPr="00DD0D1F" w:rsidRDefault="00A508A2" w:rsidP="00A508A2">
            <w:pPr>
              <w:pStyle w:val="TableParagraph"/>
              <w:spacing w:before="108"/>
              <w:ind w:left="163" w:right="354"/>
              <w:jc w:val="center"/>
              <w:rPr>
                <w:szCs w:val="24"/>
              </w:rPr>
            </w:pPr>
            <w:r w:rsidRPr="00DD0D1F">
              <w:rPr>
                <w:szCs w:val="24"/>
              </w:rPr>
              <w:t>ölçüm</w:t>
            </w:r>
          </w:p>
        </w:tc>
      </w:tr>
      <w:tr w:rsidR="00A508A2" w:rsidRPr="00DD0D1F" w14:paraId="1697187A" w14:textId="77777777" w:rsidTr="005F1561">
        <w:trPr>
          <w:trHeight w:val="460"/>
        </w:trPr>
        <w:tc>
          <w:tcPr>
            <w:tcW w:w="1637" w:type="pct"/>
            <w:vMerge/>
            <w:tcBorders>
              <w:top w:val="nil"/>
            </w:tcBorders>
          </w:tcPr>
          <w:p w14:paraId="506B6A32" w14:textId="77777777" w:rsidR="00A508A2" w:rsidRPr="00DD0D1F" w:rsidRDefault="00A508A2" w:rsidP="00A508A2">
            <w:pPr>
              <w:rPr>
                <w:rFonts w:cs="Times New Roman"/>
                <w:szCs w:val="24"/>
                <w:lang w:val="tr-TR"/>
              </w:rPr>
            </w:pPr>
          </w:p>
        </w:tc>
        <w:tc>
          <w:tcPr>
            <w:tcW w:w="1420" w:type="pct"/>
          </w:tcPr>
          <w:p w14:paraId="43D5F1D5" w14:textId="77777777" w:rsidR="00A508A2" w:rsidRPr="00DD0D1F" w:rsidRDefault="00A508A2" w:rsidP="00A508A2">
            <w:pPr>
              <w:pStyle w:val="TableParagraph"/>
              <w:spacing w:before="108"/>
              <w:ind w:left="88" w:right="142"/>
              <w:jc w:val="center"/>
              <w:rPr>
                <w:szCs w:val="24"/>
              </w:rPr>
            </w:pPr>
            <w:r w:rsidRPr="00DD0D1F">
              <w:rPr>
                <w:szCs w:val="24"/>
              </w:rPr>
              <w:t>Diğer yanma birimleri</w:t>
            </w:r>
          </w:p>
        </w:tc>
        <w:tc>
          <w:tcPr>
            <w:tcW w:w="1008" w:type="pct"/>
          </w:tcPr>
          <w:p w14:paraId="01AB40EA" w14:textId="77777777" w:rsidR="00A508A2" w:rsidRPr="00DD0D1F" w:rsidRDefault="00A508A2" w:rsidP="00A508A2">
            <w:pPr>
              <w:pStyle w:val="TableParagraph"/>
              <w:spacing w:line="223" w:lineRule="exact"/>
              <w:ind w:right="49"/>
              <w:jc w:val="center"/>
              <w:rPr>
                <w:szCs w:val="24"/>
              </w:rPr>
            </w:pPr>
            <w:r w:rsidRPr="00DD0D1F">
              <w:rPr>
                <w:szCs w:val="24"/>
              </w:rPr>
              <w:t>6 ayda bir (</w:t>
            </w:r>
            <w:r w:rsidRPr="00DD0D1F">
              <w:rPr>
                <w:szCs w:val="24"/>
                <w:vertAlign w:val="superscript"/>
              </w:rPr>
              <w:t>5</w:t>
            </w:r>
            <w:r w:rsidRPr="00DD0D1F">
              <w:rPr>
                <w:szCs w:val="24"/>
              </w:rPr>
              <w:t>)</w:t>
            </w:r>
          </w:p>
          <w:p w14:paraId="21E5FDE4" w14:textId="77777777" w:rsidR="00A508A2" w:rsidRPr="00DD0D1F" w:rsidRDefault="00A508A2" w:rsidP="00A508A2">
            <w:pPr>
              <w:pStyle w:val="TableParagraph"/>
              <w:spacing w:line="217" w:lineRule="exact"/>
              <w:ind w:right="53"/>
              <w:jc w:val="center"/>
              <w:rPr>
                <w:szCs w:val="24"/>
              </w:rPr>
            </w:pPr>
          </w:p>
        </w:tc>
        <w:tc>
          <w:tcPr>
            <w:tcW w:w="935" w:type="pct"/>
          </w:tcPr>
          <w:p w14:paraId="0F49E61B" w14:textId="77777777" w:rsidR="00A508A2" w:rsidRPr="00DD0D1F" w:rsidRDefault="00A508A2" w:rsidP="00A508A2">
            <w:pPr>
              <w:pStyle w:val="TableParagraph"/>
              <w:spacing w:line="223" w:lineRule="exact"/>
              <w:ind w:left="53" w:right="101"/>
              <w:jc w:val="center"/>
              <w:rPr>
                <w:szCs w:val="24"/>
              </w:rPr>
            </w:pPr>
            <w:r w:rsidRPr="00DD0D1F">
              <w:rPr>
                <w:szCs w:val="24"/>
              </w:rPr>
              <w:t xml:space="preserve">Doğrudan </w:t>
            </w:r>
          </w:p>
          <w:p w14:paraId="210D4EDC" w14:textId="77777777" w:rsidR="00A508A2" w:rsidRPr="00DD0D1F" w:rsidRDefault="00A508A2" w:rsidP="00A508A2">
            <w:pPr>
              <w:pStyle w:val="TableParagraph"/>
              <w:spacing w:line="223" w:lineRule="exact"/>
              <w:ind w:left="53" w:right="101"/>
              <w:jc w:val="center"/>
              <w:rPr>
                <w:szCs w:val="24"/>
              </w:rPr>
            </w:pPr>
            <w:r w:rsidRPr="00DD0D1F">
              <w:rPr>
                <w:szCs w:val="24"/>
              </w:rPr>
              <w:t>ölçüm</w:t>
            </w:r>
          </w:p>
        </w:tc>
      </w:tr>
      <w:tr w:rsidR="00A508A2" w:rsidRPr="00DD0D1F" w14:paraId="259DD117" w14:textId="77777777" w:rsidTr="005F1561">
        <w:trPr>
          <w:trHeight w:val="282"/>
        </w:trPr>
        <w:tc>
          <w:tcPr>
            <w:tcW w:w="1637" w:type="pct"/>
            <w:vMerge w:val="restart"/>
          </w:tcPr>
          <w:p w14:paraId="3D92CFE5" w14:textId="77777777" w:rsidR="00A508A2" w:rsidRPr="00DD0D1F" w:rsidRDefault="00A508A2" w:rsidP="00A508A2">
            <w:pPr>
              <w:pStyle w:val="TableParagraph"/>
              <w:spacing w:before="5"/>
              <w:rPr>
                <w:b/>
                <w:szCs w:val="24"/>
              </w:rPr>
            </w:pPr>
          </w:p>
          <w:p w14:paraId="443E5A49" w14:textId="77777777" w:rsidR="00A508A2" w:rsidRPr="00DD0D1F" w:rsidRDefault="00A508A2" w:rsidP="00A508A2">
            <w:pPr>
              <w:pStyle w:val="TableParagraph"/>
              <w:tabs>
                <w:tab w:val="left" w:pos="525"/>
              </w:tabs>
              <w:ind w:left="525" w:right="108" w:hanging="411"/>
              <w:rPr>
                <w:szCs w:val="24"/>
              </w:rPr>
            </w:pPr>
            <w:r w:rsidRPr="00DD0D1F">
              <w:rPr>
                <w:szCs w:val="24"/>
              </w:rPr>
              <w:t>iv.</w:t>
            </w:r>
            <w:r w:rsidRPr="00DD0D1F">
              <w:rPr>
                <w:szCs w:val="24"/>
              </w:rPr>
              <w:tab/>
              <w:t>Metal emisyonları: Nikel (Ni), Antimon (Sb) (</w:t>
            </w:r>
            <w:r w:rsidRPr="00DD0D1F">
              <w:rPr>
                <w:szCs w:val="24"/>
                <w:vertAlign w:val="superscript"/>
              </w:rPr>
              <w:t>7</w:t>
            </w:r>
            <w:r w:rsidRPr="00DD0D1F">
              <w:rPr>
                <w:szCs w:val="24"/>
              </w:rPr>
              <w:t>), Vanadyum (V)</w:t>
            </w:r>
          </w:p>
        </w:tc>
        <w:tc>
          <w:tcPr>
            <w:tcW w:w="1420" w:type="pct"/>
          </w:tcPr>
          <w:p w14:paraId="271A710C" w14:textId="77777777" w:rsidR="00A508A2" w:rsidRPr="00DD0D1F" w:rsidRDefault="00A508A2" w:rsidP="00A508A2">
            <w:pPr>
              <w:pStyle w:val="TableParagraph"/>
              <w:spacing w:before="19"/>
              <w:ind w:left="92" w:right="142"/>
              <w:jc w:val="center"/>
              <w:rPr>
                <w:szCs w:val="24"/>
              </w:rPr>
            </w:pPr>
            <w:r w:rsidRPr="00DD0D1F">
              <w:rPr>
                <w:szCs w:val="24"/>
              </w:rPr>
              <w:t>Katalitik  parçalama</w:t>
            </w:r>
          </w:p>
        </w:tc>
        <w:tc>
          <w:tcPr>
            <w:tcW w:w="1008" w:type="pct"/>
            <w:vMerge w:val="restart"/>
          </w:tcPr>
          <w:p w14:paraId="3C6F9A9F" w14:textId="77777777" w:rsidR="00A508A2" w:rsidRPr="00DD0D1F" w:rsidRDefault="00A508A2" w:rsidP="00A508A2">
            <w:pPr>
              <w:pStyle w:val="TableParagraph"/>
              <w:spacing w:before="5"/>
              <w:jc w:val="center"/>
              <w:rPr>
                <w:b/>
                <w:szCs w:val="24"/>
              </w:rPr>
            </w:pPr>
          </w:p>
          <w:p w14:paraId="208BA79F" w14:textId="77777777" w:rsidR="00A508A2" w:rsidRPr="00DD0D1F" w:rsidRDefault="00A508A2" w:rsidP="00A508A2">
            <w:pPr>
              <w:pStyle w:val="TableParagraph"/>
              <w:ind w:left="127" w:right="175" w:hanging="2"/>
              <w:jc w:val="center"/>
              <w:rPr>
                <w:szCs w:val="24"/>
              </w:rPr>
            </w:pPr>
            <w:r w:rsidRPr="00DD0D1F">
              <w:rPr>
                <w:szCs w:val="24"/>
              </w:rPr>
              <w:t>6 ayda bir ve birimde anlamlı değişiklikler yapılması sonrasında (</w:t>
            </w:r>
            <w:r w:rsidRPr="00DD0D1F">
              <w:rPr>
                <w:szCs w:val="24"/>
                <w:vertAlign w:val="superscript"/>
              </w:rPr>
              <w:t>5</w:t>
            </w:r>
            <w:r w:rsidRPr="00DD0D1F">
              <w:rPr>
                <w:szCs w:val="24"/>
              </w:rPr>
              <w:t>)</w:t>
            </w:r>
          </w:p>
        </w:tc>
        <w:tc>
          <w:tcPr>
            <w:tcW w:w="935" w:type="pct"/>
            <w:vMerge w:val="restart"/>
          </w:tcPr>
          <w:p w14:paraId="28AA3AC8" w14:textId="17B0CFB6" w:rsidR="00A508A2" w:rsidRPr="00DD0D1F" w:rsidRDefault="00A508A2" w:rsidP="00DD5924">
            <w:pPr>
              <w:pStyle w:val="TableParagraph"/>
              <w:ind w:left="146" w:right="196"/>
              <w:jc w:val="center"/>
              <w:rPr>
                <w:szCs w:val="24"/>
              </w:rPr>
            </w:pPr>
            <w:r w:rsidRPr="00DD0D1F">
              <w:rPr>
                <w:szCs w:val="24"/>
              </w:rPr>
              <w:t>İnce</w:t>
            </w:r>
            <w:r w:rsidR="00CA4F2C" w:rsidRPr="00DD0D1F">
              <w:rPr>
                <w:szCs w:val="24"/>
              </w:rPr>
              <w:t xml:space="preserve"> tanelerdeki ve yakıttaki metal</w:t>
            </w:r>
            <w:r w:rsidR="005F1561" w:rsidRPr="00DD0D1F">
              <w:rPr>
                <w:szCs w:val="24"/>
              </w:rPr>
              <w:t xml:space="preserve"> </w:t>
            </w:r>
            <w:r w:rsidR="00DD5924" w:rsidRPr="00DD0D1F">
              <w:rPr>
                <w:szCs w:val="24"/>
              </w:rPr>
              <w:t xml:space="preserve">içeriğine </w:t>
            </w:r>
            <w:r w:rsidRPr="00DD0D1F">
              <w:rPr>
                <w:szCs w:val="24"/>
              </w:rPr>
              <w:t>dayalı olarak doğrudan ölçüm veya analiz</w:t>
            </w:r>
          </w:p>
        </w:tc>
      </w:tr>
      <w:tr w:rsidR="00A508A2" w:rsidRPr="00DD0D1F" w14:paraId="05E220A6" w14:textId="77777777" w:rsidTr="005F1561">
        <w:trPr>
          <w:trHeight w:val="582"/>
        </w:trPr>
        <w:tc>
          <w:tcPr>
            <w:tcW w:w="1637" w:type="pct"/>
            <w:vMerge/>
            <w:tcBorders>
              <w:top w:val="nil"/>
            </w:tcBorders>
          </w:tcPr>
          <w:p w14:paraId="326B2F4E" w14:textId="77777777" w:rsidR="00A508A2" w:rsidRPr="00DD0D1F" w:rsidRDefault="00A508A2" w:rsidP="00A508A2">
            <w:pPr>
              <w:rPr>
                <w:rFonts w:cs="Times New Roman"/>
                <w:szCs w:val="24"/>
                <w:lang w:val="tr-TR"/>
              </w:rPr>
            </w:pPr>
          </w:p>
        </w:tc>
        <w:tc>
          <w:tcPr>
            <w:tcW w:w="1420" w:type="pct"/>
          </w:tcPr>
          <w:p w14:paraId="550295E8" w14:textId="77777777" w:rsidR="00A508A2" w:rsidRPr="00DD0D1F" w:rsidRDefault="00A508A2" w:rsidP="00A508A2">
            <w:pPr>
              <w:pStyle w:val="TableParagraph"/>
              <w:rPr>
                <w:b/>
                <w:szCs w:val="24"/>
              </w:rPr>
            </w:pPr>
          </w:p>
          <w:p w14:paraId="5F3DC590" w14:textId="77777777" w:rsidR="00A508A2" w:rsidRPr="00DD0D1F" w:rsidRDefault="00A508A2" w:rsidP="00A508A2">
            <w:pPr>
              <w:pStyle w:val="TableParagraph"/>
              <w:spacing w:before="146"/>
              <w:ind w:left="93" w:right="142"/>
              <w:jc w:val="center"/>
              <w:rPr>
                <w:szCs w:val="24"/>
              </w:rPr>
            </w:pPr>
            <w:r w:rsidRPr="00DD0D1F">
              <w:rPr>
                <w:szCs w:val="24"/>
              </w:rPr>
              <w:t>Yanma birimleri (</w:t>
            </w:r>
            <w:r w:rsidRPr="00DD0D1F">
              <w:rPr>
                <w:szCs w:val="24"/>
                <w:vertAlign w:val="superscript"/>
              </w:rPr>
              <w:t>8</w:t>
            </w:r>
            <w:r w:rsidRPr="00DD0D1F">
              <w:rPr>
                <w:szCs w:val="24"/>
              </w:rPr>
              <w:t>)</w:t>
            </w:r>
          </w:p>
        </w:tc>
        <w:tc>
          <w:tcPr>
            <w:tcW w:w="1008" w:type="pct"/>
            <w:vMerge/>
            <w:tcBorders>
              <w:top w:val="nil"/>
            </w:tcBorders>
          </w:tcPr>
          <w:p w14:paraId="5FD10ECF" w14:textId="77777777" w:rsidR="00A508A2" w:rsidRPr="00DD0D1F" w:rsidRDefault="00A508A2" w:rsidP="00A508A2">
            <w:pPr>
              <w:jc w:val="center"/>
              <w:rPr>
                <w:rFonts w:cs="Times New Roman"/>
                <w:szCs w:val="24"/>
                <w:lang w:val="tr-TR"/>
              </w:rPr>
            </w:pPr>
          </w:p>
        </w:tc>
        <w:tc>
          <w:tcPr>
            <w:tcW w:w="935" w:type="pct"/>
            <w:vMerge/>
            <w:tcBorders>
              <w:top w:val="nil"/>
            </w:tcBorders>
          </w:tcPr>
          <w:p w14:paraId="723211CF" w14:textId="77777777" w:rsidR="00A508A2" w:rsidRPr="00DD0D1F" w:rsidRDefault="00A508A2" w:rsidP="00A508A2">
            <w:pPr>
              <w:jc w:val="center"/>
              <w:rPr>
                <w:rFonts w:cs="Times New Roman"/>
                <w:szCs w:val="24"/>
                <w:lang w:val="tr-TR"/>
              </w:rPr>
            </w:pPr>
          </w:p>
        </w:tc>
      </w:tr>
      <w:tr w:rsidR="00A508A2" w:rsidRPr="00DD0D1F" w14:paraId="08CEDACD" w14:textId="77777777" w:rsidTr="005F1561">
        <w:trPr>
          <w:trHeight w:val="688"/>
        </w:trPr>
        <w:tc>
          <w:tcPr>
            <w:tcW w:w="1637" w:type="pct"/>
          </w:tcPr>
          <w:p w14:paraId="4F0B29E4" w14:textId="77777777" w:rsidR="00A508A2" w:rsidRPr="00DD0D1F" w:rsidRDefault="00A508A2" w:rsidP="00A508A2">
            <w:pPr>
              <w:pStyle w:val="TableParagraph"/>
              <w:tabs>
                <w:tab w:val="left" w:pos="566"/>
              </w:tabs>
              <w:ind w:left="566" w:right="313" w:hanging="509"/>
              <w:rPr>
                <w:szCs w:val="24"/>
              </w:rPr>
            </w:pPr>
            <w:r w:rsidRPr="00DD0D1F">
              <w:rPr>
                <w:szCs w:val="24"/>
              </w:rPr>
              <w:t>v.</w:t>
            </w:r>
            <w:r w:rsidRPr="00DD0D1F">
              <w:rPr>
                <w:szCs w:val="24"/>
              </w:rPr>
              <w:tab/>
              <w:t>Poliklorlu dibenzodioksinlerin/furanların (PCDD/F) emisyonları</w:t>
            </w:r>
          </w:p>
          <w:p w14:paraId="7A52E265" w14:textId="77777777" w:rsidR="00A508A2" w:rsidRPr="00DD0D1F" w:rsidRDefault="00A508A2" w:rsidP="00A508A2">
            <w:pPr>
              <w:pStyle w:val="TableParagraph"/>
              <w:spacing w:line="215" w:lineRule="exact"/>
              <w:ind w:left="566"/>
              <w:rPr>
                <w:szCs w:val="24"/>
              </w:rPr>
            </w:pPr>
          </w:p>
        </w:tc>
        <w:tc>
          <w:tcPr>
            <w:tcW w:w="1420" w:type="pct"/>
          </w:tcPr>
          <w:p w14:paraId="58C44356" w14:textId="77777777" w:rsidR="00A508A2" w:rsidRPr="00DD0D1F" w:rsidRDefault="00A508A2" w:rsidP="00A508A2">
            <w:pPr>
              <w:pStyle w:val="TableParagraph"/>
              <w:spacing w:before="5"/>
              <w:rPr>
                <w:b/>
                <w:szCs w:val="24"/>
              </w:rPr>
            </w:pPr>
          </w:p>
          <w:p w14:paraId="7C5823D0" w14:textId="77777777" w:rsidR="00A508A2" w:rsidRPr="00DD0D1F" w:rsidRDefault="00A508A2" w:rsidP="00A508A2">
            <w:pPr>
              <w:pStyle w:val="TableParagraph"/>
              <w:ind w:left="89" w:right="142"/>
              <w:jc w:val="center"/>
              <w:rPr>
                <w:szCs w:val="24"/>
              </w:rPr>
            </w:pPr>
            <w:r w:rsidRPr="00DD0D1F">
              <w:rPr>
                <w:szCs w:val="24"/>
              </w:rPr>
              <w:t>Katalitik  dönüştürücü</w:t>
            </w:r>
          </w:p>
        </w:tc>
        <w:tc>
          <w:tcPr>
            <w:tcW w:w="1008" w:type="pct"/>
          </w:tcPr>
          <w:p w14:paraId="5C62E024" w14:textId="77777777" w:rsidR="00A508A2" w:rsidRPr="00DD0D1F" w:rsidRDefault="00A508A2" w:rsidP="00A508A2">
            <w:pPr>
              <w:pStyle w:val="TableParagraph"/>
              <w:ind w:left="171" w:right="143"/>
              <w:jc w:val="center"/>
              <w:rPr>
                <w:szCs w:val="24"/>
              </w:rPr>
            </w:pPr>
            <w:r w:rsidRPr="00DD0D1F">
              <w:rPr>
                <w:szCs w:val="24"/>
              </w:rPr>
              <w:t>Hangisi daha uzun ise, yılda bir kez ya da her rejenerasyonda bir kez</w:t>
            </w:r>
          </w:p>
          <w:p w14:paraId="583DAF66" w14:textId="77777777" w:rsidR="00A508A2" w:rsidRPr="00DD0D1F" w:rsidRDefault="00A508A2" w:rsidP="00A508A2">
            <w:pPr>
              <w:pStyle w:val="TableParagraph"/>
              <w:spacing w:line="215" w:lineRule="exact"/>
              <w:ind w:left="107"/>
              <w:jc w:val="center"/>
              <w:rPr>
                <w:szCs w:val="24"/>
              </w:rPr>
            </w:pPr>
          </w:p>
        </w:tc>
        <w:tc>
          <w:tcPr>
            <w:tcW w:w="935" w:type="pct"/>
          </w:tcPr>
          <w:p w14:paraId="517ED297" w14:textId="77777777" w:rsidR="00A508A2" w:rsidRPr="00DD0D1F" w:rsidRDefault="00A508A2" w:rsidP="00A508A2">
            <w:pPr>
              <w:pStyle w:val="TableParagraph"/>
              <w:spacing w:before="108"/>
              <w:ind w:left="163" w:right="354"/>
              <w:jc w:val="center"/>
              <w:rPr>
                <w:szCs w:val="24"/>
              </w:rPr>
            </w:pPr>
            <w:r w:rsidRPr="00DD0D1F">
              <w:rPr>
                <w:szCs w:val="24"/>
              </w:rPr>
              <w:t>Doğrudan</w:t>
            </w:r>
          </w:p>
          <w:p w14:paraId="0961D256" w14:textId="77777777" w:rsidR="00A508A2" w:rsidRPr="00DD0D1F" w:rsidRDefault="00A508A2" w:rsidP="00A508A2">
            <w:pPr>
              <w:pStyle w:val="TableParagraph"/>
              <w:ind w:left="163" w:right="354"/>
              <w:jc w:val="center"/>
              <w:rPr>
                <w:szCs w:val="24"/>
              </w:rPr>
            </w:pPr>
            <w:r w:rsidRPr="00DD0D1F">
              <w:rPr>
                <w:szCs w:val="24"/>
              </w:rPr>
              <w:t xml:space="preserve"> ölçüm</w:t>
            </w:r>
          </w:p>
        </w:tc>
      </w:tr>
      <w:tr w:rsidR="00A508A2" w:rsidRPr="00DD0D1F" w14:paraId="42E6489C" w14:textId="77777777" w:rsidTr="00A508A2">
        <w:trPr>
          <w:trHeight w:val="2807"/>
        </w:trPr>
        <w:tc>
          <w:tcPr>
            <w:tcW w:w="5000" w:type="pct"/>
            <w:gridSpan w:val="4"/>
          </w:tcPr>
          <w:p w14:paraId="02ACAEBD" w14:textId="7D249F4A" w:rsidR="00A508A2" w:rsidRPr="00DD0D1F" w:rsidRDefault="00A508A2" w:rsidP="00FF111D">
            <w:pPr>
              <w:pStyle w:val="TableParagraph"/>
              <w:numPr>
                <w:ilvl w:val="0"/>
                <w:numId w:val="104"/>
              </w:numPr>
              <w:tabs>
                <w:tab w:val="left" w:pos="343"/>
              </w:tabs>
              <w:spacing w:line="206" w:lineRule="exact"/>
              <w:ind w:right="99" w:hanging="231"/>
              <w:jc w:val="both"/>
              <w:rPr>
                <w:szCs w:val="24"/>
              </w:rPr>
            </w:pPr>
            <w:r w:rsidRPr="00DD0D1F">
              <w:rPr>
                <w:szCs w:val="24"/>
              </w:rPr>
              <w:t>SO</w:t>
            </w:r>
            <w:r w:rsidRPr="00DD0D1F">
              <w:rPr>
                <w:szCs w:val="24"/>
                <w:vertAlign w:val="subscript"/>
              </w:rPr>
              <w:t xml:space="preserve">2 </w:t>
            </w:r>
            <w:r w:rsidRPr="00DD0D1F">
              <w:rPr>
                <w:szCs w:val="24"/>
              </w:rPr>
              <w:t xml:space="preserve">emisyonlarının sürekli ölçümünün yerine, eşdeğer düzeyde doğru sonucun alındığının gösterilebildiği, yakıtın veya beslenen malzemenin kükürt </w:t>
            </w:r>
            <w:r w:rsidR="00DD5924" w:rsidRPr="00DD0D1F">
              <w:rPr>
                <w:szCs w:val="24"/>
              </w:rPr>
              <w:t xml:space="preserve">içeriğinin </w:t>
            </w:r>
            <w:r w:rsidRPr="00DD0D1F">
              <w:rPr>
                <w:szCs w:val="24"/>
              </w:rPr>
              <w:t>ölçümlerine dayalı hesaplamalar kullanılabilir.</w:t>
            </w:r>
          </w:p>
          <w:p w14:paraId="35B827FB" w14:textId="77777777" w:rsidR="00A508A2" w:rsidRPr="00DD0D1F" w:rsidRDefault="00A508A2" w:rsidP="00FF111D">
            <w:pPr>
              <w:pStyle w:val="TableParagraph"/>
              <w:numPr>
                <w:ilvl w:val="0"/>
                <w:numId w:val="104"/>
              </w:numPr>
              <w:tabs>
                <w:tab w:val="left" w:pos="348"/>
              </w:tabs>
              <w:spacing w:line="206" w:lineRule="exact"/>
              <w:ind w:left="347" w:hanging="258"/>
              <w:jc w:val="both"/>
              <w:rPr>
                <w:szCs w:val="24"/>
              </w:rPr>
            </w:pPr>
            <w:r w:rsidRPr="00DD0D1F">
              <w:rPr>
                <w:szCs w:val="24"/>
              </w:rPr>
              <w:t>SO</w:t>
            </w:r>
            <w:r w:rsidRPr="00DD0D1F">
              <w:rPr>
                <w:szCs w:val="24"/>
                <w:vertAlign w:val="subscript"/>
              </w:rPr>
              <w:t xml:space="preserve">X </w:t>
            </w:r>
            <w:r w:rsidRPr="00DD0D1F">
              <w:rPr>
                <w:szCs w:val="24"/>
              </w:rPr>
              <w:t>ile ilgili olarak, yalınızca SO</w:t>
            </w:r>
            <w:r w:rsidRPr="00DD0D1F">
              <w:rPr>
                <w:szCs w:val="24"/>
                <w:vertAlign w:val="subscript"/>
              </w:rPr>
              <w:t>2</w:t>
            </w:r>
            <w:r w:rsidRPr="00DD0D1F">
              <w:rPr>
                <w:szCs w:val="24"/>
              </w:rPr>
              <w:t>'in sürekli ölçümü yapılırken, SO</w:t>
            </w:r>
            <w:r w:rsidRPr="00DD0D1F">
              <w:rPr>
                <w:szCs w:val="24"/>
                <w:vertAlign w:val="subscript"/>
              </w:rPr>
              <w:t xml:space="preserve">3 </w:t>
            </w:r>
            <w:r w:rsidRPr="00DD0D1F">
              <w:rPr>
                <w:szCs w:val="24"/>
              </w:rPr>
              <w:t>yalnızca periyodik olarak ölçülür (ör. SO</w:t>
            </w:r>
            <w:r w:rsidRPr="00DD0D1F">
              <w:rPr>
                <w:szCs w:val="24"/>
                <w:vertAlign w:val="subscript"/>
              </w:rPr>
              <w:t xml:space="preserve">2 </w:t>
            </w:r>
            <w:r w:rsidRPr="00DD0D1F">
              <w:rPr>
                <w:szCs w:val="24"/>
              </w:rPr>
              <w:t>izleme sisteminin kalibrasyonu sırasında).</w:t>
            </w:r>
          </w:p>
          <w:p w14:paraId="74E29F2D" w14:textId="5355972D" w:rsidR="00A508A2" w:rsidRPr="00DD0D1F" w:rsidRDefault="00A508A2" w:rsidP="00FF111D">
            <w:pPr>
              <w:pStyle w:val="TableParagraph"/>
              <w:numPr>
                <w:ilvl w:val="0"/>
                <w:numId w:val="104"/>
              </w:numPr>
              <w:tabs>
                <w:tab w:val="left" w:pos="317"/>
              </w:tabs>
              <w:spacing w:line="206" w:lineRule="exact"/>
              <w:ind w:left="316" w:hanging="227"/>
              <w:jc w:val="both"/>
              <w:rPr>
                <w:szCs w:val="24"/>
              </w:rPr>
            </w:pPr>
            <w:r w:rsidRPr="00DD0D1F">
              <w:rPr>
                <w:szCs w:val="24"/>
              </w:rPr>
              <w:t xml:space="preserve">Emisyonların açığa çıktığı </w:t>
            </w:r>
            <w:r w:rsidR="00E00B0A" w:rsidRPr="00DD0D1F">
              <w:rPr>
                <w:szCs w:val="24"/>
              </w:rPr>
              <w:t>baca</w:t>
            </w:r>
            <w:r w:rsidRPr="00DD0D1F">
              <w:rPr>
                <w:szCs w:val="24"/>
              </w:rPr>
              <w:t xml:space="preserve"> ile bağlantılı olan tüm yanma birimlerinin toplam anma ısıl girişine atıf yapar.</w:t>
            </w:r>
          </w:p>
          <w:p w14:paraId="35016DC5" w14:textId="77777777" w:rsidR="00A508A2" w:rsidRPr="00DD0D1F" w:rsidRDefault="00A508A2" w:rsidP="00FF111D">
            <w:pPr>
              <w:pStyle w:val="TableParagraph"/>
              <w:numPr>
                <w:ilvl w:val="0"/>
                <w:numId w:val="104"/>
              </w:numPr>
              <w:tabs>
                <w:tab w:val="left" w:pos="317"/>
              </w:tabs>
              <w:spacing w:line="206" w:lineRule="exact"/>
              <w:ind w:left="316" w:hanging="227"/>
              <w:jc w:val="both"/>
              <w:rPr>
                <w:szCs w:val="24"/>
              </w:rPr>
            </w:pPr>
            <w:r w:rsidRPr="00DD0D1F">
              <w:rPr>
                <w:szCs w:val="24"/>
              </w:rPr>
              <w:t>Veya SO</w:t>
            </w:r>
            <w:r w:rsidRPr="00DD0D1F">
              <w:rPr>
                <w:szCs w:val="24"/>
                <w:vertAlign w:val="subscript"/>
              </w:rPr>
              <w:t>X</w:t>
            </w:r>
            <w:r w:rsidRPr="00DD0D1F">
              <w:rPr>
                <w:szCs w:val="24"/>
              </w:rPr>
              <w:t>'in doğrudan izlemesi.</w:t>
            </w:r>
          </w:p>
          <w:p w14:paraId="12DCF21D" w14:textId="77777777" w:rsidR="00A508A2" w:rsidRPr="00DD0D1F" w:rsidRDefault="00A508A2" w:rsidP="00FF111D">
            <w:pPr>
              <w:pStyle w:val="TableParagraph"/>
              <w:numPr>
                <w:ilvl w:val="0"/>
                <w:numId w:val="104"/>
              </w:numPr>
              <w:tabs>
                <w:tab w:val="left" w:pos="341"/>
              </w:tabs>
              <w:spacing w:before="13" w:line="208" w:lineRule="exact"/>
              <w:ind w:right="106" w:hanging="231"/>
              <w:jc w:val="both"/>
              <w:rPr>
                <w:szCs w:val="24"/>
              </w:rPr>
            </w:pPr>
            <w:r w:rsidRPr="00DD0D1F">
              <w:rPr>
                <w:szCs w:val="24"/>
              </w:rPr>
              <w:t>Bir yıllık sürenin ardından eğer veri serisi yeterli kararlılığı açıkça ortaya koyuyorsa, izleme sıklıkları uyarlanabilir.</w:t>
            </w:r>
          </w:p>
          <w:p w14:paraId="41410A51" w14:textId="77777777" w:rsidR="00A508A2" w:rsidRPr="00DD0D1F" w:rsidRDefault="00A508A2" w:rsidP="00FF111D">
            <w:pPr>
              <w:pStyle w:val="TableParagraph"/>
              <w:numPr>
                <w:ilvl w:val="0"/>
                <w:numId w:val="104"/>
              </w:numPr>
              <w:tabs>
                <w:tab w:val="left" w:pos="319"/>
              </w:tabs>
              <w:spacing w:before="1" w:line="206" w:lineRule="exact"/>
              <w:ind w:right="94" w:hanging="231"/>
              <w:jc w:val="both"/>
              <w:rPr>
                <w:szCs w:val="24"/>
              </w:rPr>
            </w:pPr>
            <w:r w:rsidRPr="00DD0D1F">
              <w:rPr>
                <w:szCs w:val="24"/>
              </w:rPr>
              <w:t>SRU verimine ilişkin ölçüm uygunluğunun periyodik (ör. iki yılda bir) yapılan tesis performansı testlerine dayandırılması şartıyla, SRU'dan alınan SO</w:t>
            </w:r>
            <w:r w:rsidRPr="00DD0D1F">
              <w:rPr>
                <w:szCs w:val="24"/>
                <w:vertAlign w:val="subscript"/>
              </w:rPr>
              <w:t xml:space="preserve">2 </w:t>
            </w:r>
            <w:r w:rsidRPr="00DD0D1F">
              <w:rPr>
                <w:szCs w:val="24"/>
              </w:rPr>
              <w:t>emisyonları ölçümlerinin yerine sürekli malzeme dengesi veya diğer ilgili proses parametresi izlemesi kullanılabilir.</w:t>
            </w:r>
          </w:p>
          <w:p w14:paraId="77359FB6" w14:textId="77777777" w:rsidR="00A508A2" w:rsidRPr="00DD0D1F" w:rsidRDefault="00A508A2" w:rsidP="00FF111D">
            <w:pPr>
              <w:pStyle w:val="TableParagraph"/>
              <w:numPr>
                <w:ilvl w:val="0"/>
                <w:numId w:val="104"/>
              </w:numPr>
              <w:tabs>
                <w:tab w:val="left" w:pos="329"/>
              </w:tabs>
              <w:spacing w:line="205" w:lineRule="exact"/>
              <w:ind w:left="328" w:hanging="239"/>
              <w:jc w:val="both"/>
              <w:rPr>
                <w:szCs w:val="24"/>
              </w:rPr>
            </w:pPr>
            <w:r w:rsidRPr="00DD0D1F">
              <w:rPr>
                <w:szCs w:val="24"/>
              </w:rPr>
              <w:t>Antimon (Sb), proseste Sb enjeksiyonundan yararlanılması (ör. metal edilginleştirmesi için) durumunda yalnızca katalitik  parçalama birimlerinde izlenir.</w:t>
            </w:r>
          </w:p>
          <w:p w14:paraId="5F3D0499" w14:textId="77777777" w:rsidR="00A508A2" w:rsidRPr="00DD0D1F" w:rsidRDefault="00A508A2" w:rsidP="00FF111D">
            <w:pPr>
              <w:pStyle w:val="TableParagraph"/>
              <w:numPr>
                <w:ilvl w:val="0"/>
                <w:numId w:val="104"/>
              </w:numPr>
              <w:tabs>
                <w:tab w:val="left" w:pos="317"/>
              </w:tabs>
              <w:spacing w:line="203" w:lineRule="exact"/>
              <w:ind w:left="316" w:hanging="227"/>
              <w:jc w:val="both"/>
              <w:rPr>
                <w:szCs w:val="24"/>
              </w:rPr>
            </w:pPr>
            <w:r w:rsidRPr="00DD0D1F">
              <w:rPr>
                <w:szCs w:val="24"/>
              </w:rPr>
              <w:t>Yalnızca gaz yakıtların yakıldığı yanma birimleri hariçtir.</w:t>
            </w:r>
          </w:p>
        </w:tc>
      </w:tr>
    </w:tbl>
    <w:p w14:paraId="177C5926" w14:textId="77777777" w:rsidR="00A508A2" w:rsidRPr="00DD0D1F" w:rsidRDefault="00A508A2" w:rsidP="00A508A2">
      <w:pPr>
        <w:pStyle w:val="GvdeMetni"/>
        <w:spacing w:before="5"/>
        <w:rPr>
          <w:b/>
          <w:sz w:val="24"/>
          <w:szCs w:val="24"/>
        </w:rPr>
      </w:pPr>
    </w:p>
    <w:p w14:paraId="1874BD6E" w14:textId="265CD984" w:rsidR="00A508A2" w:rsidRPr="00DD0D1F" w:rsidRDefault="00A508A2" w:rsidP="00A508A2">
      <w:pPr>
        <w:spacing w:before="91"/>
        <w:rPr>
          <w:rFonts w:cs="Times New Roman"/>
          <w:b/>
          <w:szCs w:val="24"/>
          <w:lang w:val="tr-TR"/>
        </w:rPr>
      </w:pPr>
      <w:r w:rsidRPr="00DD0D1F">
        <w:rPr>
          <w:rFonts w:cs="Times New Roman"/>
          <w:b/>
          <w:bCs/>
          <w:szCs w:val="24"/>
          <w:lang w:val="tr-TR"/>
        </w:rPr>
        <w:t xml:space="preserve">MET 5: </w:t>
      </w:r>
      <w:r w:rsidR="003F2A40" w:rsidRPr="00DD0D1F">
        <w:rPr>
          <w:rFonts w:cs="Times New Roman"/>
          <w:bCs/>
          <w:szCs w:val="24"/>
          <w:lang w:val="tr-TR"/>
        </w:rPr>
        <w:t>U</w:t>
      </w:r>
      <w:r w:rsidR="0061478E" w:rsidRPr="00DD0D1F">
        <w:rPr>
          <w:rFonts w:cs="Times New Roman"/>
          <w:bCs/>
          <w:szCs w:val="24"/>
          <w:lang w:val="tr-TR"/>
        </w:rPr>
        <w:t>ygun teknikler</w:t>
      </w:r>
      <w:r w:rsidRPr="00DD0D1F">
        <w:rPr>
          <w:rFonts w:cs="Times New Roman"/>
          <w:bCs/>
          <w:szCs w:val="24"/>
          <w:lang w:val="tr-TR"/>
        </w:rPr>
        <w:t xml:space="preserve"> kullan</w:t>
      </w:r>
      <w:r w:rsidR="0061478E" w:rsidRPr="00DD0D1F">
        <w:rPr>
          <w:rFonts w:cs="Times New Roman"/>
          <w:bCs/>
          <w:szCs w:val="24"/>
          <w:lang w:val="tr-TR"/>
        </w:rPr>
        <w:t>ıl</w:t>
      </w:r>
      <w:r w:rsidRPr="00DD0D1F">
        <w:rPr>
          <w:rFonts w:cs="Times New Roman"/>
          <w:bCs/>
          <w:szCs w:val="24"/>
          <w:lang w:val="tr-TR"/>
        </w:rPr>
        <w:t xml:space="preserve">arak ve en azından aşağıda belirtilen sıklıklarda </w:t>
      </w:r>
      <w:r w:rsidR="003F2A40" w:rsidRPr="00DD0D1F">
        <w:rPr>
          <w:rFonts w:cs="Times New Roman"/>
          <w:bCs/>
          <w:szCs w:val="24"/>
          <w:lang w:val="tr-TR"/>
        </w:rPr>
        <w:t xml:space="preserve">katalitik </w:t>
      </w:r>
      <w:r w:rsidRPr="00DD0D1F">
        <w:rPr>
          <w:rFonts w:cs="Times New Roman"/>
          <w:bCs/>
          <w:szCs w:val="24"/>
          <w:lang w:val="tr-TR"/>
        </w:rPr>
        <w:t>parçalamada ve yanma birimlerinde kirletici emisyonları ile bağlantılı olan ilgili pros</w:t>
      </w:r>
      <w:r w:rsidR="00EF43D0" w:rsidRPr="00DD0D1F">
        <w:rPr>
          <w:rFonts w:cs="Times New Roman"/>
          <w:bCs/>
          <w:szCs w:val="24"/>
          <w:lang w:val="tr-TR"/>
        </w:rPr>
        <w:t>es parametreleri</w:t>
      </w:r>
      <w:r w:rsidRPr="00DD0D1F">
        <w:rPr>
          <w:rFonts w:cs="Times New Roman"/>
          <w:bCs/>
          <w:szCs w:val="24"/>
          <w:lang w:val="tr-TR"/>
        </w:rPr>
        <w:t xml:space="preserve"> ölçül</w:t>
      </w:r>
      <w:r w:rsidR="00EF43D0" w:rsidRPr="00DD0D1F">
        <w:rPr>
          <w:rFonts w:cs="Times New Roman"/>
          <w:bCs/>
          <w:szCs w:val="24"/>
          <w:lang w:val="tr-TR"/>
        </w:rPr>
        <w:t>ür.</w:t>
      </w:r>
    </w:p>
    <w:p w14:paraId="5193E865" w14:textId="77777777" w:rsidR="00A508A2" w:rsidRPr="00DD0D1F" w:rsidRDefault="00A508A2" w:rsidP="00A508A2">
      <w:pPr>
        <w:pStyle w:val="GvdeMetni"/>
        <w:spacing w:before="1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9"/>
        <w:gridCol w:w="4638"/>
      </w:tblGrid>
      <w:tr w:rsidR="00A508A2" w:rsidRPr="00DD0D1F" w14:paraId="51F6B0FA" w14:textId="77777777" w:rsidTr="00A508A2">
        <w:trPr>
          <w:trHeight w:val="282"/>
        </w:trPr>
        <w:tc>
          <w:tcPr>
            <w:tcW w:w="2445" w:type="pct"/>
          </w:tcPr>
          <w:p w14:paraId="324756D0" w14:textId="77777777" w:rsidR="00A508A2" w:rsidRPr="00DD0D1F" w:rsidRDefault="00A508A2" w:rsidP="00A508A2">
            <w:pPr>
              <w:pStyle w:val="TableParagraph"/>
              <w:spacing w:before="24"/>
              <w:ind w:left="1524" w:right="1518"/>
              <w:jc w:val="center"/>
              <w:rPr>
                <w:b/>
                <w:szCs w:val="24"/>
              </w:rPr>
            </w:pPr>
            <w:r w:rsidRPr="00DD0D1F">
              <w:rPr>
                <w:b/>
                <w:bCs/>
                <w:szCs w:val="24"/>
              </w:rPr>
              <w:t>Açıklama</w:t>
            </w:r>
          </w:p>
        </w:tc>
        <w:tc>
          <w:tcPr>
            <w:tcW w:w="2555" w:type="pct"/>
          </w:tcPr>
          <w:p w14:paraId="75DA4785" w14:textId="77777777" w:rsidR="00A508A2" w:rsidRPr="00DD0D1F" w:rsidRDefault="00A508A2" w:rsidP="00A508A2">
            <w:pPr>
              <w:pStyle w:val="TableParagraph"/>
              <w:spacing w:before="24"/>
              <w:ind w:left="1255"/>
              <w:rPr>
                <w:b/>
                <w:szCs w:val="24"/>
              </w:rPr>
            </w:pPr>
            <w:r w:rsidRPr="00DD0D1F">
              <w:rPr>
                <w:b/>
                <w:bCs/>
                <w:szCs w:val="24"/>
              </w:rPr>
              <w:t>Minimum sıklık</w:t>
            </w:r>
          </w:p>
        </w:tc>
      </w:tr>
      <w:tr w:rsidR="00A508A2" w:rsidRPr="00DD0D1F" w14:paraId="15806D2C" w14:textId="77777777" w:rsidTr="00A508A2">
        <w:trPr>
          <w:trHeight w:val="690"/>
        </w:trPr>
        <w:tc>
          <w:tcPr>
            <w:tcW w:w="2445" w:type="pct"/>
          </w:tcPr>
          <w:p w14:paraId="7FF043CE" w14:textId="72F1F98A" w:rsidR="00A508A2" w:rsidRPr="00DD0D1F" w:rsidRDefault="00A508A2" w:rsidP="00A508A2">
            <w:pPr>
              <w:pStyle w:val="TableParagraph"/>
              <w:spacing w:line="223" w:lineRule="exact"/>
              <w:ind w:left="107"/>
              <w:rPr>
                <w:szCs w:val="24"/>
              </w:rPr>
            </w:pPr>
            <w:r w:rsidRPr="00DD0D1F">
              <w:rPr>
                <w:szCs w:val="24"/>
              </w:rPr>
              <w:t xml:space="preserve">Kirletici emisyonları ile bağlantılı parametrelerin izlenmesi, ör. </w:t>
            </w:r>
            <w:r w:rsidR="00E00B0A" w:rsidRPr="00DD0D1F">
              <w:rPr>
                <w:szCs w:val="24"/>
              </w:rPr>
              <w:t>baca</w:t>
            </w:r>
            <w:r w:rsidRPr="00DD0D1F">
              <w:rPr>
                <w:szCs w:val="24"/>
              </w:rPr>
              <w:t xml:space="preserve"> gazındaki O</w:t>
            </w:r>
            <w:r w:rsidRPr="00DD0D1F">
              <w:rPr>
                <w:szCs w:val="24"/>
                <w:vertAlign w:val="subscript"/>
              </w:rPr>
              <w:t xml:space="preserve">2 </w:t>
            </w:r>
            <w:r w:rsidR="007858A0" w:rsidRPr="00DD0D1F">
              <w:rPr>
                <w:szCs w:val="24"/>
              </w:rPr>
              <w:t xml:space="preserve"> i</w:t>
            </w:r>
            <w:r w:rsidR="00DD5924" w:rsidRPr="00DD0D1F">
              <w:rPr>
                <w:szCs w:val="24"/>
              </w:rPr>
              <w:t xml:space="preserve">çeriği  </w:t>
            </w:r>
            <w:r w:rsidRPr="00DD0D1F">
              <w:rPr>
                <w:szCs w:val="24"/>
              </w:rPr>
              <w:t>ile yakıt v</w:t>
            </w:r>
            <w:r w:rsidR="00CA4F2C" w:rsidRPr="00DD0D1F">
              <w:rPr>
                <w:szCs w:val="24"/>
              </w:rPr>
              <w:t>eya</w:t>
            </w:r>
            <w:r w:rsidR="00DD5924" w:rsidRPr="00DD0D1F">
              <w:rPr>
                <w:szCs w:val="24"/>
              </w:rPr>
              <w:t xml:space="preserve"> beslenen malzemedeki N ve S içeriği </w:t>
            </w:r>
            <w:r w:rsidR="00CA4F2C" w:rsidRPr="00DD0D1F">
              <w:rPr>
                <w:szCs w:val="24"/>
              </w:rPr>
              <w:t xml:space="preserve"> </w:t>
            </w:r>
            <w:r w:rsidRPr="00DD0D1F">
              <w:rPr>
                <w:szCs w:val="24"/>
              </w:rPr>
              <w:t xml:space="preserve"> (</w:t>
            </w:r>
            <w:r w:rsidRPr="00DD0D1F">
              <w:rPr>
                <w:szCs w:val="24"/>
                <w:vertAlign w:val="superscript"/>
              </w:rPr>
              <w:t>1</w:t>
            </w:r>
            <w:r w:rsidRPr="00DD0D1F">
              <w:rPr>
                <w:szCs w:val="24"/>
              </w:rPr>
              <w:t>)</w:t>
            </w:r>
          </w:p>
          <w:p w14:paraId="3F661FA3" w14:textId="77777777" w:rsidR="00A508A2" w:rsidRPr="00DD0D1F" w:rsidRDefault="00A508A2" w:rsidP="00A508A2">
            <w:pPr>
              <w:pStyle w:val="TableParagraph"/>
              <w:spacing w:line="230" w:lineRule="atLeast"/>
              <w:ind w:left="107" w:right="241"/>
              <w:rPr>
                <w:szCs w:val="24"/>
              </w:rPr>
            </w:pPr>
          </w:p>
        </w:tc>
        <w:tc>
          <w:tcPr>
            <w:tcW w:w="2555" w:type="pct"/>
          </w:tcPr>
          <w:p w14:paraId="4BD875F9" w14:textId="72A90C60" w:rsidR="00A508A2" w:rsidRPr="00DD0D1F" w:rsidRDefault="00A508A2" w:rsidP="00A508A2">
            <w:pPr>
              <w:pStyle w:val="TableParagraph"/>
              <w:spacing w:line="223" w:lineRule="exact"/>
              <w:ind w:left="110"/>
              <w:rPr>
                <w:szCs w:val="24"/>
              </w:rPr>
            </w:pPr>
            <w:r w:rsidRPr="00DD0D1F">
              <w:rPr>
                <w:szCs w:val="24"/>
              </w:rPr>
              <w:t>O</w:t>
            </w:r>
            <w:r w:rsidRPr="00DD0D1F">
              <w:rPr>
                <w:szCs w:val="24"/>
                <w:vertAlign w:val="subscript"/>
              </w:rPr>
              <w:t xml:space="preserve">2 </w:t>
            </w:r>
            <w:r w:rsidRPr="00DD0D1F">
              <w:rPr>
                <w:szCs w:val="24"/>
              </w:rPr>
              <w:t xml:space="preserve"> </w:t>
            </w:r>
            <w:r w:rsidR="00DD5924" w:rsidRPr="00DD0D1F">
              <w:rPr>
                <w:szCs w:val="24"/>
              </w:rPr>
              <w:t xml:space="preserve">içeriği </w:t>
            </w:r>
            <w:r w:rsidRPr="00DD0D1F">
              <w:rPr>
                <w:szCs w:val="24"/>
              </w:rPr>
              <w:t>için sürekli.</w:t>
            </w:r>
          </w:p>
          <w:p w14:paraId="4A32AF6B" w14:textId="49B648BB" w:rsidR="00A508A2" w:rsidRPr="00DD0D1F" w:rsidRDefault="00A508A2" w:rsidP="00DD5924">
            <w:pPr>
              <w:pStyle w:val="TableParagraph"/>
              <w:spacing w:line="230" w:lineRule="atLeast"/>
              <w:ind w:left="110" w:right="592"/>
              <w:rPr>
                <w:szCs w:val="24"/>
              </w:rPr>
            </w:pPr>
            <w:r w:rsidRPr="00DD0D1F">
              <w:rPr>
                <w:szCs w:val="24"/>
              </w:rPr>
              <w:t xml:space="preserve">N ve S </w:t>
            </w:r>
            <w:r w:rsidR="00DD5924" w:rsidRPr="00DD0D1F">
              <w:rPr>
                <w:szCs w:val="24"/>
              </w:rPr>
              <w:t xml:space="preserve">içeriği </w:t>
            </w:r>
            <w:r w:rsidRPr="00DD0D1F">
              <w:rPr>
                <w:szCs w:val="24"/>
              </w:rPr>
              <w:t>için, anlamlı yakıt/beslenen malzeme değişikliklerine dayalı sıklıkta periyodik olarak.</w:t>
            </w:r>
          </w:p>
        </w:tc>
      </w:tr>
      <w:tr w:rsidR="00A508A2" w:rsidRPr="00DD0D1F" w14:paraId="54072F3C" w14:textId="77777777" w:rsidTr="00A508A2">
        <w:trPr>
          <w:trHeight w:val="414"/>
        </w:trPr>
        <w:tc>
          <w:tcPr>
            <w:tcW w:w="5000" w:type="pct"/>
            <w:gridSpan w:val="2"/>
          </w:tcPr>
          <w:p w14:paraId="7AE8E787" w14:textId="639DCEF2" w:rsidR="00A508A2" w:rsidRPr="00DD0D1F" w:rsidRDefault="00A508A2" w:rsidP="00A508A2">
            <w:pPr>
              <w:pStyle w:val="TableParagraph"/>
              <w:spacing w:line="202" w:lineRule="exact"/>
              <w:ind w:left="83"/>
              <w:rPr>
                <w:szCs w:val="24"/>
              </w:rPr>
            </w:pPr>
            <w:r w:rsidRPr="00DD0D1F">
              <w:rPr>
                <w:szCs w:val="24"/>
              </w:rPr>
              <w:t>(1) Yakıtta veya beslenen malzemedeki N ve S izlemesi, NO</w:t>
            </w:r>
            <w:r w:rsidRPr="00DD0D1F">
              <w:rPr>
                <w:szCs w:val="24"/>
                <w:vertAlign w:val="subscript"/>
              </w:rPr>
              <w:t xml:space="preserve">X </w:t>
            </w:r>
            <w:r w:rsidRPr="00DD0D1F">
              <w:rPr>
                <w:szCs w:val="24"/>
              </w:rPr>
              <w:t>ve SO</w:t>
            </w:r>
            <w:r w:rsidRPr="00DD0D1F">
              <w:rPr>
                <w:szCs w:val="24"/>
                <w:vertAlign w:val="subscript"/>
              </w:rPr>
              <w:t xml:space="preserve">2 </w:t>
            </w:r>
            <w:r w:rsidRPr="00DD0D1F">
              <w:rPr>
                <w:szCs w:val="24"/>
              </w:rPr>
              <w:t xml:space="preserve">ile ilgili olarak </w:t>
            </w:r>
            <w:r w:rsidR="00E00B0A" w:rsidRPr="00DD0D1F">
              <w:rPr>
                <w:szCs w:val="24"/>
              </w:rPr>
              <w:t>baca</w:t>
            </w:r>
            <w:r w:rsidRPr="00DD0D1F">
              <w:rPr>
                <w:szCs w:val="24"/>
              </w:rPr>
              <w:t>da sürekli ölçüm yapılması durumunda gerekmeyebilir.</w:t>
            </w:r>
          </w:p>
        </w:tc>
      </w:tr>
    </w:tbl>
    <w:p w14:paraId="32AC011E" w14:textId="77777777" w:rsidR="00A508A2" w:rsidRPr="00DD0D1F" w:rsidRDefault="00A508A2" w:rsidP="00A508A2">
      <w:pPr>
        <w:pStyle w:val="GvdeMetni"/>
        <w:rPr>
          <w:b/>
          <w:sz w:val="24"/>
          <w:szCs w:val="24"/>
        </w:rPr>
      </w:pPr>
    </w:p>
    <w:p w14:paraId="0BB39A18" w14:textId="77777777" w:rsidR="00A508A2" w:rsidRPr="00DD0D1F" w:rsidRDefault="00A508A2" w:rsidP="00A508A2">
      <w:pPr>
        <w:pStyle w:val="GvdeMetni"/>
        <w:spacing w:before="1"/>
        <w:rPr>
          <w:b/>
          <w:sz w:val="24"/>
          <w:szCs w:val="24"/>
        </w:rPr>
      </w:pPr>
    </w:p>
    <w:p w14:paraId="089F259E" w14:textId="1827A8C6" w:rsidR="00A508A2" w:rsidRPr="00DD0D1F" w:rsidRDefault="00DD0D1F" w:rsidP="00DD0D1F">
      <w:pPr>
        <w:widowControl w:val="0"/>
        <w:tabs>
          <w:tab w:val="left" w:pos="1084"/>
          <w:tab w:val="left" w:pos="1085"/>
        </w:tabs>
        <w:autoSpaceDE w:val="0"/>
        <w:autoSpaceDN w:val="0"/>
        <w:spacing w:before="2"/>
        <w:rPr>
          <w:rFonts w:cs="Times New Roman"/>
          <w:szCs w:val="24"/>
          <w:lang w:val="tr-TR"/>
        </w:rPr>
      </w:pPr>
      <w:r w:rsidRPr="00DD0D1F">
        <w:rPr>
          <w:rFonts w:cs="Times New Roman"/>
          <w:szCs w:val="24"/>
          <w:lang w:val="tr-TR"/>
        </w:rPr>
        <w:t>M</w:t>
      </w:r>
      <w:r w:rsidR="00A508A2" w:rsidRPr="00DD0D1F">
        <w:rPr>
          <w:rFonts w:cs="Times New Roman"/>
          <w:szCs w:val="24"/>
          <w:lang w:val="tr-TR"/>
        </w:rPr>
        <w:t xml:space="preserve">ET 6: </w:t>
      </w:r>
      <w:r w:rsidR="003F2A40" w:rsidRPr="00DD0D1F">
        <w:rPr>
          <w:rFonts w:cs="Times New Roman"/>
          <w:szCs w:val="24"/>
          <w:lang w:val="tr-TR"/>
        </w:rPr>
        <w:t xml:space="preserve"> A</w:t>
      </w:r>
      <w:r w:rsidR="00A508A2" w:rsidRPr="00DD0D1F">
        <w:rPr>
          <w:rFonts w:cs="Times New Roman"/>
          <w:szCs w:val="24"/>
          <w:lang w:val="tr-TR"/>
        </w:rPr>
        <w:t>şağıdaki teknikler kullan</w:t>
      </w:r>
      <w:r w:rsidR="0061478E" w:rsidRPr="00DD0D1F">
        <w:rPr>
          <w:rFonts w:cs="Times New Roman"/>
          <w:szCs w:val="24"/>
          <w:lang w:val="tr-TR"/>
        </w:rPr>
        <w:t>ıl</w:t>
      </w:r>
      <w:r w:rsidR="00A508A2" w:rsidRPr="00DD0D1F">
        <w:rPr>
          <w:rFonts w:cs="Times New Roman"/>
          <w:szCs w:val="24"/>
          <w:lang w:val="tr-TR"/>
        </w:rPr>
        <w:t>arak tüm sahada havaya yayılan difüz VOC emisyonları</w:t>
      </w:r>
      <w:r w:rsidR="00CA4F2C" w:rsidRPr="00DD0D1F">
        <w:rPr>
          <w:rFonts w:cs="Times New Roman"/>
          <w:szCs w:val="24"/>
          <w:lang w:val="tr-TR"/>
        </w:rPr>
        <w:t xml:space="preserve"> izlenir.</w:t>
      </w:r>
    </w:p>
    <w:p w14:paraId="5C72D578" w14:textId="77777777" w:rsidR="00A508A2" w:rsidRPr="00DD0D1F" w:rsidRDefault="00A508A2" w:rsidP="00FF111D">
      <w:pPr>
        <w:pStyle w:val="ListeParagraf"/>
        <w:widowControl w:val="0"/>
        <w:numPr>
          <w:ilvl w:val="0"/>
          <w:numId w:val="103"/>
        </w:numPr>
        <w:tabs>
          <w:tab w:val="left" w:pos="1084"/>
          <w:tab w:val="left" w:pos="1085"/>
        </w:tabs>
        <w:autoSpaceDE w:val="0"/>
        <w:autoSpaceDN w:val="0"/>
        <w:ind w:left="465" w:hanging="465"/>
        <w:contextualSpacing w:val="0"/>
        <w:jc w:val="both"/>
        <w:rPr>
          <w:rFonts w:cs="Times New Roman"/>
          <w:szCs w:val="24"/>
          <w:lang w:val="tr-TR"/>
        </w:rPr>
      </w:pPr>
      <w:r w:rsidRPr="00DD0D1F">
        <w:rPr>
          <w:rFonts w:cs="Times New Roman"/>
          <w:szCs w:val="24"/>
          <w:lang w:val="tr-TR"/>
        </w:rPr>
        <w:t>kilit ekipmanlar için korelasyon eğrileri ile bağlantılı koku alma yöntemleri,</w:t>
      </w:r>
    </w:p>
    <w:p w14:paraId="3C7449D7" w14:textId="77777777" w:rsidR="00A508A2" w:rsidRPr="00DD0D1F" w:rsidRDefault="00A508A2" w:rsidP="00FF111D">
      <w:pPr>
        <w:pStyle w:val="ListeParagraf"/>
        <w:widowControl w:val="0"/>
        <w:numPr>
          <w:ilvl w:val="0"/>
          <w:numId w:val="103"/>
        </w:numPr>
        <w:tabs>
          <w:tab w:val="left" w:pos="1084"/>
          <w:tab w:val="left" w:pos="1085"/>
        </w:tabs>
        <w:autoSpaceDE w:val="0"/>
        <w:autoSpaceDN w:val="0"/>
        <w:ind w:left="527" w:hanging="527"/>
        <w:contextualSpacing w:val="0"/>
        <w:jc w:val="both"/>
        <w:rPr>
          <w:rFonts w:cs="Times New Roman"/>
          <w:szCs w:val="24"/>
          <w:lang w:val="tr-TR"/>
        </w:rPr>
      </w:pPr>
      <w:r w:rsidRPr="00DD0D1F">
        <w:rPr>
          <w:rFonts w:cs="Times New Roman"/>
          <w:szCs w:val="24"/>
          <w:lang w:val="tr-TR"/>
        </w:rPr>
        <w:t>optik gaz görüntüleme teknikleri,</w:t>
      </w:r>
    </w:p>
    <w:p w14:paraId="54419080" w14:textId="77777777" w:rsidR="00A508A2" w:rsidRPr="00DD0D1F" w:rsidRDefault="00A508A2" w:rsidP="00FF111D">
      <w:pPr>
        <w:pStyle w:val="ListeParagraf"/>
        <w:widowControl w:val="0"/>
        <w:numPr>
          <w:ilvl w:val="0"/>
          <w:numId w:val="103"/>
        </w:numPr>
        <w:tabs>
          <w:tab w:val="left" w:pos="1084"/>
          <w:tab w:val="left" w:pos="1085"/>
        </w:tabs>
        <w:autoSpaceDE w:val="0"/>
        <w:autoSpaceDN w:val="0"/>
        <w:spacing w:before="2"/>
        <w:ind w:left="587" w:hanging="587"/>
        <w:contextualSpacing w:val="0"/>
        <w:jc w:val="both"/>
        <w:rPr>
          <w:rFonts w:cs="Times New Roman"/>
          <w:szCs w:val="24"/>
          <w:lang w:val="tr-TR"/>
        </w:rPr>
      </w:pPr>
      <w:r w:rsidRPr="00DD0D1F">
        <w:rPr>
          <w:rFonts w:cs="Times New Roman"/>
          <w:szCs w:val="24"/>
          <w:lang w:val="tr-TR"/>
        </w:rPr>
        <w:t>ölçümlerle periyodik olarak (ör. iki yılda bir) doğrulanan emisyon faktörlerine dayalı olarak kronik emisyonların hesaplamaları.</w:t>
      </w:r>
    </w:p>
    <w:p w14:paraId="72515EB5" w14:textId="77777777" w:rsidR="00A508A2" w:rsidRPr="00DD0D1F" w:rsidRDefault="00A508A2" w:rsidP="00A508A2">
      <w:pPr>
        <w:pStyle w:val="ListeParagraf"/>
        <w:tabs>
          <w:tab w:val="left" w:pos="1084"/>
          <w:tab w:val="left" w:pos="1085"/>
        </w:tabs>
        <w:spacing w:before="2"/>
        <w:ind w:left="0"/>
        <w:rPr>
          <w:rFonts w:cs="Times New Roman"/>
          <w:szCs w:val="24"/>
          <w:lang w:val="tr-TR"/>
        </w:rPr>
      </w:pPr>
    </w:p>
    <w:p w14:paraId="36AB2849" w14:textId="09030F99" w:rsidR="00A508A2" w:rsidRPr="00DD0D1F" w:rsidRDefault="00A508A2" w:rsidP="00A508A2">
      <w:pPr>
        <w:pStyle w:val="GvdeMetni"/>
        <w:spacing w:before="1" w:line="360" w:lineRule="auto"/>
        <w:jc w:val="both"/>
        <w:rPr>
          <w:sz w:val="24"/>
          <w:szCs w:val="24"/>
        </w:rPr>
      </w:pPr>
      <w:r w:rsidRPr="00DD0D1F">
        <w:rPr>
          <w:sz w:val="24"/>
          <w:szCs w:val="24"/>
        </w:rPr>
        <w:t>Diferansiyel absorpsiyon ışığı tespiti ve konumlaması (DIAL) veya solar okültasyon akması (SOF) gibi optik absorpsiyona dayalı tekniklerle saha emisyonlarının düzenli olarak taranması ve nicelleştirilmesi faydalı bir tamamlayıcı tekniktir.</w:t>
      </w:r>
    </w:p>
    <w:p w14:paraId="557A1D7F" w14:textId="60C31BEC" w:rsidR="008C5752" w:rsidRDefault="008C5752" w:rsidP="00A508A2">
      <w:pPr>
        <w:pStyle w:val="GvdeMetni"/>
        <w:spacing w:before="1" w:line="360" w:lineRule="auto"/>
        <w:jc w:val="both"/>
        <w:rPr>
          <w:sz w:val="24"/>
          <w:szCs w:val="24"/>
        </w:rPr>
      </w:pPr>
    </w:p>
    <w:p w14:paraId="38131243" w14:textId="4EB072E6" w:rsidR="00DD0D1F" w:rsidRDefault="00DD0D1F" w:rsidP="00A508A2">
      <w:pPr>
        <w:pStyle w:val="GvdeMetni"/>
        <w:spacing w:before="1" w:line="360" w:lineRule="auto"/>
        <w:jc w:val="both"/>
        <w:rPr>
          <w:sz w:val="24"/>
          <w:szCs w:val="24"/>
        </w:rPr>
      </w:pPr>
    </w:p>
    <w:p w14:paraId="6234C43C" w14:textId="1D59141B" w:rsidR="00DD0D1F" w:rsidRDefault="00DD0D1F" w:rsidP="00A508A2">
      <w:pPr>
        <w:pStyle w:val="GvdeMetni"/>
        <w:spacing w:before="1" w:line="360" w:lineRule="auto"/>
        <w:jc w:val="both"/>
        <w:rPr>
          <w:sz w:val="24"/>
          <w:szCs w:val="24"/>
        </w:rPr>
      </w:pPr>
    </w:p>
    <w:p w14:paraId="7D650F45" w14:textId="2907C480" w:rsidR="00DD0D1F" w:rsidRDefault="00DD0D1F" w:rsidP="00A508A2">
      <w:pPr>
        <w:pStyle w:val="GvdeMetni"/>
        <w:spacing w:before="1" w:line="360" w:lineRule="auto"/>
        <w:jc w:val="both"/>
        <w:rPr>
          <w:sz w:val="24"/>
          <w:szCs w:val="24"/>
        </w:rPr>
      </w:pPr>
    </w:p>
    <w:p w14:paraId="2A0A34D9" w14:textId="77777777" w:rsidR="00DD0D1F" w:rsidRPr="00DD0D1F" w:rsidRDefault="00DD0D1F" w:rsidP="00A508A2">
      <w:pPr>
        <w:pStyle w:val="GvdeMetni"/>
        <w:spacing w:before="1" w:line="360" w:lineRule="auto"/>
        <w:jc w:val="both"/>
        <w:rPr>
          <w:sz w:val="24"/>
          <w:szCs w:val="24"/>
        </w:rPr>
      </w:pPr>
    </w:p>
    <w:p w14:paraId="1AD66E68"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90" w:name="_bookmark869"/>
      <w:bookmarkStart w:id="191" w:name="5.1.5_Operation_of_waste_gas_treatment_s"/>
      <w:bookmarkEnd w:id="190"/>
      <w:bookmarkEnd w:id="191"/>
      <w:r w:rsidRPr="00DD0D1F">
        <w:rPr>
          <w:rFonts w:cs="Times New Roman"/>
          <w:bCs/>
          <w:szCs w:val="24"/>
          <w:lang w:val="tr-TR"/>
        </w:rPr>
        <w:t>Atık gaz arıtma sistemlerinin işletilmesi</w:t>
      </w:r>
    </w:p>
    <w:p w14:paraId="2F565AFB" w14:textId="77777777" w:rsidR="00A508A2" w:rsidRPr="00DD0D1F" w:rsidRDefault="00A508A2" w:rsidP="00A508A2">
      <w:pPr>
        <w:pStyle w:val="GvdeMetni"/>
        <w:spacing w:before="5" w:line="360" w:lineRule="auto"/>
        <w:jc w:val="both"/>
        <w:rPr>
          <w:b/>
          <w:sz w:val="24"/>
          <w:szCs w:val="24"/>
        </w:rPr>
      </w:pPr>
    </w:p>
    <w:p w14:paraId="1EED28CD" w14:textId="7388B183" w:rsidR="00A508A2" w:rsidRPr="00DD0D1F" w:rsidRDefault="00A508A2" w:rsidP="00DD0D1F">
      <w:pPr>
        <w:pStyle w:val="Balk5"/>
        <w:numPr>
          <w:ilvl w:val="0"/>
          <w:numId w:val="0"/>
        </w:numPr>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7: Havaya yayılan emisyonların en</w:t>
      </w:r>
      <w:r w:rsidR="003F2A40" w:rsidRPr="00DD0D1F">
        <w:rPr>
          <w:rFonts w:ascii="Times New Roman" w:hAnsi="Times New Roman" w:cs="Times New Roman"/>
          <w:color w:val="auto"/>
          <w:szCs w:val="24"/>
          <w:lang w:val="tr-TR"/>
        </w:rPr>
        <w:t>gellenmesi veya azaltılması için</w:t>
      </w:r>
      <w:r w:rsidRPr="00DD0D1F">
        <w:rPr>
          <w:rFonts w:ascii="Times New Roman" w:hAnsi="Times New Roman" w:cs="Times New Roman"/>
          <w:color w:val="auto"/>
          <w:szCs w:val="24"/>
          <w:lang w:val="tr-TR"/>
        </w:rPr>
        <w:t>, yüksek emre amadelik oranına ve optimum kapasiteye sahip olan asit gazı giderme birimlerinin</w:t>
      </w:r>
      <w:r w:rsidR="00CA4F2C" w:rsidRPr="00DD0D1F">
        <w:rPr>
          <w:rFonts w:ascii="Times New Roman" w:hAnsi="Times New Roman" w:cs="Times New Roman"/>
          <w:color w:val="auto"/>
          <w:szCs w:val="24"/>
          <w:lang w:val="tr-TR"/>
        </w:rPr>
        <w:t>, kükürt geri kazanım birimleri</w:t>
      </w:r>
      <w:r w:rsidRPr="00DD0D1F">
        <w:rPr>
          <w:rFonts w:ascii="Times New Roman" w:hAnsi="Times New Roman" w:cs="Times New Roman"/>
          <w:color w:val="auto"/>
          <w:szCs w:val="24"/>
          <w:lang w:val="tr-TR"/>
        </w:rPr>
        <w:t xml:space="preserve"> ve tüm diğer at</w:t>
      </w:r>
      <w:r w:rsidR="00CA4F2C" w:rsidRPr="00DD0D1F">
        <w:rPr>
          <w:rFonts w:ascii="Times New Roman" w:hAnsi="Times New Roman" w:cs="Times New Roman"/>
          <w:color w:val="auto"/>
          <w:szCs w:val="24"/>
          <w:lang w:val="tr-TR"/>
        </w:rPr>
        <w:t>ık gaz arıtma sistemleri işletilir.</w:t>
      </w:r>
    </w:p>
    <w:p w14:paraId="5837FF84" w14:textId="77777777" w:rsidR="00EF43D0" w:rsidRPr="00DD0D1F" w:rsidRDefault="00EF43D0" w:rsidP="00EF43D0">
      <w:pPr>
        <w:rPr>
          <w:rFonts w:cs="Times New Roman"/>
          <w:szCs w:val="24"/>
          <w:lang w:val="tr-TR"/>
        </w:rPr>
      </w:pPr>
    </w:p>
    <w:p w14:paraId="7487CE38" w14:textId="77777777" w:rsidR="00EF43D0" w:rsidRPr="00DD0D1F" w:rsidRDefault="00EF43D0" w:rsidP="00EF43D0">
      <w:pPr>
        <w:rPr>
          <w:rFonts w:cs="Times New Roman"/>
          <w:szCs w:val="24"/>
          <w:lang w:val="tr-TR"/>
        </w:rPr>
      </w:pPr>
      <w:r w:rsidRPr="00DD0D1F">
        <w:rPr>
          <w:rFonts w:cs="Times New Roman"/>
          <w:szCs w:val="24"/>
          <w:lang w:val="tr-TR"/>
        </w:rPr>
        <w:t>Normal çalışma koşullarının dışında, özellikle aşağıdakiler için özel prosedürler tanımlanabilir:</w:t>
      </w:r>
    </w:p>
    <w:p w14:paraId="18FF2D36" w14:textId="77777777" w:rsidR="00EF43D0" w:rsidRPr="00DD0D1F" w:rsidRDefault="00EF43D0" w:rsidP="00EF43D0">
      <w:pPr>
        <w:rPr>
          <w:rFonts w:cs="Times New Roman"/>
          <w:szCs w:val="24"/>
          <w:lang w:val="tr-TR"/>
        </w:rPr>
      </w:pPr>
      <w:r w:rsidRPr="00DD0D1F">
        <w:rPr>
          <w:rFonts w:cs="Times New Roman"/>
          <w:szCs w:val="24"/>
          <w:lang w:val="tr-TR"/>
        </w:rPr>
        <w:t>(i) başlatma ve kapatma işlemleri sırasında;</w:t>
      </w:r>
    </w:p>
    <w:p w14:paraId="107635A1" w14:textId="77777777" w:rsidR="00EF43D0" w:rsidRPr="00DD0D1F" w:rsidRDefault="00EF43D0" w:rsidP="00EF43D0">
      <w:pPr>
        <w:rPr>
          <w:rFonts w:cs="Times New Roman"/>
          <w:szCs w:val="24"/>
          <w:lang w:val="tr-TR"/>
        </w:rPr>
      </w:pPr>
      <w:r w:rsidRPr="00DD0D1F">
        <w:rPr>
          <w:rFonts w:cs="Times New Roman"/>
          <w:szCs w:val="24"/>
          <w:lang w:val="tr-TR"/>
        </w:rPr>
        <w:t>(ii) sistemlerin düzgün çalışmasını etkileyebilecek diğer koşullar sırasında (örneğin ünitelerin ve/veya atık gaz arıtma sisteminin düzenli ve olağan dışı bakım çalışmaları ve temizlik işlemleri);</w:t>
      </w:r>
    </w:p>
    <w:p w14:paraId="22BD3027" w14:textId="21F42021" w:rsidR="00EF43D0" w:rsidRPr="00DD0D1F" w:rsidRDefault="00EF43D0" w:rsidP="00EF43D0">
      <w:pPr>
        <w:rPr>
          <w:rFonts w:cs="Times New Roman"/>
          <w:szCs w:val="24"/>
          <w:lang w:val="tr-TR"/>
        </w:rPr>
      </w:pPr>
      <w:r w:rsidRPr="00DD0D1F">
        <w:rPr>
          <w:rFonts w:cs="Times New Roman"/>
          <w:szCs w:val="24"/>
          <w:lang w:val="tr-TR"/>
        </w:rPr>
        <w:t>(iii) atık gaz akışının veya sıcaklığının yetersiz olması ve atık gaz arıtma sisteminin tam kapasitede kullanılmasını engellemesi durumunda.</w:t>
      </w:r>
    </w:p>
    <w:p w14:paraId="0B42FD3E" w14:textId="77777777" w:rsidR="00A508A2" w:rsidRPr="00DD0D1F" w:rsidRDefault="00A508A2" w:rsidP="00A508A2">
      <w:pPr>
        <w:pStyle w:val="GvdeMetni"/>
        <w:spacing w:before="9" w:line="360" w:lineRule="auto"/>
        <w:jc w:val="both"/>
        <w:rPr>
          <w:sz w:val="24"/>
          <w:szCs w:val="24"/>
        </w:rPr>
      </w:pPr>
    </w:p>
    <w:p w14:paraId="23F9F2EA" w14:textId="703B5708" w:rsidR="00A508A2" w:rsidRPr="00DD0D1F" w:rsidRDefault="00A508A2" w:rsidP="00DD0D1F">
      <w:pPr>
        <w:pStyle w:val="Balk5"/>
        <w:numPr>
          <w:ilvl w:val="0"/>
          <w:numId w:val="0"/>
        </w:numPr>
        <w:rPr>
          <w:rFonts w:ascii="Times New Roman" w:hAnsi="Times New Roman" w:cs="Times New Roman"/>
          <w:color w:val="auto"/>
          <w:szCs w:val="24"/>
          <w:lang w:val="tr-TR"/>
        </w:rPr>
      </w:pPr>
      <w:r w:rsidRPr="00DD0D1F">
        <w:rPr>
          <w:rFonts w:ascii="Times New Roman" w:hAnsi="Times New Roman" w:cs="Times New Roman"/>
          <w:color w:val="auto"/>
          <w:szCs w:val="24"/>
          <w:lang w:val="tr-TR"/>
        </w:rPr>
        <w:t xml:space="preserve">MET 8: </w:t>
      </w:r>
      <w:bookmarkStart w:id="192" w:name="_Hlk139615162"/>
      <w:r w:rsidRPr="00DD0D1F">
        <w:rPr>
          <w:rFonts w:ascii="Times New Roman" w:hAnsi="Times New Roman" w:cs="Times New Roman"/>
          <w:color w:val="auto"/>
          <w:szCs w:val="24"/>
          <w:lang w:val="tr-TR"/>
        </w:rPr>
        <w:t xml:space="preserve">Seçici katalitik indirgeme (SCR) veya seçici katalitik olmayan indirgeme </w:t>
      </w:r>
      <w:bookmarkEnd w:id="192"/>
      <w:r w:rsidRPr="00DD0D1F">
        <w:rPr>
          <w:rFonts w:ascii="Times New Roman" w:hAnsi="Times New Roman" w:cs="Times New Roman"/>
          <w:color w:val="auto"/>
          <w:szCs w:val="24"/>
          <w:lang w:val="tr-TR"/>
        </w:rPr>
        <w:t>(</w:t>
      </w:r>
      <w:r w:rsidR="003F2A40" w:rsidRPr="00DD0D1F">
        <w:rPr>
          <w:rFonts w:ascii="Times New Roman" w:hAnsi="Times New Roman" w:cs="Times New Roman"/>
          <w:color w:val="auto"/>
          <w:szCs w:val="24"/>
          <w:lang w:val="tr-TR"/>
        </w:rPr>
        <w:t xml:space="preserve">SNCR) tekniklerinin uygulandığında </w:t>
      </w:r>
      <w:r w:rsidRPr="00DD0D1F">
        <w:rPr>
          <w:rFonts w:ascii="Times New Roman" w:hAnsi="Times New Roman" w:cs="Times New Roman"/>
          <w:color w:val="auto"/>
          <w:szCs w:val="24"/>
          <w:lang w:val="tr-TR"/>
        </w:rPr>
        <w:t>havaya yayılan amonyak (NH</w:t>
      </w:r>
      <w:r w:rsidRPr="00DD0D1F">
        <w:rPr>
          <w:rFonts w:ascii="Times New Roman" w:hAnsi="Times New Roman" w:cs="Times New Roman"/>
          <w:color w:val="auto"/>
          <w:szCs w:val="24"/>
          <w:vertAlign w:val="subscript"/>
          <w:lang w:val="tr-TR"/>
        </w:rPr>
        <w:t>3</w:t>
      </w:r>
      <w:r w:rsidRPr="00DD0D1F">
        <w:rPr>
          <w:rFonts w:ascii="Times New Roman" w:hAnsi="Times New Roman" w:cs="Times New Roman"/>
          <w:color w:val="auto"/>
          <w:szCs w:val="24"/>
          <w:lang w:val="tr-TR"/>
        </w:rPr>
        <w:t>) emisyonlarını engellemek veya azaltmak için, tepkimemiş NH</w:t>
      </w:r>
      <w:r w:rsidRPr="00DD0D1F">
        <w:rPr>
          <w:rFonts w:ascii="Times New Roman" w:hAnsi="Times New Roman" w:cs="Times New Roman"/>
          <w:color w:val="auto"/>
          <w:szCs w:val="24"/>
          <w:vertAlign w:val="subscript"/>
          <w:lang w:val="tr-TR"/>
        </w:rPr>
        <w:t xml:space="preserve">3 </w:t>
      </w:r>
      <w:r w:rsidR="003F2A40" w:rsidRPr="00DD0D1F">
        <w:rPr>
          <w:rFonts w:ascii="Times New Roman" w:hAnsi="Times New Roman" w:cs="Times New Roman"/>
          <w:color w:val="auto"/>
          <w:szCs w:val="24"/>
          <w:lang w:val="tr-TR"/>
        </w:rPr>
        <w:t>emisyonlarının sınırlanması amacıyla</w:t>
      </w:r>
      <w:r w:rsidRPr="00DD0D1F">
        <w:rPr>
          <w:rFonts w:ascii="Times New Roman" w:hAnsi="Times New Roman" w:cs="Times New Roman"/>
          <w:color w:val="auto"/>
          <w:szCs w:val="24"/>
          <w:lang w:val="tr-TR"/>
        </w:rPr>
        <w:t xml:space="preserve"> SCR veya SNCR atık gaz arıtma sisteml</w:t>
      </w:r>
      <w:r w:rsidR="00CA4F2C" w:rsidRPr="00DD0D1F">
        <w:rPr>
          <w:rFonts w:ascii="Times New Roman" w:hAnsi="Times New Roman" w:cs="Times New Roman"/>
          <w:color w:val="auto"/>
          <w:szCs w:val="24"/>
          <w:lang w:val="tr-TR"/>
        </w:rPr>
        <w:t>erinin uygun işletme koşulları</w:t>
      </w:r>
      <w:r w:rsidRPr="00DD0D1F">
        <w:rPr>
          <w:rFonts w:ascii="Times New Roman" w:hAnsi="Times New Roman" w:cs="Times New Roman"/>
          <w:color w:val="auto"/>
          <w:szCs w:val="24"/>
          <w:lang w:val="tr-TR"/>
        </w:rPr>
        <w:t xml:space="preserve"> sürdürül</w:t>
      </w:r>
      <w:r w:rsidR="00CA4F2C" w:rsidRPr="00DD0D1F">
        <w:rPr>
          <w:rFonts w:ascii="Times New Roman" w:hAnsi="Times New Roman" w:cs="Times New Roman"/>
          <w:color w:val="auto"/>
          <w:szCs w:val="24"/>
          <w:lang w:val="tr-TR"/>
        </w:rPr>
        <w:t>ür.</w:t>
      </w:r>
      <w:r w:rsidRPr="00DD0D1F">
        <w:rPr>
          <w:rFonts w:ascii="Times New Roman" w:hAnsi="Times New Roman" w:cs="Times New Roman"/>
          <w:color w:val="auto"/>
          <w:szCs w:val="24"/>
          <w:lang w:val="tr-TR"/>
        </w:rPr>
        <w:t xml:space="preserve"> </w:t>
      </w:r>
    </w:p>
    <w:p w14:paraId="16AA43C2" w14:textId="77777777" w:rsidR="00DD0D1F" w:rsidRPr="00DD0D1F" w:rsidRDefault="00DD0D1F" w:rsidP="00DD0D1F">
      <w:pPr>
        <w:rPr>
          <w:rFonts w:cs="Times New Roman"/>
          <w:szCs w:val="24"/>
          <w:lang w:val="tr-TR"/>
        </w:rPr>
      </w:pPr>
    </w:p>
    <w:p w14:paraId="37EC8ED7" w14:textId="77777777" w:rsidR="00A508A2" w:rsidRPr="00DD0D1F" w:rsidRDefault="00A508A2" w:rsidP="00A508A2">
      <w:pPr>
        <w:pStyle w:val="ResimYazs"/>
        <w:jc w:val="left"/>
        <w:rPr>
          <w:rFonts w:cs="Times New Roman"/>
          <w:b w:val="0"/>
          <w:color w:val="auto"/>
          <w:szCs w:val="24"/>
          <w:lang w:val="tr-TR"/>
        </w:rPr>
      </w:pPr>
      <w:r w:rsidRPr="00DD0D1F">
        <w:rPr>
          <w:rFonts w:cs="Times New Roman"/>
          <w:bCs/>
          <w:color w:val="auto"/>
          <w:szCs w:val="24"/>
          <w:lang w:val="tr-TR"/>
        </w:rPr>
        <w:t>SCR veya SNCR tekniklerinin kullanıldığı durumda yanma veya proses birimi için havaya yayılan amonyak (NH</w:t>
      </w:r>
      <w:r w:rsidRPr="00DD0D1F">
        <w:rPr>
          <w:rFonts w:cs="Times New Roman"/>
          <w:bCs/>
          <w:color w:val="auto"/>
          <w:szCs w:val="24"/>
          <w:vertAlign w:val="subscript"/>
          <w:lang w:val="tr-TR"/>
        </w:rPr>
        <w:t>3</w:t>
      </w:r>
      <w:r w:rsidRPr="00DD0D1F">
        <w:rPr>
          <w:rFonts w:cs="Times New Roman"/>
          <w:bCs/>
          <w:color w:val="auto"/>
          <w:szCs w:val="24"/>
          <w:lang w:val="tr-TR"/>
        </w:rPr>
        <w:t>) emisyonları için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5"/>
        <w:gridCol w:w="5292"/>
      </w:tblGrid>
      <w:tr w:rsidR="00A508A2" w:rsidRPr="00DD0D1F" w14:paraId="5B36622C" w14:textId="77777777" w:rsidTr="00A508A2">
        <w:trPr>
          <w:trHeight w:val="690"/>
        </w:trPr>
        <w:tc>
          <w:tcPr>
            <w:tcW w:w="2085" w:type="pct"/>
          </w:tcPr>
          <w:p w14:paraId="0930A972" w14:textId="77777777" w:rsidR="00A508A2" w:rsidRPr="00DD0D1F" w:rsidRDefault="00A508A2" w:rsidP="00A508A2">
            <w:pPr>
              <w:pStyle w:val="TableParagraph"/>
              <w:spacing w:before="9"/>
              <w:rPr>
                <w:b/>
                <w:szCs w:val="24"/>
              </w:rPr>
            </w:pPr>
          </w:p>
          <w:p w14:paraId="2AE13E00" w14:textId="77777777" w:rsidR="00A508A2" w:rsidRPr="00DD0D1F" w:rsidRDefault="00A508A2" w:rsidP="00A508A2">
            <w:pPr>
              <w:pStyle w:val="TableParagraph"/>
              <w:spacing w:before="1"/>
              <w:ind w:left="596" w:right="589"/>
              <w:jc w:val="center"/>
              <w:rPr>
                <w:b/>
                <w:szCs w:val="24"/>
              </w:rPr>
            </w:pPr>
            <w:r w:rsidRPr="00DD0D1F">
              <w:rPr>
                <w:b/>
                <w:bCs/>
                <w:szCs w:val="24"/>
              </w:rPr>
              <w:t>Parametre</w:t>
            </w:r>
          </w:p>
        </w:tc>
        <w:tc>
          <w:tcPr>
            <w:tcW w:w="2915" w:type="pct"/>
          </w:tcPr>
          <w:p w14:paraId="1E1459B3" w14:textId="409990B8" w:rsidR="00A508A2" w:rsidRPr="00DD0D1F" w:rsidRDefault="007D7613" w:rsidP="00A508A2">
            <w:pPr>
              <w:pStyle w:val="TableParagraph"/>
              <w:spacing w:line="228" w:lineRule="exact"/>
              <w:ind w:left="1635" w:right="1631"/>
              <w:jc w:val="center"/>
              <w:rPr>
                <w:b/>
                <w:szCs w:val="24"/>
              </w:rPr>
            </w:pPr>
            <w:r w:rsidRPr="00DD0D1F">
              <w:rPr>
                <w:b/>
                <w:bCs/>
                <w:szCs w:val="24"/>
              </w:rPr>
              <w:t>MET_İES</w:t>
            </w:r>
          </w:p>
          <w:p w14:paraId="0DC1D763" w14:textId="77777777" w:rsidR="00A508A2" w:rsidRPr="00DD0D1F" w:rsidRDefault="00A508A2" w:rsidP="00A508A2">
            <w:pPr>
              <w:pStyle w:val="TableParagraph"/>
              <w:spacing w:line="228" w:lineRule="exact"/>
              <w:ind w:left="1636" w:right="1631"/>
              <w:jc w:val="center"/>
              <w:rPr>
                <w:b/>
                <w:szCs w:val="24"/>
              </w:rPr>
            </w:pPr>
            <w:r w:rsidRPr="00DD0D1F">
              <w:rPr>
                <w:b/>
                <w:bCs/>
                <w:szCs w:val="24"/>
              </w:rPr>
              <w:t>(aylık ortalama)</w:t>
            </w:r>
          </w:p>
          <w:p w14:paraId="60709CA5" w14:textId="77777777" w:rsidR="00A508A2" w:rsidRPr="00DD0D1F" w:rsidRDefault="00A508A2" w:rsidP="00A508A2">
            <w:pPr>
              <w:pStyle w:val="TableParagraph"/>
              <w:spacing w:line="215" w:lineRule="exact"/>
              <w:ind w:left="1634" w:right="1631"/>
              <w:jc w:val="center"/>
              <w:rPr>
                <w:szCs w:val="24"/>
              </w:rPr>
            </w:pPr>
            <w:r w:rsidRPr="00DD0D1F">
              <w:rPr>
                <w:szCs w:val="24"/>
              </w:rPr>
              <w:t>mg/Nm</w:t>
            </w:r>
            <w:r w:rsidRPr="00DD0D1F">
              <w:rPr>
                <w:szCs w:val="24"/>
                <w:vertAlign w:val="superscript"/>
              </w:rPr>
              <w:t>3</w:t>
            </w:r>
          </w:p>
        </w:tc>
      </w:tr>
      <w:tr w:rsidR="00A508A2" w:rsidRPr="00DD0D1F" w14:paraId="5BBC8793" w14:textId="77777777" w:rsidTr="00A508A2">
        <w:trPr>
          <w:trHeight w:val="282"/>
        </w:trPr>
        <w:tc>
          <w:tcPr>
            <w:tcW w:w="2085" w:type="pct"/>
          </w:tcPr>
          <w:p w14:paraId="506111F8" w14:textId="77777777" w:rsidR="00A508A2" w:rsidRPr="00DD0D1F" w:rsidRDefault="00A508A2" w:rsidP="00A508A2">
            <w:pPr>
              <w:pStyle w:val="TableParagraph"/>
              <w:spacing w:before="19"/>
              <w:ind w:left="41" w:right="45"/>
              <w:jc w:val="center"/>
              <w:rPr>
                <w:szCs w:val="24"/>
              </w:rPr>
            </w:pPr>
            <w:r w:rsidRPr="00DD0D1F">
              <w:rPr>
                <w:szCs w:val="24"/>
              </w:rPr>
              <w:t>NH</w:t>
            </w:r>
            <w:r w:rsidRPr="00DD0D1F">
              <w:rPr>
                <w:szCs w:val="24"/>
                <w:vertAlign w:val="subscript"/>
              </w:rPr>
              <w:t xml:space="preserve">3 </w:t>
            </w:r>
            <w:r w:rsidRPr="00DD0D1F">
              <w:rPr>
                <w:szCs w:val="24"/>
              </w:rPr>
              <w:t>olarak ifade edilen amonyak</w:t>
            </w:r>
          </w:p>
        </w:tc>
        <w:tc>
          <w:tcPr>
            <w:tcW w:w="2915" w:type="pct"/>
          </w:tcPr>
          <w:p w14:paraId="36FB24B8" w14:textId="77777777" w:rsidR="00A508A2" w:rsidRPr="00DD0D1F" w:rsidRDefault="00A508A2" w:rsidP="00A508A2">
            <w:pPr>
              <w:pStyle w:val="TableParagraph"/>
              <w:spacing w:before="19"/>
              <w:ind w:left="1636" w:right="1629"/>
              <w:jc w:val="center"/>
              <w:rPr>
                <w:szCs w:val="24"/>
              </w:rPr>
            </w:pPr>
            <w:r w:rsidRPr="00DD0D1F">
              <w:rPr>
                <w:szCs w:val="24"/>
              </w:rPr>
              <w:t>&lt;5 – 15 (</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590E49AC" w14:textId="77777777" w:rsidTr="00A508A2">
        <w:trPr>
          <w:trHeight w:val="621"/>
        </w:trPr>
        <w:tc>
          <w:tcPr>
            <w:tcW w:w="5000" w:type="pct"/>
            <w:gridSpan w:val="2"/>
          </w:tcPr>
          <w:p w14:paraId="6AA9FF59" w14:textId="7863DF3F" w:rsidR="00A508A2" w:rsidRPr="00DD0D1F" w:rsidRDefault="00A508A2" w:rsidP="00FF111D">
            <w:pPr>
              <w:pStyle w:val="TableParagraph"/>
              <w:numPr>
                <w:ilvl w:val="0"/>
                <w:numId w:val="102"/>
              </w:numPr>
              <w:tabs>
                <w:tab w:val="left" w:pos="346"/>
              </w:tabs>
              <w:spacing w:line="202" w:lineRule="exact"/>
              <w:ind w:hanging="239"/>
              <w:rPr>
                <w:szCs w:val="24"/>
              </w:rPr>
            </w:pPr>
            <w:r w:rsidRPr="00DD0D1F">
              <w:rPr>
                <w:szCs w:val="24"/>
              </w:rPr>
              <w:t xml:space="preserve">Aralığın daha yüksek olan </w:t>
            </w:r>
            <w:r w:rsidR="00A504E5" w:rsidRPr="00DD0D1F">
              <w:rPr>
                <w:szCs w:val="24"/>
              </w:rPr>
              <w:t>sınırı</w:t>
            </w:r>
            <w:r w:rsidRPr="00DD0D1F">
              <w:rPr>
                <w:szCs w:val="24"/>
              </w:rPr>
              <w:t>, daha yüksek NO</w:t>
            </w:r>
            <w:r w:rsidRPr="00DD0D1F">
              <w:rPr>
                <w:szCs w:val="24"/>
                <w:vertAlign w:val="subscript"/>
              </w:rPr>
              <w:t xml:space="preserve">X </w:t>
            </w:r>
            <w:r w:rsidRPr="00DD0D1F">
              <w:rPr>
                <w:szCs w:val="24"/>
              </w:rPr>
              <w:t>yoğunlukları, daha yüksek NO</w:t>
            </w:r>
            <w:r w:rsidRPr="00DD0D1F">
              <w:rPr>
                <w:szCs w:val="24"/>
                <w:vertAlign w:val="subscript"/>
              </w:rPr>
              <w:t xml:space="preserve">X </w:t>
            </w:r>
            <w:r w:rsidRPr="00DD0D1F">
              <w:rPr>
                <w:szCs w:val="24"/>
              </w:rPr>
              <w:t>indirgeme oranları ve katalizörün yaşlanması ile ilişkilidir.</w:t>
            </w:r>
          </w:p>
          <w:p w14:paraId="16B5D738" w14:textId="67BD22B0" w:rsidR="00A508A2" w:rsidRPr="00DD0D1F" w:rsidRDefault="00A508A2" w:rsidP="00FF111D">
            <w:pPr>
              <w:pStyle w:val="TableParagraph"/>
              <w:numPr>
                <w:ilvl w:val="0"/>
                <w:numId w:val="102"/>
              </w:numPr>
              <w:tabs>
                <w:tab w:val="left" w:pos="334"/>
              </w:tabs>
              <w:spacing w:line="203" w:lineRule="exact"/>
              <w:ind w:left="333" w:hanging="227"/>
              <w:rPr>
                <w:szCs w:val="24"/>
              </w:rPr>
            </w:pPr>
            <w:r w:rsidRPr="00DD0D1F">
              <w:rPr>
                <w:szCs w:val="24"/>
              </w:rPr>
              <w:t xml:space="preserve">Aralığın daha düşük olan </w:t>
            </w:r>
            <w:r w:rsidR="00A504E5" w:rsidRPr="00DD0D1F">
              <w:rPr>
                <w:szCs w:val="24"/>
              </w:rPr>
              <w:t>sınırı</w:t>
            </w:r>
            <w:r w:rsidRPr="00DD0D1F">
              <w:rPr>
                <w:szCs w:val="24"/>
              </w:rPr>
              <w:t>, SCR tekniğinin kullanımı ile ilişkilidir.</w:t>
            </w:r>
          </w:p>
        </w:tc>
      </w:tr>
    </w:tbl>
    <w:p w14:paraId="142D2C85" w14:textId="77777777" w:rsidR="00A508A2" w:rsidRPr="00DD0D1F" w:rsidRDefault="00A508A2" w:rsidP="00A508A2">
      <w:pPr>
        <w:pStyle w:val="GvdeMetni"/>
        <w:rPr>
          <w:b/>
          <w:sz w:val="24"/>
          <w:szCs w:val="24"/>
        </w:rPr>
      </w:pPr>
    </w:p>
    <w:p w14:paraId="2411A669" w14:textId="77777777" w:rsidR="00A508A2" w:rsidRPr="00DD0D1F" w:rsidRDefault="00A508A2" w:rsidP="00A508A2">
      <w:pPr>
        <w:rPr>
          <w:rFonts w:cs="Times New Roman"/>
          <w:szCs w:val="24"/>
          <w:lang w:val="tr-TR"/>
        </w:rPr>
      </w:pPr>
    </w:p>
    <w:p w14:paraId="5429D78B" w14:textId="0E2F05DE" w:rsidR="00A508A2" w:rsidRPr="00DD0D1F" w:rsidRDefault="00A508A2" w:rsidP="00DD0D1F">
      <w:pPr>
        <w:pStyle w:val="Balk5"/>
        <w:numPr>
          <w:ilvl w:val="0"/>
          <w:numId w:val="0"/>
        </w:numPr>
        <w:spacing w:before="1"/>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9: Acı su buharı sıyırma biriminin kullanıldığı durumda havaya yayılan emisyonları önlemek ve azaltmak için, bu biri</w:t>
      </w:r>
      <w:r w:rsidR="003F2A40" w:rsidRPr="00DD0D1F">
        <w:rPr>
          <w:rFonts w:ascii="Times New Roman" w:hAnsi="Times New Roman" w:cs="Times New Roman"/>
          <w:color w:val="auto"/>
          <w:szCs w:val="24"/>
          <w:lang w:val="tr-TR"/>
        </w:rPr>
        <w:t xml:space="preserve">mden gelen asit çıkış gazları </w:t>
      </w:r>
      <w:r w:rsidRPr="00DD0D1F">
        <w:rPr>
          <w:rFonts w:ascii="Times New Roman" w:hAnsi="Times New Roman" w:cs="Times New Roman"/>
          <w:color w:val="auto"/>
          <w:szCs w:val="24"/>
          <w:lang w:val="tr-TR"/>
        </w:rPr>
        <w:t>SRU'ya veya eşdeğer gaz arıtma sistemine yönlendiril</w:t>
      </w:r>
      <w:r w:rsidR="003F2A40" w:rsidRPr="00DD0D1F">
        <w:rPr>
          <w:rFonts w:ascii="Times New Roman" w:hAnsi="Times New Roman" w:cs="Times New Roman"/>
          <w:color w:val="auto"/>
          <w:szCs w:val="24"/>
          <w:lang w:val="tr-TR"/>
        </w:rPr>
        <w:t>ir.</w:t>
      </w:r>
      <w:r w:rsidRPr="00DD0D1F">
        <w:rPr>
          <w:rFonts w:ascii="Times New Roman" w:hAnsi="Times New Roman" w:cs="Times New Roman"/>
          <w:color w:val="auto"/>
          <w:szCs w:val="24"/>
          <w:lang w:val="tr-TR"/>
        </w:rPr>
        <w:t xml:space="preserve"> </w:t>
      </w:r>
    </w:p>
    <w:p w14:paraId="643EE1AF" w14:textId="77777777" w:rsidR="00A508A2" w:rsidRPr="007712FC" w:rsidRDefault="00A508A2" w:rsidP="00A508A2">
      <w:pPr>
        <w:spacing w:before="78"/>
        <w:rPr>
          <w:rFonts w:cs="Times New Roman"/>
          <w:szCs w:val="24"/>
          <w:lang w:val="tr-TR"/>
        </w:rPr>
      </w:pPr>
      <w:r w:rsidRPr="007712FC">
        <w:rPr>
          <w:rFonts w:cs="Times New Roman"/>
          <w:szCs w:val="24"/>
          <w:lang w:val="tr-TR"/>
        </w:rPr>
        <w:t xml:space="preserve">Artırılmamış acı su sıyırma gazlarının doğrudan yakılması MET </w:t>
      </w:r>
      <w:r w:rsidRPr="007712FC">
        <w:rPr>
          <w:rFonts w:cs="Times New Roman"/>
          <w:szCs w:val="24"/>
          <w:u w:val="single"/>
          <w:lang w:val="tr-TR"/>
        </w:rPr>
        <w:t>değildir</w:t>
      </w:r>
      <w:r w:rsidRPr="007712FC">
        <w:rPr>
          <w:rFonts w:cs="Times New Roman"/>
          <w:szCs w:val="24"/>
          <w:lang w:val="tr-TR"/>
        </w:rPr>
        <w:t>.</w:t>
      </w:r>
    </w:p>
    <w:p w14:paraId="5B64EFE2" w14:textId="09BFC83A" w:rsidR="00A508A2" w:rsidRDefault="00A508A2" w:rsidP="00A508A2">
      <w:pPr>
        <w:pStyle w:val="GvdeMetni"/>
        <w:spacing w:before="6" w:line="360" w:lineRule="auto"/>
        <w:jc w:val="both"/>
        <w:rPr>
          <w:b/>
          <w:sz w:val="24"/>
          <w:szCs w:val="24"/>
        </w:rPr>
      </w:pPr>
    </w:p>
    <w:p w14:paraId="1D711517" w14:textId="1642D9CA" w:rsidR="007712FC" w:rsidRDefault="007712FC" w:rsidP="00A508A2">
      <w:pPr>
        <w:pStyle w:val="GvdeMetni"/>
        <w:spacing w:before="6" w:line="360" w:lineRule="auto"/>
        <w:jc w:val="both"/>
        <w:rPr>
          <w:b/>
          <w:sz w:val="24"/>
          <w:szCs w:val="24"/>
        </w:rPr>
      </w:pPr>
    </w:p>
    <w:p w14:paraId="1DA9EA55" w14:textId="77777777" w:rsidR="007712FC" w:rsidRPr="00DD0D1F" w:rsidRDefault="007712FC" w:rsidP="00A508A2">
      <w:pPr>
        <w:pStyle w:val="GvdeMetni"/>
        <w:spacing w:before="6" w:line="360" w:lineRule="auto"/>
        <w:jc w:val="both"/>
        <w:rPr>
          <w:b/>
          <w:sz w:val="24"/>
          <w:szCs w:val="24"/>
        </w:rPr>
      </w:pPr>
    </w:p>
    <w:p w14:paraId="4A538DDD"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r w:rsidRPr="00DD0D1F">
        <w:rPr>
          <w:rFonts w:cs="Times New Roman"/>
          <w:bCs/>
          <w:szCs w:val="24"/>
          <w:lang w:val="tr-TR"/>
        </w:rPr>
        <w:t>Suya karışan emisyonların izlenmesi</w:t>
      </w:r>
      <w:bookmarkStart w:id="193" w:name="_bookmark871"/>
      <w:bookmarkStart w:id="194" w:name="5.1.6_Monitoring_of_emissions_to_water"/>
      <w:bookmarkEnd w:id="193"/>
      <w:bookmarkEnd w:id="194"/>
    </w:p>
    <w:p w14:paraId="0A89B2D6" w14:textId="25CA32D0" w:rsidR="00A508A2" w:rsidRPr="00DD0D1F" w:rsidRDefault="00A508A2" w:rsidP="00A508A2">
      <w:pPr>
        <w:rPr>
          <w:rFonts w:cs="Times New Roman"/>
          <w:b/>
          <w:szCs w:val="24"/>
          <w:lang w:val="tr-TR"/>
        </w:rPr>
      </w:pPr>
      <w:r w:rsidRPr="00DD0D1F">
        <w:rPr>
          <w:rFonts w:cs="Times New Roman"/>
          <w:b/>
          <w:bCs/>
          <w:szCs w:val="24"/>
          <w:lang w:val="tr-TR"/>
        </w:rPr>
        <w:t xml:space="preserve">MET 10: </w:t>
      </w:r>
      <w:r w:rsidR="003F2A40" w:rsidRPr="00DD0D1F">
        <w:rPr>
          <w:rFonts w:cs="Times New Roman"/>
          <w:bCs/>
          <w:szCs w:val="24"/>
          <w:lang w:val="tr-TR"/>
        </w:rPr>
        <w:t>En</w:t>
      </w:r>
      <w:r w:rsidRPr="00DD0D1F">
        <w:rPr>
          <w:rFonts w:cs="Times New Roman"/>
          <w:bCs/>
          <w:szCs w:val="24"/>
          <w:lang w:val="tr-TR"/>
        </w:rPr>
        <w:t xml:space="preserve"> azından </w:t>
      </w:r>
      <w:hyperlink w:anchor="_bookmark874" w:history="1">
        <w:r w:rsidRPr="00DD0D1F">
          <w:rPr>
            <w:rFonts w:cs="Times New Roman"/>
            <w:bCs/>
            <w:szCs w:val="24"/>
            <w:lang w:val="tr-TR"/>
          </w:rPr>
          <w:t>Tablo 3'te</w:t>
        </w:r>
      </w:hyperlink>
      <w:r w:rsidRPr="00DD0D1F">
        <w:rPr>
          <w:rFonts w:cs="Times New Roman"/>
          <w:bCs/>
          <w:szCs w:val="24"/>
          <w:lang w:val="tr-TR"/>
        </w:rPr>
        <w:t xml:space="preserve"> açıklanan sıklıkla ve EN standartları uyarınca izleme tekniklerinden yararlanarak s</w:t>
      </w:r>
      <w:r w:rsidR="003F2A40" w:rsidRPr="00DD0D1F">
        <w:rPr>
          <w:rFonts w:cs="Times New Roman"/>
          <w:bCs/>
          <w:szCs w:val="24"/>
          <w:lang w:val="tr-TR"/>
        </w:rPr>
        <w:t>uya karışan yayılan emisyonlar</w:t>
      </w:r>
      <w:r w:rsidRPr="00DD0D1F">
        <w:rPr>
          <w:rFonts w:cs="Times New Roman"/>
          <w:bCs/>
          <w:szCs w:val="24"/>
          <w:lang w:val="tr-TR"/>
        </w:rPr>
        <w:t xml:space="preserve"> izlen</w:t>
      </w:r>
      <w:r w:rsidR="003F2A40" w:rsidRPr="00DD0D1F">
        <w:rPr>
          <w:rFonts w:cs="Times New Roman"/>
          <w:bCs/>
          <w:szCs w:val="24"/>
          <w:lang w:val="tr-TR"/>
        </w:rPr>
        <w:t xml:space="preserve">ir. </w:t>
      </w:r>
      <w:r w:rsidRPr="00DD0D1F">
        <w:rPr>
          <w:rFonts w:cs="Times New Roman"/>
          <w:szCs w:val="24"/>
          <w:lang w:val="tr-TR"/>
        </w:rPr>
        <w:t xml:space="preserve"> </w:t>
      </w:r>
      <w:r w:rsidRPr="00DD0D1F">
        <w:rPr>
          <w:rFonts w:cs="Times New Roman"/>
          <w:bCs/>
          <w:szCs w:val="24"/>
          <w:lang w:val="tr-TR"/>
        </w:rPr>
        <w:t>EN standartlarının mevcut olmaması durumunda, eşdeğer bilimsel nitelikteki verileri sağlayan ISO, ulusal veya diğer uluslararası standartlar kullanılır.</w:t>
      </w:r>
    </w:p>
    <w:p w14:paraId="5C909AD6"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95" w:name="_bookmark872"/>
      <w:bookmarkStart w:id="196" w:name="5.1.7_Emissions_to_water"/>
      <w:bookmarkEnd w:id="195"/>
      <w:bookmarkEnd w:id="196"/>
      <w:r w:rsidRPr="00DD0D1F">
        <w:rPr>
          <w:rFonts w:cs="Times New Roman"/>
          <w:bCs/>
          <w:szCs w:val="24"/>
          <w:lang w:val="tr-TR"/>
        </w:rPr>
        <w:t>Suya karışan emisyonlar</w:t>
      </w:r>
    </w:p>
    <w:p w14:paraId="364E86B1" w14:textId="5BDBDD5B" w:rsidR="00A508A2" w:rsidRPr="00DD0D1F" w:rsidRDefault="00A508A2" w:rsidP="00DD0D1F">
      <w:pPr>
        <w:pStyle w:val="Balk5"/>
        <w:numPr>
          <w:ilvl w:val="0"/>
          <w:numId w:val="0"/>
        </w:numPr>
        <w:rPr>
          <w:rFonts w:ascii="Times New Roman" w:hAnsi="Times New Roman" w:cs="Times New Roman"/>
          <w:color w:val="auto"/>
          <w:szCs w:val="24"/>
          <w:lang w:val="tr-TR"/>
        </w:rPr>
      </w:pPr>
      <w:bookmarkStart w:id="197" w:name="_bookmark873"/>
      <w:bookmarkEnd w:id="197"/>
      <w:r w:rsidRPr="00DD0D1F">
        <w:rPr>
          <w:rFonts w:ascii="Times New Roman" w:hAnsi="Times New Roman" w:cs="Times New Roman"/>
          <w:color w:val="auto"/>
          <w:szCs w:val="24"/>
          <w:lang w:val="tr-TR"/>
        </w:rPr>
        <w:t>MET 11: Su tüketiminin ve kontamine su hacminin azaltılması için, aşağı</w:t>
      </w:r>
      <w:r w:rsidR="003F2A40" w:rsidRPr="00DD0D1F">
        <w:rPr>
          <w:rFonts w:ascii="Times New Roman" w:hAnsi="Times New Roman" w:cs="Times New Roman"/>
          <w:color w:val="auto"/>
          <w:szCs w:val="24"/>
          <w:lang w:val="tr-TR"/>
        </w:rPr>
        <w:t>da verilen tekniklerin tamamı</w:t>
      </w:r>
      <w:r w:rsidRPr="00DD0D1F">
        <w:rPr>
          <w:rFonts w:ascii="Times New Roman" w:hAnsi="Times New Roman" w:cs="Times New Roman"/>
          <w:color w:val="auto"/>
          <w:szCs w:val="24"/>
          <w:lang w:val="tr-TR"/>
        </w:rPr>
        <w:t xml:space="preserve"> kullanıl</w:t>
      </w:r>
      <w:r w:rsidR="003F2A40" w:rsidRPr="00DD0D1F">
        <w:rPr>
          <w:rFonts w:ascii="Times New Roman" w:hAnsi="Times New Roman" w:cs="Times New Roman"/>
          <w:color w:val="auto"/>
          <w:szCs w:val="24"/>
          <w:lang w:val="tr-TR"/>
        </w:rPr>
        <w:t>ır.</w:t>
      </w:r>
    </w:p>
    <w:p w14:paraId="7D920D89" w14:textId="77777777" w:rsidR="00A508A2" w:rsidRPr="00DD0D1F" w:rsidRDefault="00A508A2" w:rsidP="00A508A2">
      <w:pPr>
        <w:pStyle w:val="GvdeMetni"/>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3344"/>
        <w:gridCol w:w="3348"/>
      </w:tblGrid>
      <w:tr w:rsidR="00A508A2" w:rsidRPr="00DD0D1F" w14:paraId="46486EEB" w14:textId="77777777" w:rsidTr="00A508A2">
        <w:trPr>
          <w:trHeight w:val="282"/>
        </w:trPr>
        <w:tc>
          <w:tcPr>
            <w:tcW w:w="1314" w:type="pct"/>
          </w:tcPr>
          <w:p w14:paraId="671E4DC8" w14:textId="77777777" w:rsidR="00A508A2" w:rsidRPr="00DD0D1F" w:rsidRDefault="00A508A2" w:rsidP="00A508A2">
            <w:pPr>
              <w:pStyle w:val="TableParagraph"/>
              <w:spacing w:before="24"/>
              <w:ind w:left="695"/>
              <w:rPr>
                <w:b/>
                <w:szCs w:val="24"/>
              </w:rPr>
            </w:pPr>
            <w:r w:rsidRPr="00DD0D1F">
              <w:rPr>
                <w:b/>
                <w:bCs/>
                <w:szCs w:val="24"/>
              </w:rPr>
              <w:t>Teknik</w:t>
            </w:r>
          </w:p>
        </w:tc>
        <w:tc>
          <w:tcPr>
            <w:tcW w:w="1842" w:type="pct"/>
          </w:tcPr>
          <w:p w14:paraId="109AEC2B" w14:textId="77777777" w:rsidR="00A508A2" w:rsidRPr="00DD0D1F" w:rsidRDefault="00A508A2" w:rsidP="00A508A2">
            <w:pPr>
              <w:pStyle w:val="TableParagraph"/>
              <w:spacing w:before="24"/>
              <w:ind w:left="1091" w:right="1083"/>
              <w:jc w:val="center"/>
              <w:rPr>
                <w:b/>
                <w:szCs w:val="24"/>
              </w:rPr>
            </w:pPr>
            <w:r w:rsidRPr="00DD0D1F">
              <w:rPr>
                <w:b/>
                <w:bCs/>
                <w:szCs w:val="24"/>
              </w:rPr>
              <w:t>Açıklama</w:t>
            </w:r>
          </w:p>
        </w:tc>
        <w:tc>
          <w:tcPr>
            <w:tcW w:w="1844" w:type="pct"/>
          </w:tcPr>
          <w:p w14:paraId="2262E06D" w14:textId="77777777" w:rsidR="00A508A2" w:rsidRPr="00DD0D1F" w:rsidRDefault="00A508A2" w:rsidP="00A508A2">
            <w:pPr>
              <w:pStyle w:val="TableParagraph"/>
              <w:spacing w:before="24"/>
              <w:ind w:left="1050"/>
              <w:rPr>
                <w:b/>
                <w:szCs w:val="24"/>
              </w:rPr>
            </w:pPr>
            <w:r w:rsidRPr="00DD0D1F">
              <w:rPr>
                <w:b/>
                <w:bCs/>
                <w:szCs w:val="24"/>
              </w:rPr>
              <w:t>Uygulanabilirlik</w:t>
            </w:r>
          </w:p>
        </w:tc>
      </w:tr>
      <w:tr w:rsidR="00A508A2" w:rsidRPr="00DD0D1F" w14:paraId="68A1924B" w14:textId="77777777" w:rsidTr="00A508A2">
        <w:trPr>
          <w:trHeight w:val="1520"/>
        </w:trPr>
        <w:tc>
          <w:tcPr>
            <w:tcW w:w="1314" w:type="pct"/>
          </w:tcPr>
          <w:p w14:paraId="63D4057C" w14:textId="77777777" w:rsidR="00A508A2" w:rsidRPr="00DD0D1F" w:rsidRDefault="00A508A2" w:rsidP="00A508A2">
            <w:pPr>
              <w:pStyle w:val="TableParagraph"/>
              <w:spacing w:before="5"/>
              <w:rPr>
                <w:b/>
                <w:szCs w:val="24"/>
              </w:rPr>
            </w:pPr>
          </w:p>
          <w:p w14:paraId="57E35743" w14:textId="77777777" w:rsidR="00A508A2" w:rsidRPr="00DD0D1F" w:rsidRDefault="00A508A2" w:rsidP="00A508A2">
            <w:pPr>
              <w:pStyle w:val="TableParagraph"/>
              <w:tabs>
                <w:tab w:val="left" w:pos="1650"/>
              </w:tabs>
              <w:ind w:left="467" w:right="96" w:hanging="226"/>
              <w:rPr>
                <w:szCs w:val="24"/>
              </w:rPr>
            </w:pPr>
            <w:r w:rsidRPr="00DD0D1F">
              <w:rPr>
                <w:szCs w:val="24"/>
              </w:rPr>
              <w:t>i. Su buharı entegrasyonu</w:t>
            </w:r>
          </w:p>
        </w:tc>
        <w:tc>
          <w:tcPr>
            <w:tcW w:w="1842" w:type="pct"/>
          </w:tcPr>
          <w:p w14:paraId="479790C9" w14:textId="77777777" w:rsidR="00A508A2" w:rsidRPr="00DD0D1F" w:rsidRDefault="00A508A2" w:rsidP="00A508A2">
            <w:pPr>
              <w:pStyle w:val="TableParagraph"/>
              <w:ind w:left="107" w:right="97"/>
              <w:jc w:val="both"/>
              <w:rPr>
                <w:szCs w:val="24"/>
              </w:rPr>
            </w:pPr>
            <w:r w:rsidRPr="00DD0D1F">
              <w:rPr>
                <w:szCs w:val="24"/>
              </w:rPr>
              <w:t>Örnek olarak özellikle ham petrolün tuzdan arındırılmasında kullanılmak üzere soğutmadan, yoğuşma sıvılarından kaynaklanan su akımlarının dahili olarak yeniden kullanılması öncesinde birim düzeyinde üretilen proses suyunun azaltılması.</w:t>
            </w:r>
          </w:p>
        </w:tc>
        <w:tc>
          <w:tcPr>
            <w:tcW w:w="1844" w:type="pct"/>
          </w:tcPr>
          <w:p w14:paraId="1C9A5AFE" w14:textId="77777777" w:rsidR="00A508A2" w:rsidRPr="00DD0D1F" w:rsidRDefault="00A508A2" w:rsidP="00A508A2">
            <w:pPr>
              <w:pStyle w:val="TableParagraph"/>
              <w:spacing w:before="110"/>
              <w:ind w:left="107" w:right="101"/>
              <w:jc w:val="both"/>
              <w:rPr>
                <w:szCs w:val="24"/>
              </w:rPr>
            </w:pPr>
            <w:r w:rsidRPr="00DD0D1F">
              <w:rPr>
                <w:szCs w:val="24"/>
              </w:rPr>
              <w:t>Genel olarak yeni birimler için uygulanır. Mevcut birimler ile ilgili olarak, uygulanırlık için birimin veya tesisin tamamen yeniden inşası gerekebilir.</w:t>
            </w:r>
          </w:p>
        </w:tc>
      </w:tr>
      <w:tr w:rsidR="00A508A2" w:rsidRPr="00DD0D1F" w14:paraId="18DC51BB" w14:textId="77777777" w:rsidTr="00A508A2">
        <w:trPr>
          <w:trHeight w:val="1610"/>
        </w:trPr>
        <w:tc>
          <w:tcPr>
            <w:tcW w:w="1314" w:type="pct"/>
          </w:tcPr>
          <w:p w14:paraId="19764727" w14:textId="77777777" w:rsidR="00A508A2" w:rsidRPr="00DD0D1F" w:rsidRDefault="00A508A2" w:rsidP="00A508A2">
            <w:pPr>
              <w:pStyle w:val="TableParagraph"/>
              <w:spacing w:before="5"/>
              <w:rPr>
                <w:b/>
                <w:szCs w:val="24"/>
              </w:rPr>
            </w:pPr>
          </w:p>
          <w:p w14:paraId="699458F7" w14:textId="77777777" w:rsidR="00A508A2" w:rsidRPr="00DD0D1F" w:rsidRDefault="00A508A2" w:rsidP="00A508A2">
            <w:pPr>
              <w:pStyle w:val="TableParagraph"/>
              <w:tabs>
                <w:tab w:val="left" w:pos="1948"/>
              </w:tabs>
              <w:ind w:left="467" w:right="101" w:hanging="281"/>
              <w:jc w:val="both"/>
              <w:rPr>
                <w:szCs w:val="24"/>
              </w:rPr>
            </w:pPr>
            <w:r w:rsidRPr="00DD0D1F">
              <w:rPr>
                <w:szCs w:val="24"/>
              </w:rPr>
              <w:t>ii. Kontamine su akımlarının ayrıştırılması amacıyla su ve drenaj sistemi</w:t>
            </w:r>
          </w:p>
          <w:p w14:paraId="7B25E59A" w14:textId="77777777" w:rsidR="00A508A2" w:rsidRPr="00DD0D1F" w:rsidRDefault="00A508A2" w:rsidP="00A508A2">
            <w:pPr>
              <w:pStyle w:val="TableParagraph"/>
              <w:tabs>
                <w:tab w:val="left" w:pos="2012"/>
              </w:tabs>
              <w:ind w:left="467" w:right="98"/>
              <w:jc w:val="both"/>
              <w:rPr>
                <w:szCs w:val="24"/>
              </w:rPr>
            </w:pPr>
          </w:p>
        </w:tc>
        <w:tc>
          <w:tcPr>
            <w:tcW w:w="1842" w:type="pct"/>
          </w:tcPr>
          <w:p w14:paraId="77E63808" w14:textId="77777777" w:rsidR="00A508A2" w:rsidRPr="00DD0D1F" w:rsidRDefault="00A508A2" w:rsidP="00A508A2">
            <w:pPr>
              <w:pStyle w:val="TableParagraph"/>
              <w:ind w:left="107" w:right="97"/>
              <w:jc w:val="both"/>
              <w:rPr>
                <w:szCs w:val="24"/>
              </w:rPr>
            </w:pPr>
            <w:r w:rsidRPr="00DD0D1F">
              <w:rPr>
                <w:szCs w:val="24"/>
              </w:rPr>
              <w:t>Her akımın, örnek olarak açığa çıkan acı suyu (damıtma, parçalama, koklaştırma birimlerinden, vs.) sıyırma birimi gibi uygun ön arıtıma yönlendirmek suretiyle uygun olduğu şekliyle arıtıldığı su yönetiminin optimizasyonu için endüstriyel saha tasarlanması.</w:t>
            </w:r>
          </w:p>
        </w:tc>
        <w:tc>
          <w:tcPr>
            <w:tcW w:w="1844" w:type="pct"/>
          </w:tcPr>
          <w:p w14:paraId="56008B1C" w14:textId="77777777" w:rsidR="00A508A2" w:rsidRPr="00DD0D1F" w:rsidRDefault="00A508A2" w:rsidP="00A508A2">
            <w:pPr>
              <w:pStyle w:val="TableParagraph"/>
              <w:spacing w:before="5"/>
              <w:rPr>
                <w:b/>
                <w:szCs w:val="24"/>
              </w:rPr>
            </w:pPr>
          </w:p>
          <w:p w14:paraId="6DE582EB" w14:textId="77777777" w:rsidR="00A508A2" w:rsidRPr="00DD0D1F" w:rsidRDefault="00A508A2" w:rsidP="00A508A2">
            <w:pPr>
              <w:pStyle w:val="TableParagraph"/>
              <w:ind w:left="107" w:right="101"/>
              <w:jc w:val="both"/>
              <w:rPr>
                <w:szCs w:val="24"/>
              </w:rPr>
            </w:pPr>
            <w:r w:rsidRPr="00DD0D1F">
              <w:rPr>
                <w:szCs w:val="24"/>
              </w:rPr>
              <w:t>Genel olarak yeni birimler için uygulanır. Mevcut birimler ile ilgili olarak, uygulanırlık için birimin veya tesisin tamamen yeniden inşası gerekebilir.</w:t>
            </w:r>
          </w:p>
        </w:tc>
      </w:tr>
      <w:tr w:rsidR="00A508A2" w:rsidRPr="00DD0D1F" w14:paraId="253FA999" w14:textId="77777777" w:rsidTr="00A508A2">
        <w:trPr>
          <w:trHeight w:val="1149"/>
        </w:trPr>
        <w:tc>
          <w:tcPr>
            <w:tcW w:w="1314" w:type="pct"/>
          </w:tcPr>
          <w:p w14:paraId="57383D30" w14:textId="77777777" w:rsidR="00A508A2" w:rsidRPr="00DD0D1F" w:rsidRDefault="00A508A2" w:rsidP="00A508A2">
            <w:pPr>
              <w:pStyle w:val="TableParagraph"/>
              <w:ind w:left="467" w:right="97" w:hanging="336"/>
              <w:jc w:val="both"/>
              <w:rPr>
                <w:szCs w:val="24"/>
              </w:rPr>
            </w:pPr>
            <w:r w:rsidRPr="00DD0D1F">
              <w:rPr>
                <w:szCs w:val="24"/>
              </w:rPr>
              <w:t>iii. Kontamine olmayan su akımlarının (ör. açık devre soğutma, yağmur suyu) ayrıştırılması</w:t>
            </w:r>
          </w:p>
          <w:p w14:paraId="23903481" w14:textId="77777777" w:rsidR="00A508A2" w:rsidRPr="00DD0D1F" w:rsidRDefault="00A508A2" w:rsidP="00A508A2">
            <w:pPr>
              <w:pStyle w:val="TableParagraph"/>
              <w:spacing w:line="216" w:lineRule="exact"/>
              <w:ind w:left="467"/>
              <w:rPr>
                <w:szCs w:val="24"/>
              </w:rPr>
            </w:pPr>
          </w:p>
        </w:tc>
        <w:tc>
          <w:tcPr>
            <w:tcW w:w="1842" w:type="pct"/>
          </w:tcPr>
          <w:p w14:paraId="6E3AF913" w14:textId="77777777" w:rsidR="00A508A2" w:rsidRPr="00DD0D1F" w:rsidRDefault="00A508A2" w:rsidP="00A508A2">
            <w:pPr>
              <w:pStyle w:val="TableParagraph"/>
              <w:ind w:left="107" w:right="95"/>
              <w:jc w:val="both"/>
              <w:rPr>
                <w:szCs w:val="24"/>
              </w:rPr>
            </w:pPr>
            <w:r w:rsidRPr="00DD0D1F">
              <w:rPr>
                <w:szCs w:val="24"/>
              </w:rPr>
              <w:t>Kontamine olmayan suyun genel atık su arıtımına gönderilmemesi ve bu tip akımın muhtemel yeniden kullanımının ardından ayrı bir tahliyenin sağlanması amacına yönelik tasarım</w:t>
            </w:r>
          </w:p>
        </w:tc>
        <w:tc>
          <w:tcPr>
            <w:tcW w:w="1844" w:type="pct"/>
          </w:tcPr>
          <w:p w14:paraId="6772414A" w14:textId="77777777" w:rsidR="00A508A2" w:rsidRPr="00DD0D1F" w:rsidRDefault="00A508A2" w:rsidP="00A508A2">
            <w:pPr>
              <w:pStyle w:val="TableParagraph"/>
              <w:spacing w:before="108"/>
              <w:ind w:left="107" w:right="91"/>
              <w:rPr>
                <w:szCs w:val="24"/>
              </w:rPr>
            </w:pPr>
            <w:r w:rsidRPr="00DD0D1F">
              <w:rPr>
                <w:szCs w:val="24"/>
              </w:rPr>
              <w:t>Genel olarak yeni birimler için uygulanır. Mevcut birimler ile ilgili olarak, uygulanırlık için birimin veya tesisin tamamen yeniden inşası gerekebilir.</w:t>
            </w:r>
          </w:p>
        </w:tc>
      </w:tr>
      <w:tr w:rsidR="00A508A2" w:rsidRPr="00DD0D1F" w14:paraId="11323AC5" w14:textId="77777777" w:rsidTr="00A508A2">
        <w:trPr>
          <w:trHeight w:val="1379"/>
        </w:trPr>
        <w:tc>
          <w:tcPr>
            <w:tcW w:w="1314" w:type="pct"/>
          </w:tcPr>
          <w:p w14:paraId="165A13C6" w14:textId="77777777" w:rsidR="00A508A2" w:rsidRPr="00DD0D1F" w:rsidRDefault="00A508A2" w:rsidP="00A508A2">
            <w:pPr>
              <w:pStyle w:val="TableParagraph"/>
              <w:rPr>
                <w:b/>
                <w:szCs w:val="24"/>
              </w:rPr>
            </w:pPr>
          </w:p>
          <w:p w14:paraId="18B54775" w14:textId="77777777" w:rsidR="00A508A2" w:rsidRPr="00DD0D1F" w:rsidRDefault="00A508A2" w:rsidP="00A508A2">
            <w:pPr>
              <w:pStyle w:val="TableParagraph"/>
              <w:spacing w:before="5"/>
              <w:rPr>
                <w:b/>
                <w:szCs w:val="24"/>
              </w:rPr>
            </w:pPr>
          </w:p>
          <w:p w14:paraId="7D8313A4" w14:textId="6C5666F9" w:rsidR="00A508A2" w:rsidRPr="00DD0D1F" w:rsidRDefault="00A508A2" w:rsidP="003F2A40">
            <w:pPr>
              <w:pStyle w:val="TableParagraph"/>
              <w:tabs>
                <w:tab w:val="left" w:pos="2012"/>
              </w:tabs>
              <w:ind w:left="467" w:right="99" w:hanging="327"/>
              <w:rPr>
                <w:szCs w:val="24"/>
              </w:rPr>
            </w:pPr>
            <w:r w:rsidRPr="00DD0D1F">
              <w:rPr>
                <w:szCs w:val="24"/>
              </w:rPr>
              <w:t xml:space="preserve">iv. </w:t>
            </w:r>
            <w:r w:rsidR="003F2A40" w:rsidRPr="00DD0D1F">
              <w:rPr>
                <w:szCs w:val="24"/>
              </w:rPr>
              <w:t>Dökülme</w:t>
            </w:r>
            <w:r w:rsidRPr="00DD0D1F">
              <w:rPr>
                <w:szCs w:val="24"/>
              </w:rPr>
              <w:t xml:space="preserve"> ve sızıntıların önlenmesi</w:t>
            </w:r>
          </w:p>
        </w:tc>
        <w:tc>
          <w:tcPr>
            <w:tcW w:w="1842" w:type="pct"/>
          </w:tcPr>
          <w:p w14:paraId="28956700" w14:textId="77777777" w:rsidR="00A508A2" w:rsidRPr="00DD0D1F" w:rsidRDefault="00A508A2" w:rsidP="00A508A2">
            <w:pPr>
              <w:pStyle w:val="TableParagraph"/>
              <w:ind w:left="107" w:right="97"/>
              <w:jc w:val="both"/>
              <w:rPr>
                <w:szCs w:val="24"/>
              </w:rPr>
            </w:pPr>
            <w:r w:rsidRPr="00DD0D1F">
              <w:rPr>
                <w:szCs w:val="24"/>
              </w:rPr>
              <w:t>Sızıntılar, bariyer kayıpları, vs. gibi özel durumların yönetilmesi için gerekmesi halinde performansların muhafaza edilmesi amacıyla özel prosedürlerin ve/veya geçici ekipmanların kullanımını da içeren uygulamalar.</w:t>
            </w:r>
          </w:p>
        </w:tc>
        <w:tc>
          <w:tcPr>
            <w:tcW w:w="1844" w:type="pct"/>
          </w:tcPr>
          <w:p w14:paraId="069D3E8D" w14:textId="77777777" w:rsidR="00A508A2" w:rsidRPr="00DD0D1F" w:rsidRDefault="00A508A2" w:rsidP="00A508A2">
            <w:pPr>
              <w:pStyle w:val="TableParagraph"/>
              <w:rPr>
                <w:b/>
                <w:szCs w:val="24"/>
              </w:rPr>
            </w:pPr>
          </w:p>
          <w:p w14:paraId="597548A4" w14:textId="77777777" w:rsidR="00A508A2" w:rsidRPr="00DD0D1F" w:rsidRDefault="00A508A2" w:rsidP="00A508A2">
            <w:pPr>
              <w:pStyle w:val="TableParagraph"/>
              <w:spacing w:before="5"/>
              <w:rPr>
                <w:b/>
                <w:szCs w:val="24"/>
              </w:rPr>
            </w:pPr>
          </w:p>
          <w:p w14:paraId="037095DF" w14:textId="77777777" w:rsidR="00A508A2" w:rsidRPr="00DD0D1F" w:rsidRDefault="00A508A2" w:rsidP="00A508A2">
            <w:pPr>
              <w:pStyle w:val="TableParagraph"/>
              <w:ind w:left="107"/>
              <w:rPr>
                <w:szCs w:val="24"/>
              </w:rPr>
            </w:pPr>
            <w:r w:rsidRPr="00DD0D1F">
              <w:rPr>
                <w:szCs w:val="24"/>
              </w:rPr>
              <w:t>Genel olarak uygulanabilir.</w:t>
            </w:r>
          </w:p>
        </w:tc>
      </w:tr>
    </w:tbl>
    <w:p w14:paraId="4F05583B" w14:textId="159B8720" w:rsidR="00A508A2" w:rsidRPr="00DD0D1F" w:rsidRDefault="00A508A2" w:rsidP="00A508A2">
      <w:pPr>
        <w:spacing w:before="162"/>
        <w:rPr>
          <w:rFonts w:cs="Times New Roman"/>
          <w:b/>
          <w:szCs w:val="24"/>
          <w:lang w:val="tr-TR"/>
        </w:rPr>
      </w:pPr>
      <w:r w:rsidRPr="00DD0D1F">
        <w:rPr>
          <w:rFonts w:cs="Times New Roman"/>
          <w:b/>
          <w:bCs/>
          <w:szCs w:val="24"/>
          <w:lang w:val="tr-TR"/>
        </w:rPr>
        <w:t xml:space="preserve">MET 12: </w:t>
      </w:r>
      <w:r w:rsidRPr="00DD0D1F">
        <w:rPr>
          <w:rFonts w:cs="Times New Roman"/>
          <w:bCs/>
          <w:szCs w:val="24"/>
          <w:lang w:val="tr-TR"/>
        </w:rPr>
        <w:t xml:space="preserve">Alıcı su kütlesine atık su deşarjındaki kirletici yüklerinin emisyon yükünü azaltmak </w:t>
      </w:r>
      <w:r w:rsidR="003F2A40" w:rsidRPr="00DD0D1F">
        <w:rPr>
          <w:rFonts w:cs="Times New Roman"/>
          <w:bCs/>
          <w:szCs w:val="24"/>
          <w:lang w:val="tr-TR"/>
        </w:rPr>
        <w:t>için,</w:t>
      </w:r>
      <w:r w:rsidRPr="00DD0D1F">
        <w:rPr>
          <w:rFonts w:cs="Times New Roman"/>
          <w:bCs/>
          <w:szCs w:val="24"/>
          <w:lang w:val="tr-TR"/>
        </w:rPr>
        <w:t xml:space="preserve"> aşağıda verilen tekniklerin tamamından </w:t>
      </w:r>
      <w:r w:rsidR="003F2A40" w:rsidRPr="00DD0D1F">
        <w:rPr>
          <w:rFonts w:cs="Times New Roman"/>
          <w:bCs/>
          <w:szCs w:val="24"/>
          <w:lang w:val="tr-TR"/>
        </w:rPr>
        <w:t>yararlanılarak</w:t>
      </w:r>
      <w:r w:rsidRPr="00DD0D1F">
        <w:rPr>
          <w:rFonts w:cs="Times New Roman"/>
          <w:bCs/>
          <w:szCs w:val="24"/>
          <w:lang w:val="tr-TR"/>
        </w:rPr>
        <w:t xml:space="preserve"> çözünebilen ve çözünmeyen kirletici maddelerin giderilmesi gerek</w:t>
      </w:r>
      <w:r w:rsidR="003F2A40" w:rsidRPr="00DD0D1F">
        <w:rPr>
          <w:rFonts w:cs="Times New Roman"/>
          <w:bCs/>
          <w:szCs w:val="24"/>
          <w:lang w:val="tr-TR"/>
        </w:rPr>
        <w:t>ir.</w:t>
      </w:r>
    </w:p>
    <w:p w14:paraId="1B169FE9" w14:textId="77777777" w:rsidR="00A508A2" w:rsidRPr="00DD0D1F" w:rsidRDefault="00A508A2" w:rsidP="00A508A2">
      <w:pPr>
        <w:pStyle w:val="GvdeMetni"/>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7"/>
        <w:gridCol w:w="2885"/>
        <w:gridCol w:w="2885"/>
      </w:tblGrid>
      <w:tr w:rsidR="008C5752" w:rsidRPr="00DD0D1F" w14:paraId="424C109F" w14:textId="77777777" w:rsidTr="008C5752">
        <w:trPr>
          <w:trHeight w:val="282"/>
        </w:trPr>
        <w:tc>
          <w:tcPr>
            <w:tcW w:w="1822" w:type="pct"/>
          </w:tcPr>
          <w:p w14:paraId="4E016444" w14:textId="77777777" w:rsidR="008C5752" w:rsidRPr="00DD0D1F" w:rsidRDefault="008C5752" w:rsidP="00A508A2">
            <w:pPr>
              <w:pStyle w:val="TableParagraph"/>
              <w:spacing w:before="24"/>
              <w:ind w:left="983" w:right="996"/>
              <w:jc w:val="center"/>
              <w:rPr>
                <w:b/>
                <w:szCs w:val="24"/>
              </w:rPr>
            </w:pPr>
            <w:r w:rsidRPr="00DD0D1F">
              <w:rPr>
                <w:b/>
                <w:bCs/>
                <w:szCs w:val="24"/>
              </w:rPr>
              <w:t>Teknik</w:t>
            </w:r>
          </w:p>
        </w:tc>
        <w:tc>
          <w:tcPr>
            <w:tcW w:w="1589" w:type="pct"/>
          </w:tcPr>
          <w:p w14:paraId="066D222C" w14:textId="40C0F6C4" w:rsidR="008C5752" w:rsidRPr="00DD0D1F" w:rsidRDefault="008C5752" w:rsidP="00A508A2">
            <w:pPr>
              <w:pStyle w:val="TableParagraph"/>
              <w:spacing w:before="24"/>
              <w:ind w:left="1015"/>
              <w:rPr>
                <w:b/>
                <w:bCs/>
                <w:szCs w:val="24"/>
              </w:rPr>
            </w:pPr>
            <w:r w:rsidRPr="00DD0D1F">
              <w:rPr>
                <w:b/>
                <w:bCs/>
                <w:szCs w:val="24"/>
              </w:rPr>
              <w:t>Tanım</w:t>
            </w:r>
          </w:p>
        </w:tc>
        <w:tc>
          <w:tcPr>
            <w:tcW w:w="1589" w:type="pct"/>
          </w:tcPr>
          <w:p w14:paraId="26706E81" w14:textId="14907F37" w:rsidR="008C5752" w:rsidRPr="00DD0D1F" w:rsidRDefault="008C5752" w:rsidP="00A508A2">
            <w:pPr>
              <w:pStyle w:val="TableParagraph"/>
              <w:spacing w:before="24"/>
              <w:ind w:left="1015"/>
              <w:rPr>
                <w:b/>
                <w:szCs w:val="24"/>
              </w:rPr>
            </w:pPr>
            <w:r w:rsidRPr="00DD0D1F">
              <w:rPr>
                <w:b/>
                <w:bCs/>
                <w:szCs w:val="24"/>
              </w:rPr>
              <w:t>Uygulanabilirlik</w:t>
            </w:r>
          </w:p>
        </w:tc>
      </w:tr>
      <w:tr w:rsidR="008C5752" w:rsidRPr="00DD0D1F" w14:paraId="5ACE9CD9" w14:textId="77777777" w:rsidTr="008C5752">
        <w:trPr>
          <w:trHeight w:val="460"/>
        </w:trPr>
        <w:tc>
          <w:tcPr>
            <w:tcW w:w="1822" w:type="pct"/>
          </w:tcPr>
          <w:p w14:paraId="7B2681B8" w14:textId="77777777" w:rsidR="008C5752" w:rsidRPr="00DD0D1F" w:rsidRDefault="008C5752" w:rsidP="008C5752">
            <w:pPr>
              <w:pStyle w:val="TableParagraph"/>
              <w:tabs>
                <w:tab w:val="left" w:pos="672"/>
              </w:tabs>
              <w:spacing w:line="228" w:lineRule="exact"/>
              <w:ind w:left="672" w:right="273" w:hanging="390"/>
              <w:rPr>
                <w:szCs w:val="24"/>
              </w:rPr>
            </w:pPr>
            <w:r w:rsidRPr="00DD0D1F">
              <w:rPr>
                <w:szCs w:val="24"/>
              </w:rPr>
              <w:t>i.</w:t>
            </w:r>
            <w:r w:rsidRPr="00DD0D1F">
              <w:rPr>
                <w:szCs w:val="24"/>
              </w:rPr>
              <w:tab/>
              <w:t>Petrolün geri kazanımını sağlayarak çözünemeyen maddelerin giderilmesi</w:t>
            </w:r>
          </w:p>
        </w:tc>
        <w:tc>
          <w:tcPr>
            <w:tcW w:w="1589" w:type="pct"/>
          </w:tcPr>
          <w:p w14:paraId="4A34AFBA" w14:textId="00E8E3E4" w:rsidR="008C5752" w:rsidRPr="00DD0D1F" w:rsidRDefault="008C5752" w:rsidP="008C5752">
            <w:pPr>
              <w:pStyle w:val="TableParagraph"/>
              <w:spacing w:before="110"/>
              <w:rPr>
                <w:szCs w:val="24"/>
              </w:rPr>
            </w:pPr>
            <w:r w:rsidRPr="00DD0D1F">
              <w:rPr>
                <w:szCs w:val="24"/>
              </w:rPr>
              <w:t>Bölüm 1.21.2 bakınız.</w:t>
            </w:r>
          </w:p>
        </w:tc>
        <w:tc>
          <w:tcPr>
            <w:tcW w:w="1589" w:type="pct"/>
          </w:tcPr>
          <w:p w14:paraId="0F4B6782" w14:textId="23C4A683" w:rsidR="008C5752" w:rsidRPr="00DD0D1F" w:rsidRDefault="008C5752" w:rsidP="008C5752">
            <w:pPr>
              <w:pStyle w:val="TableParagraph"/>
              <w:spacing w:before="110"/>
              <w:ind w:left="110"/>
              <w:rPr>
                <w:szCs w:val="24"/>
              </w:rPr>
            </w:pPr>
            <w:r w:rsidRPr="00DD0D1F">
              <w:rPr>
                <w:szCs w:val="24"/>
              </w:rPr>
              <w:t>Genel olarak uygulanabilir</w:t>
            </w:r>
          </w:p>
        </w:tc>
      </w:tr>
      <w:tr w:rsidR="008C5752" w:rsidRPr="00DD0D1F" w14:paraId="69BA8C4C" w14:textId="77777777" w:rsidTr="008C5752">
        <w:trPr>
          <w:trHeight w:val="690"/>
        </w:trPr>
        <w:tc>
          <w:tcPr>
            <w:tcW w:w="1822" w:type="pct"/>
          </w:tcPr>
          <w:p w14:paraId="43641AA2" w14:textId="77777777" w:rsidR="008C5752" w:rsidRPr="00DD0D1F" w:rsidRDefault="008C5752" w:rsidP="008C5752">
            <w:pPr>
              <w:pStyle w:val="TableParagraph"/>
              <w:tabs>
                <w:tab w:val="left" w:pos="672"/>
              </w:tabs>
              <w:ind w:left="672" w:right="273" w:hanging="445"/>
              <w:rPr>
                <w:szCs w:val="24"/>
              </w:rPr>
            </w:pPr>
            <w:r w:rsidRPr="00DD0D1F">
              <w:rPr>
                <w:szCs w:val="24"/>
              </w:rPr>
              <w:t>ii.</w:t>
            </w:r>
            <w:r w:rsidRPr="00DD0D1F">
              <w:rPr>
                <w:szCs w:val="24"/>
              </w:rPr>
              <w:tab/>
              <w:t>Askıdaki katıların ve dağınık petrolün geri kazanımını sağlayarak çözünemeyen maddelerin giderilmesi</w:t>
            </w:r>
          </w:p>
        </w:tc>
        <w:tc>
          <w:tcPr>
            <w:tcW w:w="1589" w:type="pct"/>
          </w:tcPr>
          <w:p w14:paraId="40B709BE" w14:textId="2BE5943C" w:rsidR="008C5752" w:rsidRPr="00DD0D1F" w:rsidRDefault="008C5752" w:rsidP="008C5752">
            <w:pPr>
              <w:pStyle w:val="TableParagraph"/>
              <w:spacing w:before="5"/>
              <w:rPr>
                <w:b/>
                <w:szCs w:val="24"/>
              </w:rPr>
            </w:pPr>
            <w:r w:rsidRPr="00DD0D1F">
              <w:rPr>
                <w:szCs w:val="24"/>
              </w:rPr>
              <w:t>Bölüm 1.21.2 bakınız.</w:t>
            </w:r>
          </w:p>
        </w:tc>
        <w:tc>
          <w:tcPr>
            <w:tcW w:w="1589" w:type="pct"/>
          </w:tcPr>
          <w:p w14:paraId="725E7E9B" w14:textId="62465EFD" w:rsidR="008C5752" w:rsidRPr="00DD0D1F" w:rsidRDefault="008C5752" w:rsidP="008C5752">
            <w:pPr>
              <w:pStyle w:val="TableParagraph"/>
              <w:spacing w:before="5"/>
              <w:rPr>
                <w:b/>
                <w:szCs w:val="24"/>
              </w:rPr>
            </w:pPr>
          </w:p>
          <w:p w14:paraId="2E2C04A2" w14:textId="77777777" w:rsidR="008C5752" w:rsidRPr="00DD0D1F" w:rsidRDefault="008C5752" w:rsidP="008C5752">
            <w:pPr>
              <w:pStyle w:val="TableParagraph"/>
              <w:ind w:left="110"/>
              <w:rPr>
                <w:szCs w:val="24"/>
              </w:rPr>
            </w:pPr>
            <w:r w:rsidRPr="00DD0D1F">
              <w:rPr>
                <w:szCs w:val="24"/>
              </w:rPr>
              <w:t>Genel olarak uygulanabilir</w:t>
            </w:r>
          </w:p>
        </w:tc>
      </w:tr>
      <w:tr w:rsidR="008C5752" w:rsidRPr="00DD0D1F" w14:paraId="23BCB0E0" w14:textId="77777777" w:rsidTr="008C5752">
        <w:trPr>
          <w:trHeight w:val="473"/>
        </w:trPr>
        <w:tc>
          <w:tcPr>
            <w:tcW w:w="1822" w:type="pct"/>
          </w:tcPr>
          <w:p w14:paraId="34A52A75" w14:textId="77777777" w:rsidR="008C5752" w:rsidRPr="00DD0D1F" w:rsidRDefault="008C5752" w:rsidP="008C5752">
            <w:pPr>
              <w:pStyle w:val="TableParagraph"/>
              <w:tabs>
                <w:tab w:val="left" w:pos="672"/>
              </w:tabs>
              <w:ind w:left="672" w:right="273" w:hanging="503"/>
              <w:rPr>
                <w:szCs w:val="24"/>
              </w:rPr>
            </w:pPr>
            <w:r w:rsidRPr="00DD0D1F">
              <w:rPr>
                <w:szCs w:val="24"/>
              </w:rPr>
              <w:t>iii.</w:t>
            </w:r>
            <w:r w:rsidRPr="00DD0D1F">
              <w:rPr>
                <w:szCs w:val="24"/>
              </w:rPr>
              <w:tab/>
              <w:t xml:space="preserve">Biyolojik arıtma ve durultma da dahil olmak üzere çözünebilen maddelerin giderilmesi </w:t>
            </w:r>
          </w:p>
        </w:tc>
        <w:tc>
          <w:tcPr>
            <w:tcW w:w="1589" w:type="pct"/>
          </w:tcPr>
          <w:p w14:paraId="45B773F0" w14:textId="0C7BC7D4" w:rsidR="008C5752" w:rsidRPr="00DD0D1F" w:rsidRDefault="008C5752" w:rsidP="008C5752">
            <w:pPr>
              <w:pStyle w:val="TableParagraph"/>
              <w:spacing w:before="5"/>
              <w:rPr>
                <w:b/>
                <w:szCs w:val="24"/>
              </w:rPr>
            </w:pPr>
            <w:r w:rsidRPr="00DD0D1F">
              <w:rPr>
                <w:szCs w:val="24"/>
              </w:rPr>
              <w:t>Bölüm 1.21.2 bakınız.</w:t>
            </w:r>
          </w:p>
        </w:tc>
        <w:tc>
          <w:tcPr>
            <w:tcW w:w="1589" w:type="pct"/>
          </w:tcPr>
          <w:p w14:paraId="3F5AA518" w14:textId="48FDA533" w:rsidR="008C5752" w:rsidRPr="00DD0D1F" w:rsidRDefault="008C5752" w:rsidP="008C5752">
            <w:pPr>
              <w:pStyle w:val="TableParagraph"/>
              <w:spacing w:before="5"/>
              <w:rPr>
                <w:b/>
                <w:szCs w:val="24"/>
              </w:rPr>
            </w:pPr>
          </w:p>
          <w:p w14:paraId="137C545A" w14:textId="77777777" w:rsidR="008C5752" w:rsidRPr="00DD0D1F" w:rsidRDefault="008C5752" w:rsidP="008C5752">
            <w:pPr>
              <w:pStyle w:val="TableParagraph"/>
              <w:ind w:left="110"/>
              <w:rPr>
                <w:szCs w:val="24"/>
              </w:rPr>
            </w:pPr>
            <w:r w:rsidRPr="00DD0D1F">
              <w:rPr>
                <w:szCs w:val="24"/>
              </w:rPr>
              <w:t>Genel olarak uygulanabilir</w:t>
            </w:r>
          </w:p>
        </w:tc>
      </w:tr>
    </w:tbl>
    <w:p w14:paraId="18DA5359" w14:textId="77777777" w:rsidR="00A508A2" w:rsidRPr="00DD0D1F" w:rsidRDefault="00A508A2" w:rsidP="00A508A2">
      <w:pPr>
        <w:pStyle w:val="GvdeMetni"/>
        <w:spacing w:before="6"/>
        <w:rPr>
          <w:b/>
          <w:sz w:val="24"/>
          <w:szCs w:val="24"/>
        </w:rPr>
      </w:pPr>
    </w:p>
    <w:p w14:paraId="2D993A4A" w14:textId="77777777" w:rsidR="00A508A2" w:rsidRPr="00DD0D1F" w:rsidRDefault="00A508A2" w:rsidP="00DD0D1F">
      <w:pPr>
        <w:pStyle w:val="Balk5"/>
        <w:numPr>
          <w:ilvl w:val="0"/>
          <w:numId w:val="0"/>
        </w:numPr>
        <w:tabs>
          <w:tab w:val="left" w:pos="1585"/>
        </w:tabs>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13: Organik maddelerin ve azotun ileri düzeyde giderilmesinin gerekmesi halinde, aşağıda açıklanan ilave arıtma adımlarından yararlanılır.</w:t>
      </w:r>
    </w:p>
    <w:p w14:paraId="6A5E0544" w14:textId="77777777" w:rsidR="00A508A2" w:rsidRPr="00DD0D1F" w:rsidRDefault="00A508A2" w:rsidP="00DD0D1F">
      <w:pPr>
        <w:pStyle w:val="Balk5"/>
        <w:numPr>
          <w:ilvl w:val="0"/>
          <w:numId w:val="0"/>
        </w:numPr>
        <w:tabs>
          <w:tab w:val="left" w:pos="1585"/>
        </w:tabs>
        <w:rPr>
          <w:rFonts w:ascii="Times New Roman" w:hAnsi="Times New Roman" w:cs="Times New Roman"/>
          <w:color w:val="auto"/>
          <w:szCs w:val="24"/>
          <w:lang w:val="tr-TR"/>
        </w:rPr>
      </w:pPr>
    </w:p>
    <w:p w14:paraId="33FD007C" w14:textId="77777777" w:rsidR="00A508A2" w:rsidRPr="00DD0D1F" w:rsidRDefault="00A508A2" w:rsidP="00FF111D">
      <w:pPr>
        <w:pStyle w:val="Balk5"/>
        <w:keepNext w:val="0"/>
        <w:keepLines w:val="0"/>
        <w:widowControl w:val="0"/>
        <w:numPr>
          <w:ilvl w:val="0"/>
          <w:numId w:val="109"/>
        </w:numPr>
        <w:tabs>
          <w:tab w:val="left" w:pos="1585"/>
        </w:tabs>
        <w:autoSpaceDE w:val="0"/>
        <w:autoSpaceDN w:val="0"/>
        <w:spacing w:before="0"/>
        <w:ind w:left="360"/>
        <w:rPr>
          <w:rFonts w:ascii="Times New Roman" w:hAnsi="Times New Roman" w:cs="Times New Roman"/>
          <w:b/>
          <w:bCs/>
          <w:color w:val="auto"/>
          <w:szCs w:val="24"/>
          <w:lang w:val="tr-TR"/>
        </w:rPr>
      </w:pPr>
      <w:r w:rsidRPr="00DD0D1F">
        <w:rPr>
          <w:rFonts w:ascii="Times New Roman" w:hAnsi="Times New Roman" w:cs="Times New Roman"/>
          <w:color w:val="auto"/>
          <w:szCs w:val="24"/>
          <w:lang w:val="tr-TR"/>
        </w:rPr>
        <w:t>Yağı geri kazanarak çözünmeyen maddelerin uzaklaştırılması.</w:t>
      </w:r>
    </w:p>
    <w:p w14:paraId="0C08556A" w14:textId="77777777" w:rsidR="00A508A2" w:rsidRPr="00DD0D1F" w:rsidRDefault="00A508A2" w:rsidP="00FF111D">
      <w:pPr>
        <w:pStyle w:val="Balk5"/>
        <w:keepNext w:val="0"/>
        <w:keepLines w:val="0"/>
        <w:widowControl w:val="0"/>
        <w:numPr>
          <w:ilvl w:val="0"/>
          <w:numId w:val="109"/>
        </w:numPr>
        <w:tabs>
          <w:tab w:val="left" w:pos="1585"/>
        </w:tabs>
        <w:autoSpaceDE w:val="0"/>
        <w:autoSpaceDN w:val="0"/>
        <w:spacing w:before="0"/>
        <w:ind w:left="360"/>
        <w:rPr>
          <w:rFonts w:ascii="Times New Roman" w:hAnsi="Times New Roman" w:cs="Times New Roman"/>
          <w:b/>
          <w:bCs/>
          <w:color w:val="auto"/>
          <w:szCs w:val="24"/>
          <w:lang w:val="tr-TR"/>
        </w:rPr>
      </w:pPr>
      <w:r w:rsidRPr="00DD0D1F">
        <w:rPr>
          <w:rFonts w:ascii="Times New Roman" w:hAnsi="Times New Roman" w:cs="Times New Roman"/>
          <w:color w:val="auto"/>
          <w:szCs w:val="24"/>
          <w:lang w:val="tr-TR"/>
        </w:rPr>
        <w:t>Askıda katı ve dağılmış yağın geri kazanılmasıyla çözünmeyen maddelerin uzaklaştırılması</w:t>
      </w:r>
    </w:p>
    <w:p w14:paraId="36C1781C" w14:textId="77777777" w:rsidR="00A508A2" w:rsidRPr="00DD0D1F" w:rsidRDefault="00A508A2" w:rsidP="00FF111D">
      <w:pPr>
        <w:pStyle w:val="Balk5"/>
        <w:keepNext w:val="0"/>
        <w:keepLines w:val="0"/>
        <w:widowControl w:val="0"/>
        <w:numPr>
          <w:ilvl w:val="0"/>
          <w:numId w:val="109"/>
        </w:numPr>
        <w:tabs>
          <w:tab w:val="left" w:pos="1585"/>
        </w:tabs>
        <w:autoSpaceDE w:val="0"/>
        <w:autoSpaceDN w:val="0"/>
        <w:spacing w:before="0"/>
        <w:ind w:left="360"/>
        <w:rPr>
          <w:rFonts w:ascii="Times New Roman" w:hAnsi="Times New Roman" w:cs="Times New Roman"/>
          <w:b/>
          <w:bCs/>
          <w:color w:val="auto"/>
          <w:szCs w:val="24"/>
          <w:lang w:val="tr-TR"/>
        </w:rPr>
      </w:pPr>
      <w:r w:rsidRPr="00DD0D1F">
        <w:rPr>
          <w:rFonts w:ascii="Times New Roman" w:hAnsi="Times New Roman" w:cs="Times New Roman"/>
          <w:color w:val="auto"/>
          <w:szCs w:val="24"/>
          <w:lang w:val="tr-TR"/>
        </w:rPr>
        <w:t>Biyolojik arıtma ve arıtma dahil olmak üzere çözünür maddelerin uzaklaştırılması</w:t>
      </w:r>
    </w:p>
    <w:p w14:paraId="37299148" w14:textId="77777777" w:rsidR="00A508A2" w:rsidRPr="00DD0D1F" w:rsidRDefault="00A508A2" w:rsidP="00DD0D1F">
      <w:pPr>
        <w:pStyle w:val="Balk5"/>
        <w:numPr>
          <w:ilvl w:val="0"/>
          <w:numId w:val="0"/>
        </w:numPr>
        <w:tabs>
          <w:tab w:val="left" w:pos="1585"/>
        </w:tabs>
        <w:rPr>
          <w:rFonts w:ascii="Times New Roman" w:hAnsi="Times New Roman" w:cs="Times New Roman"/>
          <w:color w:val="auto"/>
          <w:szCs w:val="24"/>
          <w:lang w:val="tr-TR"/>
        </w:rPr>
      </w:pPr>
    </w:p>
    <w:p w14:paraId="50B73918" w14:textId="77777777" w:rsidR="00A508A2" w:rsidRPr="00DD0D1F" w:rsidRDefault="00A508A2" w:rsidP="00A508A2">
      <w:pPr>
        <w:pStyle w:val="ResimYazs"/>
        <w:rPr>
          <w:rFonts w:cs="Times New Roman"/>
          <w:color w:val="auto"/>
          <w:szCs w:val="24"/>
          <w:lang w:val="tr-TR"/>
        </w:rPr>
      </w:pPr>
      <w:r w:rsidRPr="00DD0D1F">
        <w:rPr>
          <w:rFonts w:cs="Times New Roman"/>
          <w:bCs/>
          <w:color w:val="auto"/>
          <w:szCs w:val="24"/>
          <w:lang w:val="tr-TR"/>
        </w:rPr>
        <w:t>Madeni yağın rafine edilmesinden kaynaklanan doğrudan atık su deşarjları bağlamındaki MET ile ilişkili emisyon düzeyleri ve MET ile ilişkili izleme sıklıkları (</w:t>
      </w:r>
      <w:r w:rsidRPr="00DD0D1F">
        <w:rPr>
          <w:rFonts w:cs="Times New Roman"/>
          <w:bCs/>
          <w:color w:val="auto"/>
          <w:szCs w:val="24"/>
          <w:vertAlign w:val="superscript"/>
          <w:lang w:val="tr-TR"/>
        </w:rPr>
        <w:t>1</w:t>
      </w:r>
      <w:r w:rsidRPr="00DD0D1F">
        <w:rPr>
          <w:rFonts w:cs="Times New Roman"/>
          <w:bCs/>
          <w:color w:val="auto"/>
          <w:szCs w:val="24"/>
          <w:lang w:val="tr-TR"/>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7"/>
        <w:gridCol w:w="868"/>
        <w:gridCol w:w="2636"/>
        <w:gridCol w:w="2876"/>
      </w:tblGrid>
      <w:tr w:rsidR="00A508A2" w:rsidRPr="00DD0D1F" w14:paraId="0B90834B" w14:textId="77777777" w:rsidTr="00A508A2">
        <w:trPr>
          <w:trHeight w:val="373"/>
        </w:trPr>
        <w:tc>
          <w:tcPr>
            <w:tcW w:w="1486" w:type="pct"/>
          </w:tcPr>
          <w:p w14:paraId="20162191" w14:textId="77777777" w:rsidR="00A508A2" w:rsidRPr="00DD0D1F" w:rsidRDefault="00A508A2" w:rsidP="00A508A2">
            <w:pPr>
              <w:pStyle w:val="TableParagraph"/>
              <w:rPr>
                <w:b/>
                <w:szCs w:val="24"/>
              </w:rPr>
            </w:pPr>
          </w:p>
          <w:p w14:paraId="0C1274F8" w14:textId="77777777" w:rsidR="00A508A2" w:rsidRPr="00DD0D1F" w:rsidRDefault="00A508A2" w:rsidP="00A508A2">
            <w:pPr>
              <w:pStyle w:val="TableParagraph"/>
              <w:ind w:left="97" w:right="90"/>
              <w:jc w:val="center"/>
              <w:rPr>
                <w:b/>
                <w:szCs w:val="24"/>
              </w:rPr>
            </w:pPr>
            <w:r w:rsidRPr="00DD0D1F">
              <w:rPr>
                <w:b/>
                <w:bCs/>
                <w:szCs w:val="24"/>
              </w:rPr>
              <w:t>Parametre</w:t>
            </w:r>
          </w:p>
        </w:tc>
        <w:tc>
          <w:tcPr>
            <w:tcW w:w="478" w:type="pct"/>
          </w:tcPr>
          <w:p w14:paraId="3B1E17E6" w14:textId="77777777" w:rsidR="00A508A2" w:rsidRPr="00DD0D1F" w:rsidRDefault="00A508A2" w:rsidP="00A508A2">
            <w:pPr>
              <w:pStyle w:val="TableParagraph"/>
              <w:rPr>
                <w:b/>
                <w:szCs w:val="24"/>
              </w:rPr>
            </w:pPr>
          </w:p>
          <w:p w14:paraId="0C87A92D" w14:textId="77777777" w:rsidR="00A508A2" w:rsidRPr="00DD0D1F" w:rsidRDefault="00A508A2" w:rsidP="00A508A2">
            <w:pPr>
              <w:pStyle w:val="TableParagraph"/>
              <w:ind w:left="101" w:right="91"/>
              <w:jc w:val="center"/>
              <w:rPr>
                <w:b/>
                <w:szCs w:val="24"/>
              </w:rPr>
            </w:pPr>
            <w:r w:rsidRPr="00DD0D1F">
              <w:rPr>
                <w:b/>
                <w:bCs/>
                <w:szCs w:val="24"/>
              </w:rPr>
              <w:t>Birim</w:t>
            </w:r>
          </w:p>
        </w:tc>
        <w:tc>
          <w:tcPr>
            <w:tcW w:w="1452" w:type="pct"/>
          </w:tcPr>
          <w:p w14:paraId="4B71D5ED" w14:textId="0304FD20" w:rsidR="00A508A2" w:rsidRPr="00DD0D1F" w:rsidRDefault="007D7613" w:rsidP="00A508A2">
            <w:pPr>
              <w:pStyle w:val="TableParagraph"/>
              <w:ind w:left="485" w:right="476"/>
              <w:jc w:val="center"/>
              <w:rPr>
                <w:b/>
                <w:szCs w:val="24"/>
              </w:rPr>
            </w:pPr>
            <w:r w:rsidRPr="00DD0D1F">
              <w:rPr>
                <w:b/>
                <w:bCs/>
                <w:szCs w:val="24"/>
              </w:rPr>
              <w:t>MET_İES</w:t>
            </w:r>
          </w:p>
          <w:p w14:paraId="6928AFE0" w14:textId="77777777" w:rsidR="00A508A2" w:rsidRPr="00DD0D1F" w:rsidRDefault="00A508A2" w:rsidP="00A508A2">
            <w:pPr>
              <w:pStyle w:val="TableParagraph"/>
              <w:ind w:left="486" w:right="476"/>
              <w:jc w:val="center"/>
              <w:rPr>
                <w:b/>
                <w:szCs w:val="24"/>
              </w:rPr>
            </w:pPr>
            <w:r w:rsidRPr="00DD0D1F">
              <w:rPr>
                <w:b/>
                <w:bCs/>
                <w:szCs w:val="24"/>
              </w:rPr>
              <w:t>(yıllık ortalama)</w:t>
            </w:r>
          </w:p>
        </w:tc>
        <w:tc>
          <w:tcPr>
            <w:tcW w:w="1585" w:type="pct"/>
          </w:tcPr>
          <w:p w14:paraId="58F008DA" w14:textId="77777777" w:rsidR="00A508A2" w:rsidRPr="00DD0D1F" w:rsidRDefault="00A508A2" w:rsidP="00A508A2">
            <w:pPr>
              <w:pStyle w:val="TableParagraph"/>
              <w:spacing w:line="223" w:lineRule="exact"/>
              <w:ind w:left="152" w:right="144"/>
              <w:jc w:val="center"/>
              <w:rPr>
                <w:b/>
                <w:szCs w:val="24"/>
              </w:rPr>
            </w:pPr>
            <w:r w:rsidRPr="00DD0D1F">
              <w:rPr>
                <w:b/>
                <w:bCs/>
                <w:szCs w:val="24"/>
              </w:rPr>
              <w:t xml:space="preserve">İzleme </w:t>
            </w:r>
            <w:r w:rsidRPr="00DD0D1F">
              <w:rPr>
                <w:szCs w:val="24"/>
              </w:rPr>
              <w:t>(</w:t>
            </w:r>
            <w:r w:rsidRPr="00DD0D1F">
              <w:rPr>
                <w:szCs w:val="24"/>
                <w:vertAlign w:val="superscript"/>
              </w:rPr>
              <w:t>2</w:t>
            </w:r>
            <w:r w:rsidRPr="00DD0D1F">
              <w:rPr>
                <w:szCs w:val="24"/>
              </w:rPr>
              <w:t xml:space="preserve">) </w:t>
            </w:r>
            <w:r w:rsidRPr="00DD0D1F">
              <w:rPr>
                <w:b/>
                <w:bCs/>
                <w:szCs w:val="24"/>
              </w:rPr>
              <w:t>sıklığı ve analitik yöntem (standart)</w:t>
            </w:r>
          </w:p>
        </w:tc>
      </w:tr>
      <w:tr w:rsidR="00A508A2" w:rsidRPr="00DD0D1F" w14:paraId="04E5FA2A" w14:textId="77777777" w:rsidTr="00A508A2">
        <w:trPr>
          <w:trHeight w:val="460"/>
        </w:trPr>
        <w:tc>
          <w:tcPr>
            <w:tcW w:w="1486" w:type="pct"/>
          </w:tcPr>
          <w:p w14:paraId="42097D88" w14:textId="77777777" w:rsidR="00A508A2" w:rsidRPr="00DD0D1F" w:rsidRDefault="00A508A2" w:rsidP="00A508A2">
            <w:pPr>
              <w:pStyle w:val="TableParagraph"/>
              <w:spacing w:line="225" w:lineRule="exact"/>
              <w:ind w:left="98" w:right="88"/>
              <w:jc w:val="center"/>
              <w:rPr>
                <w:szCs w:val="24"/>
              </w:rPr>
            </w:pPr>
            <w:r w:rsidRPr="00DD0D1F">
              <w:rPr>
                <w:szCs w:val="24"/>
              </w:rPr>
              <w:t>Hidrokarbon yağ indeksi</w:t>
            </w:r>
          </w:p>
          <w:p w14:paraId="0121A779" w14:textId="77777777" w:rsidR="00A508A2" w:rsidRPr="00DD0D1F" w:rsidRDefault="00A508A2" w:rsidP="00A508A2">
            <w:pPr>
              <w:pStyle w:val="TableParagraph"/>
              <w:spacing w:line="216" w:lineRule="exact"/>
              <w:ind w:left="98" w:right="88"/>
              <w:jc w:val="center"/>
              <w:rPr>
                <w:szCs w:val="24"/>
              </w:rPr>
            </w:pPr>
            <w:r w:rsidRPr="00DD0D1F">
              <w:rPr>
                <w:szCs w:val="24"/>
              </w:rPr>
              <w:t>(HOI)</w:t>
            </w:r>
          </w:p>
        </w:tc>
        <w:tc>
          <w:tcPr>
            <w:tcW w:w="478" w:type="pct"/>
          </w:tcPr>
          <w:p w14:paraId="03227100" w14:textId="77777777" w:rsidR="00A508A2" w:rsidRPr="00DD0D1F" w:rsidRDefault="00A508A2" w:rsidP="00A508A2">
            <w:pPr>
              <w:pStyle w:val="TableParagraph"/>
              <w:spacing w:before="110"/>
              <w:ind w:left="99" w:right="91"/>
              <w:jc w:val="center"/>
              <w:rPr>
                <w:szCs w:val="24"/>
              </w:rPr>
            </w:pPr>
            <w:r w:rsidRPr="00DD0D1F">
              <w:rPr>
                <w:szCs w:val="24"/>
              </w:rPr>
              <w:t>mg/l</w:t>
            </w:r>
          </w:p>
        </w:tc>
        <w:tc>
          <w:tcPr>
            <w:tcW w:w="1452" w:type="pct"/>
          </w:tcPr>
          <w:p w14:paraId="5B55CEA3" w14:textId="77777777" w:rsidR="00A508A2" w:rsidRPr="00DD0D1F" w:rsidRDefault="00A508A2" w:rsidP="00A508A2">
            <w:pPr>
              <w:pStyle w:val="TableParagraph"/>
              <w:spacing w:before="110"/>
              <w:ind w:left="486" w:right="475"/>
              <w:jc w:val="center"/>
              <w:rPr>
                <w:szCs w:val="24"/>
              </w:rPr>
            </w:pPr>
            <w:r w:rsidRPr="00DD0D1F">
              <w:rPr>
                <w:szCs w:val="24"/>
              </w:rPr>
              <w:t>0,1 – 2,5</w:t>
            </w:r>
          </w:p>
        </w:tc>
        <w:tc>
          <w:tcPr>
            <w:tcW w:w="1585" w:type="pct"/>
          </w:tcPr>
          <w:p w14:paraId="05E52D0D" w14:textId="77777777" w:rsidR="00A508A2" w:rsidRPr="00DD0D1F" w:rsidRDefault="00A508A2" w:rsidP="00A508A2">
            <w:pPr>
              <w:pStyle w:val="TableParagraph"/>
              <w:spacing w:line="225" w:lineRule="exact"/>
              <w:ind w:left="152" w:right="143"/>
              <w:jc w:val="center"/>
              <w:rPr>
                <w:szCs w:val="24"/>
              </w:rPr>
            </w:pPr>
            <w:r w:rsidRPr="00DD0D1F">
              <w:rPr>
                <w:szCs w:val="24"/>
              </w:rPr>
              <w:t>Günlük</w:t>
            </w:r>
          </w:p>
          <w:p w14:paraId="43FE112E" w14:textId="77777777" w:rsidR="00A508A2" w:rsidRPr="00DD0D1F" w:rsidRDefault="00A508A2" w:rsidP="00A508A2">
            <w:pPr>
              <w:pStyle w:val="TableParagraph"/>
              <w:spacing w:line="216" w:lineRule="exact"/>
              <w:ind w:left="151" w:right="144"/>
              <w:jc w:val="center"/>
              <w:rPr>
                <w:szCs w:val="24"/>
              </w:rPr>
            </w:pPr>
            <w:r w:rsidRPr="00DD0D1F">
              <w:rPr>
                <w:szCs w:val="24"/>
              </w:rPr>
              <w:t>EN 9377- 2 (</w:t>
            </w:r>
            <w:r w:rsidRPr="00DD0D1F">
              <w:rPr>
                <w:szCs w:val="24"/>
                <w:vertAlign w:val="superscript"/>
              </w:rPr>
              <w:t>3</w:t>
            </w:r>
            <w:r w:rsidRPr="00DD0D1F">
              <w:rPr>
                <w:szCs w:val="24"/>
              </w:rPr>
              <w:t>)</w:t>
            </w:r>
          </w:p>
        </w:tc>
      </w:tr>
      <w:tr w:rsidR="00A508A2" w:rsidRPr="00DD0D1F" w14:paraId="60FF6106" w14:textId="77777777" w:rsidTr="00A508A2">
        <w:trPr>
          <w:trHeight w:val="460"/>
        </w:trPr>
        <w:tc>
          <w:tcPr>
            <w:tcW w:w="1486" w:type="pct"/>
          </w:tcPr>
          <w:p w14:paraId="05BAD8AE" w14:textId="77777777" w:rsidR="00A508A2" w:rsidRPr="00DD0D1F" w:rsidRDefault="00A508A2" w:rsidP="00A508A2">
            <w:pPr>
              <w:pStyle w:val="TableParagraph"/>
              <w:spacing w:line="223" w:lineRule="exact"/>
              <w:ind w:left="98" w:right="90"/>
              <w:jc w:val="center"/>
              <w:rPr>
                <w:szCs w:val="24"/>
              </w:rPr>
            </w:pPr>
            <w:r w:rsidRPr="00DD0D1F">
              <w:rPr>
                <w:szCs w:val="24"/>
              </w:rPr>
              <w:t>Toplam askıdaki katılar</w:t>
            </w:r>
          </w:p>
          <w:p w14:paraId="6C174042" w14:textId="77777777" w:rsidR="00A508A2" w:rsidRPr="00DD0D1F" w:rsidRDefault="00A508A2" w:rsidP="00A508A2">
            <w:pPr>
              <w:pStyle w:val="TableParagraph"/>
              <w:spacing w:line="217" w:lineRule="exact"/>
              <w:ind w:left="98" w:right="88"/>
              <w:jc w:val="center"/>
              <w:rPr>
                <w:szCs w:val="24"/>
              </w:rPr>
            </w:pPr>
            <w:r w:rsidRPr="00DD0D1F">
              <w:rPr>
                <w:szCs w:val="24"/>
              </w:rPr>
              <w:t>(TSS)</w:t>
            </w:r>
          </w:p>
        </w:tc>
        <w:tc>
          <w:tcPr>
            <w:tcW w:w="478" w:type="pct"/>
          </w:tcPr>
          <w:p w14:paraId="530914E5"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1E7364D8" w14:textId="77777777" w:rsidR="00A508A2" w:rsidRPr="00DD0D1F" w:rsidRDefault="00A508A2" w:rsidP="00A508A2">
            <w:pPr>
              <w:pStyle w:val="TableParagraph"/>
              <w:spacing w:before="108"/>
              <w:ind w:left="486" w:right="476"/>
              <w:jc w:val="center"/>
              <w:rPr>
                <w:szCs w:val="24"/>
              </w:rPr>
            </w:pPr>
            <w:r w:rsidRPr="00DD0D1F">
              <w:rPr>
                <w:szCs w:val="24"/>
              </w:rPr>
              <w:t>5 – 25</w:t>
            </w:r>
          </w:p>
        </w:tc>
        <w:tc>
          <w:tcPr>
            <w:tcW w:w="1585" w:type="pct"/>
          </w:tcPr>
          <w:p w14:paraId="4BF0692A" w14:textId="77777777" w:rsidR="00A508A2" w:rsidRPr="00DD0D1F" w:rsidRDefault="00A508A2" w:rsidP="00A508A2">
            <w:pPr>
              <w:pStyle w:val="TableParagraph"/>
              <w:spacing w:before="108"/>
              <w:ind w:left="152" w:right="143"/>
              <w:jc w:val="center"/>
              <w:rPr>
                <w:szCs w:val="24"/>
              </w:rPr>
            </w:pPr>
            <w:r w:rsidRPr="00DD0D1F">
              <w:rPr>
                <w:szCs w:val="24"/>
              </w:rPr>
              <w:t>Günlük</w:t>
            </w:r>
          </w:p>
        </w:tc>
      </w:tr>
      <w:tr w:rsidR="00A508A2" w:rsidRPr="00DD0D1F" w14:paraId="1AC043F4" w14:textId="77777777" w:rsidTr="00A508A2">
        <w:trPr>
          <w:trHeight w:val="460"/>
        </w:trPr>
        <w:tc>
          <w:tcPr>
            <w:tcW w:w="1486" w:type="pct"/>
          </w:tcPr>
          <w:p w14:paraId="403A0B2E" w14:textId="77777777" w:rsidR="00A508A2" w:rsidRPr="00DD0D1F" w:rsidRDefault="00A508A2" w:rsidP="00A508A2">
            <w:pPr>
              <w:pStyle w:val="TableParagraph"/>
              <w:spacing w:line="223" w:lineRule="exact"/>
              <w:ind w:left="98" w:right="90"/>
              <w:jc w:val="center"/>
              <w:rPr>
                <w:szCs w:val="24"/>
              </w:rPr>
            </w:pPr>
            <w:r w:rsidRPr="00DD0D1F">
              <w:rPr>
                <w:szCs w:val="24"/>
              </w:rPr>
              <w:t>Kimyasal oksijen gereksinimi</w:t>
            </w:r>
          </w:p>
          <w:p w14:paraId="0DCBC20D" w14:textId="77777777" w:rsidR="00A508A2" w:rsidRPr="00DD0D1F" w:rsidRDefault="00A508A2" w:rsidP="00A508A2">
            <w:pPr>
              <w:pStyle w:val="TableParagraph"/>
              <w:spacing w:line="217" w:lineRule="exact"/>
              <w:ind w:left="98" w:right="90"/>
              <w:jc w:val="center"/>
              <w:rPr>
                <w:szCs w:val="24"/>
              </w:rPr>
            </w:pPr>
            <w:r w:rsidRPr="00DD0D1F">
              <w:rPr>
                <w:szCs w:val="24"/>
              </w:rPr>
              <w:t>(COD) (</w:t>
            </w:r>
            <w:r w:rsidRPr="00DD0D1F">
              <w:rPr>
                <w:szCs w:val="24"/>
                <w:vertAlign w:val="superscript"/>
              </w:rPr>
              <w:t>4</w:t>
            </w:r>
            <w:r w:rsidRPr="00DD0D1F">
              <w:rPr>
                <w:szCs w:val="24"/>
              </w:rPr>
              <w:t>)</w:t>
            </w:r>
          </w:p>
        </w:tc>
        <w:tc>
          <w:tcPr>
            <w:tcW w:w="478" w:type="pct"/>
          </w:tcPr>
          <w:p w14:paraId="5CE01422"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1B714B06" w14:textId="77777777" w:rsidR="00A508A2" w:rsidRPr="00DD0D1F" w:rsidRDefault="00A508A2" w:rsidP="00A508A2">
            <w:pPr>
              <w:pStyle w:val="TableParagraph"/>
              <w:spacing w:before="108"/>
              <w:ind w:left="486" w:right="473"/>
              <w:jc w:val="center"/>
              <w:rPr>
                <w:szCs w:val="24"/>
              </w:rPr>
            </w:pPr>
            <w:r w:rsidRPr="00DD0D1F">
              <w:rPr>
                <w:szCs w:val="24"/>
              </w:rPr>
              <w:t>30 – 125</w:t>
            </w:r>
          </w:p>
        </w:tc>
        <w:tc>
          <w:tcPr>
            <w:tcW w:w="1585" w:type="pct"/>
          </w:tcPr>
          <w:p w14:paraId="6457E385" w14:textId="77777777" w:rsidR="00A508A2" w:rsidRPr="00DD0D1F" w:rsidRDefault="00A508A2" w:rsidP="00A508A2">
            <w:pPr>
              <w:pStyle w:val="TableParagraph"/>
              <w:spacing w:before="108"/>
              <w:ind w:left="152" w:right="143"/>
              <w:jc w:val="center"/>
              <w:rPr>
                <w:szCs w:val="24"/>
              </w:rPr>
            </w:pPr>
            <w:r w:rsidRPr="00DD0D1F">
              <w:rPr>
                <w:szCs w:val="24"/>
              </w:rPr>
              <w:t>Günlük</w:t>
            </w:r>
          </w:p>
        </w:tc>
      </w:tr>
      <w:tr w:rsidR="00A508A2" w:rsidRPr="00DD0D1F" w14:paraId="7E78870B" w14:textId="77777777" w:rsidTr="00A508A2">
        <w:trPr>
          <w:trHeight w:val="282"/>
        </w:trPr>
        <w:tc>
          <w:tcPr>
            <w:tcW w:w="1486" w:type="pct"/>
          </w:tcPr>
          <w:p w14:paraId="5CFBAAED" w14:textId="77777777" w:rsidR="00A508A2" w:rsidRPr="00DD0D1F" w:rsidRDefault="00A508A2" w:rsidP="00A508A2">
            <w:pPr>
              <w:pStyle w:val="TableParagraph"/>
              <w:spacing w:before="19"/>
              <w:ind w:left="98" w:right="89"/>
              <w:jc w:val="center"/>
              <w:rPr>
                <w:szCs w:val="24"/>
              </w:rPr>
            </w:pPr>
            <w:r w:rsidRPr="00DD0D1F">
              <w:rPr>
                <w:szCs w:val="24"/>
              </w:rPr>
              <w:t>BOD</w:t>
            </w:r>
            <w:r w:rsidRPr="00DD0D1F">
              <w:rPr>
                <w:szCs w:val="24"/>
                <w:vertAlign w:val="subscript"/>
              </w:rPr>
              <w:t>5</w:t>
            </w:r>
          </w:p>
        </w:tc>
        <w:tc>
          <w:tcPr>
            <w:tcW w:w="478" w:type="pct"/>
          </w:tcPr>
          <w:p w14:paraId="3DD92448" w14:textId="77777777" w:rsidR="00A508A2" w:rsidRPr="00DD0D1F" w:rsidRDefault="00A508A2" w:rsidP="00A508A2">
            <w:pPr>
              <w:pStyle w:val="TableParagraph"/>
              <w:spacing w:before="19"/>
              <w:ind w:left="99" w:right="91"/>
              <w:jc w:val="center"/>
              <w:rPr>
                <w:szCs w:val="24"/>
              </w:rPr>
            </w:pPr>
            <w:r w:rsidRPr="00DD0D1F">
              <w:rPr>
                <w:szCs w:val="24"/>
              </w:rPr>
              <w:t>mg/l</w:t>
            </w:r>
          </w:p>
        </w:tc>
        <w:tc>
          <w:tcPr>
            <w:tcW w:w="1452" w:type="pct"/>
          </w:tcPr>
          <w:p w14:paraId="4E51C45C" w14:textId="5BA2EBFA" w:rsidR="00A508A2" w:rsidRPr="00DD0D1F" w:rsidRDefault="007D7613" w:rsidP="00A508A2">
            <w:pPr>
              <w:pStyle w:val="TableParagraph"/>
              <w:spacing w:before="23"/>
              <w:ind w:left="486" w:right="476"/>
              <w:jc w:val="center"/>
              <w:rPr>
                <w:szCs w:val="24"/>
              </w:rPr>
            </w:pPr>
            <w:r w:rsidRPr="00DD0D1F">
              <w:rPr>
                <w:szCs w:val="24"/>
              </w:rPr>
              <w:t>MET_İES</w:t>
            </w:r>
            <w:r w:rsidR="00A508A2" w:rsidRPr="00DD0D1F">
              <w:rPr>
                <w:szCs w:val="24"/>
              </w:rPr>
              <w:t xml:space="preserve"> yok</w:t>
            </w:r>
          </w:p>
        </w:tc>
        <w:tc>
          <w:tcPr>
            <w:tcW w:w="1585" w:type="pct"/>
          </w:tcPr>
          <w:p w14:paraId="31E6CDF9" w14:textId="77777777" w:rsidR="00A508A2" w:rsidRPr="00DD0D1F" w:rsidRDefault="00A508A2" w:rsidP="00A508A2">
            <w:pPr>
              <w:pStyle w:val="TableParagraph"/>
              <w:spacing w:before="19"/>
              <w:ind w:left="152" w:right="143"/>
              <w:jc w:val="center"/>
              <w:rPr>
                <w:szCs w:val="24"/>
              </w:rPr>
            </w:pPr>
            <w:r w:rsidRPr="00DD0D1F">
              <w:rPr>
                <w:szCs w:val="24"/>
              </w:rPr>
              <w:t>Haftalık</w:t>
            </w:r>
          </w:p>
        </w:tc>
      </w:tr>
      <w:tr w:rsidR="00A508A2" w:rsidRPr="00DD0D1F" w14:paraId="0B2B78E9" w14:textId="77777777" w:rsidTr="00A508A2">
        <w:trPr>
          <w:trHeight w:val="460"/>
        </w:trPr>
        <w:tc>
          <w:tcPr>
            <w:tcW w:w="1486" w:type="pct"/>
          </w:tcPr>
          <w:p w14:paraId="70E1BD09" w14:textId="77777777" w:rsidR="00A508A2" w:rsidRPr="00DD0D1F" w:rsidRDefault="00A508A2" w:rsidP="00A508A2">
            <w:pPr>
              <w:pStyle w:val="TableParagraph"/>
              <w:spacing w:line="224" w:lineRule="exact"/>
              <w:ind w:left="98" w:right="90"/>
              <w:jc w:val="center"/>
              <w:rPr>
                <w:szCs w:val="24"/>
              </w:rPr>
            </w:pPr>
            <w:r w:rsidRPr="00DD0D1F">
              <w:rPr>
                <w:szCs w:val="24"/>
              </w:rPr>
              <w:t>Toplam azot (</w:t>
            </w:r>
            <w:r w:rsidRPr="00DD0D1F">
              <w:rPr>
                <w:szCs w:val="24"/>
                <w:vertAlign w:val="superscript"/>
              </w:rPr>
              <w:t>5</w:t>
            </w:r>
            <w:r w:rsidRPr="00DD0D1F">
              <w:rPr>
                <w:szCs w:val="24"/>
              </w:rPr>
              <w:t xml:space="preserve">), </w:t>
            </w:r>
          </w:p>
          <w:p w14:paraId="1F1DEED8" w14:textId="77777777" w:rsidR="00A508A2" w:rsidRPr="00DD0D1F" w:rsidRDefault="00A508A2" w:rsidP="00A508A2">
            <w:pPr>
              <w:pStyle w:val="TableParagraph"/>
              <w:spacing w:line="224" w:lineRule="exact"/>
              <w:ind w:left="98" w:right="90"/>
              <w:jc w:val="center"/>
              <w:rPr>
                <w:szCs w:val="24"/>
              </w:rPr>
            </w:pPr>
            <w:r w:rsidRPr="00DD0D1F">
              <w:rPr>
                <w:szCs w:val="24"/>
              </w:rPr>
              <w:t>N olarak ifade edilmektedir</w:t>
            </w:r>
          </w:p>
          <w:p w14:paraId="5A608F96" w14:textId="77777777" w:rsidR="00A508A2" w:rsidRPr="00DD0D1F" w:rsidRDefault="00A508A2" w:rsidP="00A508A2">
            <w:pPr>
              <w:pStyle w:val="TableParagraph"/>
              <w:spacing w:line="216" w:lineRule="exact"/>
              <w:ind w:left="98" w:right="90"/>
              <w:jc w:val="center"/>
              <w:rPr>
                <w:szCs w:val="24"/>
              </w:rPr>
            </w:pPr>
          </w:p>
        </w:tc>
        <w:tc>
          <w:tcPr>
            <w:tcW w:w="478" w:type="pct"/>
          </w:tcPr>
          <w:p w14:paraId="45715365"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279924BB" w14:textId="77777777" w:rsidR="00A508A2" w:rsidRPr="00DD0D1F" w:rsidRDefault="00A508A2" w:rsidP="00A508A2">
            <w:pPr>
              <w:pStyle w:val="TableParagraph"/>
              <w:spacing w:before="109"/>
              <w:ind w:left="483" w:right="476"/>
              <w:jc w:val="center"/>
              <w:rPr>
                <w:szCs w:val="24"/>
              </w:rPr>
            </w:pPr>
            <w:r w:rsidRPr="00DD0D1F">
              <w:rPr>
                <w:szCs w:val="24"/>
              </w:rPr>
              <w:t>1 – 25 (6)</w:t>
            </w:r>
          </w:p>
        </w:tc>
        <w:tc>
          <w:tcPr>
            <w:tcW w:w="1585" w:type="pct"/>
          </w:tcPr>
          <w:p w14:paraId="3922E802" w14:textId="77777777" w:rsidR="00A508A2" w:rsidRPr="00DD0D1F" w:rsidRDefault="00A508A2" w:rsidP="00A508A2">
            <w:pPr>
              <w:pStyle w:val="TableParagraph"/>
              <w:spacing w:before="108"/>
              <w:ind w:left="152" w:right="138"/>
              <w:jc w:val="center"/>
              <w:rPr>
                <w:szCs w:val="24"/>
              </w:rPr>
            </w:pPr>
            <w:r w:rsidRPr="00DD0D1F">
              <w:rPr>
                <w:szCs w:val="24"/>
              </w:rPr>
              <w:t>Günlük</w:t>
            </w:r>
          </w:p>
        </w:tc>
      </w:tr>
      <w:tr w:rsidR="00A508A2" w:rsidRPr="00DD0D1F" w14:paraId="18779E13" w14:textId="77777777" w:rsidTr="00A508A2">
        <w:trPr>
          <w:trHeight w:val="285"/>
        </w:trPr>
        <w:tc>
          <w:tcPr>
            <w:tcW w:w="1486" w:type="pct"/>
          </w:tcPr>
          <w:p w14:paraId="1DCA3081" w14:textId="77777777" w:rsidR="00A508A2" w:rsidRPr="00DD0D1F" w:rsidRDefault="00A508A2" w:rsidP="00A508A2">
            <w:pPr>
              <w:pStyle w:val="TableParagraph"/>
              <w:spacing w:before="22"/>
              <w:ind w:left="98" w:right="90"/>
              <w:jc w:val="center"/>
              <w:rPr>
                <w:szCs w:val="24"/>
              </w:rPr>
            </w:pPr>
            <w:r w:rsidRPr="00DD0D1F">
              <w:rPr>
                <w:szCs w:val="24"/>
              </w:rPr>
              <w:t>Kurşun, Pb olarak ifade edilmektedir</w:t>
            </w:r>
          </w:p>
        </w:tc>
        <w:tc>
          <w:tcPr>
            <w:tcW w:w="478" w:type="pct"/>
          </w:tcPr>
          <w:p w14:paraId="70B37EA1" w14:textId="77777777" w:rsidR="00A508A2" w:rsidRPr="00DD0D1F" w:rsidRDefault="00A508A2" w:rsidP="00A508A2">
            <w:pPr>
              <w:pStyle w:val="TableParagraph"/>
              <w:spacing w:before="22"/>
              <w:ind w:left="99" w:right="91"/>
              <w:jc w:val="center"/>
              <w:rPr>
                <w:szCs w:val="24"/>
              </w:rPr>
            </w:pPr>
            <w:r w:rsidRPr="00DD0D1F">
              <w:rPr>
                <w:szCs w:val="24"/>
              </w:rPr>
              <w:t>mg/l</w:t>
            </w:r>
          </w:p>
        </w:tc>
        <w:tc>
          <w:tcPr>
            <w:tcW w:w="1452" w:type="pct"/>
          </w:tcPr>
          <w:p w14:paraId="310DE86A" w14:textId="77777777" w:rsidR="00A508A2" w:rsidRPr="00DD0D1F" w:rsidRDefault="00A508A2" w:rsidP="00A508A2">
            <w:pPr>
              <w:pStyle w:val="TableParagraph"/>
              <w:spacing w:before="22"/>
              <w:ind w:left="486" w:right="475"/>
              <w:jc w:val="center"/>
              <w:rPr>
                <w:szCs w:val="24"/>
              </w:rPr>
            </w:pPr>
            <w:r w:rsidRPr="00DD0D1F">
              <w:rPr>
                <w:szCs w:val="24"/>
              </w:rPr>
              <w:t>0,005 – 0,030</w:t>
            </w:r>
          </w:p>
        </w:tc>
        <w:tc>
          <w:tcPr>
            <w:tcW w:w="1585" w:type="pct"/>
          </w:tcPr>
          <w:p w14:paraId="7D9A0325" w14:textId="77777777" w:rsidR="00A508A2" w:rsidRPr="00DD0D1F" w:rsidRDefault="00A508A2" w:rsidP="00A508A2">
            <w:pPr>
              <w:pStyle w:val="TableParagraph"/>
              <w:spacing w:before="22"/>
              <w:ind w:left="152" w:right="144"/>
              <w:jc w:val="center"/>
              <w:rPr>
                <w:szCs w:val="24"/>
              </w:rPr>
            </w:pPr>
            <w:r w:rsidRPr="00DD0D1F">
              <w:rPr>
                <w:szCs w:val="24"/>
              </w:rPr>
              <w:t>Üç ayda bir</w:t>
            </w:r>
          </w:p>
        </w:tc>
      </w:tr>
      <w:tr w:rsidR="00A508A2" w:rsidRPr="00DD0D1F" w14:paraId="7C3BB6BF" w14:textId="77777777" w:rsidTr="00A508A2">
        <w:trPr>
          <w:trHeight w:val="460"/>
        </w:trPr>
        <w:tc>
          <w:tcPr>
            <w:tcW w:w="1486" w:type="pct"/>
          </w:tcPr>
          <w:p w14:paraId="3FF80DA7" w14:textId="77777777" w:rsidR="00A508A2" w:rsidRPr="00DD0D1F" w:rsidRDefault="00A508A2" w:rsidP="00A508A2">
            <w:pPr>
              <w:pStyle w:val="TableParagraph"/>
              <w:spacing w:line="223" w:lineRule="exact"/>
              <w:ind w:left="98" w:right="88"/>
              <w:jc w:val="center"/>
              <w:rPr>
                <w:szCs w:val="24"/>
              </w:rPr>
            </w:pPr>
            <w:r w:rsidRPr="00DD0D1F">
              <w:rPr>
                <w:szCs w:val="24"/>
              </w:rPr>
              <w:t>Kadmiyum, Cd olarak ifade edilmektedir</w:t>
            </w:r>
          </w:p>
          <w:p w14:paraId="2A3095D6" w14:textId="77777777" w:rsidR="00A508A2" w:rsidRPr="00DD0D1F" w:rsidRDefault="00A508A2" w:rsidP="00A508A2">
            <w:pPr>
              <w:pStyle w:val="TableParagraph"/>
              <w:spacing w:line="217" w:lineRule="exact"/>
              <w:ind w:left="97" w:right="90"/>
              <w:jc w:val="center"/>
              <w:rPr>
                <w:szCs w:val="24"/>
              </w:rPr>
            </w:pPr>
          </w:p>
        </w:tc>
        <w:tc>
          <w:tcPr>
            <w:tcW w:w="478" w:type="pct"/>
          </w:tcPr>
          <w:p w14:paraId="24F1083D"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4DD5C94D" w14:textId="77777777" w:rsidR="00A508A2" w:rsidRPr="00DD0D1F" w:rsidRDefault="00A508A2" w:rsidP="00A508A2">
            <w:pPr>
              <w:pStyle w:val="TableParagraph"/>
              <w:spacing w:before="108"/>
              <w:ind w:left="486" w:right="475"/>
              <w:jc w:val="center"/>
              <w:rPr>
                <w:szCs w:val="24"/>
              </w:rPr>
            </w:pPr>
            <w:r w:rsidRPr="00DD0D1F">
              <w:rPr>
                <w:szCs w:val="24"/>
              </w:rPr>
              <w:t>0,002 – 0,008</w:t>
            </w:r>
          </w:p>
        </w:tc>
        <w:tc>
          <w:tcPr>
            <w:tcW w:w="1585" w:type="pct"/>
          </w:tcPr>
          <w:p w14:paraId="1D987135" w14:textId="77777777" w:rsidR="00A508A2" w:rsidRPr="00DD0D1F" w:rsidRDefault="00A508A2" w:rsidP="00A508A2">
            <w:pPr>
              <w:pStyle w:val="TableParagraph"/>
              <w:spacing w:before="108"/>
              <w:ind w:left="152" w:right="144"/>
              <w:jc w:val="center"/>
              <w:rPr>
                <w:szCs w:val="24"/>
              </w:rPr>
            </w:pPr>
            <w:r w:rsidRPr="00DD0D1F">
              <w:rPr>
                <w:szCs w:val="24"/>
              </w:rPr>
              <w:t>Üç ayda bir</w:t>
            </w:r>
          </w:p>
        </w:tc>
      </w:tr>
      <w:tr w:rsidR="00A508A2" w:rsidRPr="00DD0D1F" w14:paraId="754EA60F" w14:textId="77777777" w:rsidTr="00A508A2">
        <w:trPr>
          <w:trHeight w:val="282"/>
        </w:trPr>
        <w:tc>
          <w:tcPr>
            <w:tcW w:w="1486" w:type="pct"/>
          </w:tcPr>
          <w:p w14:paraId="19DEBBF1" w14:textId="77777777" w:rsidR="00A508A2" w:rsidRPr="00DD0D1F" w:rsidRDefault="00A508A2" w:rsidP="00A508A2">
            <w:pPr>
              <w:pStyle w:val="TableParagraph"/>
              <w:spacing w:before="19"/>
              <w:ind w:left="95" w:right="90"/>
              <w:jc w:val="center"/>
              <w:rPr>
                <w:szCs w:val="24"/>
              </w:rPr>
            </w:pPr>
            <w:r w:rsidRPr="00DD0D1F">
              <w:rPr>
                <w:szCs w:val="24"/>
              </w:rPr>
              <w:t>Nikel, Ni olarak ifade edilmektedir</w:t>
            </w:r>
          </w:p>
        </w:tc>
        <w:tc>
          <w:tcPr>
            <w:tcW w:w="478" w:type="pct"/>
          </w:tcPr>
          <w:p w14:paraId="10DCDE73" w14:textId="77777777" w:rsidR="00A508A2" w:rsidRPr="00DD0D1F" w:rsidRDefault="00A508A2" w:rsidP="00A508A2">
            <w:pPr>
              <w:pStyle w:val="TableParagraph"/>
              <w:spacing w:before="19"/>
              <w:ind w:left="99" w:right="91"/>
              <w:jc w:val="center"/>
              <w:rPr>
                <w:szCs w:val="24"/>
              </w:rPr>
            </w:pPr>
            <w:r w:rsidRPr="00DD0D1F">
              <w:rPr>
                <w:szCs w:val="24"/>
              </w:rPr>
              <w:t>mg/l</w:t>
            </w:r>
          </w:p>
        </w:tc>
        <w:tc>
          <w:tcPr>
            <w:tcW w:w="1452" w:type="pct"/>
          </w:tcPr>
          <w:p w14:paraId="044EA9B6" w14:textId="77777777" w:rsidR="00A508A2" w:rsidRPr="00DD0D1F" w:rsidRDefault="00A508A2" w:rsidP="00A508A2">
            <w:pPr>
              <w:pStyle w:val="TableParagraph"/>
              <w:spacing w:before="19"/>
              <w:ind w:left="486" w:right="475"/>
              <w:jc w:val="center"/>
              <w:rPr>
                <w:szCs w:val="24"/>
              </w:rPr>
            </w:pPr>
            <w:r w:rsidRPr="00DD0D1F">
              <w:rPr>
                <w:szCs w:val="24"/>
              </w:rPr>
              <w:t>0,005 – 0,100</w:t>
            </w:r>
          </w:p>
        </w:tc>
        <w:tc>
          <w:tcPr>
            <w:tcW w:w="1585" w:type="pct"/>
          </w:tcPr>
          <w:p w14:paraId="58D16CFA" w14:textId="77777777" w:rsidR="00A508A2" w:rsidRPr="00DD0D1F" w:rsidRDefault="00A508A2" w:rsidP="00A508A2">
            <w:pPr>
              <w:pStyle w:val="TableParagraph"/>
              <w:spacing w:before="19"/>
              <w:ind w:left="152" w:right="144"/>
              <w:jc w:val="center"/>
              <w:rPr>
                <w:szCs w:val="24"/>
              </w:rPr>
            </w:pPr>
            <w:r w:rsidRPr="00DD0D1F">
              <w:rPr>
                <w:szCs w:val="24"/>
              </w:rPr>
              <w:t>Üç ayda bir</w:t>
            </w:r>
          </w:p>
        </w:tc>
      </w:tr>
      <w:tr w:rsidR="00A508A2" w:rsidRPr="00DD0D1F" w14:paraId="0CF532F4" w14:textId="77777777" w:rsidTr="00A508A2">
        <w:trPr>
          <w:trHeight w:val="285"/>
        </w:trPr>
        <w:tc>
          <w:tcPr>
            <w:tcW w:w="1486" w:type="pct"/>
          </w:tcPr>
          <w:p w14:paraId="65457539" w14:textId="77777777" w:rsidR="00A508A2" w:rsidRPr="00DD0D1F" w:rsidRDefault="00A508A2" w:rsidP="00A508A2">
            <w:pPr>
              <w:pStyle w:val="TableParagraph"/>
              <w:spacing w:before="19"/>
              <w:ind w:left="97" w:right="90"/>
              <w:jc w:val="center"/>
              <w:rPr>
                <w:szCs w:val="24"/>
              </w:rPr>
            </w:pPr>
            <w:r w:rsidRPr="00DD0D1F">
              <w:rPr>
                <w:szCs w:val="24"/>
              </w:rPr>
              <w:t>Cıva, Hg olarak ifade edilmektedir</w:t>
            </w:r>
          </w:p>
        </w:tc>
        <w:tc>
          <w:tcPr>
            <w:tcW w:w="478" w:type="pct"/>
          </w:tcPr>
          <w:p w14:paraId="34AEFB93" w14:textId="77777777" w:rsidR="00A508A2" w:rsidRPr="00DD0D1F" w:rsidRDefault="00A508A2" w:rsidP="00A508A2">
            <w:pPr>
              <w:pStyle w:val="TableParagraph"/>
              <w:spacing w:before="19"/>
              <w:ind w:left="99" w:right="91"/>
              <w:jc w:val="center"/>
              <w:rPr>
                <w:szCs w:val="24"/>
              </w:rPr>
            </w:pPr>
            <w:r w:rsidRPr="00DD0D1F">
              <w:rPr>
                <w:szCs w:val="24"/>
              </w:rPr>
              <w:t>mg/l</w:t>
            </w:r>
          </w:p>
        </w:tc>
        <w:tc>
          <w:tcPr>
            <w:tcW w:w="1452" w:type="pct"/>
          </w:tcPr>
          <w:p w14:paraId="37F61783" w14:textId="77777777" w:rsidR="00A508A2" w:rsidRPr="00DD0D1F" w:rsidRDefault="00A508A2" w:rsidP="00A508A2">
            <w:pPr>
              <w:pStyle w:val="TableParagraph"/>
              <w:spacing w:before="19"/>
              <w:ind w:left="486" w:right="475"/>
              <w:jc w:val="center"/>
              <w:rPr>
                <w:szCs w:val="24"/>
              </w:rPr>
            </w:pPr>
            <w:r w:rsidRPr="00DD0D1F">
              <w:rPr>
                <w:szCs w:val="24"/>
              </w:rPr>
              <w:t>0,000 1 – 0,001</w:t>
            </w:r>
          </w:p>
        </w:tc>
        <w:tc>
          <w:tcPr>
            <w:tcW w:w="1585" w:type="pct"/>
          </w:tcPr>
          <w:p w14:paraId="76F0BFA6" w14:textId="77777777" w:rsidR="00A508A2" w:rsidRPr="00DD0D1F" w:rsidRDefault="00A508A2" w:rsidP="00A508A2">
            <w:pPr>
              <w:pStyle w:val="TableParagraph"/>
              <w:spacing w:before="19"/>
              <w:ind w:left="152" w:right="144"/>
              <w:jc w:val="center"/>
              <w:rPr>
                <w:szCs w:val="24"/>
              </w:rPr>
            </w:pPr>
            <w:r w:rsidRPr="00DD0D1F">
              <w:rPr>
                <w:szCs w:val="24"/>
              </w:rPr>
              <w:t>Üç ayda bir</w:t>
            </w:r>
          </w:p>
        </w:tc>
      </w:tr>
      <w:tr w:rsidR="00A508A2" w:rsidRPr="00DD0D1F" w14:paraId="6B54D8C5" w14:textId="77777777" w:rsidTr="00A508A2">
        <w:trPr>
          <w:trHeight w:val="283"/>
        </w:trPr>
        <w:tc>
          <w:tcPr>
            <w:tcW w:w="1486" w:type="pct"/>
          </w:tcPr>
          <w:p w14:paraId="35B060A1" w14:textId="77777777" w:rsidR="00A508A2" w:rsidRPr="00DD0D1F" w:rsidRDefault="00A508A2" w:rsidP="00A508A2">
            <w:pPr>
              <w:pStyle w:val="TableParagraph"/>
              <w:spacing w:before="20"/>
              <w:ind w:left="97" w:right="90"/>
              <w:jc w:val="center"/>
              <w:rPr>
                <w:szCs w:val="24"/>
              </w:rPr>
            </w:pPr>
            <w:r w:rsidRPr="00DD0D1F">
              <w:rPr>
                <w:szCs w:val="24"/>
              </w:rPr>
              <w:t>Vanadyum</w:t>
            </w:r>
          </w:p>
        </w:tc>
        <w:tc>
          <w:tcPr>
            <w:tcW w:w="478" w:type="pct"/>
          </w:tcPr>
          <w:p w14:paraId="4A77DDD9" w14:textId="77777777" w:rsidR="00A508A2" w:rsidRPr="00DD0D1F" w:rsidRDefault="00A508A2" w:rsidP="00A508A2">
            <w:pPr>
              <w:pStyle w:val="TableParagraph"/>
              <w:spacing w:before="20"/>
              <w:ind w:left="99" w:right="91"/>
              <w:jc w:val="center"/>
              <w:rPr>
                <w:szCs w:val="24"/>
              </w:rPr>
            </w:pPr>
            <w:r w:rsidRPr="00DD0D1F">
              <w:rPr>
                <w:szCs w:val="24"/>
              </w:rPr>
              <w:t>mg/l</w:t>
            </w:r>
          </w:p>
        </w:tc>
        <w:tc>
          <w:tcPr>
            <w:tcW w:w="1452" w:type="pct"/>
          </w:tcPr>
          <w:p w14:paraId="7386B41B" w14:textId="07B04A4A" w:rsidR="00A508A2" w:rsidRPr="00DD0D1F" w:rsidRDefault="007D7613" w:rsidP="00A508A2">
            <w:pPr>
              <w:pStyle w:val="TableParagraph"/>
              <w:spacing w:before="20"/>
              <w:ind w:left="486" w:right="474"/>
              <w:jc w:val="center"/>
              <w:rPr>
                <w:szCs w:val="24"/>
              </w:rPr>
            </w:pPr>
            <w:r w:rsidRPr="00DD0D1F">
              <w:rPr>
                <w:szCs w:val="24"/>
              </w:rPr>
              <w:t>MET_İES</w:t>
            </w:r>
            <w:r w:rsidR="00A508A2" w:rsidRPr="00DD0D1F">
              <w:rPr>
                <w:szCs w:val="24"/>
              </w:rPr>
              <w:t xml:space="preserve"> yoktur</w:t>
            </w:r>
          </w:p>
        </w:tc>
        <w:tc>
          <w:tcPr>
            <w:tcW w:w="1585" w:type="pct"/>
          </w:tcPr>
          <w:p w14:paraId="11B86DB1" w14:textId="77777777" w:rsidR="00A508A2" w:rsidRPr="00DD0D1F" w:rsidRDefault="00A508A2" w:rsidP="00A508A2">
            <w:pPr>
              <w:pStyle w:val="TableParagraph"/>
              <w:spacing w:before="20"/>
              <w:ind w:left="152" w:right="144"/>
              <w:jc w:val="center"/>
              <w:rPr>
                <w:szCs w:val="24"/>
              </w:rPr>
            </w:pPr>
            <w:r w:rsidRPr="00DD0D1F">
              <w:rPr>
                <w:szCs w:val="24"/>
              </w:rPr>
              <w:t>Üç ayda bir</w:t>
            </w:r>
          </w:p>
        </w:tc>
      </w:tr>
      <w:tr w:rsidR="00A508A2" w:rsidRPr="00DD0D1F" w14:paraId="2B7E08C6" w14:textId="77777777" w:rsidTr="00A508A2">
        <w:trPr>
          <w:trHeight w:val="460"/>
        </w:trPr>
        <w:tc>
          <w:tcPr>
            <w:tcW w:w="1486" w:type="pct"/>
          </w:tcPr>
          <w:p w14:paraId="310CE39F" w14:textId="77777777" w:rsidR="00A508A2" w:rsidRPr="00DD0D1F" w:rsidRDefault="00A508A2" w:rsidP="00A508A2">
            <w:pPr>
              <w:pStyle w:val="TableParagraph"/>
              <w:spacing w:before="108"/>
              <w:ind w:left="98" w:right="89"/>
              <w:jc w:val="center"/>
              <w:rPr>
                <w:szCs w:val="24"/>
              </w:rPr>
            </w:pPr>
            <w:r w:rsidRPr="00DD0D1F">
              <w:rPr>
                <w:szCs w:val="24"/>
              </w:rPr>
              <w:t>Fenol İndeksi</w:t>
            </w:r>
          </w:p>
        </w:tc>
        <w:tc>
          <w:tcPr>
            <w:tcW w:w="478" w:type="pct"/>
          </w:tcPr>
          <w:p w14:paraId="56850D86"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4964A173" w14:textId="608D99AE" w:rsidR="00A508A2" w:rsidRPr="00DD0D1F" w:rsidRDefault="007D7613" w:rsidP="00A508A2">
            <w:pPr>
              <w:pStyle w:val="TableParagraph"/>
              <w:spacing w:before="108"/>
              <w:ind w:left="483" w:right="476"/>
              <w:jc w:val="center"/>
              <w:rPr>
                <w:szCs w:val="24"/>
              </w:rPr>
            </w:pPr>
            <w:r w:rsidRPr="00DD0D1F">
              <w:rPr>
                <w:szCs w:val="24"/>
              </w:rPr>
              <w:t>MET_İES</w:t>
            </w:r>
            <w:r w:rsidR="00A508A2" w:rsidRPr="00DD0D1F">
              <w:rPr>
                <w:szCs w:val="24"/>
              </w:rPr>
              <w:t xml:space="preserve"> yoktur</w:t>
            </w:r>
          </w:p>
        </w:tc>
        <w:tc>
          <w:tcPr>
            <w:tcW w:w="1585" w:type="pct"/>
          </w:tcPr>
          <w:p w14:paraId="34929577" w14:textId="77777777" w:rsidR="00A508A2" w:rsidRPr="00DD0D1F" w:rsidRDefault="00A508A2" w:rsidP="00A508A2">
            <w:pPr>
              <w:pStyle w:val="TableParagraph"/>
              <w:spacing w:line="223" w:lineRule="exact"/>
              <w:ind w:left="151" w:right="144"/>
              <w:jc w:val="center"/>
              <w:rPr>
                <w:szCs w:val="24"/>
              </w:rPr>
            </w:pPr>
            <w:r w:rsidRPr="00DD0D1F">
              <w:rPr>
                <w:szCs w:val="24"/>
              </w:rPr>
              <w:t>Aylık</w:t>
            </w:r>
          </w:p>
          <w:p w14:paraId="767CC427" w14:textId="77777777" w:rsidR="00A508A2" w:rsidRPr="00DD0D1F" w:rsidRDefault="00A508A2" w:rsidP="00A508A2">
            <w:pPr>
              <w:pStyle w:val="TableParagraph"/>
              <w:spacing w:line="217" w:lineRule="exact"/>
              <w:ind w:left="152" w:right="142"/>
              <w:jc w:val="center"/>
              <w:rPr>
                <w:szCs w:val="24"/>
              </w:rPr>
            </w:pPr>
            <w:r w:rsidRPr="00DD0D1F">
              <w:rPr>
                <w:szCs w:val="24"/>
              </w:rPr>
              <w:t>EN 14402</w:t>
            </w:r>
          </w:p>
        </w:tc>
      </w:tr>
      <w:tr w:rsidR="00A508A2" w:rsidRPr="00DD0D1F" w14:paraId="23092640" w14:textId="77777777" w:rsidTr="00A508A2">
        <w:trPr>
          <w:trHeight w:val="460"/>
        </w:trPr>
        <w:tc>
          <w:tcPr>
            <w:tcW w:w="1486" w:type="pct"/>
          </w:tcPr>
          <w:p w14:paraId="1D237078" w14:textId="77777777" w:rsidR="00A508A2" w:rsidRPr="00DD0D1F" w:rsidRDefault="00A508A2" w:rsidP="00A508A2">
            <w:pPr>
              <w:pStyle w:val="TableParagraph"/>
              <w:spacing w:line="223" w:lineRule="exact"/>
              <w:ind w:left="223"/>
              <w:rPr>
                <w:szCs w:val="24"/>
              </w:rPr>
            </w:pPr>
            <w:r w:rsidRPr="00DD0D1F">
              <w:rPr>
                <w:szCs w:val="24"/>
              </w:rPr>
              <w:t>Benzen, tolüen, ethilbenzen, ksilen (BTEX)</w:t>
            </w:r>
          </w:p>
          <w:p w14:paraId="739E6B94" w14:textId="77777777" w:rsidR="00A508A2" w:rsidRPr="00DD0D1F" w:rsidRDefault="00A508A2" w:rsidP="00A508A2">
            <w:pPr>
              <w:pStyle w:val="TableParagraph"/>
              <w:spacing w:line="217" w:lineRule="exact"/>
              <w:ind w:left="163"/>
              <w:rPr>
                <w:szCs w:val="24"/>
              </w:rPr>
            </w:pPr>
          </w:p>
        </w:tc>
        <w:tc>
          <w:tcPr>
            <w:tcW w:w="478" w:type="pct"/>
          </w:tcPr>
          <w:p w14:paraId="1F92119E"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41BA8FD3" w14:textId="77777777" w:rsidR="00A508A2" w:rsidRPr="00DD0D1F" w:rsidRDefault="00A508A2" w:rsidP="00A508A2">
            <w:pPr>
              <w:pStyle w:val="TableParagraph"/>
              <w:spacing w:line="223" w:lineRule="exact"/>
              <w:ind w:left="248"/>
              <w:rPr>
                <w:szCs w:val="24"/>
              </w:rPr>
            </w:pPr>
            <w:r w:rsidRPr="00DD0D1F">
              <w:rPr>
                <w:szCs w:val="24"/>
              </w:rPr>
              <w:t>Benzen: 0,001 – 0,050</w:t>
            </w:r>
          </w:p>
          <w:p w14:paraId="2D2C58B0" w14:textId="404C3558" w:rsidR="00A508A2" w:rsidRPr="00DD0D1F" w:rsidRDefault="00A508A2" w:rsidP="00A508A2">
            <w:pPr>
              <w:pStyle w:val="TableParagraph"/>
              <w:spacing w:line="217" w:lineRule="exact"/>
              <w:ind w:left="160"/>
              <w:rPr>
                <w:szCs w:val="24"/>
              </w:rPr>
            </w:pPr>
            <w:r w:rsidRPr="00DD0D1F">
              <w:rPr>
                <w:szCs w:val="24"/>
              </w:rPr>
              <w:t xml:space="preserve">T, E, X için </w:t>
            </w:r>
            <w:r w:rsidR="007D7613" w:rsidRPr="00DD0D1F">
              <w:rPr>
                <w:szCs w:val="24"/>
              </w:rPr>
              <w:t>MET_İES</w:t>
            </w:r>
            <w:r w:rsidRPr="00DD0D1F">
              <w:rPr>
                <w:szCs w:val="24"/>
              </w:rPr>
              <w:t xml:space="preserve"> yoktur</w:t>
            </w:r>
          </w:p>
        </w:tc>
        <w:tc>
          <w:tcPr>
            <w:tcW w:w="1585" w:type="pct"/>
          </w:tcPr>
          <w:p w14:paraId="195312E9" w14:textId="77777777" w:rsidR="00A508A2" w:rsidRPr="00DD0D1F" w:rsidRDefault="00A508A2" w:rsidP="00A508A2">
            <w:pPr>
              <w:pStyle w:val="TableParagraph"/>
              <w:spacing w:before="108"/>
              <w:ind w:left="150" w:right="144"/>
              <w:jc w:val="center"/>
              <w:rPr>
                <w:szCs w:val="24"/>
              </w:rPr>
            </w:pPr>
            <w:r w:rsidRPr="00DD0D1F">
              <w:rPr>
                <w:szCs w:val="24"/>
              </w:rPr>
              <w:t>Aylık</w:t>
            </w:r>
          </w:p>
        </w:tc>
      </w:tr>
      <w:tr w:rsidR="00A508A2" w:rsidRPr="00DD0D1F" w14:paraId="3F0A25DF" w14:textId="77777777" w:rsidTr="00A508A2">
        <w:trPr>
          <w:trHeight w:val="1862"/>
        </w:trPr>
        <w:tc>
          <w:tcPr>
            <w:tcW w:w="5000" w:type="pct"/>
            <w:gridSpan w:val="4"/>
          </w:tcPr>
          <w:p w14:paraId="310D222B" w14:textId="7B9B9280" w:rsidR="00A508A2" w:rsidRPr="00DD0D1F" w:rsidRDefault="00A508A2" w:rsidP="00FF111D">
            <w:pPr>
              <w:pStyle w:val="TableParagraph"/>
              <w:numPr>
                <w:ilvl w:val="0"/>
                <w:numId w:val="101"/>
              </w:numPr>
              <w:tabs>
                <w:tab w:val="left" w:pos="312"/>
              </w:tabs>
              <w:spacing w:line="190" w:lineRule="exact"/>
              <w:rPr>
                <w:szCs w:val="24"/>
              </w:rPr>
            </w:pPr>
            <w:r w:rsidRPr="00DD0D1F">
              <w:rPr>
                <w:szCs w:val="24"/>
              </w:rPr>
              <w:t>Gaz arıtma tesislerinden kaynaklanan pis</w:t>
            </w:r>
            <w:r w:rsidR="00A9311C" w:rsidRPr="00DD0D1F">
              <w:rPr>
                <w:szCs w:val="24"/>
              </w:rPr>
              <w:t xml:space="preserve"> </w:t>
            </w:r>
            <w:r w:rsidRPr="00DD0D1F">
              <w:rPr>
                <w:szCs w:val="24"/>
              </w:rPr>
              <w:t>su için parametrelerin ve numune alma sıklıkların tamamı geçerli değildir.</w:t>
            </w:r>
          </w:p>
          <w:p w14:paraId="5FE498F2" w14:textId="77777777" w:rsidR="00A508A2" w:rsidRPr="00DD0D1F" w:rsidRDefault="00A508A2" w:rsidP="00FF111D">
            <w:pPr>
              <w:pStyle w:val="TableParagraph"/>
              <w:numPr>
                <w:ilvl w:val="0"/>
                <w:numId w:val="101"/>
              </w:numPr>
              <w:tabs>
                <w:tab w:val="left" w:pos="338"/>
              </w:tabs>
              <w:spacing w:before="15" w:line="206" w:lineRule="exact"/>
              <w:ind w:left="352" w:right="72" w:hanging="267"/>
              <w:rPr>
                <w:szCs w:val="24"/>
              </w:rPr>
            </w:pPr>
            <w:r w:rsidRPr="00DD0D1F">
              <w:rPr>
                <w:szCs w:val="24"/>
              </w:rPr>
              <w:t>24 saatlik numune alma süresinde alınan debiyle orantılı birleşik numuneye ya da debi kararlılığının yeterli olduğunun kanıtlanması koşuluyla zamanla orantılı numuneye atıf yapar.</w:t>
            </w:r>
          </w:p>
          <w:p w14:paraId="5FCC6723" w14:textId="77777777" w:rsidR="00A508A2" w:rsidRPr="00DD0D1F" w:rsidRDefault="00A508A2" w:rsidP="00FF111D">
            <w:pPr>
              <w:pStyle w:val="TableParagraph"/>
              <w:numPr>
                <w:ilvl w:val="0"/>
                <w:numId w:val="101"/>
              </w:numPr>
              <w:tabs>
                <w:tab w:val="left" w:pos="312"/>
              </w:tabs>
              <w:spacing w:line="195" w:lineRule="exact"/>
              <w:rPr>
                <w:szCs w:val="24"/>
              </w:rPr>
            </w:pPr>
            <w:r w:rsidRPr="00DD0D1F">
              <w:rPr>
                <w:szCs w:val="24"/>
              </w:rPr>
              <w:t>Mevcut yöntemden EN 9377-2'ye geçiş yapılması için uyum süresi gerekebilir.</w:t>
            </w:r>
          </w:p>
          <w:p w14:paraId="3F9D80C8" w14:textId="77777777" w:rsidR="00A508A2" w:rsidRPr="00DD0D1F" w:rsidRDefault="00A508A2" w:rsidP="00FF111D">
            <w:pPr>
              <w:pStyle w:val="TableParagraph"/>
              <w:numPr>
                <w:ilvl w:val="0"/>
                <w:numId w:val="101"/>
              </w:numPr>
              <w:tabs>
                <w:tab w:val="left" w:pos="319"/>
              </w:tabs>
              <w:spacing w:before="15" w:line="206" w:lineRule="exact"/>
              <w:ind w:left="352" w:right="71" w:hanging="267"/>
              <w:jc w:val="both"/>
              <w:rPr>
                <w:szCs w:val="24"/>
              </w:rPr>
            </w:pPr>
            <w:r w:rsidRPr="00DD0D1F">
              <w:rPr>
                <w:szCs w:val="24"/>
              </w:rPr>
              <w:t>Yerinde korelasyonun mevcut olması durumunda, COD'nin yerini TOC alabilir. COD ve TOC arasındaki korelasyon durum bazında ve etraflıca incelenmelidir. Çok zehirli bileşiklerin kullanımı gerektirmiyor olması nedeniyle TOC izlemesi tercih edilen seçenektir.</w:t>
            </w:r>
          </w:p>
          <w:p w14:paraId="1862550C" w14:textId="77777777" w:rsidR="00A508A2" w:rsidRPr="00DD0D1F" w:rsidRDefault="00A508A2" w:rsidP="00FF111D">
            <w:pPr>
              <w:pStyle w:val="TableParagraph"/>
              <w:numPr>
                <w:ilvl w:val="0"/>
                <w:numId w:val="101"/>
              </w:numPr>
              <w:tabs>
                <w:tab w:val="left" w:pos="312"/>
              </w:tabs>
              <w:spacing w:line="195" w:lineRule="exact"/>
              <w:jc w:val="both"/>
              <w:rPr>
                <w:szCs w:val="24"/>
              </w:rPr>
            </w:pPr>
            <w:r w:rsidRPr="00DD0D1F">
              <w:rPr>
                <w:szCs w:val="24"/>
              </w:rPr>
              <w:t>Toplam azotun toplam Kjeldahl azot (TKN), nitratlar ve nitritler olması durumunda.</w:t>
            </w:r>
          </w:p>
          <w:p w14:paraId="0F655F6A" w14:textId="77777777" w:rsidR="00A508A2" w:rsidRPr="00DD0D1F" w:rsidRDefault="00A508A2" w:rsidP="00FF111D">
            <w:pPr>
              <w:pStyle w:val="TableParagraph"/>
              <w:numPr>
                <w:ilvl w:val="0"/>
                <w:numId w:val="101"/>
              </w:numPr>
              <w:tabs>
                <w:tab w:val="left" w:pos="312"/>
              </w:tabs>
              <w:spacing w:line="203" w:lineRule="exact"/>
              <w:jc w:val="both"/>
              <w:rPr>
                <w:szCs w:val="24"/>
              </w:rPr>
            </w:pPr>
            <w:r w:rsidRPr="00DD0D1F">
              <w:rPr>
                <w:szCs w:val="24"/>
              </w:rPr>
              <w:t>Nitrifikasyon/nitrat giderme kullanıldığında, 15 mg/l'nin altındaki düzeyler elde edilebilmektedir.</w:t>
            </w:r>
          </w:p>
        </w:tc>
      </w:tr>
    </w:tbl>
    <w:p w14:paraId="035BB6FB" w14:textId="77777777" w:rsidR="00A508A2" w:rsidRPr="00DD0D1F" w:rsidRDefault="00A508A2" w:rsidP="00A508A2">
      <w:pPr>
        <w:pStyle w:val="GvdeMetni"/>
        <w:spacing w:before="2"/>
        <w:rPr>
          <w:b/>
          <w:sz w:val="24"/>
          <w:szCs w:val="24"/>
        </w:rPr>
      </w:pPr>
      <w:bookmarkStart w:id="198" w:name="_bookmark870"/>
      <w:bookmarkEnd w:id="198"/>
    </w:p>
    <w:p w14:paraId="70875BED" w14:textId="77777777" w:rsidR="00A508A2" w:rsidRPr="00DD0D1F" w:rsidRDefault="00A508A2" w:rsidP="00A508A2">
      <w:pPr>
        <w:pStyle w:val="GvdeMetni"/>
        <w:rPr>
          <w:b/>
          <w:sz w:val="24"/>
          <w:szCs w:val="24"/>
        </w:rPr>
      </w:pPr>
    </w:p>
    <w:p w14:paraId="13DE7B67"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bookmarkStart w:id="199" w:name="_bookmark875"/>
      <w:bookmarkStart w:id="200" w:name="5.1.8_Waste_generation_and_management"/>
      <w:bookmarkEnd w:id="199"/>
      <w:bookmarkEnd w:id="200"/>
      <w:r w:rsidRPr="00DD0D1F">
        <w:rPr>
          <w:rFonts w:cs="Times New Roman"/>
          <w:bCs/>
          <w:szCs w:val="24"/>
          <w:lang w:val="tr-TR"/>
        </w:rPr>
        <w:t>Atık üretimi ve yönetimi</w:t>
      </w:r>
    </w:p>
    <w:p w14:paraId="5930CBE6" w14:textId="77777777" w:rsidR="00A508A2" w:rsidRPr="00DD0D1F" w:rsidRDefault="00A508A2" w:rsidP="00A508A2">
      <w:pPr>
        <w:pStyle w:val="GvdeMetni"/>
        <w:spacing w:before="8" w:line="360" w:lineRule="auto"/>
        <w:jc w:val="both"/>
        <w:rPr>
          <w:b/>
          <w:sz w:val="24"/>
          <w:szCs w:val="24"/>
        </w:rPr>
      </w:pPr>
    </w:p>
    <w:p w14:paraId="400B1A36" w14:textId="276D818A" w:rsidR="00A508A2" w:rsidRPr="00DD0D1F" w:rsidRDefault="00A508A2" w:rsidP="00A508A2">
      <w:pPr>
        <w:rPr>
          <w:rFonts w:cs="Times New Roman"/>
          <w:b/>
          <w:bCs/>
          <w:szCs w:val="24"/>
          <w:lang w:val="tr-TR"/>
        </w:rPr>
      </w:pPr>
      <w:r w:rsidRPr="00DD0D1F">
        <w:rPr>
          <w:rFonts w:cs="Times New Roman"/>
          <w:b/>
          <w:bCs/>
          <w:szCs w:val="24"/>
          <w:lang w:val="tr-TR"/>
        </w:rPr>
        <w:t xml:space="preserve">MET 14: </w:t>
      </w:r>
      <w:r w:rsidRPr="00DD0D1F">
        <w:rPr>
          <w:rFonts w:cs="Times New Roman"/>
          <w:bCs/>
          <w:szCs w:val="24"/>
          <w:lang w:val="tr-TR"/>
        </w:rPr>
        <w:t>Atık üretiminin önlenmesi veya bunun mümkün olmaması halinde azaltılması için MET'nin amacı, atığın öncelik sırasıyla yeninden kullanım, geri dönüşüm, geri kazanım veya bertaraf için hazırlanmasını sağ</w:t>
      </w:r>
      <w:r w:rsidR="00A9311C" w:rsidRPr="00DD0D1F">
        <w:rPr>
          <w:rFonts w:cs="Times New Roman"/>
          <w:bCs/>
          <w:szCs w:val="24"/>
          <w:lang w:val="tr-TR"/>
        </w:rPr>
        <w:t>layan bir atık yönetimi planı</w:t>
      </w:r>
      <w:r w:rsidRPr="00DD0D1F">
        <w:rPr>
          <w:rFonts w:cs="Times New Roman"/>
          <w:bCs/>
          <w:szCs w:val="24"/>
          <w:lang w:val="tr-TR"/>
        </w:rPr>
        <w:t xml:space="preserve"> benimsen</w:t>
      </w:r>
      <w:r w:rsidR="00A9311C" w:rsidRPr="00DD0D1F">
        <w:rPr>
          <w:rFonts w:cs="Times New Roman"/>
          <w:bCs/>
          <w:szCs w:val="24"/>
          <w:lang w:val="tr-TR"/>
        </w:rPr>
        <w:t xml:space="preserve">ir </w:t>
      </w:r>
      <w:r w:rsidRPr="00DD0D1F">
        <w:rPr>
          <w:rFonts w:cs="Times New Roman"/>
          <w:bCs/>
          <w:szCs w:val="24"/>
          <w:lang w:val="tr-TR"/>
        </w:rPr>
        <w:t>ve uygulan</w:t>
      </w:r>
      <w:r w:rsidR="00A9311C" w:rsidRPr="00DD0D1F">
        <w:rPr>
          <w:rFonts w:cs="Times New Roman"/>
          <w:bCs/>
          <w:szCs w:val="24"/>
          <w:lang w:val="tr-TR"/>
        </w:rPr>
        <w:t>ır.</w:t>
      </w:r>
    </w:p>
    <w:p w14:paraId="04F9536D" w14:textId="77777777" w:rsidR="00A508A2" w:rsidRPr="00DD0D1F" w:rsidRDefault="00A508A2" w:rsidP="00A508A2">
      <w:pPr>
        <w:rPr>
          <w:rFonts w:cs="Times New Roman"/>
          <w:b/>
          <w:bCs/>
          <w:szCs w:val="24"/>
          <w:lang w:val="tr-TR"/>
        </w:rPr>
      </w:pPr>
    </w:p>
    <w:p w14:paraId="6C022CD9" w14:textId="42A7846C" w:rsidR="00A508A2" w:rsidRPr="00DD0D1F" w:rsidRDefault="00A508A2" w:rsidP="00A508A2">
      <w:pPr>
        <w:rPr>
          <w:rFonts w:cs="Times New Roman"/>
          <w:b/>
          <w:bCs/>
          <w:szCs w:val="24"/>
          <w:lang w:val="tr-TR"/>
        </w:rPr>
      </w:pPr>
      <w:r w:rsidRPr="00DD0D1F">
        <w:rPr>
          <w:rFonts w:cs="Times New Roman"/>
          <w:b/>
          <w:bCs/>
          <w:szCs w:val="24"/>
          <w:lang w:val="tr-TR"/>
        </w:rPr>
        <w:t xml:space="preserve">MET 15: </w:t>
      </w:r>
      <w:r w:rsidRPr="00DD0D1F">
        <w:rPr>
          <w:rFonts w:cs="Times New Roman"/>
          <w:bCs/>
          <w:szCs w:val="24"/>
          <w:lang w:val="tr-TR"/>
        </w:rPr>
        <w:t>Arıtılacak veya bertaraf edilecek olan çamur miktarının azaltılmas</w:t>
      </w:r>
      <w:r w:rsidR="00A9311C" w:rsidRPr="00DD0D1F">
        <w:rPr>
          <w:rFonts w:cs="Times New Roman"/>
          <w:bCs/>
          <w:szCs w:val="24"/>
          <w:lang w:val="tr-TR"/>
        </w:rPr>
        <w:t>ı için,</w:t>
      </w:r>
      <w:r w:rsidRPr="00DD0D1F">
        <w:rPr>
          <w:rFonts w:cs="Times New Roman"/>
          <w:bCs/>
          <w:szCs w:val="24"/>
          <w:lang w:val="tr-TR"/>
        </w:rPr>
        <w:t xml:space="preserve"> aşağıdaki tekniklerden biri veya daha fazlasının kombinasyonu kullanılır.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3556"/>
        <w:gridCol w:w="2574"/>
      </w:tblGrid>
      <w:tr w:rsidR="00A508A2" w:rsidRPr="00DD0D1F" w14:paraId="54977062" w14:textId="77777777" w:rsidTr="00A508A2">
        <w:trPr>
          <w:trHeight w:val="282"/>
        </w:trPr>
        <w:tc>
          <w:tcPr>
            <w:tcW w:w="1405" w:type="pct"/>
          </w:tcPr>
          <w:p w14:paraId="2A7F8023" w14:textId="77777777" w:rsidR="00A508A2" w:rsidRPr="00DD0D1F" w:rsidRDefault="00A508A2" w:rsidP="00A508A2">
            <w:pPr>
              <w:pStyle w:val="TableParagraph"/>
              <w:spacing w:before="24"/>
              <w:ind w:left="1103" w:right="1100"/>
              <w:jc w:val="center"/>
              <w:rPr>
                <w:b/>
                <w:szCs w:val="24"/>
              </w:rPr>
            </w:pPr>
            <w:r w:rsidRPr="00DD0D1F">
              <w:rPr>
                <w:b/>
                <w:bCs/>
                <w:szCs w:val="24"/>
              </w:rPr>
              <w:t>Teknik</w:t>
            </w:r>
          </w:p>
        </w:tc>
        <w:tc>
          <w:tcPr>
            <w:tcW w:w="2210" w:type="pct"/>
          </w:tcPr>
          <w:p w14:paraId="78638991" w14:textId="77777777" w:rsidR="00A508A2" w:rsidRPr="00DD0D1F" w:rsidRDefault="00A508A2" w:rsidP="00A508A2">
            <w:pPr>
              <w:pStyle w:val="TableParagraph"/>
              <w:spacing w:before="24"/>
              <w:ind w:left="861"/>
              <w:rPr>
                <w:b/>
                <w:szCs w:val="24"/>
              </w:rPr>
            </w:pPr>
            <w:r w:rsidRPr="00DD0D1F">
              <w:rPr>
                <w:b/>
                <w:bCs/>
                <w:szCs w:val="24"/>
              </w:rPr>
              <w:t>Açıklama</w:t>
            </w:r>
          </w:p>
        </w:tc>
        <w:tc>
          <w:tcPr>
            <w:tcW w:w="1385" w:type="pct"/>
          </w:tcPr>
          <w:p w14:paraId="1DA16B20" w14:textId="77777777" w:rsidR="00A508A2" w:rsidRPr="00DD0D1F" w:rsidRDefault="00A508A2" w:rsidP="00A508A2">
            <w:pPr>
              <w:pStyle w:val="TableParagraph"/>
              <w:spacing w:before="24"/>
              <w:ind w:left="870"/>
              <w:rPr>
                <w:b/>
                <w:szCs w:val="24"/>
              </w:rPr>
            </w:pPr>
            <w:r w:rsidRPr="00DD0D1F">
              <w:rPr>
                <w:b/>
                <w:bCs/>
                <w:szCs w:val="24"/>
              </w:rPr>
              <w:t>Uygulanabilirlik</w:t>
            </w:r>
          </w:p>
        </w:tc>
      </w:tr>
      <w:tr w:rsidR="00A508A2" w:rsidRPr="00DD0D1F" w14:paraId="0F6C6727" w14:textId="77777777" w:rsidTr="00A508A2">
        <w:trPr>
          <w:trHeight w:val="1840"/>
        </w:trPr>
        <w:tc>
          <w:tcPr>
            <w:tcW w:w="1405" w:type="pct"/>
          </w:tcPr>
          <w:p w14:paraId="50BF3D90" w14:textId="77777777" w:rsidR="00A508A2" w:rsidRPr="00DD0D1F" w:rsidRDefault="00A508A2" w:rsidP="00A508A2">
            <w:pPr>
              <w:pStyle w:val="TableParagraph"/>
              <w:rPr>
                <w:b/>
                <w:szCs w:val="24"/>
              </w:rPr>
            </w:pPr>
          </w:p>
          <w:p w14:paraId="53A98E9C" w14:textId="77777777" w:rsidR="00A508A2" w:rsidRPr="00DD0D1F" w:rsidRDefault="00A508A2" w:rsidP="00A508A2">
            <w:pPr>
              <w:pStyle w:val="TableParagraph"/>
              <w:rPr>
                <w:b/>
                <w:szCs w:val="24"/>
              </w:rPr>
            </w:pPr>
          </w:p>
          <w:p w14:paraId="2AD0D396" w14:textId="77777777" w:rsidR="00A508A2" w:rsidRPr="00DD0D1F" w:rsidRDefault="00A508A2" w:rsidP="00A508A2">
            <w:pPr>
              <w:pStyle w:val="TableParagraph"/>
              <w:spacing w:before="9"/>
              <w:rPr>
                <w:b/>
                <w:szCs w:val="24"/>
              </w:rPr>
            </w:pPr>
          </w:p>
          <w:p w14:paraId="2851DDF6" w14:textId="77777777" w:rsidR="00A508A2" w:rsidRPr="00DD0D1F" w:rsidRDefault="00A508A2" w:rsidP="00A508A2">
            <w:pPr>
              <w:pStyle w:val="TableParagraph"/>
              <w:tabs>
                <w:tab w:val="left" w:pos="674"/>
              </w:tabs>
              <w:ind w:left="210"/>
              <w:rPr>
                <w:szCs w:val="24"/>
              </w:rPr>
            </w:pPr>
            <w:r w:rsidRPr="00DD0D1F">
              <w:rPr>
                <w:szCs w:val="24"/>
              </w:rPr>
              <w:t>i.</w:t>
            </w:r>
            <w:r w:rsidRPr="00DD0D1F">
              <w:rPr>
                <w:szCs w:val="24"/>
              </w:rPr>
              <w:tab/>
              <w:t>Çamur ön arıtması</w:t>
            </w:r>
          </w:p>
        </w:tc>
        <w:tc>
          <w:tcPr>
            <w:tcW w:w="2210" w:type="pct"/>
          </w:tcPr>
          <w:p w14:paraId="67BCF03F" w14:textId="77777777" w:rsidR="00A508A2" w:rsidRPr="00DD0D1F" w:rsidRDefault="00A508A2" w:rsidP="00A508A2">
            <w:pPr>
              <w:pStyle w:val="TableParagraph"/>
              <w:ind w:left="107" w:right="98"/>
              <w:jc w:val="both"/>
              <w:rPr>
                <w:szCs w:val="24"/>
              </w:rPr>
            </w:pPr>
            <w:r w:rsidRPr="00DD0D1F">
              <w:rPr>
                <w:szCs w:val="24"/>
              </w:rPr>
              <w:t>Hacmin düşürülmesi ve ayırma ekipmanlarından geri kazanım için son arıtma öncesinde (ör. akışkan yataklı fırın) çamurlar susuzlaştırılır ve/veya yağ giderimi yapılır (ör. santrifüjlü dekantörler veya buharlı kurutucular ile)</w:t>
            </w:r>
          </w:p>
        </w:tc>
        <w:tc>
          <w:tcPr>
            <w:tcW w:w="1385" w:type="pct"/>
          </w:tcPr>
          <w:p w14:paraId="56597E79" w14:textId="77777777" w:rsidR="00A508A2" w:rsidRPr="00DD0D1F" w:rsidRDefault="00A508A2" w:rsidP="00A508A2">
            <w:pPr>
              <w:pStyle w:val="TableParagraph"/>
              <w:rPr>
                <w:b/>
                <w:szCs w:val="24"/>
              </w:rPr>
            </w:pPr>
          </w:p>
          <w:p w14:paraId="4255BCC7" w14:textId="77777777" w:rsidR="00A508A2" w:rsidRPr="00DD0D1F" w:rsidRDefault="00A508A2" w:rsidP="00A508A2">
            <w:pPr>
              <w:pStyle w:val="TableParagraph"/>
              <w:rPr>
                <w:b/>
                <w:szCs w:val="24"/>
              </w:rPr>
            </w:pPr>
          </w:p>
          <w:p w14:paraId="6E37E972" w14:textId="77777777" w:rsidR="00A508A2" w:rsidRPr="00DD0D1F" w:rsidRDefault="00A508A2" w:rsidP="00A508A2">
            <w:pPr>
              <w:pStyle w:val="TableParagraph"/>
              <w:spacing w:before="6"/>
              <w:rPr>
                <w:b/>
                <w:szCs w:val="24"/>
              </w:rPr>
            </w:pPr>
          </w:p>
          <w:p w14:paraId="72039B5E" w14:textId="77777777" w:rsidR="00A508A2" w:rsidRPr="00DD0D1F" w:rsidRDefault="00A508A2" w:rsidP="00A508A2">
            <w:pPr>
              <w:pStyle w:val="TableParagraph"/>
              <w:ind w:left="107"/>
              <w:rPr>
                <w:szCs w:val="24"/>
              </w:rPr>
            </w:pPr>
            <w:r w:rsidRPr="00DD0D1F">
              <w:rPr>
                <w:szCs w:val="24"/>
              </w:rPr>
              <w:t>Genel olarak uygulanabilir</w:t>
            </w:r>
          </w:p>
        </w:tc>
      </w:tr>
      <w:tr w:rsidR="00A508A2" w:rsidRPr="00DD0D1F" w14:paraId="4C86FE73" w14:textId="77777777" w:rsidTr="00A508A2">
        <w:trPr>
          <w:trHeight w:val="1151"/>
        </w:trPr>
        <w:tc>
          <w:tcPr>
            <w:tcW w:w="1405" w:type="pct"/>
          </w:tcPr>
          <w:p w14:paraId="4CBDFC56" w14:textId="77777777" w:rsidR="00A508A2" w:rsidRPr="00DD0D1F" w:rsidRDefault="00A508A2" w:rsidP="00A508A2">
            <w:pPr>
              <w:pStyle w:val="TableParagraph"/>
              <w:rPr>
                <w:b/>
                <w:szCs w:val="24"/>
              </w:rPr>
            </w:pPr>
          </w:p>
          <w:p w14:paraId="2F865FC9" w14:textId="77777777" w:rsidR="00A508A2" w:rsidRPr="00DD0D1F" w:rsidRDefault="00A508A2" w:rsidP="00A508A2">
            <w:pPr>
              <w:pStyle w:val="TableParagraph"/>
              <w:tabs>
                <w:tab w:val="left" w:pos="674"/>
              </w:tabs>
              <w:spacing w:line="235" w:lineRule="auto"/>
              <w:ind w:left="674" w:right="100" w:hanging="524"/>
              <w:rPr>
                <w:szCs w:val="24"/>
              </w:rPr>
            </w:pPr>
            <w:r w:rsidRPr="00DD0D1F">
              <w:rPr>
                <w:szCs w:val="24"/>
              </w:rPr>
              <w:t>ii.</w:t>
            </w:r>
            <w:r w:rsidRPr="00DD0D1F">
              <w:rPr>
                <w:szCs w:val="24"/>
              </w:rPr>
              <w:tab/>
              <w:t>Çamurun proses birimlerinde yeniden kullanımı</w:t>
            </w:r>
          </w:p>
        </w:tc>
        <w:tc>
          <w:tcPr>
            <w:tcW w:w="2210" w:type="pct"/>
          </w:tcPr>
          <w:p w14:paraId="5115751D" w14:textId="71111089" w:rsidR="00A508A2" w:rsidRPr="00DD0D1F" w:rsidRDefault="00A508A2" w:rsidP="001C5B37">
            <w:pPr>
              <w:pStyle w:val="TableParagraph"/>
              <w:ind w:left="107" w:right="97"/>
              <w:jc w:val="both"/>
              <w:rPr>
                <w:szCs w:val="24"/>
              </w:rPr>
            </w:pPr>
            <w:r w:rsidRPr="00DD0D1F">
              <w:rPr>
                <w:szCs w:val="24"/>
              </w:rPr>
              <w:t>Belirli çamur türleri (ör. yağlı çamur), sahip oldu</w:t>
            </w:r>
            <w:r w:rsidR="00CA4F2C" w:rsidRPr="00DD0D1F">
              <w:rPr>
                <w:szCs w:val="24"/>
              </w:rPr>
              <w:t xml:space="preserve">kları petrol </w:t>
            </w:r>
            <w:r w:rsidR="001C5B37" w:rsidRPr="00DD0D1F">
              <w:rPr>
                <w:szCs w:val="24"/>
              </w:rPr>
              <w:t xml:space="preserve">içeriği  </w:t>
            </w:r>
            <w:r w:rsidRPr="00DD0D1F">
              <w:rPr>
                <w:szCs w:val="24"/>
              </w:rPr>
              <w:t>nedeniyle besleme sürecinin parçası olarak birimlerde işlemden geçirilebilir (ör. koklaştırma)</w:t>
            </w:r>
          </w:p>
        </w:tc>
        <w:tc>
          <w:tcPr>
            <w:tcW w:w="1385" w:type="pct"/>
          </w:tcPr>
          <w:p w14:paraId="3F3AC43C" w14:textId="77777777" w:rsidR="00A508A2" w:rsidRPr="00DD0D1F" w:rsidRDefault="00A508A2" w:rsidP="00A508A2">
            <w:pPr>
              <w:pStyle w:val="TableParagraph"/>
              <w:spacing w:before="108"/>
              <w:ind w:left="107" w:right="99"/>
              <w:jc w:val="both"/>
              <w:rPr>
                <w:szCs w:val="24"/>
              </w:rPr>
            </w:pPr>
            <w:r w:rsidRPr="00DD0D1F">
              <w:rPr>
                <w:szCs w:val="24"/>
              </w:rPr>
              <w:t>Uygulanabilirlik durumu, uygun arıtma ile birimlerde işlenmeye yönelik gereklilikleri karşılayabilen çamurlarla sınırlıdır</w:t>
            </w:r>
          </w:p>
        </w:tc>
      </w:tr>
    </w:tbl>
    <w:p w14:paraId="71DC54A5" w14:textId="77777777" w:rsidR="00A508A2" w:rsidRPr="00DD0D1F" w:rsidRDefault="00A508A2" w:rsidP="00A508A2">
      <w:pPr>
        <w:pStyle w:val="GvdeMetni"/>
        <w:rPr>
          <w:b/>
          <w:sz w:val="24"/>
          <w:szCs w:val="24"/>
        </w:rPr>
      </w:pPr>
    </w:p>
    <w:p w14:paraId="6F9232B2" w14:textId="22BBF003" w:rsidR="00A508A2" w:rsidRPr="00DD0D1F" w:rsidRDefault="00A508A2" w:rsidP="00A508A2">
      <w:pPr>
        <w:tabs>
          <w:tab w:val="left" w:pos="2721"/>
        </w:tabs>
        <w:spacing w:before="91"/>
        <w:ind w:right="495"/>
        <w:rPr>
          <w:rFonts w:cs="Times New Roman"/>
          <w:b/>
          <w:bCs/>
          <w:szCs w:val="24"/>
          <w:lang w:val="tr-TR"/>
        </w:rPr>
      </w:pPr>
      <w:r w:rsidRPr="00DD0D1F">
        <w:rPr>
          <w:rFonts w:cs="Times New Roman"/>
          <w:b/>
          <w:bCs/>
          <w:szCs w:val="24"/>
          <w:lang w:val="tr-TR"/>
        </w:rPr>
        <w:t xml:space="preserve">MET 16: </w:t>
      </w:r>
      <w:r w:rsidRPr="00DD0D1F">
        <w:rPr>
          <w:rFonts w:cs="Times New Roman"/>
          <w:bCs/>
          <w:szCs w:val="24"/>
          <w:lang w:val="tr-TR"/>
        </w:rPr>
        <w:t>Kullanılan katı katalizör atığının aç</w:t>
      </w:r>
      <w:r w:rsidR="00A9311C" w:rsidRPr="00DD0D1F">
        <w:rPr>
          <w:rFonts w:cs="Times New Roman"/>
          <w:bCs/>
          <w:szCs w:val="24"/>
          <w:lang w:val="tr-TR"/>
        </w:rPr>
        <w:t>ığa çıkmasının azaltılması için,</w:t>
      </w:r>
      <w:r w:rsidRPr="00DD0D1F">
        <w:rPr>
          <w:rFonts w:cs="Times New Roman"/>
          <w:bCs/>
          <w:szCs w:val="24"/>
          <w:lang w:val="tr-TR"/>
        </w:rPr>
        <w:t xml:space="preserve"> aşağıdaki tekniklerden biri veya daha fazlasının kombinasyonu kullanılır.</w:t>
      </w:r>
    </w:p>
    <w:p w14:paraId="56AFD943" w14:textId="77777777" w:rsidR="00A508A2" w:rsidRPr="00DD0D1F" w:rsidRDefault="00A508A2" w:rsidP="00A508A2">
      <w:pPr>
        <w:pStyle w:val="GvdeMetni"/>
        <w:spacing w:before="9"/>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3"/>
        <w:gridCol w:w="6574"/>
      </w:tblGrid>
      <w:tr w:rsidR="00A508A2" w:rsidRPr="00DD0D1F" w14:paraId="40444E51" w14:textId="77777777" w:rsidTr="00A508A2">
        <w:trPr>
          <w:trHeight w:val="285"/>
        </w:trPr>
        <w:tc>
          <w:tcPr>
            <w:tcW w:w="1379" w:type="pct"/>
          </w:tcPr>
          <w:p w14:paraId="332ED042" w14:textId="77777777" w:rsidR="00A508A2" w:rsidRPr="00DD0D1F" w:rsidRDefault="00A508A2" w:rsidP="00A508A2">
            <w:pPr>
              <w:pStyle w:val="TableParagraph"/>
              <w:spacing w:before="26"/>
              <w:ind w:left="712"/>
              <w:rPr>
                <w:b/>
                <w:szCs w:val="24"/>
              </w:rPr>
            </w:pPr>
            <w:r w:rsidRPr="00DD0D1F">
              <w:rPr>
                <w:b/>
                <w:bCs/>
                <w:szCs w:val="24"/>
              </w:rPr>
              <w:t>Teknik</w:t>
            </w:r>
          </w:p>
        </w:tc>
        <w:tc>
          <w:tcPr>
            <w:tcW w:w="3621" w:type="pct"/>
          </w:tcPr>
          <w:p w14:paraId="25F8438D" w14:textId="77777777" w:rsidR="00A508A2" w:rsidRPr="00DD0D1F" w:rsidRDefault="00A508A2" w:rsidP="00A508A2">
            <w:pPr>
              <w:pStyle w:val="TableParagraph"/>
              <w:spacing w:before="26"/>
              <w:ind w:left="2539" w:right="2539"/>
              <w:jc w:val="center"/>
              <w:rPr>
                <w:b/>
                <w:szCs w:val="24"/>
              </w:rPr>
            </w:pPr>
            <w:r w:rsidRPr="00DD0D1F">
              <w:rPr>
                <w:b/>
                <w:bCs/>
                <w:szCs w:val="24"/>
              </w:rPr>
              <w:t>Açıklama</w:t>
            </w:r>
          </w:p>
        </w:tc>
      </w:tr>
      <w:tr w:rsidR="00A508A2" w:rsidRPr="00DD0D1F" w14:paraId="13B5AD50" w14:textId="77777777" w:rsidTr="00A508A2">
        <w:trPr>
          <w:trHeight w:val="688"/>
        </w:trPr>
        <w:tc>
          <w:tcPr>
            <w:tcW w:w="1379" w:type="pct"/>
          </w:tcPr>
          <w:p w14:paraId="177D47F4" w14:textId="77777777" w:rsidR="00A508A2" w:rsidRPr="00DD0D1F" w:rsidRDefault="00A508A2" w:rsidP="00A508A2">
            <w:pPr>
              <w:pStyle w:val="TableParagraph"/>
              <w:tabs>
                <w:tab w:val="left" w:pos="633"/>
              </w:tabs>
              <w:spacing w:before="105" w:line="232" w:lineRule="auto"/>
              <w:ind w:left="640" w:right="100" w:hanging="363"/>
              <w:rPr>
                <w:szCs w:val="24"/>
              </w:rPr>
            </w:pPr>
            <w:r w:rsidRPr="00DD0D1F">
              <w:rPr>
                <w:szCs w:val="24"/>
              </w:rPr>
              <w:t>i.</w:t>
            </w:r>
            <w:r w:rsidRPr="00DD0D1F">
              <w:rPr>
                <w:szCs w:val="24"/>
              </w:rPr>
              <w:tab/>
              <w:t>Kullanılan katı katalizör yönetimi</w:t>
            </w:r>
          </w:p>
        </w:tc>
        <w:tc>
          <w:tcPr>
            <w:tcW w:w="3621" w:type="pct"/>
          </w:tcPr>
          <w:p w14:paraId="3C3E1CE7" w14:textId="77777777" w:rsidR="00A508A2" w:rsidRPr="00DD0D1F" w:rsidRDefault="00A508A2" w:rsidP="00A508A2">
            <w:pPr>
              <w:pStyle w:val="TableParagraph"/>
              <w:spacing w:line="223" w:lineRule="exact"/>
              <w:ind w:left="107"/>
              <w:rPr>
                <w:szCs w:val="24"/>
              </w:rPr>
            </w:pPr>
            <w:r w:rsidRPr="00DD0D1F">
              <w:rPr>
                <w:szCs w:val="24"/>
              </w:rPr>
              <w:t>Bunların geri kazanılmaları veya saha dışındaki tesislerde yeniden kullanılmaları için katalizör olarak kullanılan malzemelerin planlı ve güvenli elleçlemesi (ör. yükleniciler tarafından).</w:t>
            </w:r>
          </w:p>
          <w:p w14:paraId="35E7ABC6" w14:textId="77777777" w:rsidR="00A508A2" w:rsidRPr="00DD0D1F" w:rsidRDefault="00A508A2" w:rsidP="00A508A2">
            <w:pPr>
              <w:pStyle w:val="TableParagraph"/>
              <w:spacing w:line="228" w:lineRule="exact"/>
              <w:ind w:left="107"/>
              <w:rPr>
                <w:szCs w:val="24"/>
              </w:rPr>
            </w:pPr>
            <w:r w:rsidRPr="00DD0D1F">
              <w:rPr>
                <w:szCs w:val="24"/>
              </w:rPr>
              <w:t xml:space="preserve"> Bu operasyonlar, kullanılan katalizörün türüne ve prosese bağlıdır.</w:t>
            </w:r>
          </w:p>
        </w:tc>
      </w:tr>
      <w:tr w:rsidR="00A508A2" w:rsidRPr="00DD0D1F" w14:paraId="23CE1291" w14:textId="77777777" w:rsidTr="00A508A2">
        <w:trPr>
          <w:trHeight w:val="710"/>
        </w:trPr>
        <w:tc>
          <w:tcPr>
            <w:tcW w:w="1379" w:type="pct"/>
          </w:tcPr>
          <w:p w14:paraId="3BC69C7F" w14:textId="77777777" w:rsidR="00A508A2" w:rsidRPr="00DD0D1F" w:rsidRDefault="00A508A2" w:rsidP="00A508A2">
            <w:pPr>
              <w:pStyle w:val="TableParagraph"/>
              <w:tabs>
                <w:tab w:val="left" w:pos="2051"/>
              </w:tabs>
              <w:spacing w:line="230" w:lineRule="exact"/>
              <w:ind w:left="640" w:right="98" w:hanging="423"/>
              <w:jc w:val="both"/>
              <w:rPr>
                <w:szCs w:val="24"/>
              </w:rPr>
            </w:pPr>
            <w:r w:rsidRPr="00DD0D1F">
              <w:rPr>
                <w:szCs w:val="24"/>
              </w:rPr>
              <w:t>ii.   Katalizörün çamurlu dekantör yağından giderilmesi</w:t>
            </w:r>
          </w:p>
        </w:tc>
        <w:tc>
          <w:tcPr>
            <w:tcW w:w="3621" w:type="pct"/>
          </w:tcPr>
          <w:p w14:paraId="4D6E8416" w14:textId="77777777" w:rsidR="00A508A2" w:rsidRPr="00DD0D1F" w:rsidRDefault="00A508A2" w:rsidP="00A508A2">
            <w:pPr>
              <w:pStyle w:val="TableParagraph"/>
              <w:spacing w:line="230" w:lineRule="atLeast"/>
              <w:ind w:left="107" w:right="104"/>
              <w:jc w:val="both"/>
              <w:rPr>
                <w:szCs w:val="24"/>
              </w:rPr>
            </w:pPr>
            <w:r w:rsidRPr="00DD0D1F">
              <w:rPr>
                <w:szCs w:val="24"/>
              </w:rPr>
              <w:t>Proses birimlerinden (ör. FCC birimi) kaynaklanan ve dekantörden geçirilmiş olan yağ çamurunda yüksek yoğunluklu ince katalizör taneleri bulunabilmektedir. Bu ince tanelerin, dekantörden geçen petrolün hammadde olarak yeniden kullanımı öncesinde ayrıştırılması gerekir.</w:t>
            </w:r>
          </w:p>
        </w:tc>
      </w:tr>
    </w:tbl>
    <w:p w14:paraId="33AAFE99" w14:textId="77777777" w:rsidR="00A508A2" w:rsidRPr="00DD0D1F" w:rsidRDefault="00A508A2" w:rsidP="00A508A2">
      <w:pPr>
        <w:pStyle w:val="GvdeMetni"/>
        <w:spacing w:before="7"/>
        <w:rPr>
          <w:b/>
          <w:sz w:val="24"/>
          <w:szCs w:val="24"/>
        </w:rPr>
      </w:pPr>
    </w:p>
    <w:p w14:paraId="41F5F6B8"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bookmarkStart w:id="201" w:name="_bookmark876"/>
      <w:bookmarkStart w:id="202" w:name="5.1.9_Noise"/>
      <w:bookmarkEnd w:id="201"/>
      <w:bookmarkEnd w:id="202"/>
      <w:r w:rsidRPr="00DD0D1F">
        <w:rPr>
          <w:rFonts w:cs="Times New Roman"/>
          <w:bCs/>
          <w:szCs w:val="24"/>
          <w:lang w:val="tr-TR"/>
        </w:rPr>
        <w:t>Gürültü</w:t>
      </w:r>
    </w:p>
    <w:p w14:paraId="1406C118" w14:textId="77777777" w:rsidR="00A508A2" w:rsidRPr="00DD0D1F" w:rsidRDefault="00A508A2" w:rsidP="00A508A2">
      <w:pPr>
        <w:pStyle w:val="GvdeMetni"/>
        <w:spacing w:before="7"/>
        <w:rPr>
          <w:b/>
          <w:sz w:val="24"/>
          <w:szCs w:val="24"/>
        </w:rPr>
      </w:pPr>
    </w:p>
    <w:p w14:paraId="622A7DCC" w14:textId="12F2D524" w:rsidR="00A508A2" w:rsidRPr="00DD0D1F" w:rsidRDefault="00A508A2" w:rsidP="00A508A2">
      <w:pPr>
        <w:rPr>
          <w:rFonts w:cs="Times New Roman"/>
          <w:b/>
          <w:bCs/>
          <w:szCs w:val="24"/>
          <w:lang w:val="tr-TR"/>
        </w:rPr>
      </w:pPr>
      <w:r w:rsidRPr="00DD0D1F">
        <w:rPr>
          <w:rFonts w:cs="Times New Roman"/>
          <w:b/>
          <w:bCs/>
          <w:szCs w:val="24"/>
          <w:lang w:val="tr-TR"/>
        </w:rPr>
        <w:t xml:space="preserve">MET 17: </w:t>
      </w:r>
      <w:r w:rsidRPr="00DD0D1F">
        <w:rPr>
          <w:rFonts w:cs="Times New Roman"/>
          <w:bCs/>
          <w:szCs w:val="24"/>
          <w:lang w:val="tr-TR"/>
        </w:rPr>
        <w:t>Gürültünün önlenmesi veya azaltılması için</w:t>
      </w:r>
      <w:r w:rsidR="00A9311C" w:rsidRPr="00DD0D1F">
        <w:rPr>
          <w:rFonts w:cs="Times New Roman"/>
          <w:bCs/>
          <w:szCs w:val="24"/>
          <w:lang w:val="tr-TR"/>
        </w:rPr>
        <w:t xml:space="preserve">, </w:t>
      </w:r>
      <w:r w:rsidRPr="00DD0D1F">
        <w:rPr>
          <w:rFonts w:cs="Times New Roman"/>
          <w:bCs/>
          <w:szCs w:val="24"/>
          <w:lang w:val="tr-TR"/>
        </w:rPr>
        <w:t>aşağıdaki tekniklerden biri veya daha fazlasının kombinasyonu kullanılır:</w:t>
      </w:r>
    </w:p>
    <w:p w14:paraId="1328F146" w14:textId="77777777" w:rsidR="00A508A2" w:rsidRPr="00DD0D1F" w:rsidRDefault="00A508A2" w:rsidP="00A508A2">
      <w:pPr>
        <w:rPr>
          <w:rFonts w:cs="Times New Roman"/>
          <w:b/>
          <w:bCs/>
          <w:szCs w:val="24"/>
          <w:lang w:val="tr-TR"/>
        </w:rPr>
      </w:pPr>
    </w:p>
    <w:p w14:paraId="24BCCF11" w14:textId="77777777" w:rsidR="00A508A2" w:rsidRPr="00DD0D1F" w:rsidRDefault="00A508A2" w:rsidP="00A508A2">
      <w:pPr>
        <w:pStyle w:val="GvdeMetni"/>
        <w:spacing w:before="1" w:line="360" w:lineRule="auto"/>
        <w:jc w:val="both"/>
        <w:rPr>
          <w:b/>
          <w:sz w:val="24"/>
          <w:szCs w:val="24"/>
        </w:rPr>
      </w:pPr>
    </w:p>
    <w:p w14:paraId="7A608156" w14:textId="77777777" w:rsidR="00A508A2" w:rsidRPr="00DD0D1F" w:rsidRDefault="00A508A2" w:rsidP="00FF111D">
      <w:pPr>
        <w:pStyle w:val="ListeParagraf"/>
        <w:widowControl w:val="0"/>
        <w:numPr>
          <w:ilvl w:val="0"/>
          <w:numId w:val="108"/>
        </w:numPr>
        <w:tabs>
          <w:tab w:val="left" w:pos="2548"/>
          <w:tab w:val="left" w:pos="2549"/>
        </w:tabs>
        <w:autoSpaceDE w:val="0"/>
        <w:autoSpaceDN w:val="0"/>
        <w:ind w:right="493"/>
        <w:contextualSpacing w:val="0"/>
        <w:rPr>
          <w:rFonts w:cs="Times New Roman"/>
          <w:szCs w:val="24"/>
          <w:lang w:val="tr-TR"/>
        </w:rPr>
      </w:pPr>
      <w:r w:rsidRPr="00DD0D1F">
        <w:rPr>
          <w:rFonts w:cs="Times New Roman"/>
          <w:szCs w:val="24"/>
          <w:lang w:val="tr-TR"/>
        </w:rPr>
        <w:t>çevresel gürültü değerlendirmesinin yapılması ve yerel çevreye uygun olan gürültü yönetimi planının formülasyonu,</w:t>
      </w:r>
    </w:p>
    <w:p w14:paraId="634EA8FD" w14:textId="77777777" w:rsidR="00A508A2" w:rsidRPr="00DD0D1F" w:rsidRDefault="00A508A2" w:rsidP="00FF111D">
      <w:pPr>
        <w:pStyle w:val="ListeParagraf"/>
        <w:widowControl w:val="0"/>
        <w:numPr>
          <w:ilvl w:val="0"/>
          <w:numId w:val="108"/>
        </w:numPr>
        <w:tabs>
          <w:tab w:val="left" w:pos="2548"/>
          <w:tab w:val="left" w:pos="2549"/>
        </w:tabs>
        <w:autoSpaceDE w:val="0"/>
        <w:autoSpaceDN w:val="0"/>
        <w:contextualSpacing w:val="0"/>
        <w:rPr>
          <w:rFonts w:cs="Times New Roman"/>
          <w:szCs w:val="24"/>
          <w:lang w:val="tr-TR"/>
        </w:rPr>
      </w:pPr>
      <w:r w:rsidRPr="00DD0D1F">
        <w:rPr>
          <w:rFonts w:cs="Times New Roman"/>
          <w:szCs w:val="24"/>
          <w:lang w:val="tr-TR"/>
        </w:rPr>
        <w:t>gürültülü ekipmanların/operasyonların ayrı bir yapıda/birimde çevrelenmesi,</w:t>
      </w:r>
    </w:p>
    <w:p w14:paraId="5BB5EFB7" w14:textId="77777777" w:rsidR="00A508A2" w:rsidRPr="00DD0D1F" w:rsidRDefault="00A508A2" w:rsidP="00FF111D">
      <w:pPr>
        <w:pStyle w:val="ListeParagraf"/>
        <w:widowControl w:val="0"/>
        <w:numPr>
          <w:ilvl w:val="0"/>
          <w:numId w:val="108"/>
        </w:numPr>
        <w:tabs>
          <w:tab w:val="left" w:pos="2548"/>
          <w:tab w:val="left" w:pos="2549"/>
        </w:tabs>
        <w:autoSpaceDE w:val="0"/>
        <w:autoSpaceDN w:val="0"/>
        <w:spacing w:before="2"/>
        <w:contextualSpacing w:val="0"/>
        <w:rPr>
          <w:rFonts w:cs="Times New Roman"/>
          <w:szCs w:val="24"/>
          <w:lang w:val="tr-TR"/>
        </w:rPr>
      </w:pPr>
      <w:r w:rsidRPr="00DD0D1F">
        <w:rPr>
          <w:rFonts w:cs="Times New Roman"/>
          <w:szCs w:val="24"/>
          <w:lang w:val="tr-TR"/>
        </w:rPr>
        <w:t>gürültü kaynağını kapatmak için setlerin kullanılması ve</w:t>
      </w:r>
    </w:p>
    <w:p w14:paraId="6DBA1858" w14:textId="77777777" w:rsidR="00A508A2" w:rsidRPr="00DD0D1F" w:rsidRDefault="00A508A2" w:rsidP="00FF111D">
      <w:pPr>
        <w:pStyle w:val="ListeParagraf"/>
        <w:widowControl w:val="0"/>
        <w:numPr>
          <w:ilvl w:val="0"/>
          <w:numId w:val="108"/>
        </w:numPr>
        <w:tabs>
          <w:tab w:val="left" w:pos="2548"/>
          <w:tab w:val="left" w:pos="2549"/>
        </w:tabs>
        <w:autoSpaceDE w:val="0"/>
        <w:autoSpaceDN w:val="0"/>
        <w:contextualSpacing w:val="0"/>
        <w:rPr>
          <w:rFonts w:cs="Times New Roman"/>
          <w:szCs w:val="24"/>
          <w:lang w:val="tr-TR"/>
        </w:rPr>
      </w:pPr>
      <w:r w:rsidRPr="00DD0D1F">
        <w:rPr>
          <w:rFonts w:cs="Times New Roman"/>
          <w:szCs w:val="24"/>
          <w:lang w:val="tr-TR"/>
        </w:rPr>
        <w:t>gürültüden korunma duvarlarının kullanılması.</w:t>
      </w:r>
    </w:p>
    <w:p w14:paraId="1744D225" w14:textId="77777777" w:rsidR="00A508A2" w:rsidRPr="00DD0D1F" w:rsidRDefault="00A508A2" w:rsidP="00695881">
      <w:pPr>
        <w:pStyle w:val="Balk2"/>
        <w:numPr>
          <w:ilvl w:val="0"/>
          <w:numId w:val="0"/>
        </w:numPr>
        <w:ind w:left="90"/>
        <w:rPr>
          <w:rFonts w:cs="Times New Roman"/>
          <w:szCs w:val="24"/>
          <w:lang w:val="tr-TR"/>
        </w:rPr>
      </w:pPr>
      <w:bookmarkStart w:id="203" w:name="_bookmark877"/>
      <w:bookmarkStart w:id="204" w:name="5.1.10_BAT_conclusions_for_integrated_re"/>
      <w:bookmarkEnd w:id="203"/>
      <w:bookmarkEnd w:id="204"/>
    </w:p>
    <w:p w14:paraId="463E97C1" w14:textId="00595B5C"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rPr>
      </w:pPr>
      <w:r w:rsidRPr="00DD0D1F">
        <w:rPr>
          <w:rFonts w:cs="Times New Roman"/>
          <w:bCs/>
          <w:szCs w:val="24"/>
        </w:rPr>
        <w:t xml:space="preserve">Entegre rafineri yönetimine ilişkin </w:t>
      </w:r>
      <w:r w:rsidR="00695881">
        <w:rPr>
          <w:rFonts w:cs="Times New Roman"/>
          <w:bCs/>
          <w:szCs w:val="24"/>
        </w:rPr>
        <w:t>MET</w:t>
      </w:r>
    </w:p>
    <w:p w14:paraId="6A50976F" w14:textId="77777777" w:rsidR="00A508A2" w:rsidRPr="00DD0D1F" w:rsidRDefault="00A508A2" w:rsidP="00A508A2">
      <w:pPr>
        <w:pStyle w:val="GvdeMetni"/>
        <w:spacing w:before="8"/>
        <w:rPr>
          <w:b/>
          <w:sz w:val="24"/>
          <w:szCs w:val="24"/>
        </w:rPr>
      </w:pPr>
    </w:p>
    <w:p w14:paraId="30CE72BD" w14:textId="52C9729B" w:rsidR="00A508A2" w:rsidRPr="00DD0D1F" w:rsidRDefault="00A508A2" w:rsidP="00A508A2">
      <w:pPr>
        <w:tabs>
          <w:tab w:val="left" w:pos="1585"/>
        </w:tabs>
        <w:rPr>
          <w:rFonts w:cs="Times New Roman"/>
          <w:b/>
          <w:szCs w:val="24"/>
          <w:lang w:val="tr-TR"/>
        </w:rPr>
      </w:pPr>
      <w:r w:rsidRPr="00DD0D1F">
        <w:rPr>
          <w:rFonts w:cs="Times New Roman"/>
          <w:b/>
          <w:bCs/>
          <w:szCs w:val="24"/>
          <w:lang w:val="tr-TR"/>
        </w:rPr>
        <w:t xml:space="preserve">MET 18: </w:t>
      </w:r>
      <w:r w:rsidRPr="00DD0D1F">
        <w:rPr>
          <w:rFonts w:cs="Times New Roman"/>
          <w:bCs/>
          <w:szCs w:val="24"/>
          <w:lang w:val="tr-TR"/>
        </w:rPr>
        <w:t>VOC emisyonlarının ö</w:t>
      </w:r>
      <w:r w:rsidR="00A9311C" w:rsidRPr="00DD0D1F">
        <w:rPr>
          <w:rFonts w:cs="Times New Roman"/>
          <w:bCs/>
          <w:szCs w:val="24"/>
          <w:lang w:val="tr-TR"/>
        </w:rPr>
        <w:t xml:space="preserve">nlenmesi veya azaltılması için, </w:t>
      </w:r>
      <w:r w:rsidRPr="00DD0D1F">
        <w:rPr>
          <w:rFonts w:cs="Times New Roman"/>
          <w:bCs/>
          <w:szCs w:val="24"/>
          <w:lang w:val="tr-TR"/>
        </w:rPr>
        <w:t xml:space="preserve"> aşağıdaki teknikler uygulanır.</w:t>
      </w:r>
    </w:p>
    <w:p w14:paraId="7B148856" w14:textId="77777777" w:rsidR="00A508A2" w:rsidRPr="00DD0D1F" w:rsidRDefault="00A508A2" w:rsidP="00A508A2">
      <w:pPr>
        <w:pStyle w:val="GvdeMetni"/>
        <w:spacing w:before="9"/>
        <w:rPr>
          <w:b/>
          <w:sz w:val="24"/>
          <w:szCs w:val="24"/>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2977"/>
        <w:gridCol w:w="2974"/>
      </w:tblGrid>
      <w:tr w:rsidR="00A508A2" w:rsidRPr="00DD0D1F" w14:paraId="7E381658" w14:textId="77777777" w:rsidTr="00A508A2">
        <w:trPr>
          <w:trHeight w:val="282"/>
        </w:trPr>
        <w:tc>
          <w:tcPr>
            <w:tcW w:w="2772" w:type="dxa"/>
          </w:tcPr>
          <w:p w14:paraId="5DBF369D" w14:textId="77777777" w:rsidR="00A508A2" w:rsidRPr="00DD0D1F" w:rsidRDefault="00A508A2" w:rsidP="00A508A2">
            <w:pPr>
              <w:pStyle w:val="TableParagraph"/>
              <w:spacing w:before="24"/>
              <w:ind w:left="996"/>
              <w:rPr>
                <w:b/>
                <w:szCs w:val="24"/>
              </w:rPr>
            </w:pPr>
            <w:r w:rsidRPr="00DD0D1F">
              <w:rPr>
                <w:b/>
                <w:bCs/>
                <w:szCs w:val="24"/>
              </w:rPr>
              <w:t>Teknik</w:t>
            </w:r>
          </w:p>
        </w:tc>
        <w:tc>
          <w:tcPr>
            <w:tcW w:w="2977" w:type="dxa"/>
          </w:tcPr>
          <w:p w14:paraId="0B9F0A1E" w14:textId="77777777" w:rsidR="00A508A2" w:rsidRPr="00DD0D1F" w:rsidRDefault="00A508A2" w:rsidP="00A508A2">
            <w:pPr>
              <w:pStyle w:val="TableParagraph"/>
              <w:spacing w:before="24"/>
              <w:ind w:left="994"/>
              <w:rPr>
                <w:b/>
                <w:szCs w:val="24"/>
              </w:rPr>
            </w:pPr>
            <w:r w:rsidRPr="00DD0D1F">
              <w:rPr>
                <w:b/>
                <w:bCs/>
                <w:szCs w:val="24"/>
              </w:rPr>
              <w:t>Açıklama</w:t>
            </w:r>
          </w:p>
        </w:tc>
        <w:tc>
          <w:tcPr>
            <w:tcW w:w="2974" w:type="dxa"/>
          </w:tcPr>
          <w:p w14:paraId="6F53D5A5" w14:textId="77777777" w:rsidR="00A508A2" w:rsidRPr="00DD0D1F" w:rsidRDefault="00A508A2" w:rsidP="00A508A2">
            <w:pPr>
              <w:pStyle w:val="TableParagraph"/>
              <w:spacing w:before="24"/>
              <w:ind w:left="931"/>
              <w:rPr>
                <w:b/>
                <w:szCs w:val="24"/>
              </w:rPr>
            </w:pPr>
            <w:r w:rsidRPr="00DD0D1F">
              <w:rPr>
                <w:b/>
                <w:bCs/>
                <w:szCs w:val="24"/>
              </w:rPr>
              <w:t>Uygulanabilirlik</w:t>
            </w:r>
          </w:p>
        </w:tc>
      </w:tr>
      <w:tr w:rsidR="00A508A2" w:rsidRPr="00DD0D1F" w14:paraId="774EA0D4" w14:textId="77777777" w:rsidTr="00A508A2">
        <w:trPr>
          <w:trHeight w:val="2834"/>
        </w:trPr>
        <w:tc>
          <w:tcPr>
            <w:tcW w:w="2772" w:type="dxa"/>
          </w:tcPr>
          <w:p w14:paraId="48BE3477" w14:textId="77777777" w:rsidR="00A508A2" w:rsidRPr="00DD0D1F" w:rsidRDefault="00A508A2" w:rsidP="00A508A2">
            <w:pPr>
              <w:pStyle w:val="TableParagraph"/>
              <w:rPr>
                <w:b/>
                <w:szCs w:val="24"/>
              </w:rPr>
            </w:pPr>
          </w:p>
          <w:p w14:paraId="43EF94DE" w14:textId="77777777" w:rsidR="00A508A2" w:rsidRPr="00DD0D1F" w:rsidRDefault="00A508A2" w:rsidP="00A508A2">
            <w:pPr>
              <w:pStyle w:val="TableParagraph"/>
              <w:rPr>
                <w:b/>
                <w:szCs w:val="24"/>
              </w:rPr>
            </w:pPr>
          </w:p>
          <w:p w14:paraId="592EE81B" w14:textId="77777777" w:rsidR="00A508A2" w:rsidRPr="00DD0D1F" w:rsidRDefault="00A508A2" w:rsidP="00A508A2">
            <w:pPr>
              <w:pStyle w:val="TableParagraph"/>
              <w:rPr>
                <w:b/>
                <w:szCs w:val="24"/>
              </w:rPr>
            </w:pPr>
          </w:p>
          <w:p w14:paraId="778B3D61" w14:textId="77777777" w:rsidR="00A508A2" w:rsidRPr="00DD0D1F" w:rsidRDefault="00A508A2" w:rsidP="00A508A2">
            <w:pPr>
              <w:pStyle w:val="TableParagraph"/>
              <w:rPr>
                <w:b/>
                <w:szCs w:val="24"/>
              </w:rPr>
            </w:pPr>
          </w:p>
          <w:p w14:paraId="33BEAFD2" w14:textId="77777777" w:rsidR="00A508A2" w:rsidRPr="00DD0D1F" w:rsidRDefault="00A508A2" w:rsidP="00A508A2">
            <w:pPr>
              <w:pStyle w:val="TableParagraph"/>
              <w:tabs>
                <w:tab w:val="left" w:pos="1708"/>
                <w:tab w:val="left" w:pos="2506"/>
              </w:tabs>
              <w:spacing w:before="164" w:line="235" w:lineRule="auto"/>
              <w:ind w:left="535" w:right="98" w:hanging="272"/>
              <w:rPr>
                <w:szCs w:val="24"/>
              </w:rPr>
            </w:pPr>
            <w:r w:rsidRPr="00DD0D1F">
              <w:rPr>
                <w:szCs w:val="24"/>
              </w:rPr>
              <w:t>I. Tesis tasarımıyla ilgili teknikler</w:t>
            </w:r>
          </w:p>
        </w:tc>
        <w:tc>
          <w:tcPr>
            <w:tcW w:w="2977" w:type="dxa"/>
          </w:tcPr>
          <w:p w14:paraId="356BCF40" w14:textId="77777777" w:rsidR="00A508A2" w:rsidRPr="00DD0D1F" w:rsidRDefault="00A508A2" w:rsidP="00FF111D">
            <w:pPr>
              <w:pStyle w:val="TableParagraph"/>
              <w:numPr>
                <w:ilvl w:val="0"/>
                <w:numId w:val="100"/>
              </w:numPr>
              <w:tabs>
                <w:tab w:val="left" w:pos="592"/>
              </w:tabs>
              <w:spacing w:line="235" w:lineRule="auto"/>
              <w:ind w:right="99"/>
              <w:jc w:val="both"/>
              <w:rPr>
                <w:szCs w:val="24"/>
              </w:rPr>
            </w:pPr>
            <w:r w:rsidRPr="00DD0D1F">
              <w:rPr>
                <w:szCs w:val="24"/>
              </w:rPr>
              <w:t>potansiyel emisyon kaynaklarının sayısını sınırlamak</w:t>
            </w:r>
          </w:p>
          <w:p w14:paraId="03FA9A6D" w14:textId="77777777" w:rsidR="00A508A2" w:rsidRPr="00DD0D1F" w:rsidRDefault="00A508A2" w:rsidP="00FF111D">
            <w:pPr>
              <w:pStyle w:val="TableParagraph"/>
              <w:numPr>
                <w:ilvl w:val="0"/>
                <w:numId w:val="100"/>
              </w:numPr>
              <w:tabs>
                <w:tab w:val="left" w:pos="592"/>
                <w:tab w:val="left" w:pos="1879"/>
                <w:tab w:val="left" w:pos="2212"/>
              </w:tabs>
              <w:spacing w:before="2" w:line="237" w:lineRule="auto"/>
              <w:ind w:right="98" w:hanging="452"/>
              <w:jc w:val="both"/>
              <w:rPr>
                <w:szCs w:val="24"/>
              </w:rPr>
            </w:pPr>
            <w:r w:rsidRPr="00DD0D1F">
              <w:rPr>
                <w:szCs w:val="24"/>
              </w:rPr>
              <w:t>içsel proses çevreleme özniteliklerini azamiye çıkarmak</w:t>
            </w:r>
          </w:p>
          <w:p w14:paraId="400308B6" w14:textId="77777777" w:rsidR="00A508A2" w:rsidRPr="00DD0D1F" w:rsidRDefault="00A508A2" w:rsidP="00FF111D">
            <w:pPr>
              <w:pStyle w:val="TableParagraph"/>
              <w:numPr>
                <w:ilvl w:val="0"/>
                <w:numId w:val="100"/>
              </w:numPr>
              <w:tabs>
                <w:tab w:val="left" w:pos="592"/>
              </w:tabs>
              <w:spacing w:before="4" w:line="235" w:lineRule="auto"/>
              <w:ind w:right="97" w:hanging="515"/>
              <w:jc w:val="both"/>
              <w:rPr>
                <w:szCs w:val="24"/>
              </w:rPr>
            </w:pPr>
            <w:r w:rsidRPr="00DD0D1F">
              <w:rPr>
                <w:szCs w:val="24"/>
              </w:rPr>
              <w:t>yüksek entegrasyon kabiliyetine sahip ekipmanları seçmek</w:t>
            </w:r>
          </w:p>
          <w:p w14:paraId="4F720209" w14:textId="77777777" w:rsidR="00A508A2" w:rsidRPr="00DD0D1F" w:rsidRDefault="00A508A2" w:rsidP="00FF111D">
            <w:pPr>
              <w:pStyle w:val="TableParagraph"/>
              <w:numPr>
                <w:ilvl w:val="0"/>
                <w:numId w:val="100"/>
              </w:numPr>
              <w:tabs>
                <w:tab w:val="left" w:pos="592"/>
              </w:tabs>
              <w:spacing w:before="3" w:line="237" w:lineRule="auto"/>
              <w:ind w:right="96" w:hanging="503"/>
              <w:jc w:val="both"/>
              <w:rPr>
                <w:szCs w:val="24"/>
              </w:rPr>
            </w:pPr>
            <w:r w:rsidRPr="00DD0D1F">
              <w:rPr>
                <w:szCs w:val="24"/>
              </w:rPr>
              <w:t>sızıntı yapması muhtemel olan bileşenlere erişilmesini sağlayarak izleme ve bakım faaliyetlerini kolaylaştırmak</w:t>
            </w:r>
          </w:p>
        </w:tc>
        <w:tc>
          <w:tcPr>
            <w:tcW w:w="2974" w:type="dxa"/>
          </w:tcPr>
          <w:p w14:paraId="63C4FDE4" w14:textId="77777777" w:rsidR="00A508A2" w:rsidRPr="00DD0D1F" w:rsidRDefault="00A508A2" w:rsidP="00A508A2">
            <w:pPr>
              <w:pStyle w:val="TableParagraph"/>
              <w:rPr>
                <w:b/>
                <w:szCs w:val="24"/>
              </w:rPr>
            </w:pPr>
          </w:p>
          <w:p w14:paraId="174CFFE1" w14:textId="77777777" w:rsidR="00A508A2" w:rsidRPr="00DD0D1F" w:rsidRDefault="00A508A2" w:rsidP="00A508A2">
            <w:pPr>
              <w:pStyle w:val="TableParagraph"/>
              <w:rPr>
                <w:b/>
                <w:szCs w:val="24"/>
              </w:rPr>
            </w:pPr>
          </w:p>
          <w:p w14:paraId="00010B5F" w14:textId="77777777" w:rsidR="00A508A2" w:rsidRPr="00DD0D1F" w:rsidRDefault="00A508A2" w:rsidP="00A508A2">
            <w:pPr>
              <w:pStyle w:val="TableParagraph"/>
              <w:rPr>
                <w:b/>
                <w:szCs w:val="24"/>
              </w:rPr>
            </w:pPr>
          </w:p>
          <w:p w14:paraId="431DEA91" w14:textId="77777777" w:rsidR="00A508A2" w:rsidRPr="00DD0D1F" w:rsidRDefault="00A508A2" w:rsidP="00A508A2">
            <w:pPr>
              <w:pStyle w:val="TableParagraph"/>
              <w:rPr>
                <w:b/>
                <w:szCs w:val="24"/>
              </w:rPr>
            </w:pPr>
          </w:p>
          <w:p w14:paraId="6DBC9936" w14:textId="77777777" w:rsidR="00A508A2" w:rsidRPr="00DD0D1F" w:rsidRDefault="00A508A2" w:rsidP="00A508A2">
            <w:pPr>
              <w:pStyle w:val="TableParagraph"/>
              <w:spacing w:before="169"/>
              <w:ind w:left="108" w:right="87"/>
              <w:rPr>
                <w:szCs w:val="24"/>
              </w:rPr>
            </w:pPr>
            <w:r w:rsidRPr="00DD0D1F">
              <w:rPr>
                <w:szCs w:val="24"/>
              </w:rPr>
              <w:t>Uygulanabilirliği mevcut ekipmanlarla sınırlı olabilir</w:t>
            </w:r>
          </w:p>
        </w:tc>
      </w:tr>
      <w:tr w:rsidR="00A508A2" w:rsidRPr="00DD0D1F" w14:paraId="6CB82DDE" w14:textId="77777777" w:rsidTr="00A508A2">
        <w:trPr>
          <w:trHeight w:val="1648"/>
        </w:trPr>
        <w:tc>
          <w:tcPr>
            <w:tcW w:w="2772" w:type="dxa"/>
          </w:tcPr>
          <w:p w14:paraId="1E7CDABB" w14:textId="77777777" w:rsidR="00A508A2" w:rsidRPr="00DD0D1F" w:rsidRDefault="00A508A2" w:rsidP="00A508A2">
            <w:pPr>
              <w:pStyle w:val="TableParagraph"/>
              <w:rPr>
                <w:b/>
                <w:szCs w:val="24"/>
              </w:rPr>
            </w:pPr>
          </w:p>
          <w:p w14:paraId="36DFF932" w14:textId="77777777" w:rsidR="00A508A2" w:rsidRPr="00DD0D1F" w:rsidRDefault="00A508A2" w:rsidP="00A508A2">
            <w:pPr>
              <w:pStyle w:val="TableParagraph"/>
              <w:spacing w:before="6"/>
              <w:rPr>
                <w:b/>
                <w:szCs w:val="24"/>
              </w:rPr>
            </w:pPr>
          </w:p>
          <w:p w14:paraId="4967D505" w14:textId="77777777" w:rsidR="00A508A2" w:rsidRPr="00DD0D1F" w:rsidRDefault="00A508A2" w:rsidP="00A508A2">
            <w:pPr>
              <w:pStyle w:val="TableParagraph"/>
              <w:spacing w:line="237" w:lineRule="auto"/>
              <w:ind w:left="535" w:right="97" w:hanging="347"/>
              <w:jc w:val="both"/>
              <w:rPr>
                <w:szCs w:val="24"/>
              </w:rPr>
            </w:pPr>
            <w:r w:rsidRPr="00DD0D1F">
              <w:rPr>
                <w:szCs w:val="24"/>
              </w:rPr>
              <w:t>II. Tesisin kurulum ve devreye alma işlemleriyle ilgili teknikler</w:t>
            </w:r>
          </w:p>
        </w:tc>
        <w:tc>
          <w:tcPr>
            <w:tcW w:w="2977" w:type="dxa"/>
          </w:tcPr>
          <w:p w14:paraId="2F640333" w14:textId="77777777" w:rsidR="00A508A2" w:rsidRPr="00DD0D1F" w:rsidRDefault="00A508A2" w:rsidP="00FF111D">
            <w:pPr>
              <w:pStyle w:val="TableParagraph"/>
              <w:numPr>
                <w:ilvl w:val="0"/>
                <w:numId w:val="99"/>
              </w:numPr>
              <w:tabs>
                <w:tab w:val="left" w:pos="592"/>
              </w:tabs>
              <w:spacing w:before="2" w:line="232" w:lineRule="auto"/>
              <w:ind w:right="99"/>
              <w:jc w:val="both"/>
              <w:rPr>
                <w:szCs w:val="24"/>
              </w:rPr>
            </w:pPr>
            <w:r w:rsidRPr="00DD0D1F">
              <w:rPr>
                <w:szCs w:val="24"/>
              </w:rPr>
              <w:t>iyi tanımlanmış inşaat ve montaj prosedürleri</w:t>
            </w:r>
          </w:p>
          <w:p w14:paraId="2ADB81F6" w14:textId="77777777" w:rsidR="00A508A2" w:rsidRPr="00DD0D1F" w:rsidRDefault="00A508A2" w:rsidP="00FF111D">
            <w:pPr>
              <w:pStyle w:val="TableParagraph"/>
              <w:numPr>
                <w:ilvl w:val="0"/>
                <w:numId w:val="99"/>
              </w:numPr>
              <w:tabs>
                <w:tab w:val="left" w:pos="592"/>
              </w:tabs>
              <w:spacing w:before="5" w:line="237" w:lineRule="auto"/>
              <w:ind w:right="99" w:hanging="452"/>
              <w:jc w:val="both"/>
              <w:rPr>
                <w:szCs w:val="24"/>
              </w:rPr>
            </w:pPr>
            <w:r w:rsidRPr="00DD0D1F">
              <w:rPr>
                <w:szCs w:val="24"/>
              </w:rPr>
              <w:t>tesis kurulumunun proje gerekliliklerine uygun olarak yapıldığından emin olunması amacıyla titiz devreye alma ve devir-teslim prosedürleri</w:t>
            </w:r>
          </w:p>
        </w:tc>
        <w:tc>
          <w:tcPr>
            <w:tcW w:w="2974" w:type="dxa"/>
          </w:tcPr>
          <w:p w14:paraId="42158A51" w14:textId="77777777" w:rsidR="00A508A2" w:rsidRPr="00DD0D1F" w:rsidRDefault="00A508A2" w:rsidP="00A508A2">
            <w:pPr>
              <w:pStyle w:val="TableParagraph"/>
              <w:rPr>
                <w:b/>
                <w:szCs w:val="24"/>
              </w:rPr>
            </w:pPr>
          </w:p>
          <w:p w14:paraId="4F6817FF" w14:textId="77777777" w:rsidR="00A508A2" w:rsidRPr="00DD0D1F" w:rsidRDefault="00A508A2" w:rsidP="00A508A2">
            <w:pPr>
              <w:pStyle w:val="TableParagraph"/>
              <w:spacing w:before="1"/>
              <w:rPr>
                <w:b/>
                <w:szCs w:val="24"/>
              </w:rPr>
            </w:pPr>
          </w:p>
          <w:p w14:paraId="676D71EB" w14:textId="77777777" w:rsidR="00A508A2" w:rsidRPr="00DD0D1F" w:rsidRDefault="00A508A2" w:rsidP="00A508A2">
            <w:pPr>
              <w:pStyle w:val="TableParagraph"/>
              <w:spacing w:before="1"/>
              <w:ind w:left="108" w:right="87"/>
              <w:rPr>
                <w:szCs w:val="24"/>
              </w:rPr>
            </w:pPr>
            <w:r w:rsidRPr="00DD0D1F">
              <w:rPr>
                <w:szCs w:val="24"/>
              </w:rPr>
              <w:t>Uygulanabilirliği mevcut ekipmanlarla sınırlı olabilir</w:t>
            </w:r>
          </w:p>
        </w:tc>
      </w:tr>
      <w:tr w:rsidR="00A508A2" w:rsidRPr="00DD0D1F" w14:paraId="60049399" w14:textId="77777777" w:rsidTr="00A508A2">
        <w:trPr>
          <w:trHeight w:val="1380"/>
        </w:trPr>
        <w:tc>
          <w:tcPr>
            <w:tcW w:w="2772" w:type="dxa"/>
          </w:tcPr>
          <w:p w14:paraId="70C49442" w14:textId="77777777" w:rsidR="00A508A2" w:rsidRPr="00DD0D1F" w:rsidRDefault="00A508A2" w:rsidP="00A508A2">
            <w:pPr>
              <w:pStyle w:val="TableParagraph"/>
              <w:rPr>
                <w:b/>
                <w:szCs w:val="24"/>
              </w:rPr>
            </w:pPr>
          </w:p>
          <w:p w14:paraId="4078967F" w14:textId="77777777" w:rsidR="00A508A2" w:rsidRPr="00DD0D1F" w:rsidRDefault="00A508A2" w:rsidP="00A508A2">
            <w:pPr>
              <w:pStyle w:val="TableParagraph"/>
              <w:tabs>
                <w:tab w:val="left" w:pos="1708"/>
                <w:tab w:val="left" w:pos="2506"/>
              </w:tabs>
              <w:spacing w:before="198" w:line="232" w:lineRule="auto"/>
              <w:ind w:left="535" w:right="97" w:hanging="419"/>
              <w:rPr>
                <w:szCs w:val="24"/>
              </w:rPr>
            </w:pPr>
            <w:r w:rsidRPr="00DD0D1F">
              <w:rPr>
                <w:szCs w:val="24"/>
              </w:rPr>
              <w:t>I. Tesis işletimiyle ilgili teknikler</w:t>
            </w:r>
          </w:p>
        </w:tc>
        <w:tc>
          <w:tcPr>
            <w:tcW w:w="2977" w:type="dxa"/>
          </w:tcPr>
          <w:p w14:paraId="6D325CFA" w14:textId="77777777" w:rsidR="00A508A2" w:rsidRPr="00DD0D1F" w:rsidRDefault="00A508A2" w:rsidP="00A508A2">
            <w:pPr>
              <w:pStyle w:val="TableParagraph"/>
              <w:ind w:left="231" w:right="96"/>
              <w:jc w:val="both"/>
              <w:rPr>
                <w:szCs w:val="24"/>
              </w:rPr>
            </w:pPr>
            <w:r w:rsidRPr="00DD0D1F">
              <w:rPr>
                <w:szCs w:val="24"/>
              </w:rPr>
              <w:t>Sızıntı yapan bileşenleri tespit etmek ve bu sızıntıları onarmak amacıyla riske dayalı sızıntı tespit ve onarım (LDAR) programının kullanımı.</w:t>
            </w:r>
          </w:p>
          <w:p w14:paraId="4025D0AA" w14:textId="77777777" w:rsidR="00A508A2" w:rsidRPr="00DD0D1F" w:rsidRDefault="00A508A2" w:rsidP="00A508A2">
            <w:pPr>
              <w:pStyle w:val="TableParagraph"/>
              <w:spacing w:line="217" w:lineRule="exact"/>
              <w:ind w:left="231"/>
              <w:jc w:val="both"/>
              <w:rPr>
                <w:szCs w:val="24"/>
              </w:rPr>
            </w:pPr>
          </w:p>
        </w:tc>
        <w:tc>
          <w:tcPr>
            <w:tcW w:w="2974" w:type="dxa"/>
          </w:tcPr>
          <w:p w14:paraId="05C2EEB1" w14:textId="77777777" w:rsidR="00A508A2" w:rsidRPr="00DD0D1F" w:rsidRDefault="00A508A2" w:rsidP="00A508A2">
            <w:pPr>
              <w:pStyle w:val="TableParagraph"/>
              <w:rPr>
                <w:b/>
                <w:szCs w:val="24"/>
              </w:rPr>
            </w:pPr>
          </w:p>
          <w:p w14:paraId="224BA31E" w14:textId="77777777" w:rsidR="00A508A2" w:rsidRPr="00DD0D1F" w:rsidRDefault="00A508A2" w:rsidP="00A508A2">
            <w:pPr>
              <w:pStyle w:val="TableParagraph"/>
              <w:spacing w:before="5"/>
              <w:rPr>
                <w:b/>
                <w:szCs w:val="24"/>
              </w:rPr>
            </w:pPr>
          </w:p>
          <w:p w14:paraId="4ABD6CD2" w14:textId="77777777" w:rsidR="00A508A2" w:rsidRPr="00DD0D1F" w:rsidRDefault="00A508A2" w:rsidP="00A508A2">
            <w:pPr>
              <w:pStyle w:val="TableParagraph"/>
              <w:ind w:left="108"/>
              <w:rPr>
                <w:szCs w:val="24"/>
              </w:rPr>
            </w:pPr>
            <w:r w:rsidRPr="00DD0D1F">
              <w:rPr>
                <w:szCs w:val="24"/>
              </w:rPr>
              <w:t>Genel olarak uygulanabilir</w:t>
            </w:r>
          </w:p>
        </w:tc>
      </w:tr>
    </w:tbl>
    <w:p w14:paraId="2A9F3039" w14:textId="1A8F9174" w:rsidR="00A508A2" w:rsidRDefault="00A508A2" w:rsidP="00A508A2">
      <w:pPr>
        <w:tabs>
          <w:tab w:val="left" w:pos="1585"/>
        </w:tabs>
        <w:ind w:left="452" w:right="1624"/>
        <w:rPr>
          <w:rFonts w:cs="Times New Roman"/>
          <w:szCs w:val="24"/>
          <w:lang w:val="tr-TR"/>
        </w:rPr>
      </w:pPr>
    </w:p>
    <w:p w14:paraId="10CBC910" w14:textId="77777777" w:rsidR="007712FC" w:rsidRPr="00DD0D1F" w:rsidRDefault="007712FC" w:rsidP="00A508A2">
      <w:pPr>
        <w:tabs>
          <w:tab w:val="left" w:pos="1585"/>
        </w:tabs>
        <w:ind w:left="452" w:right="1624"/>
        <w:rPr>
          <w:rFonts w:cs="Times New Roman"/>
          <w:szCs w:val="24"/>
          <w:lang w:val="tr-TR"/>
        </w:rPr>
      </w:pPr>
    </w:p>
    <w:p w14:paraId="3A8AD9BA" w14:textId="102BEA00" w:rsidR="00A508A2" w:rsidRPr="00DD0D1F" w:rsidRDefault="00A508A2" w:rsidP="00FF111D">
      <w:pPr>
        <w:pStyle w:val="Balk1"/>
        <w:keepNext w:val="0"/>
        <w:keepLines w:val="0"/>
        <w:widowControl w:val="0"/>
        <w:numPr>
          <w:ilvl w:val="0"/>
          <w:numId w:val="116"/>
        </w:numPr>
        <w:autoSpaceDE w:val="0"/>
        <w:autoSpaceDN w:val="0"/>
        <w:spacing w:before="159" w:line="240" w:lineRule="auto"/>
        <w:jc w:val="left"/>
        <w:rPr>
          <w:rFonts w:cs="Times New Roman"/>
          <w:szCs w:val="24"/>
          <w:lang w:val="tr-TR"/>
        </w:rPr>
      </w:pPr>
      <w:bookmarkStart w:id="205" w:name="_bookmark878"/>
      <w:bookmarkStart w:id="206" w:name="5.2_BAT_conclusions_for_the_alkylation_p"/>
      <w:bookmarkEnd w:id="205"/>
      <w:bookmarkEnd w:id="206"/>
      <w:r w:rsidRPr="00DD0D1F">
        <w:rPr>
          <w:rFonts w:cs="Times New Roman"/>
          <w:szCs w:val="24"/>
          <w:lang w:val="tr-TR"/>
        </w:rPr>
        <w:t xml:space="preserve">ALKİLASYON PROSESINE İLİŞKIN </w:t>
      </w:r>
      <w:r w:rsidR="00695881">
        <w:rPr>
          <w:rFonts w:cs="Times New Roman"/>
          <w:bCs/>
          <w:szCs w:val="24"/>
        </w:rPr>
        <w:t>MET SONUÇLARI</w:t>
      </w:r>
    </w:p>
    <w:p w14:paraId="7BCF84BE" w14:textId="77777777" w:rsidR="00A508A2" w:rsidRPr="00DD0D1F" w:rsidRDefault="00A508A2" w:rsidP="00A9311C">
      <w:pPr>
        <w:pStyle w:val="Balk1"/>
        <w:numPr>
          <w:ilvl w:val="0"/>
          <w:numId w:val="0"/>
        </w:numPr>
        <w:tabs>
          <w:tab w:val="left" w:pos="2440"/>
          <w:tab w:val="left" w:pos="2441"/>
        </w:tabs>
        <w:ind w:left="851"/>
        <w:rPr>
          <w:rFonts w:cs="Times New Roman"/>
          <w:szCs w:val="24"/>
          <w:lang w:val="tr-TR"/>
        </w:rPr>
      </w:pPr>
    </w:p>
    <w:p w14:paraId="6324547F"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bookmarkStart w:id="207" w:name="_bookmark879"/>
      <w:bookmarkStart w:id="208" w:name="5.2.1_Hydrofluoric_acid_alkylation_proce"/>
      <w:bookmarkEnd w:id="207"/>
      <w:bookmarkEnd w:id="208"/>
      <w:r w:rsidRPr="00DD0D1F">
        <w:rPr>
          <w:rFonts w:cs="Times New Roman"/>
          <w:bCs/>
          <w:szCs w:val="24"/>
          <w:lang w:val="tr-TR"/>
        </w:rPr>
        <w:t>Hidroflorik asitli alkilasyon prosesi</w:t>
      </w:r>
    </w:p>
    <w:p w14:paraId="03CA8680" w14:textId="77777777" w:rsidR="00A508A2" w:rsidRPr="00DD0D1F" w:rsidRDefault="00A508A2" w:rsidP="00A508A2">
      <w:pPr>
        <w:pStyle w:val="GvdeMetni"/>
        <w:spacing w:before="6"/>
        <w:rPr>
          <w:b/>
          <w:sz w:val="24"/>
          <w:szCs w:val="24"/>
        </w:rPr>
      </w:pPr>
    </w:p>
    <w:p w14:paraId="0B96815E" w14:textId="339BFEA3" w:rsidR="00A508A2" w:rsidRPr="00DD0D1F" w:rsidRDefault="00A508A2" w:rsidP="00695881">
      <w:pPr>
        <w:pStyle w:val="Balk5"/>
        <w:numPr>
          <w:ilvl w:val="0"/>
          <w:numId w:val="0"/>
        </w:numPr>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19: Hidroflorik asit alkilasyonu prosesinden havaya hidroflorik asit (HF) emisyonla</w:t>
      </w:r>
      <w:r w:rsidR="00A9311C" w:rsidRPr="00DD0D1F">
        <w:rPr>
          <w:rFonts w:ascii="Times New Roman" w:hAnsi="Times New Roman" w:cs="Times New Roman"/>
          <w:color w:val="auto"/>
          <w:szCs w:val="24"/>
          <w:lang w:val="tr-TR"/>
        </w:rPr>
        <w:t>rının yayılmasını önlenmesi için</w:t>
      </w:r>
      <w:r w:rsidRPr="00DD0D1F">
        <w:rPr>
          <w:rFonts w:ascii="Times New Roman" w:hAnsi="Times New Roman" w:cs="Times New Roman"/>
          <w:color w:val="auto"/>
          <w:szCs w:val="24"/>
          <w:lang w:val="tr-TR"/>
        </w:rPr>
        <w:t xml:space="preserve">, sıvılaştırılamayan gaz akımlarını alev </w:t>
      </w:r>
      <w:r w:rsidR="00E00B0A" w:rsidRPr="00DD0D1F">
        <w:rPr>
          <w:rFonts w:ascii="Times New Roman" w:hAnsi="Times New Roman" w:cs="Times New Roman"/>
          <w:color w:val="auto"/>
          <w:szCs w:val="24"/>
          <w:lang w:val="tr-TR"/>
        </w:rPr>
        <w:t>baca</w:t>
      </w:r>
      <w:r w:rsidRPr="00DD0D1F">
        <w:rPr>
          <w:rFonts w:ascii="Times New Roman" w:hAnsi="Times New Roman" w:cs="Times New Roman"/>
          <w:color w:val="auto"/>
          <w:szCs w:val="24"/>
          <w:lang w:val="tr-TR"/>
        </w:rPr>
        <w:t>sına sevk öncesinde arıtmak amacıyla alkali çözeltiyle yaş yıkamadan geçir</w:t>
      </w:r>
      <w:r w:rsidR="00A9311C" w:rsidRPr="00DD0D1F">
        <w:rPr>
          <w:rFonts w:ascii="Times New Roman" w:hAnsi="Times New Roman" w:cs="Times New Roman"/>
          <w:color w:val="auto"/>
          <w:szCs w:val="24"/>
          <w:lang w:val="tr-TR"/>
        </w:rPr>
        <w:t>ilir.</w:t>
      </w:r>
    </w:p>
    <w:p w14:paraId="34F72450" w14:textId="77777777" w:rsidR="00A9311C" w:rsidRPr="00DD0D1F" w:rsidRDefault="00A9311C" w:rsidP="00A9311C">
      <w:pPr>
        <w:rPr>
          <w:rFonts w:cs="Times New Roman"/>
          <w:szCs w:val="24"/>
          <w:lang w:val="tr-TR"/>
        </w:rPr>
      </w:pPr>
    </w:p>
    <w:p w14:paraId="334821C9" w14:textId="520DDB3A" w:rsidR="00A9311C" w:rsidRPr="00DD0D1F" w:rsidRDefault="00A9311C" w:rsidP="00A9311C">
      <w:pPr>
        <w:rPr>
          <w:rFonts w:cs="Times New Roman"/>
          <w:b/>
          <w:szCs w:val="24"/>
          <w:lang w:val="tr-TR"/>
        </w:rPr>
      </w:pPr>
      <w:r w:rsidRPr="00DD0D1F">
        <w:rPr>
          <w:rFonts w:cs="Times New Roman"/>
          <w:b/>
          <w:szCs w:val="24"/>
          <w:lang w:val="tr-TR"/>
        </w:rPr>
        <w:t xml:space="preserve">Tanım </w:t>
      </w:r>
    </w:p>
    <w:p w14:paraId="477E3FB7" w14:textId="77777777" w:rsidR="00BE2E5A" w:rsidRPr="00DD0D1F" w:rsidRDefault="00BE2E5A" w:rsidP="00BE2E5A">
      <w:pPr>
        <w:pStyle w:val="GvdeMetni"/>
        <w:spacing w:before="2"/>
        <w:rPr>
          <w:sz w:val="24"/>
          <w:szCs w:val="24"/>
        </w:rPr>
      </w:pPr>
    </w:p>
    <w:p w14:paraId="515F1AB5" w14:textId="77777777" w:rsidR="00BE2E5A" w:rsidRPr="00DD0D1F" w:rsidRDefault="00BE2E5A" w:rsidP="00BE2E5A">
      <w:pPr>
        <w:pStyle w:val="GvdeMetni"/>
        <w:spacing w:before="2"/>
        <w:rPr>
          <w:b/>
          <w:sz w:val="24"/>
          <w:szCs w:val="24"/>
        </w:rPr>
      </w:pPr>
      <w:r w:rsidRPr="00DD0D1F">
        <w:rPr>
          <w:b/>
          <w:sz w:val="24"/>
          <w:szCs w:val="24"/>
        </w:rPr>
        <w:t>Uygulanabilirlik:</w:t>
      </w:r>
    </w:p>
    <w:p w14:paraId="4E9B6B47" w14:textId="6998DF93" w:rsidR="00A9311C" w:rsidRPr="00DD0D1F" w:rsidRDefault="00BE2E5A" w:rsidP="00BE2E5A">
      <w:pPr>
        <w:pStyle w:val="GvdeMetni"/>
        <w:spacing w:before="2" w:line="360" w:lineRule="auto"/>
        <w:jc w:val="both"/>
        <w:rPr>
          <w:sz w:val="24"/>
          <w:szCs w:val="24"/>
        </w:rPr>
      </w:pPr>
      <w:r w:rsidRPr="00DD0D1F">
        <w:rPr>
          <w:sz w:val="24"/>
          <w:szCs w:val="24"/>
        </w:rPr>
        <w:t>Teknik genel olarak uygulanabilir. Hidroflorik asidin tehlikeli doğası nedeniyle güvenlik gereklilikleri dikkate alınmalıdır</w:t>
      </w:r>
    </w:p>
    <w:p w14:paraId="28C602AA" w14:textId="77777777" w:rsidR="00BE2E5A" w:rsidRPr="00DD0D1F" w:rsidRDefault="00BE2E5A" w:rsidP="00BE2E5A">
      <w:pPr>
        <w:pStyle w:val="GvdeMetni"/>
        <w:spacing w:before="2" w:line="360" w:lineRule="auto"/>
        <w:jc w:val="both"/>
        <w:rPr>
          <w:sz w:val="24"/>
          <w:szCs w:val="24"/>
        </w:rPr>
      </w:pPr>
    </w:p>
    <w:p w14:paraId="108643F2" w14:textId="3B6F70A3" w:rsidR="00A508A2" w:rsidRPr="00DD0D1F" w:rsidRDefault="00A508A2" w:rsidP="00A9311C">
      <w:pPr>
        <w:ind w:right="496"/>
        <w:rPr>
          <w:rFonts w:cs="Times New Roman"/>
          <w:b/>
          <w:szCs w:val="24"/>
        </w:rPr>
      </w:pPr>
      <w:r w:rsidRPr="00DD0D1F">
        <w:rPr>
          <w:rFonts w:cs="Times New Roman"/>
          <w:b/>
          <w:bCs/>
          <w:szCs w:val="24"/>
          <w:lang w:val="tr-TR"/>
        </w:rPr>
        <w:t xml:space="preserve">MET 20: </w:t>
      </w:r>
      <w:r w:rsidRPr="00DD0D1F">
        <w:rPr>
          <w:rFonts w:cs="Times New Roman"/>
          <w:bCs/>
          <w:szCs w:val="24"/>
          <w:lang w:val="tr-TR"/>
        </w:rPr>
        <w:t>Hidroflorik asitli alkilasyonu prosesinden suya yayıla</w:t>
      </w:r>
      <w:r w:rsidR="00A9311C" w:rsidRPr="00DD0D1F">
        <w:rPr>
          <w:rFonts w:cs="Times New Roman"/>
          <w:bCs/>
          <w:szCs w:val="24"/>
          <w:lang w:val="tr-TR"/>
        </w:rPr>
        <w:t xml:space="preserve">n emisyonların azaltılması için, </w:t>
      </w:r>
      <w:r w:rsidRPr="00DD0D1F">
        <w:rPr>
          <w:rFonts w:cs="Times New Roman"/>
          <w:bCs/>
          <w:szCs w:val="24"/>
          <w:lang w:val="tr-TR"/>
        </w:rPr>
        <w:t>aşağıdaki tekniklerin kombinasyonu kullanılır.</w:t>
      </w:r>
    </w:p>
    <w:p w14:paraId="09E962D9" w14:textId="77777777" w:rsidR="00A508A2" w:rsidRPr="00DD0D1F" w:rsidRDefault="00A508A2" w:rsidP="00A508A2">
      <w:pPr>
        <w:pStyle w:val="GvdeMetni"/>
        <w:spacing w:before="8"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3399"/>
        <w:gridCol w:w="2623"/>
      </w:tblGrid>
      <w:tr w:rsidR="00A508A2" w:rsidRPr="00DD0D1F" w14:paraId="065D3614" w14:textId="77777777" w:rsidTr="00A508A2">
        <w:trPr>
          <w:trHeight w:val="282"/>
        </w:trPr>
        <w:tc>
          <w:tcPr>
            <w:tcW w:w="1472" w:type="pct"/>
          </w:tcPr>
          <w:p w14:paraId="5981E0B1" w14:textId="77777777" w:rsidR="00A508A2" w:rsidRPr="00DD0D1F" w:rsidRDefault="00A508A2" w:rsidP="00A508A2">
            <w:pPr>
              <w:pStyle w:val="TableParagraph"/>
              <w:spacing w:before="24"/>
              <w:ind w:left="1158" w:right="1153"/>
              <w:jc w:val="center"/>
              <w:rPr>
                <w:b/>
                <w:szCs w:val="24"/>
              </w:rPr>
            </w:pPr>
            <w:r w:rsidRPr="00DD0D1F">
              <w:rPr>
                <w:b/>
                <w:bCs/>
                <w:szCs w:val="24"/>
              </w:rPr>
              <w:t>Teknik</w:t>
            </w:r>
          </w:p>
        </w:tc>
        <w:tc>
          <w:tcPr>
            <w:tcW w:w="1978" w:type="pct"/>
          </w:tcPr>
          <w:p w14:paraId="6695D98A" w14:textId="77777777" w:rsidR="00A508A2" w:rsidRPr="00DD0D1F" w:rsidRDefault="00A508A2" w:rsidP="00A508A2">
            <w:pPr>
              <w:pStyle w:val="TableParagraph"/>
              <w:spacing w:before="24"/>
              <w:ind w:left="837"/>
              <w:rPr>
                <w:b/>
                <w:szCs w:val="24"/>
              </w:rPr>
            </w:pPr>
            <w:r w:rsidRPr="00DD0D1F">
              <w:rPr>
                <w:b/>
                <w:bCs/>
                <w:szCs w:val="24"/>
              </w:rPr>
              <w:t>Açıklama</w:t>
            </w:r>
          </w:p>
        </w:tc>
        <w:tc>
          <w:tcPr>
            <w:tcW w:w="1550" w:type="pct"/>
          </w:tcPr>
          <w:p w14:paraId="1DC76AE9" w14:textId="77777777" w:rsidR="00A508A2" w:rsidRPr="00DD0D1F" w:rsidRDefault="00A508A2" w:rsidP="00A508A2">
            <w:pPr>
              <w:pStyle w:val="TableParagraph"/>
              <w:spacing w:before="24"/>
              <w:ind w:left="775"/>
              <w:rPr>
                <w:b/>
                <w:szCs w:val="24"/>
              </w:rPr>
            </w:pPr>
            <w:r w:rsidRPr="00DD0D1F">
              <w:rPr>
                <w:b/>
                <w:bCs/>
                <w:szCs w:val="24"/>
              </w:rPr>
              <w:t>Uygulanabilirlik</w:t>
            </w:r>
          </w:p>
        </w:tc>
      </w:tr>
      <w:tr w:rsidR="00A508A2" w:rsidRPr="00DD0D1F" w14:paraId="0BEE4B6C" w14:textId="77777777" w:rsidTr="00A508A2">
        <w:trPr>
          <w:trHeight w:val="1380"/>
        </w:trPr>
        <w:tc>
          <w:tcPr>
            <w:tcW w:w="1472" w:type="pct"/>
          </w:tcPr>
          <w:p w14:paraId="40F0510B" w14:textId="77777777" w:rsidR="00A508A2" w:rsidRPr="00DD0D1F" w:rsidRDefault="00A508A2" w:rsidP="00A508A2">
            <w:pPr>
              <w:pStyle w:val="TableParagraph"/>
              <w:rPr>
                <w:b/>
                <w:szCs w:val="24"/>
              </w:rPr>
            </w:pPr>
          </w:p>
          <w:p w14:paraId="5E61DA2D" w14:textId="77777777" w:rsidR="00A508A2" w:rsidRPr="00DD0D1F" w:rsidRDefault="00A508A2" w:rsidP="00A508A2">
            <w:pPr>
              <w:pStyle w:val="TableParagraph"/>
              <w:spacing w:before="8"/>
              <w:rPr>
                <w:b/>
                <w:szCs w:val="24"/>
              </w:rPr>
            </w:pPr>
          </w:p>
          <w:p w14:paraId="6AFBDF9D" w14:textId="77777777" w:rsidR="00A508A2" w:rsidRPr="00DD0D1F" w:rsidRDefault="00A508A2" w:rsidP="00A508A2">
            <w:pPr>
              <w:pStyle w:val="TableParagraph"/>
              <w:ind w:left="191"/>
              <w:rPr>
                <w:szCs w:val="24"/>
              </w:rPr>
            </w:pPr>
            <w:r w:rsidRPr="00DD0D1F">
              <w:rPr>
                <w:szCs w:val="24"/>
              </w:rPr>
              <w:t>i. Çökeltme/nötralizasyon adımı</w:t>
            </w:r>
          </w:p>
        </w:tc>
        <w:tc>
          <w:tcPr>
            <w:tcW w:w="1978" w:type="pct"/>
          </w:tcPr>
          <w:p w14:paraId="5BBE801F" w14:textId="77777777" w:rsidR="00A508A2" w:rsidRPr="00DD0D1F" w:rsidRDefault="00A508A2" w:rsidP="00A508A2">
            <w:pPr>
              <w:pStyle w:val="TableParagraph"/>
              <w:ind w:left="107" w:right="97"/>
              <w:jc w:val="both"/>
              <w:rPr>
                <w:szCs w:val="24"/>
              </w:rPr>
            </w:pPr>
            <w:r w:rsidRPr="00DD0D1F">
              <w:rPr>
                <w:szCs w:val="24"/>
              </w:rPr>
              <w:t>Çökeltme (ör. kalsiyum veya alüminyum esaslı katkı maddeleriyle) veya nötralizasyon (pissuyun potasyum hidroksit (KOH) ile dolaylı olarak nötrleştirildiği)</w:t>
            </w:r>
          </w:p>
        </w:tc>
        <w:tc>
          <w:tcPr>
            <w:tcW w:w="1550" w:type="pct"/>
          </w:tcPr>
          <w:p w14:paraId="3646094B" w14:textId="77777777" w:rsidR="00A508A2" w:rsidRPr="00DD0D1F" w:rsidRDefault="00A508A2" w:rsidP="00A508A2">
            <w:pPr>
              <w:pStyle w:val="TableParagraph"/>
              <w:spacing w:before="108"/>
              <w:ind w:left="107"/>
              <w:jc w:val="both"/>
              <w:rPr>
                <w:szCs w:val="24"/>
              </w:rPr>
            </w:pPr>
            <w:r w:rsidRPr="00DD0D1F">
              <w:rPr>
                <w:szCs w:val="24"/>
              </w:rPr>
              <w:t>Genel olarak uygulanabilir.</w:t>
            </w:r>
          </w:p>
          <w:p w14:paraId="37DF4888" w14:textId="77777777" w:rsidR="00A508A2" w:rsidRPr="00DD0D1F" w:rsidRDefault="00A508A2" w:rsidP="00A508A2">
            <w:pPr>
              <w:pStyle w:val="TableParagraph"/>
              <w:ind w:left="107" w:right="98"/>
              <w:jc w:val="both"/>
              <w:rPr>
                <w:szCs w:val="24"/>
              </w:rPr>
            </w:pPr>
            <w:r w:rsidRPr="00DD0D1F">
              <w:rPr>
                <w:szCs w:val="24"/>
              </w:rPr>
              <w:t>Hidroflorik asidin (HF) tehlikeli doğasına uygun güvenlik gereklilikleri göz önünde tutulmalıdır.</w:t>
            </w:r>
          </w:p>
        </w:tc>
      </w:tr>
      <w:tr w:rsidR="00A508A2" w:rsidRPr="00DD0D1F" w14:paraId="4341EC02" w14:textId="77777777" w:rsidTr="00A508A2">
        <w:trPr>
          <w:trHeight w:val="921"/>
        </w:trPr>
        <w:tc>
          <w:tcPr>
            <w:tcW w:w="1472" w:type="pct"/>
          </w:tcPr>
          <w:p w14:paraId="4FD022AF" w14:textId="77777777" w:rsidR="00A508A2" w:rsidRPr="00DD0D1F" w:rsidRDefault="00A508A2" w:rsidP="00A508A2">
            <w:pPr>
              <w:pStyle w:val="TableParagraph"/>
              <w:spacing w:before="7"/>
              <w:rPr>
                <w:b/>
                <w:szCs w:val="24"/>
              </w:rPr>
            </w:pPr>
          </w:p>
          <w:p w14:paraId="7ECF731B" w14:textId="77777777" w:rsidR="00A508A2" w:rsidRPr="00DD0D1F" w:rsidRDefault="00A508A2" w:rsidP="00A508A2">
            <w:pPr>
              <w:pStyle w:val="TableParagraph"/>
              <w:ind w:left="131"/>
              <w:rPr>
                <w:szCs w:val="24"/>
              </w:rPr>
            </w:pPr>
            <w:r w:rsidRPr="00DD0D1F">
              <w:rPr>
                <w:szCs w:val="24"/>
              </w:rPr>
              <w:t>ii. Ayrıştırma adımı</w:t>
            </w:r>
          </w:p>
        </w:tc>
        <w:tc>
          <w:tcPr>
            <w:tcW w:w="1978" w:type="pct"/>
          </w:tcPr>
          <w:p w14:paraId="777FC359" w14:textId="77777777" w:rsidR="00A508A2" w:rsidRPr="00DD0D1F" w:rsidRDefault="00A508A2" w:rsidP="00A508A2">
            <w:pPr>
              <w:pStyle w:val="TableParagraph"/>
              <w:ind w:left="107" w:right="93"/>
              <w:jc w:val="both"/>
              <w:rPr>
                <w:szCs w:val="24"/>
              </w:rPr>
            </w:pPr>
            <w:r w:rsidRPr="00DD0D1F">
              <w:rPr>
                <w:szCs w:val="24"/>
              </w:rPr>
              <w:t>Birinci adımda üretilen çözünmeyen bileşikler (ör. CaF</w:t>
            </w:r>
            <w:r w:rsidRPr="00DD0D1F">
              <w:rPr>
                <w:szCs w:val="24"/>
                <w:vertAlign w:val="subscript"/>
              </w:rPr>
              <w:t xml:space="preserve">2 </w:t>
            </w:r>
            <w:r w:rsidRPr="00DD0D1F">
              <w:rPr>
                <w:szCs w:val="24"/>
              </w:rPr>
              <w:t>veya AlF</w:t>
            </w:r>
            <w:r w:rsidRPr="00DD0D1F">
              <w:rPr>
                <w:szCs w:val="24"/>
                <w:vertAlign w:val="subscript"/>
              </w:rPr>
              <w:t>3</w:t>
            </w:r>
            <w:r w:rsidRPr="00DD0D1F">
              <w:rPr>
                <w:szCs w:val="24"/>
              </w:rPr>
              <w:t>) örneği çökeltme havuzunda ayrıştırılırlar</w:t>
            </w:r>
          </w:p>
        </w:tc>
        <w:tc>
          <w:tcPr>
            <w:tcW w:w="1550" w:type="pct"/>
          </w:tcPr>
          <w:p w14:paraId="7B7626F0" w14:textId="77777777" w:rsidR="00A508A2" w:rsidRPr="00DD0D1F" w:rsidRDefault="00A508A2" w:rsidP="00A508A2">
            <w:pPr>
              <w:pStyle w:val="TableParagraph"/>
              <w:spacing w:before="5"/>
              <w:rPr>
                <w:b/>
                <w:szCs w:val="24"/>
              </w:rPr>
            </w:pPr>
          </w:p>
          <w:p w14:paraId="7EC0BDE5" w14:textId="77777777" w:rsidR="00A508A2" w:rsidRPr="00DD0D1F" w:rsidRDefault="00A508A2" w:rsidP="00A508A2">
            <w:pPr>
              <w:pStyle w:val="TableParagraph"/>
              <w:ind w:left="107"/>
              <w:rPr>
                <w:szCs w:val="24"/>
              </w:rPr>
            </w:pPr>
            <w:r w:rsidRPr="00DD0D1F">
              <w:rPr>
                <w:szCs w:val="24"/>
              </w:rPr>
              <w:t>Genel olarak uygulanabilir</w:t>
            </w:r>
          </w:p>
        </w:tc>
      </w:tr>
    </w:tbl>
    <w:p w14:paraId="700D2C09" w14:textId="0F37959B" w:rsidR="00A508A2" w:rsidRPr="00DD0D1F" w:rsidRDefault="00A508A2" w:rsidP="00A9311C">
      <w:pPr>
        <w:pStyle w:val="Balk2"/>
        <w:numPr>
          <w:ilvl w:val="0"/>
          <w:numId w:val="0"/>
        </w:numPr>
        <w:ind w:left="666"/>
        <w:rPr>
          <w:rFonts w:cs="Times New Roman"/>
          <w:b w:val="0"/>
          <w:bCs/>
          <w:szCs w:val="24"/>
          <w:lang w:val="tr-TR"/>
        </w:rPr>
      </w:pPr>
    </w:p>
    <w:p w14:paraId="445F4A88"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r w:rsidRPr="00DD0D1F">
        <w:rPr>
          <w:rFonts w:cs="Times New Roman"/>
          <w:bCs/>
          <w:szCs w:val="24"/>
          <w:lang w:val="tr-TR"/>
        </w:rPr>
        <w:t>Sülfürik asitli alkilasyon prosesi</w:t>
      </w:r>
    </w:p>
    <w:p w14:paraId="16BB2797" w14:textId="77777777" w:rsidR="00A508A2" w:rsidRPr="00DD0D1F" w:rsidRDefault="00A508A2" w:rsidP="00A508A2">
      <w:pPr>
        <w:pStyle w:val="GvdeMetni"/>
        <w:spacing w:before="6"/>
        <w:rPr>
          <w:b/>
          <w:sz w:val="24"/>
          <w:szCs w:val="24"/>
        </w:rPr>
      </w:pPr>
    </w:p>
    <w:p w14:paraId="24EA79B7" w14:textId="286F9E76" w:rsidR="00A508A2" w:rsidRPr="00DD0D1F" w:rsidRDefault="00A508A2" w:rsidP="00A508A2">
      <w:pPr>
        <w:rPr>
          <w:rFonts w:cs="Times New Roman"/>
          <w:szCs w:val="24"/>
          <w:lang w:val="tr-TR"/>
        </w:rPr>
      </w:pPr>
      <w:r w:rsidRPr="00DD0D1F">
        <w:rPr>
          <w:rFonts w:cs="Times New Roman"/>
          <w:b/>
          <w:bCs/>
          <w:szCs w:val="24"/>
          <w:lang w:val="tr-TR"/>
        </w:rPr>
        <w:t xml:space="preserve">MET 21: </w:t>
      </w:r>
      <w:r w:rsidRPr="00DD0D1F">
        <w:rPr>
          <w:rFonts w:cs="Times New Roman"/>
          <w:bCs/>
          <w:szCs w:val="24"/>
          <w:lang w:val="tr-TR"/>
        </w:rPr>
        <w:t>Sülfürik asitli alkilasyon prosesinden suya yayıla</w:t>
      </w:r>
      <w:r w:rsidR="00A9311C" w:rsidRPr="00DD0D1F">
        <w:rPr>
          <w:rFonts w:cs="Times New Roman"/>
          <w:bCs/>
          <w:szCs w:val="24"/>
          <w:lang w:val="tr-TR"/>
        </w:rPr>
        <w:t xml:space="preserve">n emisyonların azaltılması için, </w:t>
      </w:r>
      <w:r w:rsidRPr="00DD0D1F">
        <w:rPr>
          <w:rFonts w:cs="Times New Roman"/>
          <w:bCs/>
          <w:szCs w:val="24"/>
          <w:lang w:val="tr-TR"/>
        </w:rPr>
        <w:t>kullanılan asidin rejenerasyonu yoluyla sül</w:t>
      </w:r>
      <w:r w:rsidR="00A9311C" w:rsidRPr="00DD0D1F">
        <w:rPr>
          <w:rFonts w:cs="Times New Roman"/>
          <w:bCs/>
          <w:szCs w:val="24"/>
          <w:lang w:val="tr-TR"/>
        </w:rPr>
        <w:t xml:space="preserve">fürik asit kullanımını azaltılır </w:t>
      </w:r>
      <w:r w:rsidRPr="00DD0D1F">
        <w:rPr>
          <w:rFonts w:cs="Times New Roman"/>
          <w:bCs/>
          <w:szCs w:val="24"/>
          <w:lang w:val="tr-TR"/>
        </w:rPr>
        <w:t>ve atık su arıtımına yönlendirme öncesinde</w:t>
      </w:r>
      <w:r w:rsidR="00A9311C" w:rsidRPr="00DD0D1F">
        <w:rPr>
          <w:rFonts w:cs="Times New Roman"/>
          <w:bCs/>
          <w:szCs w:val="24"/>
          <w:lang w:val="tr-TR"/>
        </w:rPr>
        <w:t xml:space="preserve"> bu proseste üretilen atık su nötralize edilir.</w:t>
      </w:r>
    </w:p>
    <w:p w14:paraId="524C1B40" w14:textId="77777777" w:rsidR="00A508A2" w:rsidRPr="00DD0D1F" w:rsidRDefault="00A508A2" w:rsidP="00A508A2">
      <w:pPr>
        <w:ind w:right="489"/>
        <w:rPr>
          <w:rFonts w:cs="Times New Roman"/>
          <w:szCs w:val="24"/>
          <w:lang w:val="tr-TR"/>
        </w:rPr>
      </w:pPr>
    </w:p>
    <w:p w14:paraId="4CBE41D0" w14:textId="0925917B" w:rsidR="00A508A2" w:rsidRPr="00DD0D1F" w:rsidRDefault="00A508A2" w:rsidP="00FF111D">
      <w:pPr>
        <w:pStyle w:val="Balk1"/>
        <w:keepNext w:val="0"/>
        <w:keepLines w:val="0"/>
        <w:widowControl w:val="0"/>
        <w:numPr>
          <w:ilvl w:val="0"/>
          <w:numId w:val="116"/>
        </w:numPr>
        <w:autoSpaceDE w:val="0"/>
        <w:autoSpaceDN w:val="0"/>
        <w:spacing w:before="159" w:line="240" w:lineRule="auto"/>
        <w:jc w:val="left"/>
        <w:rPr>
          <w:rFonts w:cs="Times New Roman"/>
          <w:szCs w:val="24"/>
          <w:lang w:val="tr-TR"/>
        </w:rPr>
      </w:pPr>
      <w:bookmarkStart w:id="209" w:name="_bookmark881"/>
      <w:bookmarkStart w:id="210" w:name="5.3_BAT_conclusions_for_base_oil_product"/>
      <w:bookmarkEnd w:id="209"/>
      <w:bookmarkEnd w:id="210"/>
      <w:r w:rsidRPr="00DD0D1F">
        <w:rPr>
          <w:rFonts w:cs="Times New Roman"/>
          <w:szCs w:val="24"/>
          <w:lang w:val="tr-TR"/>
        </w:rPr>
        <w:t xml:space="preserve">BAZ YAĞI ÜRETİMİ PROSESİNE İLİŞKİN </w:t>
      </w:r>
      <w:r w:rsidR="00695881">
        <w:rPr>
          <w:rFonts w:cs="Times New Roman"/>
          <w:bCs/>
          <w:szCs w:val="24"/>
        </w:rPr>
        <w:t>MET</w:t>
      </w:r>
    </w:p>
    <w:p w14:paraId="39EFA10E" w14:textId="77777777" w:rsidR="00A508A2" w:rsidRPr="00DD0D1F" w:rsidRDefault="00A508A2" w:rsidP="00A508A2">
      <w:pPr>
        <w:pStyle w:val="GvdeMetni"/>
        <w:spacing w:before="8" w:line="360" w:lineRule="auto"/>
        <w:jc w:val="both"/>
        <w:rPr>
          <w:b/>
          <w:sz w:val="24"/>
          <w:szCs w:val="24"/>
        </w:rPr>
      </w:pPr>
    </w:p>
    <w:p w14:paraId="39025D6B" w14:textId="227FE67F" w:rsidR="00A508A2" w:rsidRPr="00DD0D1F" w:rsidRDefault="00A508A2" w:rsidP="00A508A2">
      <w:pPr>
        <w:rPr>
          <w:rFonts w:cs="Times New Roman"/>
          <w:b/>
          <w:szCs w:val="24"/>
          <w:lang w:val="tr-TR"/>
        </w:rPr>
      </w:pPr>
      <w:r w:rsidRPr="00DD0D1F">
        <w:rPr>
          <w:rFonts w:cs="Times New Roman"/>
          <w:b/>
          <w:bCs/>
          <w:szCs w:val="24"/>
          <w:lang w:val="tr-TR"/>
        </w:rPr>
        <w:t xml:space="preserve">MET 22: </w:t>
      </w:r>
      <w:r w:rsidRPr="00DD0D1F">
        <w:rPr>
          <w:rFonts w:cs="Times New Roman"/>
          <w:bCs/>
          <w:szCs w:val="24"/>
          <w:lang w:val="tr-TR"/>
        </w:rPr>
        <w:t>Havaya ve suya baz yağı üretim proseslerinden yayılan tehlikeli madde emisyonlarının önlenmesi ve azaltılması i</w:t>
      </w:r>
      <w:r w:rsidR="00BE2E5A" w:rsidRPr="00DD0D1F">
        <w:rPr>
          <w:rFonts w:cs="Times New Roman"/>
          <w:bCs/>
          <w:szCs w:val="24"/>
          <w:lang w:val="tr-TR"/>
        </w:rPr>
        <w:t xml:space="preserve">çin, </w:t>
      </w:r>
      <w:r w:rsidRPr="00DD0D1F">
        <w:rPr>
          <w:rFonts w:cs="Times New Roman"/>
          <w:bCs/>
          <w:szCs w:val="24"/>
          <w:lang w:val="tr-TR"/>
        </w:rPr>
        <w:t>aşağıdaki tekniklerden biri veya daha fazlasının kombinasyonu kullanılır.</w:t>
      </w:r>
    </w:p>
    <w:p w14:paraId="2AC6A8B7" w14:textId="77777777" w:rsidR="00A508A2" w:rsidRPr="00DD0D1F" w:rsidRDefault="00A508A2" w:rsidP="00A508A2">
      <w:pPr>
        <w:pStyle w:val="GvdeMetni"/>
        <w:rPr>
          <w:b/>
          <w:sz w:val="24"/>
          <w:szCs w:val="24"/>
        </w:rPr>
      </w:pPr>
    </w:p>
    <w:p w14:paraId="22433BF7" w14:textId="77777777" w:rsidR="00A508A2" w:rsidRPr="00DD0D1F" w:rsidRDefault="00A508A2" w:rsidP="00A508A2">
      <w:pPr>
        <w:pStyle w:val="GvdeMetni"/>
        <w:spacing w:before="7"/>
        <w:rPr>
          <w:b/>
          <w:sz w:val="24"/>
          <w:szCs w:val="24"/>
        </w:rPr>
      </w:pPr>
    </w:p>
    <w:tbl>
      <w:tblPr>
        <w:tblStyle w:val="TableNormal"/>
        <w:tblpPr w:leftFromText="141" w:rightFromText="141" w:vertAnchor="text" w:tblpY="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6"/>
        <w:gridCol w:w="4484"/>
        <w:gridCol w:w="2407"/>
      </w:tblGrid>
      <w:tr w:rsidR="00A508A2" w:rsidRPr="00DD0D1F" w14:paraId="791C2050" w14:textId="77777777" w:rsidTr="00A508A2">
        <w:trPr>
          <w:trHeight w:val="288"/>
        </w:trPr>
        <w:tc>
          <w:tcPr>
            <w:tcW w:w="1204" w:type="pct"/>
            <w:vAlign w:val="center"/>
          </w:tcPr>
          <w:p w14:paraId="08603126" w14:textId="77777777" w:rsidR="00A508A2" w:rsidRPr="00DD0D1F" w:rsidRDefault="00A508A2" w:rsidP="00A508A2">
            <w:pPr>
              <w:pStyle w:val="TableParagraph"/>
              <w:spacing w:before="5"/>
              <w:jc w:val="center"/>
              <w:rPr>
                <w:b/>
                <w:szCs w:val="24"/>
              </w:rPr>
            </w:pPr>
            <w:r w:rsidRPr="00DD0D1F">
              <w:rPr>
                <w:b/>
                <w:szCs w:val="24"/>
              </w:rPr>
              <w:t>Teknik</w:t>
            </w:r>
          </w:p>
        </w:tc>
        <w:tc>
          <w:tcPr>
            <w:tcW w:w="2470" w:type="pct"/>
            <w:vAlign w:val="center"/>
          </w:tcPr>
          <w:p w14:paraId="6D4A3E0B" w14:textId="77777777" w:rsidR="00A508A2" w:rsidRPr="00DD0D1F" w:rsidRDefault="00A508A2" w:rsidP="00A508A2">
            <w:pPr>
              <w:pStyle w:val="TableParagraph"/>
              <w:ind w:left="108" w:right="96"/>
              <w:jc w:val="center"/>
              <w:rPr>
                <w:b/>
                <w:szCs w:val="24"/>
              </w:rPr>
            </w:pPr>
            <w:r w:rsidRPr="00DD0D1F">
              <w:rPr>
                <w:b/>
                <w:szCs w:val="24"/>
              </w:rPr>
              <w:t>Açıklama</w:t>
            </w:r>
          </w:p>
        </w:tc>
        <w:tc>
          <w:tcPr>
            <w:tcW w:w="1326" w:type="pct"/>
            <w:vAlign w:val="center"/>
          </w:tcPr>
          <w:p w14:paraId="543B1186" w14:textId="77777777" w:rsidR="00A508A2" w:rsidRPr="00DD0D1F" w:rsidRDefault="00A508A2" w:rsidP="00A508A2">
            <w:pPr>
              <w:pStyle w:val="TableParagraph"/>
              <w:ind w:left="108" w:right="96"/>
              <w:jc w:val="center"/>
              <w:rPr>
                <w:b/>
                <w:szCs w:val="24"/>
              </w:rPr>
            </w:pPr>
            <w:r w:rsidRPr="00DD0D1F">
              <w:rPr>
                <w:b/>
                <w:szCs w:val="24"/>
              </w:rPr>
              <w:t>Uygulanabilirlik</w:t>
            </w:r>
          </w:p>
        </w:tc>
      </w:tr>
      <w:tr w:rsidR="00A508A2" w:rsidRPr="00DD0D1F" w14:paraId="7DBDF4A1" w14:textId="77777777" w:rsidTr="00A508A2">
        <w:trPr>
          <w:trHeight w:val="1149"/>
        </w:trPr>
        <w:tc>
          <w:tcPr>
            <w:tcW w:w="1204" w:type="pct"/>
          </w:tcPr>
          <w:p w14:paraId="471086B6" w14:textId="77777777" w:rsidR="00A508A2" w:rsidRPr="00DD0D1F" w:rsidRDefault="00A508A2" w:rsidP="00BE2E5A">
            <w:pPr>
              <w:pStyle w:val="TableParagraph"/>
              <w:spacing w:before="5"/>
              <w:jc w:val="both"/>
              <w:rPr>
                <w:b/>
                <w:szCs w:val="24"/>
              </w:rPr>
            </w:pPr>
            <w:bookmarkStart w:id="211" w:name="_bookmark880"/>
            <w:bookmarkStart w:id="212" w:name="5.2.2_Sulphuric_acid_alkylation_process"/>
            <w:bookmarkEnd w:id="211"/>
            <w:bookmarkEnd w:id="212"/>
          </w:p>
          <w:p w14:paraId="600CD273" w14:textId="77777777" w:rsidR="00A508A2" w:rsidRPr="00DD0D1F" w:rsidRDefault="00A508A2" w:rsidP="00BE2E5A">
            <w:pPr>
              <w:pStyle w:val="TableParagraph"/>
              <w:numPr>
                <w:ilvl w:val="0"/>
                <w:numId w:val="117"/>
              </w:numPr>
              <w:tabs>
                <w:tab w:val="left" w:pos="590"/>
              </w:tabs>
              <w:ind w:right="96"/>
              <w:jc w:val="both"/>
              <w:rPr>
                <w:szCs w:val="24"/>
              </w:rPr>
            </w:pPr>
            <w:r w:rsidRPr="00DD0D1F">
              <w:rPr>
                <w:szCs w:val="24"/>
              </w:rPr>
              <w:t>Çözücü geri</w:t>
            </w:r>
          </w:p>
          <w:p w14:paraId="66F279EA" w14:textId="77777777" w:rsidR="00A508A2" w:rsidRPr="00DD0D1F" w:rsidRDefault="00A508A2" w:rsidP="00BE2E5A">
            <w:pPr>
              <w:pStyle w:val="TableParagraph"/>
              <w:tabs>
                <w:tab w:val="left" w:pos="590"/>
              </w:tabs>
              <w:ind w:left="360" w:right="96"/>
              <w:jc w:val="both"/>
              <w:rPr>
                <w:szCs w:val="24"/>
              </w:rPr>
            </w:pPr>
            <w:r w:rsidRPr="00DD0D1F">
              <w:rPr>
                <w:szCs w:val="24"/>
              </w:rPr>
              <w:t>kazanımının olduğu kapalı proses</w:t>
            </w:r>
          </w:p>
        </w:tc>
        <w:tc>
          <w:tcPr>
            <w:tcW w:w="2470" w:type="pct"/>
          </w:tcPr>
          <w:p w14:paraId="7F3BF4AC" w14:textId="58707638" w:rsidR="00A508A2" w:rsidRPr="00DD0D1F" w:rsidRDefault="00A508A2" w:rsidP="00A508A2">
            <w:pPr>
              <w:pStyle w:val="TableParagraph"/>
              <w:ind w:left="108" w:right="96"/>
              <w:jc w:val="both"/>
              <w:rPr>
                <w:szCs w:val="24"/>
              </w:rPr>
            </w:pPr>
            <w:r w:rsidRPr="00DD0D1F">
              <w:rPr>
                <w:szCs w:val="24"/>
              </w:rPr>
              <w:t>Baz yağı imalatı (ör. ekstraksiyon, parafin giderme birimlerinde) sırasında kullanılmasının ardından çözücünün distilasyon ve sıyırma adımlarıyla geri kazanıldığı proses.</w:t>
            </w:r>
          </w:p>
          <w:p w14:paraId="6D74149D" w14:textId="1947B5D0" w:rsidR="004E551F" w:rsidRPr="00DD0D1F" w:rsidRDefault="004E551F" w:rsidP="00A508A2">
            <w:pPr>
              <w:pStyle w:val="TableParagraph"/>
              <w:ind w:left="108" w:right="96"/>
              <w:jc w:val="both"/>
              <w:rPr>
                <w:szCs w:val="24"/>
              </w:rPr>
            </w:pPr>
          </w:p>
          <w:p w14:paraId="6F1699E4" w14:textId="5CAC256F" w:rsidR="004E551F" w:rsidRPr="00DD0D1F" w:rsidRDefault="004E551F" w:rsidP="00A508A2">
            <w:pPr>
              <w:pStyle w:val="TableParagraph"/>
              <w:ind w:left="108" w:right="96"/>
              <w:jc w:val="both"/>
              <w:rPr>
                <w:szCs w:val="24"/>
              </w:rPr>
            </w:pPr>
            <w:r w:rsidRPr="00DD0D1F">
              <w:rPr>
                <w:szCs w:val="24"/>
              </w:rPr>
              <w:t>Bölüm 1.20.7 bakınız.</w:t>
            </w:r>
          </w:p>
          <w:p w14:paraId="3A26758D" w14:textId="77777777" w:rsidR="00A508A2" w:rsidRPr="00DD0D1F" w:rsidRDefault="00A508A2" w:rsidP="00A508A2">
            <w:pPr>
              <w:pStyle w:val="TableParagraph"/>
              <w:spacing w:line="216" w:lineRule="exact"/>
              <w:ind w:left="108" w:right="96"/>
              <w:jc w:val="both"/>
              <w:rPr>
                <w:szCs w:val="24"/>
              </w:rPr>
            </w:pPr>
          </w:p>
        </w:tc>
        <w:tc>
          <w:tcPr>
            <w:tcW w:w="1326" w:type="pct"/>
          </w:tcPr>
          <w:p w14:paraId="707880DB" w14:textId="77777777" w:rsidR="00A508A2" w:rsidRPr="00DD0D1F" w:rsidRDefault="00A508A2" w:rsidP="00A508A2">
            <w:pPr>
              <w:pStyle w:val="TableParagraph"/>
              <w:ind w:left="108" w:right="96"/>
              <w:rPr>
                <w:b/>
                <w:szCs w:val="24"/>
              </w:rPr>
            </w:pPr>
          </w:p>
          <w:p w14:paraId="59F43B35" w14:textId="77777777" w:rsidR="00A508A2" w:rsidRPr="00DD0D1F" w:rsidRDefault="00A508A2" w:rsidP="00A508A2">
            <w:pPr>
              <w:pStyle w:val="TableParagraph"/>
              <w:spacing w:before="5"/>
              <w:ind w:left="108" w:right="96"/>
              <w:rPr>
                <w:b/>
                <w:szCs w:val="24"/>
              </w:rPr>
            </w:pPr>
          </w:p>
          <w:p w14:paraId="09903E98" w14:textId="77777777" w:rsidR="00A508A2" w:rsidRPr="00DD0D1F" w:rsidRDefault="00A508A2" w:rsidP="00A508A2">
            <w:pPr>
              <w:pStyle w:val="TableParagraph"/>
              <w:ind w:left="108" w:right="96"/>
              <w:rPr>
                <w:szCs w:val="24"/>
              </w:rPr>
            </w:pPr>
            <w:r w:rsidRPr="00DD0D1F">
              <w:rPr>
                <w:szCs w:val="24"/>
              </w:rPr>
              <w:t>Genel olarak uygulanabilir</w:t>
            </w:r>
          </w:p>
        </w:tc>
      </w:tr>
      <w:tr w:rsidR="00A508A2" w:rsidRPr="00DD0D1F" w14:paraId="16B0B95A" w14:textId="77777777" w:rsidTr="00A508A2">
        <w:trPr>
          <w:trHeight w:val="1380"/>
        </w:trPr>
        <w:tc>
          <w:tcPr>
            <w:tcW w:w="1204" w:type="pct"/>
          </w:tcPr>
          <w:p w14:paraId="7B5EB327" w14:textId="77777777" w:rsidR="00A508A2" w:rsidRPr="00DD0D1F" w:rsidRDefault="00A508A2" w:rsidP="00BE2E5A">
            <w:pPr>
              <w:pStyle w:val="TableParagraph"/>
              <w:spacing w:before="5"/>
              <w:jc w:val="both"/>
              <w:rPr>
                <w:b/>
                <w:szCs w:val="24"/>
              </w:rPr>
            </w:pPr>
          </w:p>
          <w:p w14:paraId="7B0BEA4E" w14:textId="77777777" w:rsidR="00A508A2" w:rsidRPr="00DD0D1F" w:rsidRDefault="00A508A2" w:rsidP="00BE2E5A">
            <w:pPr>
              <w:pStyle w:val="TableParagraph"/>
              <w:numPr>
                <w:ilvl w:val="0"/>
                <w:numId w:val="117"/>
              </w:numPr>
              <w:tabs>
                <w:tab w:val="left" w:pos="590"/>
              </w:tabs>
              <w:ind w:right="186"/>
              <w:jc w:val="both"/>
              <w:rPr>
                <w:szCs w:val="24"/>
              </w:rPr>
            </w:pPr>
            <w:r w:rsidRPr="00DD0D1F">
              <w:rPr>
                <w:szCs w:val="24"/>
              </w:rPr>
              <w:t>Birden fazla</w:t>
            </w:r>
          </w:p>
          <w:p w14:paraId="1328BE61" w14:textId="77777777" w:rsidR="00A508A2" w:rsidRPr="00DD0D1F" w:rsidRDefault="00A508A2" w:rsidP="00BE2E5A">
            <w:pPr>
              <w:pStyle w:val="TableParagraph"/>
              <w:tabs>
                <w:tab w:val="left" w:pos="590"/>
              </w:tabs>
              <w:ind w:left="360" w:right="186"/>
              <w:jc w:val="both"/>
              <w:rPr>
                <w:szCs w:val="24"/>
              </w:rPr>
            </w:pPr>
            <w:r w:rsidRPr="00DD0D1F">
              <w:rPr>
                <w:szCs w:val="24"/>
              </w:rPr>
              <w:t>etkiye sahip ekstraksiyonlu çözücü bazlı proses</w:t>
            </w:r>
          </w:p>
        </w:tc>
        <w:tc>
          <w:tcPr>
            <w:tcW w:w="2470" w:type="pct"/>
          </w:tcPr>
          <w:p w14:paraId="1D1C5573" w14:textId="77777777" w:rsidR="00A508A2" w:rsidRPr="00DD0D1F" w:rsidRDefault="00A508A2" w:rsidP="00A508A2">
            <w:pPr>
              <w:pStyle w:val="TableParagraph"/>
              <w:spacing w:before="5"/>
              <w:ind w:left="108" w:right="96"/>
              <w:rPr>
                <w:b/>
                <w:szCs w:val="24"/>
              </w:rPr>
            </w:pPr>
          </w:p>
          <w:p w14:paraId="6306D7D2" w14:textId="77777777" w:rsidR="00A508A2" w:rsidRPr="00DD0D1F" w:rsidRDefault="00A508A2" w:rsidP="00A508A2">
            <w:pPr>
              <w:pStyle w:val="TableParagraph"/>
              <w:spacing w:before="1"/>
              <w:ind w:left="108" w:right="96"/>
              <w:jc w:val="both"/>
              <w:rPr>
                <w:szCs w:val="24"/>
              </w:rPr>
            </w:pPr>
            <w:r w:rsidRPr="00DD0D1F">
              <w:rPr>
                <w:szCs w:val="24"/>
              </w:rPr>
              <w:t>Bariyer kaybının düşük olması için farklı buharlaştırma evrelerini içeren (ör. ikili veya üçlü etki) çözücü ekstraksiyonu prosesi</w:t>
            </w:r>
          </w:p>
        </w:tc>
        <w:tc>
          <w:tcPr>
            <w:tcW w:w="1326" w:type="pct"/>
          </w:tcPr>
          <w:p w14:paraId="1892723A" w14:textId="77777777" w:rsidR="00A508A2" w:rsidRPr="00DD0D1F" w:rsidRDefault="00A508A2" w:rsidP="00A508A2">
            <w:pPr>
              <w:pStyle w:val="TableParagraph"/>
              <w:ind w:left="108" w:right="96"/>
              <w:jc w:val="both"/>
              <w:rPr>
                <w:szCs w:val="24"/>
              </w:rPr>
            </w:pPr>
            <w:r w:rsidRPr="00DD0D1F">
              <w:rPr>
                <w:szCs w:val="24"/>
              </w:rPr>
              <w:t>Genel olarak yeni birimlere uygulanır.</w:t>
            </w:r>
          </w:p>
          <w:p w14:paraId="4534D3DE" w14:textId="77777777" w:rsidR="00A508A2" w:rsidRPr="00DD0D1F" w:rsidRDefault="00A508A2" w:rsidP="00A508A2">
            <w:pPr>
              <w:pStyle w:val="TableParagraph"/>
              <w:ind w:left="108" w:right="96"/>
              <w:jc w:val="both"/>
              <w:rPr>
                <w:szCs w:val="24"/>
              </w:rPr>
            </w:pPr>
            <w:r w:rsidRPr="00DD0D1F">
              <w:rPr>
                <w:szCs w:val="24"/>
              </w:rPr>
              <w:t>Üç etkili prosesin kullanımı kirlenmeyen hammaddeler ile sınırlı olabilir.</w:t>
            </w:r>
          </w:p>
        </w:tc>
      </w:tr>
      <w:tr w:rsidR="00A508A2" w:rsidRPr="00DD0D1F" w14:paraId="3DD054FE" w14:textId="77777777" w:rsidTr="00A508A2">
        <w:trPr>
          <w:trHeight w:val="1840"/>
        </w:trPr>
        <w:tc>
          <w:tcPr>
            <w:tcW w:w="1204" w:type="pct"/>
          </w:tcPr>
          <w:p w14:paraId="14C37309" w14:textId="77777777" w:rsidR="00A508A2" w:rsidRPr="00DD0D1F" w:rsidRDefault="00A508A2" w:rsidP="00BE2E5A">
            <w:pPr>
              <w:pStyle w:val="TableParagraph"/>
              <w:jc w:val="both"/>
              <w:rPr>
                <w:b/>
                <w:szCs w:val="24"/>
              </w:rPr>
            </w:pPr>
          </w:p>
          <w:p w14:paraId="2920E2BC" w14:textId="77777777" w:rsidR="00A508A2" w:rsidRPr="00DD0D1F" w:rsidRDefault="00A508A2" w:rsidP="00BE2E5A">
            <w:pPr>
              <w:pStyle w:val="TableParagraph"/>
              <w:spacing w:before="5"/>
              <w:jc w:val="both"/>
              <w:rPr>
                <w:b/>
                <w:szCs w:val="24"/>
              </w:rPr>
            </w:pPr>
          </w:p>
          <w:p w14:paraId="6DA6FE31" w14:textId="77777777" w:rsidR="00A508A2" w:rsidRPr="00DD0D1F" w:rsidRDefault="00A508A2" w:rsidP="00BE2E5A">
            <w:pPr>
              <w:pStyle w:val="TableParagraph"/>
              <w:numPr>
                <w:ilvl w:val="0"/>
                <w:numId w:val="117"/>
              </w:numPr>
              <w:ind w:left="426" w:right="96" w:hanging="66"/>
              <w:jc w:val="both"/>
              <w:rPr>
                <w:szCs w:val="24"/>
              </w:rPr>
            </w:pPr>
            <w:r w:rsidRPr="00DD0D1F">
              <w:rPr>
                <w:szCs w:val="24"/>
              </w:rPr>
              <w:t>Daha az tehlikeli maddelerin kullanıldığı ekstraksiyon birimi prosesleri</w:t>
            </w:r>
          </w:p>
        </w:tc>
        <w:tc>
          <w:tcPr>
            <w:tcW w:w="2470" w:type="pct"/>
          </w:tcPr>
          <w:p w14:paraId="3A728AF9" w14:textId="77777777" w:rsidR="00A508A2" w:rsidRPr="00DD0D1F" w:rsidRDefault="00A508A2" w:rsidP="00A508A2">
            <w:pPr>
              <w:pStyle w:val="TableParagraph"/>
              <w:spacing w:before="5"/>
              <w:ind w:left="108" w:right="96"/>
              <w:rPr>
                <w:b/>
                <w:szCs w:val="24"/>
              </w:rPr>
            </w:pPr>
          </w:p>
          <w:p w14:paraId="574A3EF5" w14:textId="77777777" w:rsidR="00A508A2" w:rsidRPr="00DD0D1F" w:rsidRDefault="00A508A2" w:rsidP="00A508A2">
            <w:pPr>
              <w:pStyle w:val="TableParagraph"/>
              <w:ind w:left="108" w:right="96"/>
              <w:jc w:val="both"/>
              <w:rPr>
                <w:szCs w:val="24"/>
              </w:rPr>
            </w:pPr>
            <w:r w:rsidRPr="00DD0D1F">
              <w:rPr>
                <w:szCs w:val="24"/>
              </w:rPr>
              <w:t>Tesisin çözücü ekstraksiyonu prosesini daha az tehlikeli çözücü kullanımıyla gerçekleştirebilmesine yönelik tasarım (yeni tesisler) veya değişikliklerin (mevcut tesiste) uygulanması: ör. furfural veya fenol ekstraksiyonunun n-metilpirrolidon (NMP) prosesine dönüştürülmesi</w:t>
            </w:r>
          </w:p>
        </w:tc>
        <w:tc>
          <w:tcPr>
            <w:tcW w:w="1326" w:type="pct"/>
          </w:tcPr>
          <w:p w14:paraId="565E284D" w14:textId="77777777" w:rsidR="00A508A2" w:rsidRPr="00DD0D1F" w:rsidRDefault="00A508A2" w:rsidP="00A508A2">
            <w:pPr>
              <w:pStyle w:val="TableParagraph"/>
              <w:ind w:left="108" w:right="96"/>
              <w:rPr>
                <w:szCs w:val="24"/>
              </w:rPr>
            </w:pPr>
            <w:r w:rsidRPr="00DD0D1F">
              <w:rPr>
                <w:szCs w:val="24"/>
              </w:rPr>
              <w:t>Genel olarak yeni birimlere uygulanır.</w:t>
            </w:r>
          </w:p>
          <w:p w14:paraId="753CF001" w14:textId="77777777" w:rsidR="00A508A2" w:rsidRPr="00DD0D1F" w:rsidRDefault="00A508A2" w:rsidP="00A508A2">
            <w:pPr>
              <w:pStyle w:val="TableParagraph"/>
              <w:tabs>
                <w:tab w:val="left" w:pos="909"/>
              </w:tabs>
              <w:ind w:left="108" w:right="96"/>
              <w:rPr>
                <w:szCs w:val="24"/>
              </w:rPr>
            </w:pPr>
            <w:r w:rsidRPr="00DD0D1F">
              <w:rPr>
                <w:szCs w:val="24"/>
              </w:rPr>
              <w:t>Mevcut birimlerin başka bir çözücü bazlı prosese dönüştürülmesi; farklı fiziko-kimyasal özelliklerle ilgili durumda önemli değişiklikler gerekebilmektedir.</w:t>
            </w:r>
          </w:p>
        </w:tc>
      </w:tr>
      <w:tr w:rsidR="00A508A2" w:rsidRPr="00DD0D1F" w14:paraId="136005F7" w14:textId="77777777" w:rsidTr="00A508A2">
        <w:trPr>
          <w:trHeight w:val="919"/>
        </w:trPr>
        <w:tc>
          <w:tcPr>
            <w:tcW w:w="1204" w:type="pct"/>
          </w:tcPr>
          <w:p w14:paraId="7C596D36" w14:textId="77777777" w:rsidR="00A508A2" w:rsidRPr="00DD0D1F" w:rsidRDefault="00A508A2" w:rsidP="00BE2E5A">
            <w:pPr>
              <w:pStyle w:val="TableParagraph"/>
              <w:numPr>
                <w:ilvl w:val="0"/>
                <w:numId w:val="117"/>
              </w:numPr>
              <w:tabs>
                <w:tab w:val="left" w:pos="590"/>
                <w:tab w:val="left" w:pos="1559"/>
                <w:tab w:val="left" w:pos="2130"/>
              </w:tabs>
              <w:spacing w:before="108"/>
              <w:ind w:right="92"/>
              <w:jc w:val="both"/>
              <w:rPr>
                <w:szCs w:val="24"/>
              </w:rPr>
            </w:pPr>
            <w:r w:rsidRPr="00DD0D1F">
              <w:rPr>
                <w:szCs w:val="24"/>
              </w:rPr>
              <w:t>Hidrojenleme esaslı katalitik prosesler</w:t>
            </w:r>
          </w:p>
          <w:p w14:paraId="0DBFA1C3" w14:textId="77777777" w:rsidR="00A508A2" w:rsidRPr="00DD0D1F" w:rsidRDefault="00A508A2" w:rsidP="00BE2E5A">
            <w:pPr>
              <w:pStyle w:val="TableParagraph"/>
              <w:spacing w:before="1"/>
              <w:ind w:left="590"/>
              <w:jc w:val="both"/>
              <w:rPr>
                <w:szCs w:val="24"/>
              </w:rPr>
            </w:pPr>
          </w:p>
        </w:tc>
        <w:tc>
          <w:tcPr>
            <w:tcW w:w="2470" w:type="pct"/>
          </w:tcPr>
          <w:p w14:paraId="0BAD741C" w14:textId="514A3E6F" w:rsidR="00A508A2" w:rsidRPr="00DD0D1F" w:rsidRDefault="00A508A2" w:rsidP="00A508A2">
            <w:pPr>
              <w:pStyle w:val="TableParagraph"/>
              <w:ind w:left="108" w:right="96"/>
              <w:jc w:val="both"/>
              <w:rPr>
                <w:szCs w:val="24"/>
              </w:rPr>
            </w:pPr>
            <w:r w:rsidRPr="00DD0D1F">
              <w:rPr>
                <w:szCs w:val="24"/>
              </w:rPr>
              <w:t>İstenmeyen bileşiklerin katalitik hidrojenleme vasıtasıyla dönüştürülmesine dayalı olan hydrotreatment ile benzer prosesler.</w:t>
            </w:r>
          </w:p>
          <w:p w14:paraId="284A08D5" w14:textId="77777777" w:rsidR="004E551F" w:rsidRPr="00DD0D1F" w:rsidRDefault="004E551F" w:rsidP="00A508A2">
            <w:pPr>
              <w:pStyle w:val="TableParagraph"/>
              <w:ind w:left="108" w:right="96"/>
              <w:jc w:val="both"/>
              <w:rPr>
                <w:szCs w:val="24"/>
              </w:rPr>
            </w:pPr>
          </w:p>
          <w:p w14:paraId="4CA0D64E" w14:textId="5775F877" w:rsidR="004E551F" w:rsidRPr="00DD0D1F" w:rsidRDefault="004E551F" w:rsidP="004E551F">
            <w:pPr>
              <w:pStyle w:val="TableParagraph"/>
              <w:ind w:left="108" w:right="96"/>
              <w:jc w:val="both"/>
              <w:rPr>
                <w:szCs w:val="24"/>
              </w:rPr>
            </w:pPr>
            <w:r w:rsidRPr="00DD0D1F">
              <w:rPr>
                <w:szCs w:val="24"/>
              </w:rPr>
              <w:t>Bölüm 1.20.3 bakınız.</w:t>
            </w:r>
          </w:p>
          <w:p w14:paraId="184C077A" w14:textId="77777777" w:rsidR="00A508A2" w:rsidRPr="00DD0D1F" w:rsidRDefault="00A508A2" w:rsidP="00A508A2">
            <w:pPr>
              <w:pStyle w:val="TableParagraph"/>
              <w:spacing w:line="215" w:lineRule="exact"/>
              <w:ind w:left="108" w:right="96"/>
              <w:jc w:val="both"/>
              <w:rPr>
                <w:szCs w:val="24"/>
              </w:rPr>
            </w:pPr>
          </w:p>
        </w:tc>
        <w:tc>
          <w:tcPr>
            <w:tcW w:w="1326" w:type="pct"/>
          </w:tcPr>
          <w:p w14:paraId="37C79ABA" w14:textId="77777777" w:rsidR="00A508A2" w:rsidRPr="00DD0D1F" w:rsidRDefault="00A508A2" w:rsidP="00A508A2">
            <w:pPr>
              <w:pStyle w:val="TableParagraph"/>
              <w:spacing w:before="5"/>
              <w:ind w:left="108" w:right="96"/>
              <w:rPr>
                <w:b/>
                <w:szCs w:val="24"/>
              </w:rPr>
            </w:pPr>
          </w:p>
          <w:p w14:paraId="7F87AF61" w14:textId="77777777" w:rsidR="00A508A2" w:rsidRPr="00DD0D1F" w:rsidRDefault="00A508A2" w:rsidP="00A508A2">
            <w:pPr>
              <w:pStyle w:val="TableParagraph"/>
              <w:ind w:left="108" w:right="96"/>
              <w:rPr>
                <w:szCs w:val="24"/>
              </w:rPr>
            </w:pPr>
            <w:r w:rsidRPr="00DD0D1F">
              <w:rPr>
                <w:szCs w:val="24"/>
              </w:rPr>
              <w:t>Genel olarak yeni birimlere uygulanır</w:t>
            </w:r>
          </w:p>
        </w:tc>
      </w:tr>
    </w:tbl>
    <w:p w14:paraId="65D19398" w14:textId="77777777" w:rsidR="00A508A2" w:rsidRPr="00DD0D1F" w:rsidRDefault="00A508A2" w:rsidP="00A508A2">
      <w:pPr>
        <w:ind w:left="452" w:right="1630"/>
        <w:rPr>
          <w:rFonts w:cs="Times New Roman"/>
          <w:b/>
          <w:szCs w:val="24"/>
        </w:rPr>
      </w:pPr>
    </w:p>
    <w:p w14:paraId="34181745" w14:textId="77777777" w:rsidR="00A508A2" w:rsidRPr="00DD0D1F" w:rsidRDefault="00A508A2" w:rsidP="00A508A2">
      <w:pPr>
        <w:pStyle w:val="GvdeMetni"/>
        <w:rPr>
          <w:bCs/>
          <w:sz w:val="24"/>
          <w:szCs w:val="24"/>
        </w:rPr>
      </w:pPr>
    </w:p>
    <w:p w14:paraId="1B417EDF" w14:textId="30E587F1" w:rsidR="00A508A2" w:rsidRPr="00DD0D1F" w:rsidRDefault="00A508A2" w:rsidP="00FF111D">
      <w:pPr>
        <w:pStyle w:val="Balk1"/>
        <w:keepNext w:val="0"/>
        <w:keepLines w:val="0"/>
        <w:widowControl w:val="0"/>
        <w:numPr>
          <w:ilvl w:val="0"/>
          <w:numId w:val="116"/>
        </w:numPr>
        <w:autoSpaceDE w:val="0"/>
        <w:autoSpaceDN w:val="0"/>
        <w:spacing w:before="159"/>
        <w:rPr>
          <w:rFonts w:cs="Times New Roman"/>
          <w:szCs w:val="24"/>
          <w:lang w:val="tr-TR"/>
        </w:rPr>
      </w:pPr>
      <w:bookmarkStart w:id="213" w:name="_bookmark882"/>
      <w:bookmarkStart w:id="214" w:name="5.4_BAT_conclusions_for_the_bitumen_prod"/>
      <w:bookmarkEnd w:id="213"/>
      <w:bookmarkEnd w:id="214"/>
      <w:r w:rsidRPr="00DD0D1F">
        <w:rPr>
          <w:rFonts w:cs="Times New Roman"/>
          <w:szCs w:val="24"/>
          <w:lang w:val="tr-TR"/>
        </w:rPr>
        <w:t xml:space="preserve">BİTÜM ÜRETİMİ PROSESİNE İLİŞKİN </w:t>
      </w:r>
      <w:r w:rsidR="00695881">
        <w:rPr>
          <w:rFonts w:cs="Times New Roman"/>
          <w:bCs/>
          <w:szCs w:val="24"/>
        </w:rPr>
        <w:t>MET</w:t>
      </w:r>
    </w:p>
    <w:p w14:paraId="3AACEB75" w14:textId="77777777" w:rsidR="00A508A2" w:rsidRPr="00DD0D1F" w:rsidRDefault="00A508A2" w:rsidP="00A508A2">
      <w:pPr>
        <w:pStyle w:val="GvdeMetni"/>
        <w:spacing w:before="8" w:line="360" w:lineRule="auto"/>
        <w:jc w:val="both"/>
        <w:rPr>
          <w:b/>
          <w:sz w:val="24"/>
          <w:szCs w:val="24"/>
        </w:rPr>
      </w:pPr>
    </w:p>
    <w:p w14:paraId="16D1B50F" w14:textId="027C9CFD" w:rsidR="00A508A2" w:rsidRPr="00DD0D1F" w:rsidRDefault="00A508A2" w:rsidP="00A508A2">
      <w:pPr>
        <w:tabs>
          <w:tab w:val="left" w:pos="2721"/>
        </w:tabs>
        <w:ind w:right="499"/>
        <w:rPr>
          <w:rFonts w:cs="Times New Roman"/>
          <w:b/>
          <w:szCs w:val="24"/>
          <w:lang w:val="tr-TR"/>
        </w:rPr>
      </w:pPr>
      <w:bookmarkStart w:id="215" w:name="_bookmark883"/>
      <w:bookmarkStart w:id="216" w:name="5.5_BAT_conclusions_for_the_fluid_cataly"/>
      <w:bookmarkEnd w:id="215"/>
      <w:bookmarkEnd w:id="216"/>
      <w:r w:rsidRPr="00DD0D1F">
        <w:rPr>
          <w:rFonts w:cs="Times New Roman"/>
          <w:b/>
          <w:bCs/>
          <w:szCs w:val="24"/>
          <w:lang w:val="tr-TR"/>
        </w:rPr>
        <w:t xml:space="preserve">MET 23: </w:t>
      </w:r>
      <w:r w:rsidRPr="00DD0D1F">
        <w:rPr>
          <w:rFonts w:cs="Times New Roman"/>
          <w:bCs/>
          <w:szCs w:val="24"/>
          <w:lang w:val="tr-TR"/>
        </w:rPr>
        <w:t>Bitüm üretimi prosesinden havaya yayılan emisyonları</w:t>
      </w:r>
      <w:r w:rsidR="00BE2E5A" w:rsidRPr="00DD0D1F">
        <w:rPr>
          <w:rFonts w:cs="Times New Roman"/>
          <w:bCs/>
          <w:szCs w:val="24"/>
          <w:lang w:val="tr-TR"/>
        </w:rPr>
        <w:t xml:space="preserve">n önlenmesi ve azaltılması için, </w:t>
      </w:r>
      <w:r w:rsidRPr="00DD0D1F">
        <w:rPr>
          <w:rFonts w:cs="Times New Roman"/>
          <w:bCs/>
          <w:szCs w:val="24"/>
          <w:lang w:val="tr-TR"/>
        </w:rPr>
        <w:t xml:space="preserve">aşağıdaki tekniklerin biri kullanılarak </w:t>
      </w:r>
      <w:r w:rsidR="00BE2E5A" w:rsidRPr="00DD0D1F">
        <w:rPr>
          <w:rFonts w:cs="Times New Roman"/>
          <w:bCs/>
          <w:szCs w:val="24"/>
          <w:lang w:val="tr-TR"/>
        </w:rPr>
        <w:t>tepe</w:t>
      </w:r>
      <w:r w:rsidR="004E551F" w:rsidRPr="00DD0D1F">
        <w:rPr>
          <w:rFonts w:cs="Times New Roman"/>
          <w:bCs/>
          <w:szCs w:val="24"/>
          <w:lang w:val="tr-TR"/>
        </w:rPr>
        <w:t xml:space="preserve">/başüstü </w:t>
      </w:r>
      <w:r w:rsidRPr="00DD0D1F">
        <w:rPr>
          <w:rFonts w:cs="Times New Roman"/>
          <w:bCs/>
          <w:szCs w:val="24"/>
          <w:lang w:val="tr-TR"/>
        </w:rPr>
        <w:t>gaz</w:t>
      </w:r>
      <w:r w:rsidR="004E551F" w:rsidRPr="00DD0D1F">
        <w:rPr>
          <w:rFonts w:cs="Times New Roman"/>
          <w:bCs/>
          <w:szCs w:val="24"/>
          <w:lang w:val="tr-TR"/>
        </w:rPr>
        <w:t>lar</w:t>
      </w:r>
      <w:r w:rsidRPr="00DD0D1F">
        <w:rPr>
          <w:rFonts w:cs="Times New Roman"/>
          <w:bCs/>
          <w:szCs w:val="24"/>
          <w:lang w:val="tr-TR"/>
        </w:rPr>
        <w:t xml:space="preserve"> arıtılır.</w:t>
      </w:r>
    </w:p>
    <w:p w14:paraId="061BB3DB"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9"/>
        <w:gridCol w:w="2965"/>
        <w:gridCol w:w="2963"/>
      </w:tblGrid>
      <w:tr w:rsidR="004E551F" w:rsidRPr="00DD0D1F" w14:paraId="7E539706" w14:textId="77777777" w:rsidTr="004E551F">
        <w:trPr>
          <w:trHeight w:val="282"/>
        </w:trPr>
        <w:tc>
          <w:tcPr>
            <w:tcW w:w="1735" w:type="pct"/>
          </w:tcPr>
          <w:p w14:paraId="6FCF7CE5" w14:textId="77777777" w:rsidR="004E551F" w:rsidRPr="00DD0D1F" w:rsidRDefault="004E551F" w:rsidP="00A508A2">
            <w:pPr>
              <w:pStyle w:val="TableParagraph"/>
              <w:spacing w:before="38"/>
              <w:ind w:left="1022" w:right="1013"/>
              <w:jc w:val="center"/>
              <w:rPr>
                <w:b/>
                <w:szCs w:val="24"/>
              </w:rPr>
            </w:pPr>
            <w:r w:rsidRPr="00DD0D1F">
              <w:rPr>
                <w:b/>
                <w:bCs/>
                <w:szCs w:val="24"/>
              </w:rPr>
              <w:t>Teknik</w:t>
            </w:r>
          </w:p>
        </w:tc>
        <w:tc>
          <w:tcPr>
            <w:tcW w:w="1633" w:type="pct"/>
          </w:tcPr>
          <w:p w14:paraId="5442697F" w14:textId="5822CED3" w:rsidR="004E551F" w:rsidRPr="00DD0D1F" w:rsidRDefault="004E551F" w:rsidP="00A508A2">
            <w:pPr>
              <w:pStyle w:val="TableParagraph"/>
              <w:spacing w:before="38"/>
              <w:ind w:left="862"/>
              <w:rPr>
                <w:b/>
                <w:bCs/>
                <w:szCs w:val="24"/>
              </w:rPr>
            </w:pPr>
            <w:r w:rsidRPr="00DD0D1F">
              <w:rPr>
                <w:b/>
                <w:bCs/>
                <w:szCs w:val="24"/>
              </w:rPr>
              <w:t>Açıklama</w:t>
            </w:r>
          </w:p>
        </w:tc>
        <w:tc>
          <w:tcPr>
            <w:tcW w:w="1632" w:type="pct"/>
          </w:tcPr>
          <w:p w14:paraId="05F76112" w14:textId="054F74D9" w:rsidR="004E551F" w:rsidRPr="00DD0D1F" w:rsidRDefault="004E551F" w:rsidP="00A508A2">
            <w:pPr>
              <w:pStyle w:val="TableParagraph"/>
              <w:spacing w:before="38"/>
              <w:ind w:left="862"/>
              <w:rPr>
                <w:b/>
                <w:szCs w:val="24"/>
              </w:rPr>
            </w:pPr>
            <w:r w:rsidRPr="00DD0D1F">
              <w:rPr>
                <w:b/>
                <w:bCs/>
                <w:szCs w:val="24"/>
              </w:rPr>
              <w:t>Uygulanabilirlik</w:t>
            </w:r>
          </w:p>
        </w:tc>
      </w:tr>
      <w:tr w:rsidR="004E551F" w:rsidRPr="00DD0D1F" w14:paraId="21CA29FB" w14:textId="77777777" w:rsidTr="004E551F">
        <w:trPr>
          <w:trHeight w:val="434"/>
        </w:trPr>
        <w:tc>
          <w:tcPr>
            <w:tcW w:w="1735" w:type="pct"/>
          </w:tcPr>
          <w:p w14:paraId="67D5B6D1" w14:textId="4119625A" w:rsidR="004E551F" w:rsidRPr="00DD0D1F" w:rsidRDefault="004E551F" w:rsidP="00A508A2">
            <w:pPr>
              <w:pStyle w:val="TableParagraph"/>
              <w:spacing w:before="2" w:line="206" w:lineRule="exact"/>
              <w:ind w:left="347" w:hanging="262"/>
              <w:rPr>
                <w:szCs w:val="24"/>
              </w:rPr>
            </w:pPr>
            <w:r w:rsidRPr="00DD0D1F">
              <w:rPr>
                <w:szCs w:val="24"/>
              </w:rPr>
              <w:t xml:space="preserve">i. 800 °C'nin üzerindeki yukarıda bulunan hazın ısıl oksitlemesi Tepe gazların 800ºC üzerinde termal oksidasyonu </w:t>
            </w:r>
          </w:p>
        </w:tc>
        <w:tc>
          <w:tcPr>
            <w:tcW w:w="1633" w:type="pct"/>
          </w:tcPr>
          <w:p w14:paraId="4A6555AF" w14:textId="16BC2188" w:rsidR="004E551F" w:rsidRPr="00DD0D1F" w:rsidRDefault="004E551F" w:rsidP="004E551F">
            <w:pPr>
              <w:pStyle w:val="TableParagraph"/>
              <w:ind w:left="108" w:right="96"/>
              <w:jc w:val="both"/>
              <w:rPr>
                <w:szCs w:val="24"/>
              </w:rPr>
            </w:pPr>
            <w:r w:rsidRPr="00DD0D1F">
              <w:rPr>
                <w:szCs w:val="24"/>
              </w:rPr>
              <w:t>Bölüm 1.20.6 bakınız.</w:t>
            </w:r>
          </w:p>
          <w:p w14:paraId="366F26A9" w14:textId="77777777" w:rsidR="004E551F" w:rsidRPr="00DD0D1F" w:rsidRDefault="004E551F" w:rsidP="00A508A2">
            <w:pPr>
              <w:pStyle w:val="TableParagraph"/>
              <w:tabs>
                <w:tab w:val="left" w:pos="1026"/>
                <w:tab w:val="left" w:pos="1978"/>
                <w:tab w:val="left" w:pos="2398"/>
              </w:tabs>
              <w:spacing w:line="210" w:lineRule="atLeast"/>
              <w:ind w:left="108" w:right="99"/>
              <w:rPr>
                <w:szCs w:val="24"/>
              </w:rPr>
            </w:pPr>
          </w:p>
        </w:tc>
        <w:tc>
          <w:tcPr>
            <w:tcW w:w="1632" w:type="pct"/>
          </w:tcPr>
          <w:p w14:paraId="0CD350A9" w14:textId="12D5FD9D" w:rsidR="004E551F" w:rsidRPr="00DD0D1F" w:rsidRDefault="004E551F" w:rsidP="00A508A2">
            <w:pPr>
              <w:pStyle w:val="TableParagraph"/>
              <w:tabs>
                <w:tab w:val="left" w:pos="1026"/>
                <w:tab w:val="left" w:pos="1978"/>
                <w:tab w:val="left" w:pos="2398"/>
              </w:tabs>
              <w:spacing w:line="210" w:lineRule="atLeast"/>
              <w:ind w:left="108" w:right="99"/>
              <w:rPr>
                <w:szCs w:val="24"/>
              </w:rPr>
            </w:pPr>
            <w:r w:rsidRPr="00DD0D1F">
              <w:rPr>
                <w:szCs w:val="24"/>
              </w:rPr>
              <w:t>Genel olarak bitüm üfleme birimine uygulanabilir.</w:t>
            </w:r>
          </w:p>
        </w:tc>
      </w:tr>
      <w:tr w:rsidR="004E551F" w:rsidRPr="00DD0D1F" w14:paraId="77CEC9A8" w14:textId="77777777" w:rsidTr="004E551F">
        <w:trPr>
          <w:trHeight w:val="431"/>
        </w:trPr>
        <w:tc>
          <w:tcPr>
            <w:tcW w:w="1735" w:type="pct"/>
          </w:tcPr>
          <w:p w14:paraId="63B939B4" w14:textId="2F960373" w:rsidR="004E551F" w:rsidRPr="00DD0D1F" w:rsidRDefault="004E551F" w:rsidP="00A508A2">
            <w:pPr>
              <w:pStyle w:val="TableParagraph"/>
              <w:tabs>
                <w:tab w:val="left" w:pos="873"/>
                <w:tab w:val="left" w:pos="1827"/>
                <w:tab w:val="left" w:pos="2218"/>
              </w:tabs>
              <w:spacing w:line="206" w:lineRule="exact"/>
              <w:ind w:left="347" w:right="97" w:hanging="317"/>
              <w:rPr>
                <w:szCs w:val="24"/>
              </w:rPr>
            </w:pPr>
            <w:r w:rsidRPr="00DD0D1F">
              <w:rPr>
                <w:szCs w:val="24"/>
              </w:rPr>
              <w:t>ii. Yukarıdaki gazın yaş yıkaması Tepe gazlar için ıslak temizleme</w:t>
            </w:r>
          </w:p>
        </w:tc>
        <w:tc>
          <w:tcPr>
            <w:tcW w:w="1633" w:type="pct"/>
          </w:tcPr>
          <w:p w14:paraId="2C94FD08" w14:textId="6D1FC63E" w:rsidR="004E551F" w:rsidRPr="00DD0D1F" w:rsidRDefault="004E551F" w:rsidP="004E551F">
            <w:pPr>
              <w:pStyle w:val="TableParagraph"/>
              <w:ind w:left="108" w:right="96"/>
              <w:jc w:val="both"/>
              <w:rPr>
                <w:szCs w:val="24"/>
              </w:rPr>
            </w:pPr>
            <w:r w:rsidRPr="00DD0D1F">
              <w:rPr>
                <w:szCs w:val="24"/>
              </w:rPr>
              <w:t>Bölüm 1.20.3 bakınız.</w:t>
            </w:r>
          </w:p>
          <w:p w14:paraId="45998523" w14:textId="77777777" w:rsidR="004E551F" w:rsidRPr="00DD0D1F" w:rsidRDefault="004E551F" w:rsidP="00A508A2">
            <w:pPr>
              <w:pStyle w:val="TableParagraph"/>
              <w:tabs>
                <w:tab w:val="left" w:pos="1026"/>
                <w:tab w:val="left" w:pos="1978"/>
                <w:tab w:val="left" w:pos="2398"/>
              </w:tabs>
              <w:spacing w:line="206" w:lineRule="exact"/>
              <w:ind w:left="108" w:right="99"/>
              <w:rPr>
                <w:szCs w:val="24"/>
              </w:rPr>
            </w:pPr>
          </w:p>
        </w:tc>
        <w:tc>
          <w:tcPr>
            <w:tcW w:w="1632" w:type="pct"/>
          </w:tcPr>
          <w:p w14:paraId="53E79F15" w14:textId="612AE4D4" w:rsidR="004E551F" w:rsidRPr="00DD0D1F" w:rsidRDefault="004E551F" w:rsidP="00A508A2">
            <w:pPr>
              <w:pStyle w:val="TableParagraph"/>
              <w:tabs>
                <w:tab w:val="left" w:pos="1026"/>
                <w:tab w:val="left" w:pos="1978"/>
                <w:tab w:val="left" w:pos="2398"/>
              </w:tabs>
              <w:spacing w:line="206" w:lineRule="exact"/>
              <w:ind w:left="108" w:right="99"/>
              <w:rPr>
                <w:szCs w:val="24"/>
              </w:rPr>
            </w:pPr>
            <w:r w:rsidRPr="00DD0D1F">
              <w:rPr>
                <w:szCs w:val="24"/>
              </w:rPr>
              <w:t>Genel olarak bitüm üfleme birimine uygulanabilir.</w:t>
            </w:r>
          </w:p>
        </w:tc>
      </w:tr>
    </w:tbl>
    <w:p w14:paraId="531B3AD9" w14:textId="52C7CF9F" w:rsidR="00A508A2" w:rsidRPr="00DD0D1F" w:rsidRDefault="00A508A2" w:rsidP="00FF111D">
      <w:pPr>
        <w:pStyle w:val="Balk1"/>
        <w:keepNext w:val="0"/>
        <w:keepLines w:val="0"/>
        <w:widowControl w:val="0"/>
        <w:numPr>
          <w:ilvl w:val="0"/>
          <w:numId w:val="116"/>
        </w:numPr>
        <w:autoSpaceDE w:val="0"/>
        <w:autoSpaceDN w:val="0"/>
        <w:spacing w:before="159"/>
        <w:rPr>
          <w:rFonts w:cs="Times New Roman"/>
          <w:szCs w:val="24"/>
          <w:lang w:val="tr-TR"/>
        </w:rPr>
      </w:pPr>
      <w:bookmarkStart w:id="217" w:name="_Hlk132542992"/>
      <w:r w:rsidRPr="00DD0D1F">
        <w:rPr>
          <w:rFonts w:cs="Times New Roman"/>
          <w:szCs w:val="24"/>
          <w:lang w:val="tr-TR"/>
        </w:rPr>
        <w:t xml:space="preserve">AKIŞKAN KATALİTİK PARÇALAMA </w:t>
      </w:r>
      <w:bookmarkEnd w:id="217"/>
      <w:r w:rsidRPr="00DD0D1F">
        <w:rPr>
          <w:rFonts w:cs="Times New Roman"/>
          <w:szCs w:val="24"/>
          <w:lang w:val="tr-TR"/>
        </w:rPr>
        <w:t xml:space="preserve">İŞLEMİ PROSESİNE İLİŞKİN </w:t>
      </w:r>
      <w:r w:rsidR="00695881">
        <w:rPr>
          <w:rFonts w:cs="Times New Roman"/>
          <w:bCs/>
          <w:szCs w:val="24"/>
        </w:rPr>
        <w:t>MET</w:t>
      </w:r>
    </w:p>
    <w:p w14:paraId="56AD8ABF" w14:textId="77777777" w:rsidR="00A508A2" w:rsidRPr="00DD0D1F" w:rsidRDefault="00A508A2" w:rsidP="00A508A2">
      <w:pPr>
        <w:pStyle w:val="GvdeMetni"/>
        <w:spacing w:before="8" w:line="360" w:lineRule="auto"/>
        <w:jc w:val="both"/>
        <w:rPr>
          <w:b/>
          <w:sz w:val="24"/>
          <w:szCs w:val="24"/>
        </w:rPr>
      </w:pPr>
    </w:p>
    <w:p w14:paraId="5AB09B26" w14:textId="77777777" w:rsidR="00A508A2" w:rsidRPr="00DD0D1F" w:rsidRDefault="00A508A2" w:rsidP="00A508A2">
      <w:pPr>
        <w:rPr>
          <w:rFonts w:cs="Times New Roman"/>
          <w:b/>
          <w:bCs/>
          <w:szCs w:val="24"/>
          <w:lang w:val="tr-TR"/>
        </w:rPr>
      </w:pPr>
      <w:bookmarkStart w:id="218" w:name="_bookmark884"/>
      <w:bookmarkEnd w:id="218"/>
      <w:r w:rsidRPr="00DD0D1F">
        <w:rPr>
          <w:rFonts w:cs="Times New Roman"/>
          <w:b/>
          <w:bCs/>
          <w:szCs w:val="24"/>
          <w:lang w:val="tr-TR"/>
        </w:rPr>
        <w:t xml:space="preserve">MET 24: </w:t>
      </w:r>
      <w:r w:rsidRPr="00DD0D1F">
        <w:rPr>
          <w:rFonts w:cs="Times New Roman"/>
          <w:bCs/>
          <w:szCs w:val="24"/>
          <w:lang w:val="tr-TR"/>
        </w:rPr>
        <w:t>Akışkan katalitik parçalama prosesinden (rejeneratör) havaya yayılan NO</w:t>
      </w:r>
      <w:r w:rsidRPr="00DD0D1F">
        <w:rPr>
          <w:rFonts w:cs="Times New Roman"/>
          <w:bCs/>
          <w:szCs w:val="24"/>
          <w:vertAlign w:val="subscript"/>
          <w:lang w:val="tr-TR"/>
        </w:rPr>
        <w:t>X</w:t>
      </w:r>
      <w:r w:rsidRPr="00DD0D1F">
        <w:rPr>
          <w:rFonts w:cs="Times New Roman"/>
          <w:bCs/>
          <w:szCs w:val="24"/>
          <w:lang w:val="tr-TR"/>
        </w:rPr>
        <w:t xml:space="preserve"> emisyonlarının önlenmesi veya azaltılması için aşağıdaki tekniklerden biri veya daha fazlasının kombinasyonu kullanılır.</w:t>
      </w:r>
    </w:p>
    <w:p w14:paraId="443CF1DF" w14:textId="77777777" w:rsidR="00A508A2" w:rsidRPr="00DD0D1F" w:rsidRDefault="00A508A2" w:rsidP="00A508A2">
      <w:pPr>
        <w:pStyle w:val="GvdeMetni"/>
        <w:spacing w:before="2"/>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6"/>
        <w:gridCol w:w="3622"/>
        <w:gridCol w:w="2999"/>
      </w:tblGrid>
      <w:tr w:rsidR="00A508A2" w:rsidRPr="00DD0D1F" w14:paraId="77E2DEA9" w14:textId="77777777" w:rsidTr="00A508A2">
        <w:trPr>
          <w:trHeight w:val="282"/>
        </w:trPr>
        <w:tc>
          <w:tcPr>
            <w:tcW w:w="1353" w:type="pct"/>
          </w:tcPr>
          <w:p w14:paraId="7117D585" w14:textId="77777777" w:rsidR="00A508A2" w:rsidRPr="00DD0D1F" w:rsidRDefault="00A508A2" w:rsidP="00A508A2">
            <w:pPr>
              <w:pStyle w:val="TableParagraph"/>
              <w:spacing w:before="24"/>
              <w:ind w:left="792"/>
              <w:rPr>
                <w:b/>
                <w:szCs w:val="24"/>
              </w:rPr>
            </w:pPr>
            <w:r w:rsidRPr="00DD0D1F">
              <w:rPr>
                <w:b/>
                <w:bCs/>
                <w:szCs w:val="24"/>
              </w:rPr>
              <w:t>Teknik</w:t>
            </w:r>
          </w:p>
        </w:tc>
        <w:tc>
          <w:tcPr>
            <w:tcW w:w="1995" w:type="pct"/>
          </w:tcPr>
          <w:p w14:paraId="3A674388" w14:textId="77777777" w:rsidR="00A508A2" w:rsidRPr="00DD0D1F" w:rsidRDefault="00A508A2" w:rsidP="00A508A2">
            <w:pPr>
              <w:pStyle w:val="TableParagraph"/>
              <w:spacing w:before="24"/>
              <w:ind w:left="1198" w:right="1193"/>
              <w:jc w:val="center"/>
              <w:rPr>
                <w:b/>
                <w:szCs w:val="24"/>
              </w:rPr>
            </w:pPr>
            <w:r w:rsidRPr="00DD0D1F">
              <w:rPr>
                <w:b/>
                <w:bCs/>
                <w:szCs w:val="24"/>
              </w:rPr>
              <w:t>Açıklama</w:t>
            </w:r>
          </w:p>
        </w:tc>
        <w:tc>
          <w:tcPr>
            <w:tcW w:w="1653" w:type="pct"/>
          </w:tcPr>
          <w:p w14:paraId="269687C2" w14:textId="77777777" w:rsidR="00A508A2" w:rsidRPr="00DD0D1F" w:rsidRDefault="00A508A2" w:rsidP="00A508A2">
            <w:pPr>
              <w:pStyle w:val="TableParagraph"/>
              <w:spacing w:before="24"/>
              <w:ind w:left="951"/>
              <w:rPr>
                <w:b/>
                <w:szCs w:val="24"/>
              </w:rPr>
            </w:pPr>
            <w:r w:rsidRPr="00DD0D1F">
              <w:rPr>
                <w:b/>
                <w:bCs/>
                <w:szCs w:val="24"/>
              </w:rPr>
              <w:t>Uygulanabilirlik</w:t>
            </w:r>
          </w:p>
        </w:tc>
      </w:tr>
      <w:tr w:rsidR="00A508A2" w:rsidRPr="00DD0D1F" w14:paraId="69907284" w14:textId="77777777" w:rsidTr="00A508A2">
        <w:trPr>
          <w:trHeight w:val="285"/>
        </w:trPr>
        <w:tc>
          <w:tcPr>
            <w:tcW w:w="5000" w:type="pct"/>
            <w:gridSpan w:val="3"/>
          </w:tcPr>
          <w:p w14:paraId="5584FAA5" w14:textId="77777777" w:rsidR="00A508A2" w:rsidRPr="00DD0D1F" w:rsidRDefault="00A508A2" w:rsidP="00A508A2">
            <w:pPr>
              <w:pStyle w:val="TableParagraph"/>
              <w:spacing w:before="22"/>
              <w:ind w:left="110"/>
              <w:rPr>
                <w:szCs w:val="24"/>
              </w:rPr>
            </w:pPr>
            <w:r w:rsidRPr="00DD0D1F">
              <w:rPr>
                <w:szCs w:val="24"/>
              </w:rPr>
              <w:t>Proses optimizasyonu ve başlatıcıların veya katkı maddelerinin kullanımı</w:t>
            </w:r>
          </w:p>
        </w:tc>
      </w:tr>
      <w:tr w:rsidR="00A508A2" w:rsidRPr="00DD0D1F" w14:paraId="2852FCEA" w14:textId="77777777" w:rsidTr="00A508A2">
        <w:trPr>
          <w:trHeight w:val="1838"/>
        </w:trPr>
        <w:tc>
          <w:tcPr>
            <w:tcW w:w="1353" w:type="pct"/>
          </w:tcPr>
          <w:p w14:paraId="65862557" w14:textId="77777777" w:rsidR="00A508A2" w:rsidRPr="00DD0D1F" w:rsidRDefault="00A508A2" w:rsidP="00A508A2">
            <w:pPr>
              <w:pStyle w:val="TableParagraph"/>
              <w:rPr>
                <w:szCs w:val="24"/>
              </w:rPr>
            </w:pPr>
          </w:p>
          <w:p w14:paraId="66537051" w14:textId="77777777" w:rsidR="00A508A2" w:rsidRPr="00DD0D1F" w:rsidRDefault="00A508A2" w:rsidP="00A508A2">
            <w:pPr>
              <w:pStyle w:val="TableParagraph"/>
              <w:rPr>
                <w:szCs w:val="24"/>
              </w:rPr>
            </w:pPr>
          </w:p>
          <w:p w14:paraId="2A08BAFA" w14:textId="77777777" w:rsidR="00A508A2" w:rsidRPr="00DD0D1F" w:rsidRDefault="00A508A2" w:rsidP="00A508A2">
            <w:pPr>
              <w:pStyle w:val="TableParagraph"/>
              <w:spacing w:before="3"/>
              <w:rPr>
                <w:szCs w:val="24"/>
              </w:rPr>
            </w:pPr>
          </w:p>
          <w:p w14:paraId="2BF9E3B6" w14:textId="77777777" w:rsidR="00A508A2" w:rsidRPr="00DD0D1F" w:rsidRDefault="00A508A2" w:rsidP="00A508A2">
            <w:pPr>
              <w:pStyle w:val="TableParagraph"/>
              <w:tabs>
                <w:tab w:val="left" w:pos="580"/>
              </w:tabs>
              <w:ind w:left="107"/>
              <w:rPr>
                <w:szCs w:val="24"/>
              </w:rPr>
            </w:pPr>
            <w:r w:rsidRPr="00DD0D1F">
              <w:rPr>
                <w:szCs w:val="24"/>
              </w:rPr>
              <w:t>i.</w:t>
            </w:r>
            <w:r w:rsidRPr="00DD0D1F">
              <w:rPr>
                <w:szCs w:val="24"/>
              </w:rPr>
              <w:tab/>
              <w:t>Proses optimizasyonu</w:t>
            </w:r>
          </w:p>
        </w:tc>
        <w:tc>
          <w:tcPr>
            <w:tcW w:w="1995" w:type="pct"/>
          </w:tcPr>
          <w:p w14:paraId="2CA17D42" w14:textId="2E1C3230" w:rsidR="00A508A2" w:rsidRPr="00DD0D1F" w:rsidRDefault="00A508A2" w:rsidP="00A508A2">
            <w:pPr>
              <w:pStyle w:val="TableParagraph"/>
              <w:ind w:left="108" w:right="97"/>
              <w:jc w:val="both"/>
              <w:rPr>
                <w:szCs w:val="24"/>
              </w:rPr>
            </w:pPr>
            <w:r w:rsidRPr="00DD0D1F">
              <w:rPr>
                <w:szCs w:val="24"/>
              </w:rPr>
              <w:t xml:space="preserve">CO kazanının uygun tasarıma sahip olması kaydıyla ve tam yanma kipinde </w:t>
            </w:r>
            <w:r w:rsidR="00E00B0A" w:rsidRPr="00DD0D1F">
              <w:rPr>
                <w:szCs w:val="24"/>
              </w:rPr>
              <w:t>baca</w:t>
            </w:r>
            <w:r w:rsidRPr="00DD0D1F">
              <w:rPr>
                <w:szCs w:val="24"/>
              </w:rPr>
              <w:t xml:space="preserve"> gazındaki fazla oksijenin azaltılması ve kısmi yanma kipinde CO kazanının hava kademelendirmesinin yapılması gibi NO</w:t>
            </w:r>
            <w:r w:rsidRPr="00DD0D1F">
              <w:rPr>
                <w:szCs w:val="24"/>
                <w:vertAlign w:val="subscript"/>
              </w:rPr>
              <w:t xml:space="preserve">X </w:t>
            </w:r>
            <w:r w:rsidRPr="00DD0D1F">
              <w:rPr>
                <w:szCs w:val="24"/>
              </w:rPr>
              <w:t>oluşumunu azaltmayı hedefleyen işletme koşullarının veya uygulamalarının kombinasyonu</w:t>
            </w:r>
          </w:p>
        </w:tc>
        <w:tc>
          <w:tcPr>
            <w:tcW w:w="1653" w:type="pct"/>
          </w:tcPr>
          <w:p w14:paraId="4A4F1309" w14:textId="77777777" w:rsidR="00A508A2" w:rsidRPr="00DD0D1F" w:rsidRDefault="00A508A2" w:rsidP="00A508A2">
            <w:pPr>
              <w:pStyle w:val="TableParagraph"/>
              <w:rPr>
                <w:szCs w:val="24"/>
              </w:rPr>
            </w:pPr>
          </w:p>
          <w:p w14:paraId="569A13BD" w14:textId="77777777" w:rsidR="00A508A2" w:rsidRPr="00DD0D1F" w:rsidRDefault="00A508A2" w:rsidP="00A508A2">
            <w:pPr>
              <w:pStyle w:val="TableParagraph"/>
              <w:rPr>
                <w:szCs w:val="24"/>
              </w:rPr>
            </w:pPr>
          </w:p>
          <w:p w14:paraId="6FF420D5" w14:textId="77777777" w:rsidR="00A508A2" w:rsidRPr="00DD0D1F" w:rsidRDefault="00A508A2" w:rsidP="00A508A2">
            <w:pPr>
              <w:pStyle w:val="TableParagraph"/>
              <w:spacing w:before="3"/>
              <w:rPr>
                <w:szCs w:val="24"/>
              </w:rPr>
            </w:pPr>
          </w:p>
          <w:p w14:paraId="039C9028" w14:textId="77777777" w:rsidR="00A508A2" w:rsidRPr="00DD0D1F" w:rsidRDefault="00A508A2" w:rsidP="00A508A2">
            <w:pPr>
              <w:pStyle w:val="TableParagraph"/>
              <w:ind w:left="108"/>
              <w:rPr>
                <w:szCs w:val="24"/>
              </w:rPr>
            </w:pPr>
            <w:r w:rsidRPr="00DD0D1F">
              <w:rPr>
                <w:szCs w:val="24"/>
              </w:rPr>
              <w:t>Genel olarak uygulanabilir</w:t>
            </w:r>
          </w:p>
        </w:tc>
      </w:tr>
      <w:tr w:rsidR="00A508A2" w:rsidRPr="00DD0D1F" w14:paraId="4BF5AD6E" w14:textId="77777777" w:rsidTr="00A508A2">
        <w:trPr>
          <w:trHeight w:val="1388"/>
        </w:trPr>
        <w:tc>
          <w:tcPr>
            <w:tcW w:w="1353" w:type="pct"/>
          </w:tcPr>
          <w:p w14:paraId="12BD6132" w14:textId="77777777" w:rsidR="00A508A2" w:rsidRPr="00DD0D1F" w:rsidRDefault="00A508A2" w:rsidP="00A508A2">
            <w:pPr>
              <w:pStyle w:val="TableParagraph"/>
              <w:rPr>
                <w:szCs w:val="24"/>
              </w:rPr>
            </w:pPr>
          </w:p>
          <w:p w14:paraId="064679E2" w14:textId="77777777" w:rsidR="00A508A2" w:rsidRPr="00DD0D1F" w:rsidRDefault="00A508A2" w:rsidP="00A508A2">
            <w:pPr>
              <w:pStyle w:val="TableParagraph"/>
              <w:spacing w:before="5"/>
              <w:rPr>
                <w:szCs w:val="24"/>
              </w:rPr>
            </w:pPr>
          </w:p>
          <w:p w14:paraId="58BE87DA" w14:textId="77777777" w:rsidR="00A508A2" w:rsidRPr="00DD0D1F" w:rsidRDefault="00A508A2" w:rsidP="00A508A2">
            <w:pPr>
              <w:pStyle w:val="TableParagraph"/>
              <w:tabs>
                <w:tab w:val="left" w:pos="580"/>
                <w:tab w:val="left" w:pos="2092"/>
              </w:tabs>
              <w:ind w:left="581" w:right="96" w:hanging="531"/>
              <w:rPr>
                <w:szCs w:val="24"/>
              </w:rPr>
            </w:pPr>
            <w:r w:rsidRPr="00DD0D1F">
              <w:rPr>
                <w:szCs w:val="24"/>
              </w:rPr>
              <w:t>ii.</w:t>
            </w:r>
            <w:r w:rsidRPr="00DD0D1F">
              <w:rPr>
                <w:szCs w:val="24"/>
              </w:rPr>
              <w:tab/>
              <w:t>Düşük-NO</w:t>
            </w:r>
            <w:r w:rsidRPr="00DD0D1F">
              <w:rPr>
                <w:szCs w:val="24"/>
                <w:vertAlign w:val="subscript"/>
              </w:rPr>
              <w:t xml:space="preserve">X </w:t>
            </w:r>
            <w:r w:rsidRPr="00DD0D1F">
              <w:rPr>
                <w:szCs w:val="24"/>
              </w:rPr>
              <w:t>CO oksitleme başlatıcıları</w:t>
            </w:r>
          </w:p>
        </w:tc>
        <w:tc>
          <w:tcPr>
            <w:tcW w:w="1995" w:type="pct"/>
          </w:tcPr>
          <w:p w14:paraId="206E8B3E" w14:textId="77777777" w:rsidR="00A508A2" w:rsidRPr="00DD0D1F" w:rsidRDefault="00A508A2" w:rsidP="00A508A2">
            <w:pPr>
              <w:pStyle w:val="TableParagraph"/>
              <w:spacing w:before="5"/>
              <w:rPr>
                <w:szCs w:val="24"/>
              </w:rPr>
            </w:pPr>
          </w:p>
          <w:p w14:paraId="4BE08338" w14:textId="77777777" w:rsidR="00A508A2" w:rsidRPr="00DD0D1F" w:rsidRDefault="00A508A2" w:rsidP="00A508A2">
            <w:pPr>
              <w:pStyle w:val="TableParagraph"/>
              <w:ind w:left="108" w:right="97"/>
              <w:jc w:val="both"/>
              <w:rPr>
                <w:szCs w:val="24"/>
              </w:rPr>
            </w:pPr>
            <w:r w:rsidRPr="00DD0D1F">
              <w:rPr>
                <w:szCs w:val="24"/>
              </w:rPr>
              <w:t>Yalnızca seçici olarak CO'nun yanmasını başlatan ve ara maddeleri içeren azotun NO</w:t>
            </w:r>
            <w:r w:rsidRPr="00DD0D1F">
              <w:rPr>
                <w:szCs w:val="24"/>
                <w:vertAlign w:val="subscript"/>
              </w:rPr>
              <w:t xml:space="preserve">X </w:t>
            </w:r>
            <w:r w:rsidRPr="00DD0D1F">
              <w:rPr>
                <w:szCs w:val="24"/>
              </w:rPr>
              <w:t>oksitlemesini engelleyen maddenin kullanılması: ör. platin dışındaki başlatıcılar</w:t>
            </w:r>
          </w:p>
        </w:tc>
        <w:tc>
          <w:tcPr>
            <w:tcW w:w="1653" w:type="pct"/>
          </w:tcPr>
          <w:p w14:paraId="7F16CFEF" w14:textId="77777777" w:rsidR="00A508A2" w:rsidRPr="00DD0D1F" w:rsidRDefault="00A508A2" w:rsidP="00A508A2">
            <w:pPr>
              <w:pStyle w:val="TableParagraph"/>
              <w:ind w:left="108" w:right="96"/>
              <w:jc w:val="both"/>
              <w:rPr>
                <w:szCs w:val="24"/>
              </w:rPr>
            </w:pPr>
            <w:r w:rsidRPr="00DD0D1F">
              <w:rPr>
                <w:szCs w:val="24"/>
              </w:rPr>
              <w:t>Yalnızca platin esaslı CO başlatıcıların yerini almak üzere tam yanma kipinde geçerlidir.</w:t>
            </w:r>
          </w:p>
          <w:p w14:paraId="293406CD" w14:textId="77777777" w:rsidR="00A508A2" w:rsidRPr="00DD0D1F" w:rsidRDefault="00A508A2" w:rsidP="00A508A2">
            <w:pPr>
              <w:pStyle w:val="TableParagraph"/>
              <w:spacing w:line="230" w:lineRule="exact"/>
              <w:ind w:left="108" w:right="96"/>
              <w:jc w:val="both"/>
              <w:rPr>
                <w:szCs w:val="24"/>
              </w:rPr>
            </w:pPr>
            <w:r w:rsidRPr="00DD0D1F">
              <w:rPr>
                <w:szCs w:val="24"/>
              </w:rPr>
              <w:t>Azami faydanın sağlanabilmesi için havanın rejeneratörde uygun dağılımı gerekebilir</w:t>
            </w:r>
          </w:p>
        </w:tc>
      </w:tr>
      <w:tr w:rsidR="00A508A2" w:rsidRPr="00DD0D1F" w14:paraId="1E3CE18F" w14:textId="77777777" w:rsidTr="00A508A2">
        <w:trPr>
          <w:trHeight w:val="1266"/>
        </w:trPr>
        <w:tc>
          <w:tcPr>
            <w:tcW w:w="1353" w:type="pct"/>
          </w:tcPr>
          <w:p w14:paraId="2B0B2F53" w14:textId="77777777" w:rsidR="00A508A2" w:rsidRPr="00DD0D1F" w:rsidRDefault="00A508A2" w:rsidP="00A508A2">
            <w:pPr>
              <w:pStyle w:val="TableParagraph"/>
              <w:rPr>
                <w:szCs w:val="24"/>
              </w:rPr>
            </w:pPr>
          </w:p>
          <w:p w14:paraId="67235F3D" w14:textId="77777777" w:rsidR="00A508A2" w:rsidRPr="00DD0D1F" w:rsidRDefault="00A508A2" w:rsidP="00A508A2">
            <w:pPr>
              <w:pStyle w:val="TableParagraph"/>
              <w:spacing w:before="5"/>
              <w:rPr>
                <w:szCs w:val="24"/>
              </w:rPr>
            </w:pPr>
          </w:p>
          <w:p w14:paraId="53098A11" w14:textId="77777777" w:rsidR="00A508A2" w:rsidRPr="00DD0D1F" w:rsidRDefault="00A508A2" w:rsidP="00A508A2">
            <w:pPr>
              <w:pStyle w:val="TableParagraph"/>
              <w:tabs>
                <w:tab w:val="left" w:pos="580"/>
              </w:tabs>
              <w:ind w:left="581" w:right="98" w:hanging="587"/>
              <w:rPr>
                <w:szCs w:val="24"/>
              </w:rPr>
            </w:pPr>
            <w:r w:rsidRPr="00DD0D1F">
              <w:rPr>
                <w:szCs w:val="24"/>
              </w:rPr>
              <w:t>iii.</w:t>
            </w:r>
            <w:r w:rsidRPr="00DD0D1F">
              <w:rPr>
                <w:szCs w:val="24"/>
              </w:rPr>
              <w:tab/>
              <w:t>NO</w:t>
            </w:r>
            <w:r w:rsidRPr="00DD0D1F">
              <w:rPr>
                <w:szCs w:val="24"/>
                <w:vertAlign w:val="subscript"/>
              </w:rPr>
              <w:t xml:space="preserve">X </w:t>
            </w:r>
            <w:r w:rsidRPr="00DD0D1F">
              <w:rPr>
                <w:szCs w:val="24"/>
              </w:rPr>
              <w:t>indirgemesi için spesifik katkı maddeleri</w:t>
            </w:r>
          </w:p>
        </w:tc>
        <w:tc>
          <w:tcPr>
            <w:tcW w:w="1995" w:type="pct"/>
          </w:tcPr>
          <w:p w14:paraId="30027F06" w14:textId="77777777" w:rsidR="00A508A2" w:rsidRPr="00DD0D1F" w:rsidRDefault="00A508A2" w:rsidP="00A508A2">
            <w:pPr>
              <w:pStyle w:val="TableParagraph"/>
              <w:rPr>
                <w:szCs w:val="24"/>
              </w:rPr>
            </w:pPr>
          </w:p>
          <w:p w14:paraId="6ACFE2A4" w14:textId="77777777" w:rsidR="00A508A2" w:rsidRPr="00DD0D1F" w:rsidRDefault="00A508A2" w:rsidP="00A508A2">
            <w:pPr>
              <w:pStyle w:val="TableParagraph"/>
              <w:spacing w:before="5"/>
              <w:rPr>
                <w:szCs w:val="24"/>
              </w:rPr>
            </w:pPr>
          </w:p>
          <w:p w14:paraId="4436A923" w14:textId="77777777" w:rsidR="00A508A2" w:rsidRPr="00DD0D1F" w:rsidRDefault="00A508A2" w:rsidP="00A508A2">
            <w:pPr>
              <w:pStyle w:val="TableParagraph"/>
              <w:ind w:left="108" w:right="101"/>
              <w:rPr>
                <w:szCs w:val="24"/>
              </w:rPr>
            </w:pPr>
            <w:r w:rsidRPr="00DD0D1F">
              <w:rPr>
                <w:szCs w:val="24"/>
              </w:rPr>
              <w:t>CO ile yapılan NO indirgemesini daha iyi hale getirmek amacıyla spesifik katalitik katkı maddelerinin kullanımı</w:t>
            </w:r>
          </w:p>
        </w:tc>
        <w:tc>
          <w:tcPr>
            <w:tcW w:w="1653" w:type="pct"/>
          </w:tcPr>
          <w:p w14:paraId="00036B6D" w14:textId="77777777" w:rsidR="00A508A2" w:rsidRPr="00DD0D1F" w:rsidRDefault="00A508A2" w:rsidP="00A508A2">
            <w:pPr>
              <w:pStyle w:val="TableParagraph"/>
              <w:ind w:left="108" w:right="94"/>
              <w:jc w:val="both"/>
              <w:rPr>
                <w:szCs w:val="24"/>
              </w:rPr>
            </w:pPr>
            <w:r w:rsidRPr="00DD0D1F">
              <w:rPr>
                <w:szCs w:val="24"/>
              </w:rPr>
              <w:t>Uygun tasarımda ve elde edilebilir oksijen fazlalığı ile yalnızca tam yanma kipinde uygulanabilir. Bakır esaslı NO</w:t>
            </w:r>
            <w:r w:rsidRPr="00DD0D1F">
              <w:rPr>
                <w:szCs w:val="24"/>
                <w:vertAlign w:val="subscript"/>
              </w:rPr>
              <w:t xml:space="preserve">X  </w:t>
            </w:r>
            <w:r w:rsidRPr="00DD0D1F">
              <w:rPr>
                <w:szCs w:val="24"/>
              </w:rPr>
              <w:t>indirgemesi katkı maddeleri gaz kompresörü kapasitesi ile sınırlı olabilir</w:t>
            </w:r>
          </w:p>
        </w:tc>
      </w:tr>
    </w:tbl>
    <w:p w14:paraId="20A5DDD4" w14:textId="77777777" w:rsidR="00A508A2" w:rsidRPr="00DD0D1F" w:rsidRDefault="00A508A2" w:rsidP="00A508A2">
      <w:pPr>
        <w:pStyle w:val="GvdeMetni"/>
        <w:spacing w:before="5"/>
        <w:rPr>
          <w:sz w:val="24"/>
          <w:szCs w:val="24"/>
        </w:rPr>
      </w:pPr>
    </w:p>
    <w:p w14:paraId="163BDC22" w14:textId="77777777" w:rsidR="00A508A2" w:rsidRPr="00DD0D1F" w:rsidRDefault="00A508A2" w:rsidP="00FF111D">
      <w:pPr>
        <w:pStyle w:val="ListeParagraf"/>
        <w:widowControl w:val="0"/>
        <w:numPr>
          <w:ilvl w:val="0"/>
          <w:numId w:val="98"/>
        </w:numPr>
        <w:tabs>
          <w:tab w:val="left" w:pos="933"/>
          <w:tab w:val="left" w:pos="934"/>
        </w:tabs>
        <w:autoSpaceDE w:val="0"/>
        <w:autoSpaceDN w:val="0"/>
        <w:spacing w:line="240" w:lineRule="auto"/>
        <w:ind w:hanging="544"/>
        <w:contextualSpacing w:val="0"/>
        <w:jc w:val="left"/>
        <w:rPr>
          <w:rFonts w:cs="Times New Roman"/>
          <w:szCs w:val="24"/>
          <w:lang w:val="tr-TR"/>
        </w:rPr>
      </w:pPr>
      <w:r w:rsidRPr="00DD0D1F">
        <w:rPr>
          <w:rFonts w:cs="Times New Roman"/>
          <w:szCs w:val="24"/>
          <w:lang w:val="tr-TR"/>
        </w:rPr>
        <w:t>İkincil veya boru çıkışı teknikleri, örneğin:</w:t>
      </w:r>
    </w:p>
    <w:p w14:paraId="1178B279" w14:textId="77777777" w:rsidR="00A508A2" w:rsidRPr="00DD0D1F" w:rsidRDefault="00A508A2" w:rsidP="00A508A2">
      <w:pPr>
        <w:pStyle w:val="GvdeMetni"/>
        <w:spacing w:before="7"/>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5"/>
        <w:gridCol w:w="3671"/>
        <w:gridCol w:w="3671"/>
      </w:tblGrid>
      <w:tr w:rsidR="004E551F" w:rsidRPr="00DD0D1F" w14:paraId="45120C35" w14:textId="77777777" w:rsidTr="004E551F">
        <w:trPr>
          <w:trHeight w:val="285"/>
        </w:trPr>
        <w:tc>
          <w:tcPr>
            <w:tcW w:w="956" w:type="pct"/>
          </w:tcPr>
          <w:p w14:paraId="5E638AEF" w14:textId="77777777" w:rsidR="004E551F" w:rsidRPr="00DD0D1F" w:rsidRDefault="004E551F" w:rsidP="00A508A2">
            <w:pPr>
              <w:pStyle w:val="TableParagraph"/>
              <w:spacing w:before="26"/>
              <w:ind w:left="777"/>
              <w:rPr>
                <w:b/>
                <w:szCs w:val="24"/>
              </w:rPr>
            </w:pPr>
            <w:r w:rsidRPr="00DD0D1F">
              <w:rPr>
                <w:b/>
                <w:bCs/>
                <w:szCs w:val="24"/>
              </w:rPr>
              <w:t>Teknik</w:t>
            </w:r>
          </w:p>
        </w:tc>
        <w:tc>
          <w:tcPr>
            <w:tcW w:w="2022" w:type="pct"/>
          </w:tcPr>
          <w:p w14:paraId="70895C59" w14:textId="1C367B72" w:rsidR="004E551F" w:rsidRPr="00DD0D1F" w:rsidRDefault="004E551F" w:rsidP="00A508A2">
            <w:pPr>
              <w:pStyle w:val="TableParagraph"/>
              <w:spacing w:before="26"/>
              <w:ind w:left="113" w:right="212"/>
              <w:jc w:val="center"/>
              <w:rPr>
                <w:b/>
                <w:bCs/>
                <w:szCs w:val="24"/>
              </w:rPr>
            </w:pPr>
            <w:r w:rsidRPr="00DD0D1F">
              <w:rPr>
                <w:b/>
                <w:bCs/>
                <w:szCs w:val="24"/>
              </w:rPr>
              <w:t xml:space="preserve">Açıklama </w:t>
            </w:r>
          </w:p>
        </w:tc>
        <w:tc>
          <w:tcPr>
            <w:tcW w:w="2022" w:type="pct"/>
          </w:tcPr>
          <w:p w14:paraId="2BD5D325" w14:textId="34E92DA8" w:rsidR="004E551F" w:rsidRPr="00DD0D1F" w:rsidRDefault="004E551F" w:rsidP="00A508A2">
            <w:pPr>
              <w:pStyle w:val="TableParagraph"/>
              <w:spacing w:before="26"/>
              <w:ind w:left="113" w:right="212"/>
              <w:jc w:val="center"/>
              <w:rPr>
                <w:b/>
                <w:szCs w:val="24"/>
              </w:rPr>
            </w:pPr>
            <w:r w:rsidRPr="00DD0D1F">
              <w:rPr>
                <w:b/>
                <w:bCs/>
                <w:szCs w:val="24"/>
              </w:rPr>
              <w:t>Uygulanabilirlik</w:t>
            </w:r>
          </w:p>
        </w:tc>
      </w:tr>
      <w:tr w:rsidR="004E551F" w:rsidRPr="00DD0D1F" w14:paraId="689FF0C1" w14:textId="77777777" w:rsidTr="004E551F">
        <w:trPr>
          <w:trHeight w:val="1149"/>
        </w:trPr>
        <w:tc>
          <w:tcPr>
            <w:tcW w:w="956" w:type="pct"/>
          </w:tcPr>
          <w:p w14:paraId="606B17F5" w14:textId="77777777" w:rsidR="004E551F" w:rsidRPr="00DD0D1F" w:rsidRDefault="004E551F" w:rsidP="00A508A2">
            <w:pPr>
              <w:pStyle w:val="TableParagraph"/>
              <w:spacing w:before="5"/>
              <w:rPr>
                <w:szCs w:val="24"/>
              </w:rPr>
            </w:pPr>
          </w:p>
          <w:p w14:paraId="0782EF85" w14:textId="77777777" w:rsidR="004E551F" w:rsidRPr="00DD0D1F" w:rsidRDefault="004E551F" w:rsidP="00A508A2">
            <w:pPr>
              <w:pStyle w:val="TableParagraph"/>
              <w:tabs>
                <w:tab w:val="left" w:pos="580"/>
                <w:tab w:val="left" w:pos="1665"/>
              </w:tabs>
              <w:ind w:left="581" w:hanging="467"/>
              <w:rPr>
                <w:szCs w:val="24"/>
              </w:rPr>
            </w:pPr>
            <w:r w:rsidRPr="00DD0D1F">
              <w:rPr>
                <w:szCs w:val="24"/>
              </w:rPr>
              <w:t>i.</w:t>
            </w:r>
            <w:r w:rsidRPr="00DD0D1F">
              <w:rPr>
                <w:szCs w:val="24"/>
              </w:rPr>
              <w:tab/>
              <w:t>Seçkili Akışkan katalitik indirgeme (SCR)</w:t>
            </w:r>
          </w:p>
        </w:tc>
        <w:tc>
          <w:tcPr>
            <w:tcW w:w="2022" w:type="pct"/>
          </w:tcPr>
          <w:p w14:paraId="712A73FE" w14:textId="3C775DA3" w:rsidR="004E551F" w:rsidRPr="00DD0D1F" w:rsidRDefault="004E551F" w:rsidP="004E551F">
            <w:pPr>
              <w:pStyle w:val="TableParagraph"/>
              <w:ind w:left="108" w:right="96"/>
              <w:jc w:val="both"/>
              <w:rPr>
                <w:szCs w:val="24"/>
              </w:rPr>
            </w:pPr>
            <w:r w:rsidRPr="00DD0D1F">
              <w:rPr>
                <w:szCs w:val="24"/>
              </w:rPr>
              <w:t>Bölüm 1.20.2 bakınız.</w:t>
            </w:r>
          </w:p>
          <w:p w14:paraId="40EC052D" w14:textId="77777777" w:rsidR="004E551F" w:rsidRPr="00DD0D1F" w:rsidRDefault="004E551F" w:rsidP="00A508A2">
            <w:pPr>
              <w:pStyle w:val="TableParagraph"/>
              <w:ind w:left="107" w:right="100"/>
              <w:jc w:val="both"/>
              <w:rPr>
                <w:szCs w:val="24"/>
              </w:rPr>
            </w:pPr>
          </w:p>
        </w:tc>
        <w:tc>
          <w:tcPr>
            <w:tcW w:w="2022" w:type="pct"/>
          </w:tcPr>
          <w:p w14:paraId="452B68CE" w14:textId="60A8A5C3" w:rsidR="004E551F" w:rsidRPr="00DD0D1F" w:rsidRDefault="004E551F" w:rsidP="00A508A2">
            <w:pPr>
              <w:pStyle w:val="TableParagraph"/>
              <w:ind w:left="107" w:right="100"/>
              <w:jc w:val="both"/>
              <w:rPr>
                <w:szCs w:val="24"/>
              </w:rPr>
            </w:pPr>
            <w:r w:rsidRPr="00DD0D1F">
              <w:rPr>
                <w:szCs w:val="24"/>
              </w:rPr>
              <w:t>Olası aşağı yönde cüruf akışını engellemek amacıyla SCR'nin yukarı akım yönünde ilave filtreleme gerekebilir.</w:t>
            </w:r>
          </w:p>
          <w:p w14:paraId="2D60761D" w14:textId="77777777" w:rsidR="004E551F" w:rsidRPr="00DD0D1F" w:rsidRDefault="004E551F" w:rsidP="00A508A2">
            <w:pPr>
              <w:pStyle w:val="TableParagraph"/>
              <w:spacing w:line="230" w:lineRule="exact"/>
              <w:ind w:left="107" w:right="102"/>
              <w:jc w:val="both"/>
              <w:rPr>
                <w:szCs w:val="24"/>
              </w:rPr>
            </w:pPr>
            <w:r w:rsidRPr="00DD0D1F">
              <w:rPr>
                <w:szCs w:val="24"/>
              </w:rPr>
              <w:t>Mevcut birimler bakımından uygulanabilirlik, yer varlığıyla sınırlı olabilir</w:t>
            </w:r>
          </w:p>
        </w:tc>
      </w:tr>
      <w:tr w:rsidR="004E551F" w:rsidRPr="00DD0D1F" w14:paraId="015700E0" w14:textId="77777777" w:rsidTr="004E551F">
        <w:trPr>
          <w:trHeight w:val="1609"/>
        </w:trPr>
        <w:tc>
          <w:tcPr>
            <w:tcW w:w="956" w:type="pct"/>
          </w:tcPr>
          <w:p w14:paraId="5AE3FB1F" w14:textId="77777777" w:rsidR="004E551F" w:rsidRPr="00DD0D1F" w:rsidRDefault="004E551F" w:rsidP="00A508A2">
            <w:pPr>
              <w:pStyle w:val="TableParagraph"/>
              <w:rPr>
                <w:szCs w:val="24"/>
              </w:rPr>
            </w:pPr>
          </w:p>
          <w:p w14:paraId="7725BA63" w14:textId="77777777" w:rsidR="004E551F" w:rsidRPr="00DD0D1F" w:rsidRDefault="004E551F" w:rsidP="00A508A2">
            <w:pPr>
              <w:pStyle w:val="TableParagraph"/>
              <w:spacing w:before="5"/>
              <w:rPr>
                <w:szCs w:val="24"/>
              </w:rPr>
            </w:pPr>
          </w:p>
          <w:p w14:paraId="7D6C57E8" w14:textId="77777777" w:rsidR="004E551F" w:rsidRPr="00DD0D1F" w:rsidRDefault="004E551F" w:rsidP="00A508A2">
            <w:pPr>
              <w:pStyle w:val="TableParagraph"/>
              <w:tabs>
                <w:tab w:val="left" w:pos="580"/>
              </w:tabs>
              <w:ind w:left="581" w:hanging="531"/>
              <w:rPr>
                <w:szCs w:val="24"/>
              </w:rPr>
            </w:pPr>
            <w:r w:rsidRPr="00DD0D1F">
              <w:rPr>
                <w:szCs w:val="24"/>
              </w:rPr>
              <w:t>ii.</w:t>
            </w:r>
            <w:r w:rsidRPr="00DD0D1F">
              <w:rPr>
                <w:szCs w:val="24"/>
              </w:rPr>
              <w:tab/>
              <w:t>Seçkili Akışkan katalitik olmayan indirgeme (SNCR)</w:t>
            </w:r>
          </w:p>
          <w:p w14:paraId="40754782" w14:textId="77777777" w:rsidR="004E551F" w:rsidRPr="00DD0D1F" w:rsidRDefault="004E551F" w:rsidP="00A508A2">
            <w:pPr>
              <w:pStyle w:val="TableParagraph"/>
              <w:spacing w:line="228" w:lineRule="exact"/>
              <w:ind w:left="581"/>
              <w:rPr>
                <w:szCs w:val="24"/>
              </w:rPr>
            </w:pPr>
          </w:p>
        </w:tc>
        <w:tc>
          <w:tcPr>
            <w:tcW w:w="2022" w:type="pct"/>
          </w:tcPr>
          <w:p w14:paraId="7C879AA0" w14:textId="77777777" w:rsidR="004E551F" w:rsidRPr="00DD0D1F" w:rsidRDefault="004E551F" w:rsidP="004E551F">
            <w:pPr>
              <w:pStyle w:val="TableParagraph"/>
              <w:ind w:left="108" w:right="96"/>
              <w:jc w:val="both"/>
              <w:rPr>
                <w:szCs w:val="24"/>
              </w:rPr>
            </w:pPr>
            <w:r w:rsidRPr="00DD0D1F">
              <w:rPr>
                <w:szCs w:val="24"/>
              </w:rPr>
              <w:t>Bölüm 1.20.2 bakınız.</w:t>
            </w:r>
          </w:p>
          <w:p w14:paraId="502D2C4E" w14:textId="77777777" w:rsidR="004E551F" w:rsidRPr="00DD0D1F" w:rsidRDefault="004E551F" w:rsidP="00A508A2">
            <w:pPr>
              <w:pStyle w:val="TableParagraph"/>
              <w:ind w:left="107" w:right="97"/>
              <w:jc w:val="both"/>
              <w:rPr>
                <w:szCs w:val="24"/>
              </w:rPr>
            </w:pPr>
          </w:p>
        </w:tc>
        <w:tc>
          <w:tcPr>
            <w:tcW w:w="2022" w:type="pct"/>
          </w:tcPr>
          <w:p w14:paraId="6E45132D" w14:textId="398F794C" w:rsidR="004E551F" w:rsidRPr="00DD0D1F" w:rsidRDefault="004E551F" w:rsidP="00A508A2">
            <w:pPr>
              <w:pStyle w:val="TableParagraph"/>
              <w:ind w:left="107" w:right="97"/>
              <w:jc w:val="both"/>
              <w:rPr>
                <w:szCs w:val="24"/>
              </w:rPr>
            </w:pPr>
            <w:r w:rsidRPr="00DD0D1F">
              <w:rPr>
                <w:szCs w:val="24"/>
              </w:rPr>
              <w:t>CO kazanları ile gerçekleşen kısmi yanma FCC'leri bakımından uygun sıcaklıkta yeterli kalma süresi gereklidir.</w:t>
            </w:r>
          </w:p>
          <w:p w14:paraId="6AFD9417" w14:textId="77777777" w:rsidR="004E551F" w:rsidRPr="00DD0D1F" w:rsidRDefault="004E551F" w:rsidP="00A508A2">
            <w:pPr>
              <w:pStyle w:val="TableParagraph"/>
              <w:ind w:left="107" w:right="99"/>
              <w:jc w:val="both"/>
              <w:rPr>
                <w:szCs w:val="24"/>
              </w:rPr>
            </w:pPr>
            <w:r w:rsidRPr="00DD0D1F">
              <w:rPr>
                <w:szCs w:val="24"/>
              </w:rPr>
              <w:t>Yardımcı kazanların olmadığı tam yanma FCC'leri bakımından düşük sıcaklık penceresiyle eşleştirme için ilave yakıt enjeksiyonu (ör. hidrojen) gerekebilir.</w:t>
            </w:r>
          </w:p>
          <w:p w14:paraId="1D27222E" w14:textId="77777777" w:rsidR="004E551F" w:rsidRPr="00DD0D1F" w:rsidRDefault="004E551F" w:rsidP="00A508A2">
            <w:pPr>
              <w:pStyle w:val="TableParagraph"/>
              <w:spacing w:line="216" w:lineRule="exact"/>
              <w:ind w:left="107"/>
              <w:rPr>
                <w:szCs w:val="24"/>
              </w:rPr>
            </w:pPr>
          </w:p>
        </w:tc>
      </w:tr>
      <w:tr w:rsidR="004E551F" w:rsidRPr="00DD0D1F" w14:paraId="424EECE8" w14:textId="77777777" w:rsidTr="004E551F">
        <w:trPr>
          <w:trHeight w:val="2299"/>
        </w:trPr>
        <w:tc>
          <w:tcPr>
            <w:tcW w:w="956" w:type="pct"/>
          </w:tcPr>
          <w:p w14:paraId="01C953C4" w14:textId="77777777" w:rsidR="004E551F" w:rsidRPr="00DD0D1F" w:rsidRDefault="004E551F" w:rsidP="00A508A2">
            <w:pPr>
              <w:pStyle w:val="TableParagraph"/>
              <w:rPr>
                <w:szCs w:val="24"/>
              </w:rPr>
            </w:pPr>
          </w:p>
          <w:p w14:paraId="239F3722" w14:textId="77777777" w:rsidR="004E551F" w:rsidRPr="00DD0D1F" w:rsidRDefault="004E551F" w:rsidP="00A508A2">
            <w:pPr>
              <w:pStyle w:val="TableParagraph"/>
              <w:rPr>
                <w:szCs w:val="24"/>
              </w:rPr>
            </w:pPr>
          </w:p>
          <w:p w14:paraId="2E12E9C8" w14:textId="77777777" w:rsidR="004E551F" w:rsidRPr="00DD0D1F" w:rsidRDefault="004E551F" w:rsidP="00A508A2">
            <w:pPr>
              <w:pStyle w:val="TableParagraph"/>
              <w:rPr>
                <w:szCs w:val="24"/>
              </w:rPr>
            </w:pPr>
          </w:p>
          <w:p w14:paraId="269F615B" w14:textId="77777777" w:rsidR="004E551F" w:rsidRPr="00DD0D1F" w:rsidRDefault="004E551F" w:rsidP="00A508A2">
            <w:pPr>
              <w:pStyle w:val="TableParagraph"/>
              <w:tabs>
                <w:tab w:val="left" w:pos="580"/>
                <w:tab w:val="left" w:pos="1386"/>
              </w:tabs>
              <w:spacing w:before="153"/>
              <w:ind w:left="581" w:right="98" w:hanging="476"/>
              <w:rPr>
                <w:szCs w:val="24"/>
              </w:rPr>
            </w:pPr>
            <w:r w:rsidRPr="00DD0D1F">
              <w:rPr>
                <w:szCs w:val="24"/>
              </w:rPr>
              <w:t>iii.</w:t>
            </w:r>
            <w:r w:rsidRPr="00DD0D1F">
              <w:rPr>
                <w:szCs w:val="24"/>
              </w:rPr>
              <w:tab/>
              <w:t>Düşük sıcaklıkta oksitleme</w:t>
            </w:r>
          </w:p>
        </w:tc>
        <w:tc>
          <w:tcPr>
            <w:tcW w:w="2022" w:type="pct"/>
          </w:tcPr>
          <w:p w14:paraId="7943E7C1" w14:textId="77777777" w:rsidR="004E551F" w:rsidRPr="00DD0D1F" w:rsidRDefault="004E551F" w:rsidP="004E551F">
            <w:pPr>
              <w:pStyle w:val="TableParagraph"/>
              <w:ind w:left="108" w:right="96"/>
              <w:jc w:val="both"/>
              <w:rPr>
                <w:szCs w:val="24"/>
              </w:rPr>
            </w:pPr>
            <w:r w:rsidRPr="00DD0D1F">
              <w:rPr>
                <w:szCs w:val="24"/>
              </w:rPr>
              <w:t>Bölüm 1.20.2 bakınız.</w:t>
            </w:r>
          </w:p>
          <w:p w14:paraId="37CF2522" w14:textId="77777777" w:rsidR="004E551F" w:rsidRPr="00DD0D1F" w:rsidRDefault="004E551F" w:rsidP="00A508A2">
            <w:pPr>
              <w:pStyle w:val="TableParagraph"/>
              <w:spacing w:line="223" w:lineRule="exact"/>
              <w:ind w:left="107"/>
              <w:jc w:val="both"/>
              <w:rPr>
                <w:szCs w:val="24"/>
              </w:rPr>
            </w:pPr>
          </w:p>
        </w:tc>
        <w:tc>
          <w:tcPr>
            <w:tcW w:w="2022" w:type="pct"/>
          </w:tcPr>
          <w:p w14:paraId="4B66AB06" w14:textId="7009820D" w:rsidR="004E551F" w:rsidRPr="00DD0D1F" w:rsidRDefault="004E551F" w:rsidP="00A508A2">
            <w:pPr>
              <w:pStyle w:val="TableParagraph"/>
              <w:spacing w:line="223" w:lineRule="exact"/>
              <w:ind w:left="107"/>
              <w:jc w:val="both"/>
              <w:rPr>
                <w:szCs w:val="24"/>
              </w:rPr>
            </w:pPr>
            <w:r w:rsidRPr="00DD0D1F">
              <w:rPr>
                <w:szCs w:val="24"/>
              </w:rPr>
              <w:t>İlave yıkama kapasitesi gereksinimi.</w:t>
            </w:r>
          </w:p>
          <w:p w14:paraId="3CBBE7E6" w14:textId="77777777" w:rsidR="004E551F" w:rsidRPr="00DD0D1F" w:rsidRDefault="004E551F" w:rsidP="00A508A2">
            <w:pPr>
              <w:pStyle w:val="TableParagraph"/>
              <w:ind w:left="107" w:right="102"/>
              <w:jc w:val="both"/>
              <w:rPr>
                <w:szCs w:val="24"/>
              </w:rPr>
            </w:pPr>
            <w:r w:rsidRPr="00DD0D1F">
              <w:rPr>
                <w:szCs w:val="24"/>
              </w:rPr>
              <w:t>Ozon üretiminin ve bununla ilişkili risk yönetiminin  uygun biçimde ele alınması gereklidir. İlave atık su arıtımı ihtiyacı ve bununla ilgili çapraz-medya etkileri (ör. nitrat emisyonları) ile sıvı oksijen teminindeki (ozon üretimi için) yetersizlik nedeniyle uygulama sınırlı olabilir.</w:t>
            </w:r>
          </w:p>
          <w:p w14:paraId="0FBC3521" w14:textId="77777777" w:rsidR="004E551F" w:rsidRPr="00DD0D1F" w:rsidRDefault="004E551F" w:rsidP="00A508A2">
            <w:pPr>
              <w:pStyle w:val="TableParagraph"/>
              <w:spacing w:line="228" w:lineRule="exact"/>
              <w:ind w:left="107" w:right="99"/>
              <w:jc w:val="both"/>
              <w:rPr>
                <w:szCs w:val="24"/>
              </w:rPr>
            </w:pPr>
            <w:r w:rsidRPr="00DD0D1F">
              <w:rPr>
                <w:szCs w:val="24"/>
              </w:rPr>
              <w:t>Tekniğin uygulanabilirliği, yer varlığıyla sınırlı olabilir</w:t>
            </w:r>
          </w:p>
        </w:tc>
      </w:tr>
    </w:tbl>
    <w:p w14:paraId="68E369C7" w14:textId="77777777" w:rsidR="00A508A2" w:rsidRPr="00DD0D1F" w:rsidRDefault="00A508A2" w:rsidP="00A508A2">
      <w:pPr>
        <w:pStyle w:val="GvdeMetni"/>
        <w:rPr>
          <w:sz w:val="24"/>
          <w:szCs w:val="24"/>
        </w:rPr>
      </w:pPr>
    </w:p>
    <w:p w14:paraId="775DEDE7" w14:textId="77777777" w:rsidR="00A508A2" w:rsidRPr="00DD0D1F" w:rsidRDefault="00A508A2" w:rsidP="00A508A2">
      <w:pPr>
        <w:pStyle w:val="GvdeMetni"/>
        <w:spacing w:before="2"/>
        <w:rPr>
          <w:sz w:val="24"/>
          <w:szCs w:val="24"/>
        </w:rPr>
      </w:pPr>
    </w:p>
    <w:p w14:paraId="697CA55C" w14:textId="77777777" w:rsidR="00A508A2" w:rsidRPr="00DD0D1F" w:rsidRDefault="00A508A2" w:rsidP="00A508A2">
      <w:pPr>
        <w:pStyle w:val="ResimYazs"/>
        <w:rPr>
          <w:rFonts w:cs="Times New Roman"/>
          <w:color w:val="auto"/>
          <w:szCs w:val="24"/>
          <w:lang w:val="tr-TR"/>
        </w:rPr>
      </w:pPr>
      <w:bookmarkStart w:id="219" w:name="_bookmark885"/>
      <w:bookmarkEnd w:id="219"/>
      <w:r w:rsidRPr="00DD0D1F">
        <w:rPr>
          <w:rFonts w:cs="Times New Roman"/>
          <w:bCs/>
          <w:color w:val="auto"/>
          <w:szCs w:val="24"/>
          <w:lang w:val="tr-TR"/>
        </w:rPr>
        <w:t>Katalitik  parçalama prosesinde rejeneratörden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1"/>
        <w:gridCol w:w="3709"/>
        <w:gridCol w:w="3707"/>
      </w:tblGrid>
      <w:tr w:rsidR="00A508A2" w:rsidRPr="00DD0D1F" w14:paraId="03AE3880" w14:textId="77777777" w:rsidTr="00A508A2">
        <w:trPr>
          <w:trHeight w:val="690"/>
        </w:trPr>
        <w:tc>
          <w:tcPr>
            <w:tcW w:w="915" w:type="pct"/>
          </w:tcPr>
          <w:p w14:paraId="6DE0B0BB" w14:textId="77777777" w:rsidR="00A508A2" w:rsidRPr="00DD0D1F" w:rsidRDefault="00A508A2" w:rsidP="00A508A2">
            <w:pPr>
              <w:pStyle w:val="TableParagraph"/>
              <w:spacing w:before="9"/>
              <w:rPr>
                <w:b/>
                <w:szCs w:val="24"/>
              </w:rPr>
            </w:pPr>
          </w:p>
          <w:p w14:paraId="5FE8EEDE" w14:textId="77777777" w:rsidR="00A508A2" w:rsidRPr="00DD0D1F" w:rsidRDefault="00A508A2" w:rsidP="00A508A2">
            <w:pPr>
              <w:pStyle w:val="TableParagraph"/>
              <w:ind w:left="343"/>
              <w:rPr>
                <w:b/>
                <w:szCs w:val="24"/>
              </w:rPr>
            </w:pPr>
            <w:r w:rsidRPr="00DD0D1F">
              <w:rPr>
                <w:b/>
                <w:bCs/>
                <w:szCs w:val="24"/>
              </w:rPr>
              <w:t>Parametre</w:t>
            </w:r>
          </w:p>
        </w:tc>
        <w:tc>
          <w:tcPr>
            <w:tcW w:w="2043" w:type="pct"/>
          </w:tcPr>
          <w:p w14:paraId="06209B16" w14:textId="77777777" w:rsidR="00A508A2" w:rsidRPr="00DD0D1F" w:rsidRDefault="00A508A2" w:rsidP="00A508A2">
            <w:pPr>
              <w:pStyle w:val="TableParagraph"/>
              <w:spacing w:before="9"/>
              <w:rPr>
                <w:b/>
                <w:szCs w:val="24"/>
              </w:rPr>
            </w:pPr>
          </w:p>
          <w:p w14:paraId="2BEA45B4" w14:textId="77777777" w:rsidR="00A508A2" w:rsidRPr="00DD0D1F" w:rsidRDefault="00A508A2" w:rsidP="00A508A2">
            <w:pPr>
              <w:pStyle w:val="TableParagraph"/>
              <w:ind w:left="228" w:right="224"/>
              <w:jc w:val="center"/>
              <w:rPr>
                <w:b/>
                <w:szCs w:val="24"/>
              </w:rPr>
            </w:pPr>
            <w:r w:rsidRPr="00DD0D1F">
              <w:rPr>
                <w:b/>
                <w:bCs/>
                <w:szCs w:val="24"/>
              </w:rPr>
              <w:t>Birimin türü / yanma kipi</w:t>
            </w:r>
          </w:p>
        </w:tc>
        <w:tc>
          <w:tcPr>
            <w:tcW w:w="2042" w:type="pct"/>
          </w:tcPr>
          <w:p w14:paraId="5580D265" w14:textId="17DFDC0D" w:rsidR="00A508A2" w:rsidRPr="00DD0D1F" w:rsidRDefault="007D7613" w:rsidP="00A508A2">
            <w:pPr>
              <w:pStyle w:val="TableParagraph"/>
              <w:spacing w:line="229" w:lineRule="exact"/>
              <w:ind w:left="978" w:right="971"/>
              <w:jc w:val="center"/>
              <w:rPr>
                <w:b/>
                <w:szCs w:val="24"/>
              </w:rPr>
            </w:pPr>
            <w:r w:rsidRPr="00DD0D1F">
              <w:rPr>
                <w:b/>
                <w:bCs/>
                <w:szCs w:val="24"/>
              </w:rPr>
              <w:t>MET_İES</w:t>
            </w:r>
          </w:p>
          <w:p w14:paraId="4A145BE2" w14:textId="77777777" w:rsidR="00A508A2" w:rsidRPr="00DD0D1F" w:rsidRDefault="00A508A2" w:rsidP="00A508A2">
            <w:pPr>
              <w:pStyle w:val="TableParagraph"/>
              <w:spacing w:line="227" w:lineRule="exact"/>
              <w:ind w:left="978" w:right="975"/>
              <w:jc w:val="center"/>
              <w:rPr>
                <w:b/>
                <w:szCs w:val="24"/>
              </w:rPr>
            </w:pPr>
            <w:r w:rsidRPr="00DD0D1F">
              <w:rPr>
                <w:b/>
                <w:bCs/>
                <w:szCs w:val="24"/>
              </w:rPr>
              <w:t>(aylık ortalama)</w:t>
            </w:r>
          </w:p>
          <w:p w14:paraId="0A15DC39" w14:textId="77777777" w:rsidR="00A508A2" w:rsidRPr="00DD0D1F" w:rsidRDefault="00A508A2" w:rsidP="00A508A2">
            <w:pPr>
              <w:pStyle w:val="TableParagraph"/>
              <w:spacing w:line="215" w:lineRule="exact"/>
              <w:ind w:left="978" w:right="971"/>
              <w:jc w:val="center"/>
              <w:rPr>
                <w:szCs w:val="24"/>
              </w:rPr>
            </w:pPr>
            <w:r w:rsidRPr="00DD0D1F">
              <w:rPr>
                <w:szCs w:val="24"/>
              </w:rPr>
              <w:t>mg/Nm</w:t>
            </w:r>
            <w:r w:rsidRPr="00DD0D1F">
              <w:rPr>
                <w:szCs w:val="24"/>
                <w:vertAlign w:val="superscript"/>
              </w:rPr>
              <w:t>3</w:t>
            </w:r>
          </w:p>
        </w:tc>
      </w:tr>
      <w:tr w:rsidR="00A508A2" w:rsidRPr="00DD0D1F" w14:paraId="6BDE579F" w14:textId="77777777" w:rsidTr="00A508A2">
        <w:trPr>
          <w:trHeight w:val="285"/>
        </w:trPr>
        <w:tc>
          <w:tcPr>
            <w:tcW w:w="915" w:type="pct"/>
            <w:vMerge w:val="restart"/>
          </w:tcPr>
          <w:p w14:paraId="4DBA260B" w14:textId="77777777" w:rsidR="00A508A2" w:rsidRPr="00DD0D1F" w:rsidRDefault="00A508A2" w:rsidP="00A508A2">
            <w:pPr>
              <w:pStyle w:val="TableParagraph"/>
              <w:spacing w:before="199"/>
              <w:ind w:left="75" w:right="139"/>
              <w:jc w:val="center"/>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2043" w:type="pct"/>
          </w:tcPr>
          <w:p w14:paraId="79525FE4" w14:textId="77777777" w:rsidR="00A508A2" w:rsidRPr="00DD0D1F" w:rsidRDefault="00A508A2" w:rsidP="00A508A2">
            <w:pPr>
              <w:pStyle w:val="TableParagraph"/>
              <w:spacing w:before="19"/>
              <w:ind w:left="228" w:right="224"/>
              <w:jc w:val="center"/>
              <w:rPr>
                <w:szCs w:val="24"/>
              </w:rPr>
            </w:pPr>
            <w:r w:rsidRPr="00DD0D1F">
              <w:rPr>
                <w:szCs w:val="24"/>
              </w:rPr>
              <w:t>Yeni birim / tam yanma kipi</w:t>
            </w:r>
          </w:p>
        </w:tc>
        <w:tc>
          <w:tcPr>
            <w:tcW w:w="2042" w:type="pct"/>
          </w:tcPr>
          <w:p w14:paraId="68359D3F" w14:textId="77777777" w:rsidR="00A508A2" w:rsidRPr="00DD0D1F" w:rsidRDefault="00A508A2" w:rsidP="00A508A2">
            <w:pPr>
              <w:pStyle w:val="TableParagraph"/>
              <w:spacing w:before="19"/>
              <w:ind w:left="978" w:right="969"/>
              <w:jc w:val="center"/>
              <w:rPr>
                <w:szCs w:val="24"/>
              </w:rPr>
            </w:pPr>
            <w:r w:rsidRPr="00DD0D1F">
              <w:rPr>
                <w:szCs w:val="24"/>
              </w:rPr>
              <w:t>&lt;30 – 100</w:t>
            </w:r>
          </w:p>
        </w:tc>
      </w:tr>
      <w:tr w:rsidR="00A508A2" w:rsidRPr="00DD0D1F" w14:paraId="1DFF1285" w14:textId="77777777" w:rsidTr="00A508A2">
        <w:trPr>
          <w:trHeight w:val="282"/>
        </w:trPr>
        <w:tc>
          <w:tcPr>
            <w:tcW w:w="915" w:type="pct"/>
            <w:vMerge/>
            <w:tcBorders>
              <w:top w:val="nil"/>
            </w:tcBorders>
          </w:tcPr>
          <w:p w14:paraId="4BD45184" w14:textId="77777777" w:rsidR="00A508A2" w:rsidRPr="00DD0D1F" w:rsidRDefault="00A508A2" w:rsidP="00A508A2">
            <w:pPr>
              <w:rPr>
                <w:rFonts w:cs="Times New Roman"/>
                <w:szCs w:val="24"/>
                <w:lang w:val="tr-TR"/>
              </w:rPr>
            </w:pPr>
          </w:p>
        </w:tc>
        <w:tc>
          <w:tcPr>
            <w:tcW w:w="2043" w:type="pct"/>
          </w:tcPr>
          <w:p w14:paraId="2B481E61" w14:textId="77777777" w:rsidR="00A508A2" w:rsidRPr="00DD0D1F" w:rsidRDefault="00A508A2" w:rsidP="00A508A2">
            <w:pPr>
              <w:pStyle w:val="TableParagraph"/>
              <w:spacing w:before="19"/>
              <w:ind w:left="224" w:right="225"/>
              <w:jc w:val="center"/>
              <w:rPr>
                <w:szCs w:val="24"/>
              </w:rPr>
            </w:pPr>
            <w:r w:rsidRPr="00DD0D1F">
              <w:rPr>
                <w:szCs w:val="24"/>
              </w:rPr>
              <w:t>Mevcut birim / tam yanma kipi</w:t>
            </w:r>
          </w:p>
        </w:tc>
        <w:tc>
          <w:tcPr>
            <w:tcW w:w="2042" w:type="pct"/>
          </w:tcPr>
          <w:p w14:paraId="08C23886" w14:textId="77777777" w:rsidR="00A508A2" w:rsidRPr="00DD0D1F" w:rsidRDefault="00A508A2" w:rsidP="00A508A2">
            <w:pPr>
              <w:pStyle w:val="TableParagraph"/>
              <w:spacing w:before="19"/>
              <w:ind w:left="978" w:right="967"/>
              <w:jc w:val="center"/>
              <w:rPr>
                <w:szCs w:val="24"/>
              </w:rPr>
            </w:pPr>
            <w:r w:rsidRPr="00DD0D1F">
              <w:rPr>
                <w:szCs w:val="24"/>
              </w:rPr>
              <w:t>&lt;100 – 300 (</w:t>
            </w:r>
            <w:r w:rsidRPr="00DD0D1F">
              <w:rPr>
                <w:szCs w:val="24"/>
                <w:vertAlign w:val="superscript"/>
              </w:rPr>
              <w:t>1</w:t>
            </w:r>
            <w:r w:rsidRPr="00DD0D1F">
              <w:rPr>
                <w:szCs w:val="24"/>
              </w:rPr>
              <w:t>)</w:t>
            </w:r>
          </w:p>
        </w:tc>
      </w:tr>
      <w:tr w:rsidR="00A508A2" w:rsidRPr="00DD0D1F" w14:paraId="66348A32" w14:textId="77777777" w:rsidTr="00A508A2">
        <w:trPr>
          <w:trHeight w:val="285"/>
        </w:trPr>
        <w:tc>
          <w:tcPr>
            <w:tcW w:w="915" w:type="pct"/>
            <w:vMerge/>
            <w:tcBorders>
              <w:top w:val="nil"/>
            </w:tcBorders>
          </w:tcPr>
          <w:p w14:paraId="5D7647BD" w14:textId="77777777" w:rsidR="00A508A2" w:rsidRPr="00DD0D1F" w:rsidRDefault="00A508A2" w:rsidP="00A508A2">
            <w:pPr>
              <w:rPr>
                <w:rFonts w:cs="Times New Roman"/>
                <w:szCs w:val="24"/>
                <w:lang w:val="tr-TR"/>
              </w:rPr>
            </w:pPr>
          </w:p>
        </w:tc>
        <w:tc>
          <w:tcPr>
            <w:tcW w:w="2043" w:type="pct"/>
          </w:tcPr>
          <w:p w14:paraId="1DAB0C2F" w14:textId="77777777" w:rsidR="00A508A2" w:rsidRPr="00DD0D1F" w:rsidRDefault="00A508A2" w:rsidP="00A508A2">
            <w:pPr>
              <w:pStyle w:val="TableParagraph"/>
              <w:spacing w:before="19"/>
              <w:ind w:left="228" w:right="225"/>
              <w:jc w:val="center"/>
              <w:rPr>
                <w:szCs w:val="24"/>
              </w:rPr>
            </w:pPr>
            <w:r w:rsidRPr="00DD0D1F">
              <w:rPr>
                <w:szCs w:val="24"/>
              </w:rPr>
              <w:t>Mevcut birim/kısmi yanma kipi</w:t>
            </w:r>
          </w:p>
        </w:tc>
        <w:tc>
          <w:tcPr>
            <w:tcW w:w="2042" w:type="pct"/>
          </w:tcPr>
          <w:p w14:paraId="45FF177A" w14:textId="77777777" w:rsidR="00A508A2" w:rsidRPr="00DD0D1F" w:rsidRDefault="00A508A2" w:rsidP="00A508A2">
            <w:pPr>
              <w:pStyle w:val="TableParagraph"/>
              <w:spacing w:before="19"/>
              <w:ind w:left="978" w:right="970"/>
              <w:jc w:val="center"/>
              <w:rPr>
                <w:szCs w:val="24"/>
              </w:rPr>
            </w:pPr>
            <w:r w:rsidRPr="00DD0D1F">
              <w:rPr>
                <w:szCs w:val="24"/>
              </w:rPr>
              <w:t>100 – 400 (</w:t>
            </w:r>
            <w:r w:rsidRPr="00DD0D1F">
              <w:rPr>
                <w:szCs w:val="24"/>
                <w:vertAlign w:val="superscript"/>
              </w:rPr>
              <w:t>1</w:t>
            </w:r>
            <w:r w:rsidRPr="00DD0D1F">
              <w:rPr>
                <w:szCs w:val="24"/>
              </w:rPr>
              <w:t>)</w:t>
            </w:r>
          </w:p>
        </w:tc>
      </w:tr>
      <w:tr w:rsidR="00A508A2" w:rsidRPr="00DD0D1F" w14:paraId="77E5100A" w14:textId="77777777" w:rsidTr="00A508A2">
        <w:trPr>
          <w:trHeight w:val="457"/>
        </w:trPr>
        <w:tc>
          <w:tcPr>
            <w:tcW w:w="5000" w:type="pct"/>
            <w:gridSpan w:val="3"/>
          </w:tcPr>
          <w:p w14:paraId="08A68911" w14:textId="409F1244" w:rsidR="00A508A2" w:rsidRPr="00DD0D1F" w:rsidRDefault="00A508A2" w:rsidP="00A508A2">
            <w:pPr>
              <w:pStyle w:val="TableParagraph"/>
              <w:spacing w:line="223" w:lineRule="exact"/>
              <w:ind w:left="107"/>
              <w:rPr>
                <w:szCs w:val="24"/>
              </w:rPr>
            </w:pPr>
            <w:r w:rsidRPr="00DD0D1F">
              <w:rPr>
                <w:szCs w:val="24"/>
              </w:rPr>
              <w:t>(1) Metal edilginleştirmede antimon (Sb) püskürtmesi kullanıldığında, 700 mg/Nm</w:t>
            </w:r>
            <w:r w:rsidRPr="00DD0D1F">
              <w:rPr>
                <w:szCs w:val="24"/>
                <w:vertAlign w:val="superscript"/>
              </w:rPr>
              <w:t xml:space="preserve">3 </w:t>
            </w:r>
            <w:r w:rsidRPr="00DD0D1F">
              <w:rPr>
                <w:szCs w:val="24"/>
              </w:rPr>
              <w:t>düzeyine ulaşan NO</w:t>
            </w:r>
            <w:r w:rsidRPr="00DD0D1F">
              <w:rPr>
                <w:szCs w:val="24"/>
                <w:vertAlign w:val="subscript"/>
              </w:rPr>
              <w:t xml:space="preserve">X </w:t>
            </w:r>
            <w:r w:rsidRPr="00DD0D1F">
              <w:rPr>
                <w:szCs w:val="24"/>
              </w:rPr>
              <w:t xml:space="preserve">açığa çıkabilir. Aralığın daha düşük olan </w:t>
            </w:r>
            <w:r w:rsidR="00A504E5" w:rsidRPr="00DD0D1F">
              <w:rPr>
                <w:szCs w:val="24"/>
              </w:rPr>
              <w:t>sınırı</w:t>
            </w:r>
            <w:r w:rsidRPr="00DD0D1F">
              <w:rPr>
                <w:szCs w:val="24"/>
              </w:rPr>
              <w:t>, SCR tekniği kullanılarak elde edilebilir.</w:t>
            </w:r>
          </w:p>
        </w:tc>
      </w:tr>
    </w:tbl>
    <w:p w14:paraId="29A538AF" w14:textId="77777777" w:rsidR="00A508A2" w:rsidRPr="00DD0D1F" w:rsidRDefault="00A508A2" w:rsidP="00A508A2">
      <w:pPr>
        <w:pStyle w:val="GvdeMetni"/>
        <w:spacing w:before="6"/>
        <w:rPr>
          <w:b/>
          <w:sz w:val="24"/>
          <w:szCs w:val="24"/>
        </w:rPr>
      </w:pPr>
    </w:p>
    <w:p w14:paraId="1F9E41CC"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25:  </w:t>
      </w:r>
      <w:r w:rsidRPr="00DD0D1F">
        <w:rPr>
          <w:rFonts w:cs="Times New Roman"/>
          <w:bCs/>
          <w:szCs w:val="24"/>
          <w:lang w:val="tr-TR"/>
        </w:rPr>
        <w:t>Akışkan katalitik parçalama prosesinden (rejeneratör) havaya yayılan toz ve metal emisyonlarının azaltılması için aşağıdaki tekniklerden biri veya daha fazlasının kombinasyonu kullanılır.</w:t>
      </w:r>
    </w:p>
    <w:p w14:paraId="154EF2C6" w14:textId="77777777" w:rsidR="00A508A2" w:rsidRPr="00DD0D1F" w:rsidRDefault="00A508A2" w:rsidP="00A508A2">
      <w:pPr>
        <w:pStyle w:val="GvdeMetni"/>
        <w:rPr>
          <w:b/>
          <w:sz w:val="24"/>
          <w:szCs w:val="24"/>
        </w:rPr>
      </w:pPr>
    </w:p>
    <w:p w14:paraId="10C44A3C" w14:textId="77777777" w:rsidR="00A508A2" w:rsidRPr="00DD0D1F" w:rsidRDefault="00A508A2" w:rsidP="00FF111D">
      <w:pPr>
        <w:pStyle w:val="ListeParagraf"/>
        <w:widowControl w:val="0"/>
        <w:numPr>
          <w:ilvl w:val="1"/>
          <w:numId w:val="98"/>
        </w:numPr>
        <w:tabs>
          <w:tab w:val="left" w:pos="2308"/>
          <w:tab w:val="left" w:pos="2309"/>
        </w:tabs>
        <w:autoSpaceDE w:val="0"/>
        <w:autoSpaceDN w:val="0"/>
        <w:spacing w:before="1" w:line="240" w:lineRule="auto"/>
        <w:ind w:hanging="479"/>
        <w:contextualSpacing w:val="0"/>
        <w:jc w:val="left"/>
        <w:rPr>
          <w:rFonts w:cs="Times New Roman"/>
          <w:szCs w:val="24"/>
          <w:lang w:val="tr-TR"/>
        </w:rPr>
      </w:pPr>
      <w:r w:rsidRPr="00DD0D1F">
        <w:rPr>
          <w:rFonts w:cs="Times New Roman"/>
          <w:szCs w:val="24"/>
          <w:lang w:val="tr-TR"/>
        </w:rPr>
        <w:t>Aşağıda örnekleri verilen birincil veya prosesle ilgili teknikler:</w:t>
      </w:r>
    </w:p>
    <w:p w14:paraId="55608B08" w14:textId="77777777" w:rsidR="00A508A2" w:rsidRPr="00DD0D1F" w:rsidRDefault="00A508A2" w:rsidP="00A508A2">
      <w:pPr>
        <w:pStyle w:val="GvdeMetni"/>
        <w:spacing w:before="6"/>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5"/>
        <w:gridCol w:w="3097"/>
        <w:gridCol w:w="3095"/>
      </w:tblGrid>
      <w:tr w:rsidR="00A508A2" w:rsidRPr="00DD0D1F" w14:paraId="72140A20" w14:textId="77777777" w:rsidTr="00A508A2">
        <w:trPr>
          <w:trHeight w:val="282"/>
        </w:trPr>
        <w:tc>
          <w:tcPr>
            <w:tcW w:w="1589" w:type="pct"/>
          </w:tcPr>
          <w:p w14:paraId="73C28453" w14:textId="77777777" w:rsidR="00A508A2" w:rsidRPr="00DD0D1F" w:rsidRDefault="00A508A2" w:rsidP="00A508A2">
            <w:pPr>
              <w:pStyle w:val="TableParagraph"/>
              <w:spacing w:before="24"/>
              <w:ind w:left="913" w:right="908"/>
              <w:jc w:val="center"/>
              <w:rPr>
                <w:b/>
                <w:szCs w:val="24"/>
              </w:rPr>
            </w:pPr>
            <w:r w:rsidRPr="00DD0D1F">
              <w:rPr>
                <w:b/>
                <w:bCs/>
                <w:szCs w:val="24"/>
              </w:rPr>
              <w:t>Teknik</w:t>
            </w:r>
          </w:p>
        </w:tc>
        <w:tc>
          <w:tcPr>
            <w:tcW w:w="1706" w:type="pct"/>
          </w:tcPr>
          <w:p w14:paraId="085B5CDE" w14:textId="77777777" w:rsidR="00A508A2" w:rsidRPr="00DD0D1F" w:rsidRDefault="00A508A2" w:rsidP="00A508A2">
            <w:pPr>
              <w:pStyle w:val="TableParagraph"/>
              <w:spacing w:before="24"/>
              <w:ind w:left="969" w:right="969"/>
              <w:jc w:val="center"/>
              <w:rPr>
                <w:b/>
                <w:szCs w:val="24"/>
              </w:rPr>
            </w:pPr>
            <w:r w:rsidRPr="00DD0D1F">
              <w:rPr>
                <w:b/>
                <w:bCs/>
                <w:szCs w:val="24"/>
              </w:rPr>
              <w:t>Açıklama</w:t>
            </w:r>
          </w:p>
        </w:tc>
        <w:tc>
          <w:tcPr>
            <w:tcW w:w="1705" w:type="pct"/>
          </w:tcPr>
          <w:p w14:paraId="340655BD" w14:textId="77777777" w:rsidR="00A508A2" w:rsidRPr="00DD0D1F" w:rsidRDefault="00A508A2" w:rsidP="00A508A2">
            <w:pPr>
              <w:pStyle w:val="TableParagraph"/>
              <w:spacing w:before="24"/>
              <w:ind w:left="930"/>
              <w:rPr>
                <w:b/>
                <w:szCs w:val="24"/>
              </w:rPr>
            </w:pPr>
            <w:r w:rsidRPr="00DD0D1F">
              <w:rPr>
                <w:b/>
                <w:bCs/>
                <w:szCs w:val="24"/>
              </w:rPr>
              <w:t>Uygulanabilirlik</w:t>
            </w:r>
          </w:p>
        </w:tc>
      </w:tr>
      <w:tr w:rsidR="00A508A2" w:rsidRPr="00DD0D1F" w14:paraId="023B6A2B" w14:textId="77777777" w:rsidTr="00A508A2">
        <w:trPr>
          <w:trHeight w:val="921"/>
        </w:trPr>
        <w:tc>
          <w:tcPr>
            <w:tcW w:w="1589" w:type="pct"/>
          </w:tcPr>
          <w:p w14:paraId="05D55EFF" w14:textId="77777777" w:rsidR="00A508A2" w:rsidRPr="00DD0D1F" w:rsidRDefault="00A508A2" w:rsidP="00A508A2">
            <w:pPr>
              <w:pStyle w:val="TableParagraph"/>
              <w:spacing w:before="5"/>
              <w:ind w:left="75" w:right="142"/>
              <w:rPr>
                <w:szCs w:val="24"/>
              </w:rPr>
            </w:pPr>
          </w:p>
          <w:p w14:paraId="65AA095E" w14:textId="77777777" w:rsidR="00A508A2" w:rsidRPr="00DD0D1F" w:rsidRDefault="00A508A2" w:rsidP="00A508A2">
            <w:pPr>
              <w:pStyle w:val="TableParagraph"/>
              <w:tabs>
                <w:tab w:val="left" w:pos="587"/>
                <w:tab w:val="left" w:pos="1602"/>
                <w:tab w:val="left" w:pos="2473"/>
              </w:tabs>
              <w:ind w:left="75" w:right="142"/>
              <w:rPr>
                <w:szCs w:val="24"/>
              </w:rPr>
            </w:pPr>
            <w:r w:rsidRPr="00DD0D1F">
              <w:rPr>
                <w:szCs w:val="24"/>
              </w:rPr>
              <w:t>i. Aşınmaya dirençli katalizör kullanımı</w:t>
            </w:r>
          </w:p>
        </w:tc>
        <w:tc>
          <w:tcPr>
            <w:tcW w:w="1706" w:type="pct"/>
          </w:tcPr>
          <w:p w14:paraId="473645D9" w14:textId="77777777" w:rsidR="00A508A2" w:rsidRPr="00DD0D1F" w:rsidRDefault="00A508A2" w:rsidP="00A508A2">
            <w:pPr>
              <w:pStyle w:val="TableParagraph"/>
              <w:ind w:left="75" w:right="142"/>
              <w:rPr>
                <w:szCs w:val="24"/>
              </w:rPr>
            </w:pPr>
            <w:r w:rsidRPr="00DD0D1F">
              <w:rPr>
                <w:szCs w:val="24"/>
              </w:rPr>
              <w:t>Toz emisyonlarını azaltmak amacıyla aşınmaya ve parçalara ayrılmaya direnebilen katalizör maddesinin seçilmesi</w:t>
            </w:r>
          </w:p>
          <w:p w14:paraId="0822627D" w14:textId="77777777" w:rsidR="00A508A2" w:rsidRPr="00DD0D1F" w:rsidRDefault="00A508A2" w:rsidP="00A508A2">
            <w:pPr>
              <w:pStyle w:val="TableParagraph"/>
              <w:spacing w:line="230" w:lineRule="atLeast"/>
              <w:ind w:left="75" w:right="142"/>
              <w:rPr>
                <w:szCs w:val="24"/>
              </w:rPr>
            </w:pPr>
          </w:p>
        </w:tc>
        <w:tc>
          <w:tcPr>
            <w:tcW w:w="1705" w:type="pct"/>
          </w:tcPr>
          <w:p w14:paraId="2A2901EB" w14:textId="77777777" w:rsidR="00A508A2" w:rsidRPr="00DD0D1F" w:rsidRDefault="00A508A2" w:rsidP="00A508A2">
            <w:pPr>
              <w:pStyle w:val="TableParagraph"/>
              <w:spacing w:before="108"/>
              <w:ind w:left="75" w:right="140"/>
              <w:jc w:val="both"/>
              <w:rPr>
                <w:szCs w:val="24"/>
              </w:rPr>
            </w:pPr>
            <w:r w:rsidRPr="00DD0D1F">
              <w:rPr>
                <w:szCs w:val="24"/>
              </w:rPr>
              <w:t>Katalizörün etkinlik ve seçiciliğinin yeterli olması kaydıyla genel olarak uygulanabilir</w:t>
            </w:r>
          </w:p>
        </w:tc>
      </w:tr>
      <w:tr w:rsidR="00A508A2" w:rsidRPr="00DD0D1F" w14:paraId="553DED44" w14:textId="77777777" w:rsidTr="00A508A2">
        <w:trPr>
          <w:trHeight w:val="1840"/>
        </w:trPr>
        <w:tc>
          <w:tcPr>
            <w:tcW w:w="1589" w:type="pct"/>
          </w:tcPr>
          <w:p w14:paraId="3C64A646" w14:textId="77777777" w:rsidR="00A508A2" w:rsidRPr="00DD0D1F" w:rsidRDefault="00A508A2" w:rsidP="00A508A2">
            <w:pPr>
              <w:pStyle w:val="TableParagraph"/>
              <w:ind w:left="75" w:right="142"/>
              <w:rPr>
                <w:szCs w:val="24"/>
              </w:rPr>
            </w:pPr>
          </w:p>
          <w:p w14:paraId="7C4B9D2D" w14:textId="77777777" w:rsidR="00A508A2" w:rsidRPr="00DD0D1F" w:rsidRDefault="00A508A2" w:rsidP="00A508A2">
            <w:pPr>
              <w:pStyle w:val="TableParagraph"/>
              <w:spacing w:before="5"/>
              <w:ind w:left="75" w:right="142"/>
              <w:rPr>
                <w:szCs w:val="24"/>
              </w:rPr>
            </w:pPr>
          </w:p>
          <w:p w14:paraId="7BD9BEB5" w14:textId="77777777" w:rsidR="00A508A2" w:rsidRPr="00DD0D1F" w:rsidRDefault="00A508A2" w:rsidP="00A508A2">
            <w:pPr>
              <w:pStyle w:val="TableParagraph"/>
              <w:tabs>
                <w:tab w:val="left" w:pos="2307"/>
              </w:tabs>
              <w:ind w:left="75" w:right="142"/>
              <w:jc w:val="both"/>
              <w:rPr>
                <w:szCs w:val="24"/>
              </w:rPr>
            </w:pPr>
            <w:r w:rsidRPr="00DD0D1F">
              <w:rPr>
                <w:szCs w:val="24"/>
              </w:rPr>
              <w:t>ii. Düşük kükürtlü hammadde kullanımı (ör. hammadde seçimi veya hammaddenin hydrotreatment işleminden geçirilmesiyle)</w:t>
            </w:r>
          </w:p>
        </w:tc>
        <w:tc>
          <w:tcPr>
            <w:tcW w:w="1706" w:type="pct"/>
          </w:tcPr>
          <w:p w14:paraId="6B760D3A" w14:textId="77777777" w:rsidR="00A508A2" w:rsidRPr="00DD0D1F" w:rsidRDefault="00A508A2" w:rsidP="00A508A2">
            <w:pPr>
              <w:pStyle w:val="TableParagraph"/>
              <w:ind w:left="75" w:right="142"/>
              <w:jc w:val="both"/>
              <w:rPr>
                <w:szCs w:val="24"/>
              </w:rPr>
            </w:pPr>
            <w:r w:rsidRPr="00DD0D1F">
              <w:rPr>
                <w:szCs w:val="24"/>
              </w:rPr>
              <w:t>Birimin işlemesi muhtemel kaynaklar arasında, hammadde seçiminde düşük kükürtlü hammaddelere öncelik verilir.</w:t>
            </w:r>
          </w:p>
          <w:p w14:paraId="2AE6646E" w14:textId="3FD93A9E" w:rsidR="00A508A2" w:rsidRPr="00DD0D1F" w:rsidRDefault="00A508A2" w:rsidP="00A508A2">
            <w:pPr>
              <w:pStyle w:val="TableParagraph"/>
              <w:ind w:left="75" w:right="142"/>
              <w:jc w:val="both"/>
              <w:rPr>
                <w:szCs w:val="24"/>
              </w:rPr>
            </w:pPr>
            <w:r w:rsidRPr="00DD0D1F">
              <w:rPr>
                <w:szCs w:val="24"/>
              </w:rPr>
              <w:t>Hydrotreatment işleminin amacı hamm</w:t>
            </w:r>
            <w:r w:rsidR="00EF43D0" w:rsidRPr="00DD0D1F">
              <w:rPr>
                <w:szCs w:val="24"/>
              </w:rPr>
              <w:t>addedeki kükürt, azot ve metal</w:t>
            </w:r>
            <w:r w:rsidR="001C5B37" w:rsidRPr="00DD0D1F">
              <w:rPr>
                <w:szCs w:val="24"/>
              </w:rPr>
              <w:t xml:space="preserve"> içeriğinin </w:t>
            </w:r>
            <w:r w:rsidRPr="00DD0D1F">
              <w:rPr>
                <w:szCs w:val="24"/>
              </w:rPr>
              <w:t>düşürülmesidir.</w:t>
            </w:r>
          </w:p>
          <w:p w14:paraId="5B9847A7" w14:textId="2D753795" w:rsidR="000873D9" w:rsidRPr="00DD0D1F" w:rsidRDefault="000873D9" w:rsidP="000873D9">
            <w:pPr>
              <w:pStyle w:val="TableParagraph"/>
              <w:ind w:left="108" w:right="96"/>
              <w:jc w:val="both"/>
              <w:rPr>
                <w:szCs w:val="24"/>
              </w:rPr>
            </w:pPr>
            <w:r w:rsidRPr="00DD0D1F">
              <w:rPr>
                <w:szCs w:val="24"/>
              </w:rPr>
              <w:t>Bölüm 1.20.3 bakınız.</w:t>
            </w:r>
          </w:p>
          <w:p w14:paraId="63A79B43" w14:textId="77777777" w:rsidR="00A508A2" w:rsidRPr="00DD0D1F" w:rsidRDefault="00A508A2" w:rsidP="00A508A2">
            <w:pPr>
              <w:pStyle w:val="TableParagraph"/>
              <w:spacing w:line="217" w:lineRule="exact"/>
              <w:ind w:left="75" w:right="142"/>
              <w:jc w:val="both"/>
              <w:rPr>
                <w:szCs w:val="24"/>
              </w:rPr>
            </w:pPr>
          </w:p>
        </w:tc>
        <w:tc>
          <w:tcPr>
            <w:tcW w:w="1705" w:type="pct"/>
          </w:tcPr>
          <w:p w14:paraId="2FFC483C" w14:textId="77777777" w:rsidR="00A508A2" w:rsidRPr="00DD0D1F" w:rsidRDefault="00A508A2" w:rsidP="00A508A2">
            <w:pPr>
              <w:pStyle w:val="TableParagraph"/>
              <w:spacing w:before="5"/>
              <w:ind w:left="75" w:right="140"/>
              <w:rPr>
                <w:szCs w:val="24"/>
              </w:rPr>
            </w:pPr>
          </w:p>
          <w:p w14:paraId="7C6BF90A" w14:textId="77777777" w:rsidR="00A508A2" w:rsidRPr="00DD0D1F" w:rsidRDefault="00A508A2" w:rsidP="00A508A2">
            <w:pPr>
              <w:pStyle w:val="TableParagraph"/>
              <w:ind w:left="75" w:right="140"/>
              <w:jc w:val="both"/>
              <w:rPr>
                <w:szCs w:val="24"/>
              </w:rPr>
            </w:pPr>
            <w:r w:rsidRPr="00DD0D1F">
              <w:rPr>
                <w:szCs w:val="24"/>
              </w:rPr>
              <w:t>Yeterli miktarda düşük kükürtlü hammadde arzını, hidrojen üretimini ve hidrojen sülfür (H</w:t>
            </w:r>
            <w:r w:rsidRPr="00DD0D1F">
              <w:rPr>
                <w:szCs w:val="24"/>
                <w:vertAlign w:val="subscript"/>
              </w:rPr>
              <w:t>2</w:t>
            </w:r>
            <w:r w:rsidRPr="00DD0D1F">
              <w:rPr>
                <w:szCs w:val="24"/>
              </w:rPr>
              <w:t>S) arıtma kapasitesini (ör. amin ve Claus birimleri) gerektirir.</w:t>
            </w:r>
          </w:p>
        </w:tc>
      </w:tr>
    </w:tbl>
    <w:p w14:paraId="43C434A0" w14:textId="77777777" w:rsidR="00A508A2" w:rsidRPr="00DD0D1F" w:rsidRDefault="00A508A2" w:rsidP="00A508A2">
      <w:pPr>
        <w:pStyle w:val="GvdeMetni"/>
        <w:rPr>
          <w:sz w:val="24"/>
          <w:szCs w:val="24"/>
        </w:rPr>
      </w:pPr>
    </w:p>
    <w:p w14:paraId="5923BFAE" w14:textId="77777777" w:rsidR="00A508A2" w:rsidRPr="00DD0D1F" w:rsidRDefault="00A508A2" w:rsidP="00FF111D">
      <w:pPr>
        <w:pStyle w:val="ListeParagraf"/>
        <w:widowControl w:val="0"/>
        <w:numPr>
          <w:ilvl w:val="1"/>
          <w:numId w:val="98"/>
        </w:numPr>
        <w:tabs>
          <w:tab w:val="left" w:pos="2308"/>
          <w:tab w:val="left" w:pos="2309"/>
        </w:tabs>
        <w:autoSpaceDE w:val="0"/>
        <w:autoSpaceDN w:val="0"/>
        <w:spacing w:line="240" w:lineRule="auto"/>
        <w:ind w:hanging="543"/>
        <w:contextualSpacing w:val="0"/>
        <w:jc w:val="left"/>
        <w:rPr>
          <w:rFonts w:cs="Times New Roman"/>
          <w:szCs w:val="24"/>
          <w:lang w:val="tr-TR"/>
        </w:rPr>
      </w:pPr>
      <w:r w:rsidRPr="00DD0D1F">
        <w:rPr>
          <w:rFonts w:cs="Times New Roman"/>
          <w:szCs w:val="24"/>
          <w:lang w:val="tr-TR"/>
        </w:rPr>
        <w:t>İkincil veya boru çıkışı teknikleri, örneğin:</w:t>
      </w:r>
    </w:p>
    <w:p w14:paraId="4B7D6315" w14:textId="77777777" w:rsidR="00A508A2" w:rsidRPr="00DD0D1F" w:rsidRDefault="00A508A2" w:rsidP="00A508A2">
      <w:pPr>
        <w:pStyle w:val="GvdeMetni"/>
        <w:spacing w:before="6" w:after="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2"/>
        <w:gridCol w:w="3257"/>
        <w:gridCol w:w="3258"/>
      </w:tblGrid>
      <w:tr w:rsidR="000873D9" w:rsidRPr="00DD0D1F" w14:paraId="1298875C" w14:textId="77777777" w:rsidTr="000873D9">
        <w:trPr>
          <w:trHeight w:val="285"/>
        </w:trPr>
        <w:tc>
          <w:tcPr>
            <w:tcW w:w="1344" w:type="pct"/>
          </w:tcPr>
          <w:p w14:paraId="244EF38C" w14:textId="77777777" w:rsidR="000873D9" w:rsidRPr="00DD0D1F" w:rsidRDefault="000873D9" w:rsidP="00A508A2">
            <w:pPr>
              <w:pStyle w:val="TableParagraph"/>
              <w:spacing w:before="26"/>
              <w:ind w:left="913" w:right="905"/>
              <w:jc w:val="center"/>
              <w:rPr>
                <w:b/>
                <w:szCs w:val="24"/>
              </w:rPr>
            </w:pPr>
            <w:r w:rsidRPr="00DD0D1F">
              <w:rPr>
                <w:b/>
                <w:bCs/>
                <w:szCs w:val="24"/>
              </w:rPr>
              <w:t>Teknik</w:t>
            </w:r>
          </w:p>
        </w:tc>
        <w:tc>
          <w:tcPr>
            <w:tcW w:w="1828" w:type="pct"/>
          </w:tcPr>
          <w:p w14:paraId="07600534" w14:textId="23812733" w:rsidR="000873D9" w:rsidRPr="00DD0D1F" w:rsidRDefault="000873D9" w:rsidP="00A508A2">
            <w:pPr>
              <w:pStyle w:val="TableParagraph"/>
              <w:spacing w:before="26"/>
              <w:ind w:left="930"/>
              <w:rPr>
                <w:b/>
                <w:bCs/>
                <w:szCs w:val="24"/>
              </w:rPr>
            </w:pPr>
            <w:r w:rsidRPr="00DD0D1F">
              <w:rPr>
                <w:b/>
                <w:bCs/>
                <w:szCs w:val="24"/>
              </w:rPr>
              <w:t>Açıklama</w:t>
            </w:r>
          </w:p>
        </w:tc>
        <w:tc>
          <w:tcPr>
            <w:tcW w:w="1828" w:type="pct"/>
          </w:tcPr>
          <w:p w14:paraId="03E21050" w14:textId="59E027B4" w:rsidR="000873D9" w:rsidRPr="00DD0D1F" w:rsidRDefault="000873D9" w:rsidP="00A508A2">
            <w:pPr>
              <w:pStyle w:val="TableParagraph"/>
              <w:spacing w:before="26"/>
              <w:ind w:left="930"/>
              <w:rPr>
                <w:b/>
                <w:szCs w:val="24"/>
              </w:rPr>
            </w:pPr>
            <w:r w:rsidRPr="00DD0D1F">
              <w:rPr>
                <w:b/>
                <w:bCs/>
                <w:szCs w:val="24"/>
              </w:rPr>
              <w:t>Uygulanabilirlik</w:t>
            </w:r>
          </w:p>
        </w:tc>
      </w:tr>
      <w:tr w:rsidR="000873D9" w:rsidRPr="00DD0D1F" w14:paraId="4BF95F67" w14:textId="77777777" w:rsidTr="000873D9">
        <w:trPr>
          <w:trHeight w:val="689"/>
        </w:trPr>
        <w:tc>
          <w:tcPr>
            <w:tcW w:w="1344" w:type="pct"/>
          </w:tcPr>
          <w:p w14:paraId="008D940A" w14:textId="77777777" w:rsidR="000873D9" w:rsidRPr="00DD0D1F" w:rsidRDefault="000873D9" w:rsidP="000873D9">
            <w:pPr>
              <w:pStyle w:val="TableParagraph"/>
              <w:tabs>
                <w:tab w:val="left" w:pos="221"/>
              </w:tabs>
              <w:spacing w:before="109"/>
              <w:ind w:left="587" w:right="95" w:hanging="466"/>
              <w:rPr>
                <w:szCs w:val="24"/>
              </w:rPr>
            </w:pPr>
            <w:r w:rsidRPr="00DD0D1F">
              <w:rPr>
                <w:szCs w:val="24"/>
              </w:rPr>
              <w:t>i.</w:t>
            </w:r>
            <w:r w:rsidRPr="00DD0D1F">
              <w:rPr>
                <w:szCs w:val="24"/>
              </w:rPr>
              <w:tab/>
              <w:t xml:space="preserve">   Elektrostatik çöktürücü </w:t>
            </w:r>
          </w:p>
          <w:p w14:paraId="5274FF46" w14:textId="77777777" w:rsidR="000873D9" w:rsidRPr="00DD0D1F" w:rsidRDefault="000873D9" w:rsidP="000873D9">
            <w:pPr>
              <w:pStyle w:val="TableParagraph"/>
              <w:tabs>
                <w:tab w:val="left" w:pos="221"/>
              </w:tabs>
              <w:ind w:left="587" w:right="95" w:hanging="466"/>
              <w:rPr>
                <w:szCs w:val="24"/>
              </w:rPr>
            </w:pPr>
            <w:r w:rsidRPr="00DD0D1F">
              <w:rPr>
                <w:szCs w:val="24"/>
              </w:rPr>
              <w:t xml:space="preserve">     (ESP)</w:t>
            </w:r>
          </w:p>
        </w:tc>
        <w:tc>
          <w:tcPr>
            <w:tcW w:w="1828" w:type="pct"/>
          </w:tcPr>
          <w:p w14:paraId="637E3007" w14:textId="4B3BB905" w:rsidR="000873D9" w:rsidRPr="00DD0D1F" w:rsidRDefault="000873D9" w:rsidP="000873D9">
            <w:pPr>
              <w:pStyle w:val="TableParagraph"/>
              <w:tabs>
                <w:tab w:val="left" w:pos="771"/>
                <w:tab w:val="left" w:pos="1791"/>
                <w:tab w:val="left" w:pos="2618"/>
              </w:tabs>
              <w:ind w:left="107" w:right="96"/>
              <w:rPr>
                <w:szCs w:val="24"/>
              </w:rPr>
            </w:pPr>
            <w:r w:rsidRPr="00DD0D1F">
              <w:rPr>
                <w:szCs w:val="24"/>
              </w:rPr>
              <w:t>Bölüm 1.20.1 bakınız.</w:t>
            </w:r>
          </w:p>
        </w:tc>
        <w:tc>
          <w:tcPr>
            <w:tcW w:w="1828" w:type="pct"/>
          </w:tcPr>
          <w:p w14:paraId="6D7210BF" w14:textId="09B44315" w:rsidR="000873D9" w:rsidRPr="00DD0D1F" w:rsidRDefault="000873D9" w:rsidP="000873D9">
            <w:pPr>
              <w:pStyle w:val="TableParagraph"/>
              <w:tabs>
                <w:tab w:val="left" w:pos="771"/>
                <w:tab w:val="left" w:pos="1791"/>
                <w:tab w:val="left" w:pos="2618"/>
              </w:tabs>
              <w:ind w:left="107" w:right="96"/>
              <w:rPr>
                <w:szCs w:val="24"/>
              </w:rPr>
            </w:pPr>
            <w:r w:rsidRPr="00DD0D1F">
              <w:rPr>
                <w:szCs w:val="24"/>
              </w:rPr>
              <w:t>Mevcut birimler bakımından uygulanabilirlik, yer varlığıyla sınırlı olabilir</w:t>
            </w:r>
          </w:p>
        </w:tc>
      </w:tr>
      <w:tr w:rsidR="000873D9" w:rsidRPr="00DD0D1F" w14:paraId="01358B61" w14:textId="77777777" w:rsidTr="000873D9">
        <w:trPr>
          <w:trHeight w:val="460"/>
        </w:trPr>
        <w:tc>
          <w:tcPr>
            <w:tcW w:w="1344" w:type="pct"/>
          </w:tcPr>
          <w:p w14:paraId="38CDE18A" w14:textId="77777777" w:rsidR="000873D9" w:rsidRPr="00DD0D1F" w:rsidRDefault="000873D9" w:rsidP="000873D9">
            <w:pPr>
              <w:pStyle w:val="TableParagraph"/>
              <w:tabs>
                <w:tab w:val="left" w:pos="587"/>
                <w:tab w:val="left" w:pos="2037"/>
              </w:tabs>
              <w:spacing w:line="224" w:lineRule="exact"/>
              <w:ind w:left="66"/>
              <w:rPr>
                <w:szCs w:val="24"/>
              </w:rPr>
            </w:pPr>
            <w:r w:rsidRPr="00DD0D1F">
              <w:rPr>
                <w:szCs w:val="24"/>
              </w:rPr>
              <w:t xml:space="preserve">ii. Çok kademeli siklon </w:t>
            </w:r>
          </w:p>
          <w:p w14:paraId="4D522CEB" w14:textId="77777777" w:rsidR="000873D9" w:rsidRPr="00DD0D1F" w:rsidRDefault="000873D9" w:rsidP="000873D9">
            <w:pPr>
              <w:pStyle w:val="TableParagraph"/>
              <w:tabs>
                <w:tab w:val="left" w:pos="587"/>
                <w:tab w:val="left" w:pos="2037"/>
              </w:tabs>
              <w:spacing w:line="224" w:lineRule="exact"/>
              <w:ind w:left="66"/>
              <w:rPr>
                <w:szCs w:val="24"/>
              </w:rPr>
            </w:pPr>
            <w:r w:rsidRPr="00DD0D1F">
              <w:rPr>
                <w:szCs w:val="24"/>
              </w:rPr>
              <w:t xml:space="preserve">     ayırıcılar</w:t>
            </w:r>
          </w:p>
          <w:p w14:paraId="64921FA4" w14:textId="77777777" w:rsidR="000873D9" w:rsidRPr="00DD0D1F" w:rsidRDefault="000873D9" w:rsidP="000873D9">
            <w:pPr>
              <w:pStyle w:val="TableParagraph"/>
              <w:spacing w:line="216" w:lineRule="exact"/>
              <w:ind w:left="587"/>
              <w:rPr>
                <w:szCs w:val="24"/>
              </w:rPr>
            </w:pPr>
          </w:p>
        </w:tc>
        <w:tc>
          <w:tcPr>
            <w:tcW w:w="1828" w:type="pct"/>
          </w:tcPr>
          <w:p w14:paraId="1A4AD72F" w14:textId="24937137" w:rsidR="000873D9" w:rsidRPr="00DD0D1F" w:rsidRDefault="000873D9" w:rsidP="000873D9">
            <w:pPr>
              <w:pStyle w:val="TableParagraph"/>
              <w:spacing w:before="108"/>
              <w:ind w:left="107"/>
              <w:rPr>
                <w:szCs w:val="24"/>
              </w:rPr>
            </w:pPr>
            <w:r w:rsidRPr="00DD0D1F">
              <w:rPr>
                <w:szCs w:val="24"/>
              </w:rPr>
              <w:t>Bölüm 1.20.1 bakınız.</w:t>
            </w:r>
          </w:p>
        </w:tc>
        <w:tc>
          <w:tcPr>
            <w:tcW w:w="1828" w:type="pct"/>
          </w:tcPr>
          <w:p w14:paraId="54D4C279" w14:textId="7B056D9B" w:rsidR="000873D9" w:rsidRPr="00DD0D1F" w:rsidRDefault="000873D9" w:rsidP="000873D9">
            <w:pPr>
              <w:pStyle w:val="TableParagraph"/>
              <w:spacing w:before="108"/>
              <w:ind w:left="107"/>
              <w:rPr>
                <w:szCs w:val="24"/>
              </w:rPr>
            </w:pPr>
            <w:r w:rsidRPr="00DD0D1F">
              <w:rPr>
                <w:szCs w:val="24"/>
              </w:rPr>
              <w:t>Genel olarak uygulanabilir</w:t>
            </w:r>
          </w:p>
        </w:tc>
      </w:tr>
      <w:tr w:rsidR="000873D9" w:rsidRPr="00DD0D1F" w14:paraId="558E6478" w14:textId="77777777" w:rsidTr="000873D9">
        <w:trPr>
          <w:trHeight w:val="460"/>
        </w:trPr>
        <w:tc>
          <w:tcPr>
            <w:tcW w:w="1344" w:type="pct"/>
          </w:tcPr>
          <w:p w14:paraId="2F30C68F" w14:textId="55CE8B0B" w:rsidR="000873D9" w:rsidRPr="00DD0D1F" w:rsidRDefault="000873D9" w:rsidP="009A6605">
            <w:pPr>
              <w:pStyle w:val="TableParagraph"/>
              <w:tabs>
                <w:tab w:val="left" w:pos="587"/>
                <w:tab w:val="left" w:pos="1254"/>
                <w:tab w:val="left" w:pos="1882"/>
              </w:tabs>
              <w:spacing w:line="223" w:lineRule="exact"/>
              <w:ind w:left="11"/>
              <w:rPr>
                <w:szCs w:val="24"/>
              </w:rPr>
            </w:pPr>
            <w:r w:rsidRPr="00DD0D1F">
              <w:rPr>
                <w:szCs w:val="24"/>
              </w:rPr>
              <w:t>iii. Üçüncü kademe geri tepme filtresi</w:t>
            </w:r>
          </w:p>
        </w:tc>
        <w:tc>
          <w:tcPr>
            <w:tcW w:w="1828" w:type="pct"/>
          </w:tcPr>
          <w:p w14:paraId="31F39A5F" w14:textId="6F31FA5B" w:rsidR="000873D9" w:rsidRPr="00DD0D1F" w:rsidRDefault="000873D9" w:rsidP="000873D9">
            <w:pPr>
              <w:pStyle w:val="TableParagraph"/>
              <w:spacing w:before="108"/>
              <w:ind w:left="107"/>
              <w:rPr>
                <w:szCs w:val="24"/>
              </w:rPr>
            </w:pPr>
            <w:r w:rsidRPr="00DD0D1F">
              <w:rPr>
                <w:szCs w:val="24"/>
              </w:rPr>
              <w:t>Bölüm 1.20.1 bakınız.</w:t>
            </w:r>
          </w:p>
        </w:tc>
        <w:tc>
          <w:tcPr>
            <w:tcW w:w="1828" w:type="pct"/>
          </w:tcPr>
          <w:p w14:paraId="7D3E2E97" w14:textId="442DF3ED" w:rsidR="000873D9" w:rsidRPr="00DD0D1F" w:rsidRDefault="000873D9" w:rsidP="000873D9">
            <w:pPr>
              <w:pStyle w:val="TableParagraph"/>
              <w:spacing w:before="108"/>
              <w:ind w:left="107"/>
              <w:rPr>
                <w:szCs w:val="24"/>
              </w:rPr>
            </w:pPr>
            <w:r w:rsidRPr="00DD0D1F">
              <w:rPr>
                <w:szCs w:val="24"/>
              </w:rPr>
              <w:t>Uygulanabilirliği sınırlı olabilir</w:t>
            </w:r>
          </w:p>
        </w:tc>
      </w:tr>
      <w:tr w:rsidR="000873D9" w:rsidRPr="00DD0D1F" w14:paraId="10F00C0A" w14:textId="77777777" w:rsidTr="000873D9">
        <w:trPr>
          <w:trHeight w:val="1609"/>
        </w:trPr>
        <w:tc>
          <w:tcPr>
            <w:tcW w:w="1344" w:type="pct"/>
          </w:tcPr>
          <w:p w14:paraId="52B1351F" w14:textId="77777777" w:rsidR="000873D9" w:rsidRPr="00DD0D1F" w:rsidRDefault="000873D9" w:rsidP="000873D9">
            <w:pPr>
              <w:pStyle w:val="TableParagraph"/>
              <w:rPr>
                <w:szCs w:val="24"/>
              </w:rPr>
            </w:pPr>
          </w:p>
          <w:p w14:paraId="734FC4D2" w14:textId="77777777" w:rsidR="000873D9" w:rsidRPr="00DD0D1F" w:rsidRDefault="000873D9" w:rsidP="000873D9">
            <w:pPr>
              <w:pStyle w:val="TableParagraph"/>
              <w:rPr>
                <w:szCs w:val="24"/>
              </w:rPr>
            </w:pPr>
          </w:p>
          <w:p w14:paraId="563E8EF8" w14:textId="77777777" w:rsidR="000873D9" w:rsidRPr="00DD0D1F" w:rsidRDefault="000873D9" w:rsidP="000873D9">
            <w:pPr>
              <w:pStyle w:val="TableParagraph"/>
              <w:rPr>
                <w:szCs w:val="24"/>
              </w:rPr>
            </w:pPr>
          </w:p>
          <w:p w14:paraId="38FFA27A" w14:textId="77777777" w:rsidR="000873D9" w:rsidRPr="00DD0D1F" w:rsidRDefault="000873D9" w:rsidP="000873D9">
            <w:pPr>
              <w:pStyle w:val="TableParagraph"/>
              <w:spacing w:before="4"/>
              <w:rPr>
                <w:szCs w:val="24"/>
              </w:rPr>
            </w:pPr>
          </w:p>
          <w:p w14:paraId="4208E8C1" w14:textId="77777777" w:rsidR="000873D9" w:rsidRPr="00DD0D1F" w:rsidRDefault="000873D9" w:rsidP="000873D9">
            <w:pPr>
              <w:pStyle w:val="TableParagraph"/>
              <w:tabs>
                <w:tab w:val="left" w:pos="587"/>
              </w:tabs>
              <w:ind w:left="21"/>
              <w:rPr>
                <w:szCs w:val="24"/>
              </w:rPr>
            </w:pPr>
            <w:r w:rsidRPr="00DD0D1F">
              <w:rPr>
                <w:szCs w:val="24"/>
              </w:rPr>
              <w:t>iv. Yaş yıkama</w:t>
            </w:r>
          </w:p>
        </w:tc>
        <w:tc>
          <w:tcPr>
            <w:tcW w:w="1828" w:type="pct"/>
          </w:tcPr>
          <w:p w14:paraId="712DEABA" w14:textId="1A52C2EC" w:rsidR="000873D9" w:rsidRPr="00DD0D1F" w:rsidRDefault="000873D9" w:rsidP="000873D9">
            <w:pPr>
              <w:pStyle w:val="TableParagraph"/>
              <w:ind w:left="107" w:right="95"/>
              <w:jc w:val="both"/>
              <w:rPr>
                <w:szCs w:val="24"/>
              </w:rPr>
            </w:pPr>
            <w:r w:rsidRPr="00DD0D1F">
              <w:rPr>
                <w:szCs w:val="24"/>
              </w:rPr>
              <w:t>Bölüm 1.20.3 bakınız.</w:t>
            </w:r>
          </w:p>
        </w:tc>
        <w:tc>
          <w:tcPr>
            <w:tcW w:w="1828" w:type="pct"/>
          </w:tcPr>
          <w:p w14:paraId="6AD6040F" w14:textId="69760F18" w:rsidR="000873D9" w:rsidRPr="00DD0D1F" w:rsidRDefault="000873D9" w:rsidP="000873D9">
            <w:pPr>
              <w:pStyle w:val="TableParagraph"/>
              <w:ind w:left="107" w:right="95"/>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2F66AC63" w14:textId="77777777" w:rsidR="000873D9" w:rsidRPr="00DD0D1F" w:rsidRDefault="000873D9" w:rsidP="000873D9">
            <w:pPr>
              <w:pStyle w:val="TableParagraph"/>
              <w:ind w:left="107"/>
              <w:jc w:val="both"/>
              <w:rPr>
                <w:szCs w:val="24"/>
              </w:rPr>
            </w:pPr>
            <w:r w:rsidRPr="00DD0D1F">
              <w:rPr>
                <w:szCs w:val="24"/>
              </w:rPr>
              <w:t>Mevcut birimler bakımından uygulanabilirlik, yer varlığıyla sınırlı olabilir</w:t>
            </w:r>
          </w:p>
        </w:tc>
      </w:tr>
    </w:tbl>
    <w:p w14:paraId="640A8657" w14:textId="77777777" w:rsidR="00A508A2" w:rsidRPr="00DD0D1F" w:rsidRDefault="00A508A2" w:rsidP="00A508A2">
      <w:pPr>
        <w:tabs>
          <w:tab w:val="left" w:pos="2308"/>
          <w:tab w:val="left" w:pos="2309"/>
        </w:tabs>
        <w:rPr>
          <w:rFonts w:cs="Times New Roman"/>
          <w:szCs w:val="24"/>
          <w:lang w:val="tr-TR"/>
        </w:rPr>
      </w:pPr>
    </w:p>
    <w:p w14:paraId="02D0A5FB" w14:textId="77777777" w:rsidR="00A508A2" w:rsidRPr="00DD0D1F" w:rsidRDefault="00A508A2" w:rsidP="00A508A2">
      <w:pPr>
        <w:pStyle w:val="ResimYazs"/>
        <w:jc w:val="left"/>
        <w:rPr>
          <w:rFonts w:cs="Times New Roman"/>
          <w:bCs/>
          <w:color w:val="auto"/>
          <w:szCs w:val="24"/>
          <w:lang w:val="tr-TR"/>
        </w:rPr>
      </w:pPr>
      <w:r w:rsidRPr="00DD0D1F">
        <w:rPr>
          <w:rFonts w:cs="Times New Roman"/>
          <w:bCs/>
          <w:color w:val="auto"/>
          <w:szCs w:val="24"/>
          <w:lang w:val="tr-TR"/>
        </w:rPr>
        <w:t>Akışkan katalitik parçalama prosesinde rejeneratörden havaya yayılan toz</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3647"/>
        <w:gridCol w:w="3460"/>
      </w:tblGrid>
      <w:tr w:rsidR="00A508A2" w:rsidRPr="00DD0D1F" w14:paraId="72A09E00" w14:textId="77777777" w:rsidTr="00A508A2">
        <w:trPr>
          <w:trHeight w:val="690"/>
        </w:trPr>
        <w:tc>
          <w:tcPr>
            <w:tcW w:w="1085" w:type="pct"/>
          </w:tcPr>
          <w:p w14:paraId="197C30A7" w14:textId="77777777" w:rsidR="00A508A2" w:rsidRPr="00DD0D1F" w:rsidRDefault="00A508A2" w:rsidP="00A508A2">
            <w:pPr>
              <w:pStyle w:val="TableParagraph"/>
              <w:spacing w:before="9"/>
              <w:rPr>
                <w:b/>
                <w:szCs w:val="24"/>
              </w:rPr>
            </w:pPr>
          </w:p>
          <w:p w14:paraId="4C633F6D" w14:textId="77777777" w:rsidR="00A508A2" w:rsidRPr="00DD0D1F" w:rsidRDefault="00A508A2" w:rsidP="00A508A2">
            <w:pPr>
              <w:pStyle w:val="TableParagraph"/>
              <w:ind w:left="307"/>
              <w:rPr>
                <w:b/>
                <w:szCs w:val="24"/>
              </w:rPr>
            </w:pPr>
            <w:r w:rsidRPr="00DD0D1F">
              <w:rPr>
                <w:b/>
                <w:bCs/>
                <w:szCs w:val="24"/>
              </w:rPr>
              <w:t>Parametre</w:t>
            </w:r>
          </w:p>
        </w:tc>
        <w:tc>
          <w:tcPr>
            <w:tcW w:w="2009" w:type="pct"/>
          </w:tcPr>
          <w:p w14:paraId="16851164" w14:textId="77777777" w:rsidR="00A508A2" w:rsidRPr="00DD0D1F" w:rsidRDefault="00A508A2" w:rsidP="00A508A2">
            <w:pPr>
              <w:pStyle w:val="TableParagraph"/>
              <w:spacing w:before="9"/>
              <w:rPr>
                <w:b/>
                <w:szCs w:val="24"/>
              </w:rPr>
            </w:pPr>
          </w:p>
          <w:p w14:paraId="09F8E62C" w14:textId="77777777" w:rsidR="00A508A2" w:rsidRPr="00DD0D1F" w:rsidRDefault="00A508A2" w:rsidP="00A508A2">
            <w:pPr>
              <w:pStyle w:val="TableParagraph"/>
              <w:ind w:left="521" w:right="316"/>
              <w:jc w:val="center"/>
              <w:rPr>
                <w:b/>
                <w:szCs w:val="24"/>
              </w:rPr>
            </w:pPr>
            <w:r w:rsidRPr="00DD0D1F">
              <w:rPr>
                <w:b/>
                <w:bCs/>
                <w:szCs w:val="24"/>
              </w:rPr>
              <w:t>Birimin türü</w:t>
            </w:r>
          </w:p>
        </w:tc>
        <w:tc>
          <w:tcPr>
            <w:tcW w:w="1906" w:type="pct"/>
          </w:tcPr>
          <w:p w14:paraId="2CA2EC58" w14:textId="456B327E" w:rsidR="00A508A2" w:rsidRPr="00DD0D1F" w:rsidRDefault="007D7613" w:rsidP="00A508A2">
            <w:pPr>
              <w:pStyle w:val="TableParagraph"/>
              <w:spacing w:line="229" w:lineRule="exact"/>
              <w:ind w:left="543" w:right="731"/>
              <w:jc w:val="center"/>
              <w:rPr>
                <w:b/>
                <w:szCs w:val="24"/>
              </w:rPr>
            </w:pPr>
            <w:r w:rsidRPr="00DD0D1F">
              <w:rPr>
                <w:b/>
                <w:bCs/>
                <w:szCs w:val="24"/>
              </w:rPr>
              <w:t>MET_İES</w:t>
            </w:r>
          </w:p>
          <w:p w14:paraId="0151B4F4" w14:textId="77777777" w:rsidR="00A508A2" w:rsidRPr="00DD0D1F" w:rsidRDefault="00A508A2" w:rsidP="00A508A2">
            <w:pPr>
              <w:pStyle w:val="TableParagraph"/>
              <w:spacing w:line="227" w:lineRule="exact"/>
              <w:ind w:left="594" w:right="731"/>
              <w:jc w:val="center"/>
              <w:rPr>
                <w:b/>
                <w:szCs w:val="24"/>
              </w:rPr>
            </w:pPr>
            <w:r w:rsidRPr="00DD0D1F">
              <w:rPr>
                <w:b/>
                <w:bCs/>
                <w:szCs w:val="24"/>
              </w:rPr>
              <w:t xml:space="preserve">(aylık ortalama) </w:t>
            </w:r>
            <w:r w:rsidRPr="00DD0D1F">
              <w:rPr>
                <w:bCs/>
                <w:szCs w:val="24"/>
              </w:rPr>
              <w:t>(</w:t>
            </w:r>
            <w:r w:rsidRPr="00DD0D1F">
              <w:rPr>
                <w:bCs/>
                <w:szCs w:val="24"/>
                <w:vertAlign w:val="superscript"/>
              </w:rPr>
              <w:t>1</w:t>
            </w:r>
            <w:r w:rsidRPr="00DD0D1F">
              <w:rPr>
                <w:bCs/>
                <w:szCs w:val="24"/>
              </w:rPr>
              <w:t>)</w:t>
            </w:r>
          </w:p>
          <w:p w14:paraId="3697A4F8" w14:textId="77777777" w:rsidR="00A508A2" w:rsidRPr="00DD0D1F" w:rsidRDefault="00A508A2" w:rsidP="00A508A2">
            <w:pPr>
              <w:pStyle w:val="TableParagraph"/>
              <w:spacing w:line="215" w:lineRule="exact"/>
              <w:ind w:left="537" w:right="731"/>
              <w:jc w:val="center"/>
              <w:rPr>
                <w:szCs w:val="24"/>
              </w:rPr>
            </w:pPr>
            <w:r w:rsidRPr="00DD0D1F">
              <w:rPr>
                <w:szCs w:val="24"/>
              </w:rPr>
              <w:t>mg/Nm</w:t>
            </w:r>
            <w:r w:rsidRPr="00DD0D1F">
              <w:rPr>
                <w:szCs w:val="24"/>
                <w:vertAlign w:val="superscript"/>
              </w:rPr>
              <w:t>3</w:t>
            </w:r>
          </w:p>
        </w:tc>
      </w:tr>
      <w:tr w:rsidR="00A508A2" w:rsidRPr="00DD0D1F" w14:paraId="417195BB" w14:textId="77777777" w:rsidTr="00A508A2">
        <w:trPr>
          <w:trHeight w:val="282"/>
        </w:trPr>
        <w:tc>
          <w:tcPr>
            <w:tcW w:w="1085" w:type="pct"/>
            <w:vMerge w:val="restart"/>
          </w:tcPr>
          <w:p w14:paraId="16DA5E7D" w14:textId="77777777" w:rsidR="00A508A2" w:rsidRPr="00DD0D1F" w:rsidRDefault="00A508A2" w:rsidP="00A508A2">
            <w:pPr>
              <w:pStyle w:val="TableParagraph"/>
              <w:spacing w:before="173"/>
              <w:ind w:left="307"/>
              <w:rPr>
                <w:b/>
                <w:szCs w:val="24"/>
              </w:rPr>
            </w:pPr>
            <w:r w:rsidRPr="00DD0D1F">
              <w:rPr>
                <w:b/>
                <w:bCs/>
                <w:szCs w:val="24"/>
              </w:rPr>
              <w:t>Toz</w:t>
            </w:r>
          </w:p>
        </w:tc>
        <w:tc>
          <w:tcPr>
            <w:tcW w:w="2009" w:type="pct"/>
          </w:tcPr>
          <w:p w14:paraId="526797E2" w14:textId="77777777" w:rsidR="00A508A2" w:rsidRPr="00DD0D1F" w:rsidRDefault="00A508A2" w:rsidP="00A508A2">
            <w:pPr>
              <w:pStyle w:val="TableParagraph"/>
              <w:spacing w:before="19"/>
              <w:ind w:left="523" w:right="316"/>
              <w:jc w:val="center"/>
              <w:rPr>
                <w:szCs w:val="24"/>
              </w:rPr>
            </w:pPr>
            <w:r w:rsidRPr="00DD0D1F">
              <w:rPr>
                <w:szCs w:val="24"/>
              </w:rPr>
              <w:t>Yeni birim</w:t>
            </w:r>
          </w:p>
        </w:tc>
        <w:tc>
          <w:tcPr>
            <w:tcW w:w="1906" w:type="pct"/>
          </w:tcPr>
          <w:p w14:paraId="6B3A94F6" w14:textId="77777777" w:rsidR="00A508A2" w:rsidRPr="00DD0D1F" w:rsidRDefault="00A508A2" w:rsidP="00A508A2">
            <w:pPr>
              <w:pStyle w:val="TableParagraph"/>
              <w:spacing w:before="19"/>
              <w:ind w:left="542" w:right="731"/>
              <w:jc w:val="center"/>
              <w:rPr>
                <w:szCs w:val="24"/>
              </w:rPr>
            </w:pPr>
            <w:r w:rsidRPr="00DD0D1F">
              <w:rPr>
                <w:szCs w:val="24"/>
              </w:rPr>
              <w:t>10 – 25</w:t>
            </w:r>
          </w:p>
        </w:tc>
      </w:tr>
      <w:tr w:rsidR="00A508A2" w:rsidRPr="00DD0D1F" w14:paraId="5D6258DE" w14:textId="77777777" w:rsidTr="00A508A2">
        <w:trPr>
          <w:trHeight w:val="285"/>
        </w:trPr>
        <w:tc>
          <w:tcPr>
            <w:tcW w:w="1085" w:type="pct"/>
            <w:vMerge/>
            <w:tcBorders>
              <w:top w:val="nil"/>
            </w:tcBorders>
          </w:tcPr>
          <w:p w14:paraId="3D8A0438" w14:textId="77777777" w:rsidR="00A508A2" w:rsidRPr="00DD0D1F" w:rsidRDefault="00A508A2" w:rsidP="00A508A2">
            <w:pPr>
              <w:rPr>
                <w:rFonts w:cs="Times New Roman"/>
                <w:szCs w:val="24"/>
                <w:lang w:val="tr-TR"/>
              </w:rPr>
            </w:pPr>
          </w:p>
        </w:tc>
        <w:tc>
          <w:tcPr>
            <w:tcW w:w="2009" w:type="pct"/>
          </w:tcPr>
          <w:p w14:paraId="72D0B7A6" w14:textId="77777777" w:rsidR="00A508A2" w:rsidRPr="00DD0D1F" w:rsidRDefault="00A508A2" w:rsidP="00A508A2">
            <w:pPr>
              <w:pStyle w:val="TableParagraph"/>
              <w:spacing w:before="22"/>
              <w:ind w:left="522" w:right="316"/>
              <w:jc w:val="center"/>
              <w:rPr>
                <w:szCs w:val="24"/>
              </w:rPr>
            </w:pPr>
            <w:r w:rsidRPr="00DD0D1F">
              <w:rPr>
                <w:szCs w:val="24"/>
              </w:rPr>
              <w:t>Mevcut birim</w:t>
            </w:r>
          </w:p>
        </w:tc>
        <w:tc>
          <w:tcPr>
            <w:tcW w:w="1906" w:type="pct"/>
          </w:tcPr>
          <w:p w14:paraId="4C225D4E" w14:textId="77777777" w:rsidR="00A508A2" w:rsidRPr="00DD0D1F" w:rsidRDefault="00A508A2" w:rsidP="00A508A2">
            <w:pPr>
              <w:pStyle w:val="TableParagraph"/>
              <w:spacing w:before="22"/>
              <w:ind w:left="544" w:right="731"/>
              <w:jc w:val="center"/>
              <w:rPr>
                <w:szCs w:val="24"/>
              </w:rPr>
            </w:pPr>
            <w:r w:rsidRPr="00DD0D1F">
              <w:rPr>
                <w:szCs w:val="24"/>
              </w:rPr>
              <w:t>10 – 50 (</w:t>
            </w:r>
            <w:r w:rsidRPr="00DD0D1F">
              <w:rPr>
                <w:szCs w:val="24"/>
                <w:vertAlign w:val="superscript"/>
              </w:rPr>
              <w:t>2</w:t>
            </w:r>
            <w:r w:rsidRPr="00DD0D1F">
              <w:rPr>
                <w:szCs w:val="24"/>
              </w:rPr>
              <w:t>)</w:t>
            </w:r>
          </w:p>
        </w:tc>
      </w:tr>
      <w:tr w:rsidR="00A508A2" w:rsidRPr="00DD0D1F" w14:paraId="1ED2D2E4" w14:textId="77777777" w:rsidTr="00A508A2">
        <w:trPr>
          <w:trHeight w:val="414"/>
        </w:trPr>
        <w:tc>
          <w:tcPr>
            <w:tcW w:w="5000" w:type="pct"/>
            <w:gridSpan w:val="3"/>
          </w:tcPr>
          <w:p w14:paraId="20F82D31" w14:textId="77777777" w:rsidR="00A508A2" w:rsidRPr="00DD0D1F" w:rsidRDefault="00A508A2" w:rsidP="00FF111D">
            <w:pPr>
              <w:pStyle w:val="TableParagraph"/>
              <w:numPr>
                <w:ilvl w:val="0"/>
                <w:numId w:val="97"/>
              </w:numPr>
              <w:tabs>
                <w:tab w:val="left" w:pos="337"/>
              </w:tabs>
              <w:spacing w:line="190" w:lineRule="exact"/>
              <w:rPr>
                <w:szCs w:val="24"/>
              </w:rPr>
            </w:pPr>
            <w:r w:rsidRPr="00DD0D1F">
              <w:rPr>
                <w:szCs w:val="24"/>
              </w:rPr>
              <w:t>CO kazanındaki ve gaz soğutucusundan kurum üflemesi hariçte tutulmuştur.</w:t>
            </w:r>
          </w:p>
          <w:p w14:paraId="6BEA83E5" w14:textId="073D2A1E" w:rsidR="00A508A2" w:rsidRPr="00DD0D1F" w:rsidRDefault="00A508A2" w:rsidP="00FF111D">
            <w:pPr>
              <w:pStyle w:val="TableParagraph"/>
              <w:numPr>
                <w:ilvl w:val="0"/>
                <w:numId w:val="97"/>
              </w:numPr>
              <w:tabs>
                <w:tab w:val="left" w:pos="337"/>
              </w:tabs>
              <w:spacing w:line="205" w:lineRule="exact"/>
              <w:rPr>
                <w:szCs w:val="24"/>
              </w:rPr>
            </w:pPr>
            <w:r w:rsidRPr="00DD0D1F">
              <w:rPr>
                <w:szCs w:val="24"/>
              </w:rPr>
              <w:t xml:space="preserve">Aralığın daha düşük olan </w:t>
            </w:r>
            <w:r w:rsidR="00A504E5" w:rsidRPr="00DD0D1F">
              <w:rPr>
                <w:szCs w:val="24"/>
              </w:rPr>
              <w:t>sınırı</w:t>
            </w:r>
            <w:r w:rsidRPr="00DD0D1F">
              <w:rPr>
                <w:szCs w:val="24"/>
              </w:rPr>
              <w:t>, 4 alanlı ESP ile elde edilebilir.</w:t>
            </w:r>
          </w:p>
        </w:tc>
      </w:tr>
    </w:tbl>
    <w:p w14:paraId="18F1417C" w14:textId="77777777" w:rsidR="00A508A2" w:rsidRPr="00DD0D1F" w:rsidRDefault="00A508A2" w:rsidP="00A508A2">
      <w:pPr>
        <w:pStyle w:val="GvdeMetni"/>
        <w:spacing w:before="4"/>
        <w:rPr>
          <w:b/>
          <w:sz w:val="24"/>
          <w:szCs w:val="24"/>
        </w:rPr>
      </w:pPr>
    </w:p>
    <w:p w14:paraId="4A8BC361" w14:textId="77777777" w:rsidR="00A508A2" w:rsidRPr="00DD0D1F" w:rsidRDefault="00A508A2" w:rsidP="00A508A2">
      <w:pPr>
        <w:pStyle w:val="GvdeMetni"/>
        <w:rPr>
          <w:sz w:val="24"/>
          <w:szCs w:val="24"/>
        </w:rPr>
      </w:pPr>
    </w:p>
    <w:p w14:paraId="6ED33953" w14:textId="77777777" w:rsidR="00A508A2" w:rsidRPr="00DD0D1F" w:rsidRDefault="00A508A2" w:rsidP="00A508A2">
      <w:pPr>
        <w:rPr>
          <w:rFonts w:cs="Times New Roman"/>
          <w:b/>
          <w:bCs/>
          <w:szCs w:val="24"/>
          <w:lang w:val="tr-TR"/>
        </w:rPr>
      </w:pPr>
      <w:bookmarkStart w:id="220" w:name="_bookmark887"/>
      <w:bookmarkEnd w:id="220"/>
      <w:r w:rsidRPr="00DD0D1F">
        <w:rPr>
          <w:rFonts w:cs="Times New Roman"/>
          <w:b/>
          <w:bCs/>
          <w:szCs w:val="24"/>
          <w:lang w:val="tr-TR"/>
        </w:rPr>
        <w:t xml:space="preserve">MET 26: </w:t>
      </w:r>
      <w:r w:rsidRPr="00DD0D1F">
        <w:rPr>
          <w:rFonts w:cs="Times New Roman"/>
          <w:bCs/>
          <w:szCs w:val="24"/>
          <w:lang w:val="tr-TR"/>
        </w:rPr>
        <w:t>Akışkan katalitik parçalama prosesinden (rejeneratör) havaya yayılan SO</w:t>
      </w:r>
      <w:r w:rsidRPr="00DD0D1F">
        <w:rPr>
          <w:rFonts w:cs="Times New Roman"/>
          <w:bCs/>
          <w:szCs w:val="24"/>
          <w:vertAlign w:val="subscript"/>
          <w:lang w:val="tr-TR"/>
        </w:rPr>
        <w:t xml:space="preserve">X </w:t>
      </w:r>
      <w:r w:rsidRPr="00DD0D1F">
        <w:rPr>
          <w:rFonts w:cs="Times New Roman"/>
          <w:bCs/>
          <w:szCs w:val="24"/>
          <w:lang w:val="tr-TR"/>
        </w:rPr>
        <w:t>emisyonlarının önlenmesi veya azaltılması için aşağıdaki tekniklerden biri veya daha fazlasının kombinasyonu kullanılır.</w:t>
      </w:r>
    </w:p>
    <w:p w14:paraId="384B243B" w14:textId="77777777" w:rsidR="00A508A2" w:rsidRPr="00DD0D1F" w:rsidRDefault="00A508A2" w:rsidP="00A508A2">
      <w:pPr>
        <w:pStyle w:val="GvdeMetni"/>
        <w:spacing w:before="2"/>
        <w:rPr>
          <w:b/>
          <w:sz w:val="24"/>
          <w:szCs w:val="24"/>
        </w:rPr>
      </w:pPr>
    </w:p>
    <w:p w14:paraId="35B9C7AC" w14:textId="77777777" w:rsidR="00A508A2" w:rsidRPr="00DD0D1F" w:rsidRDefault="00A508A2" w:rsidP="00FF111D">
      <w:pPr>
        <w:pStyle w:val="ListeParagraf"/>
        <w:widowControl w:val="0"/>
        <w:numPr>
          <w:ilvl w:val="0"/>
          <w:numId w:val="96"/>
        </w:numPr>
        <w:tabs>
          <w:tab w:val="left" w:pos="1173"/>
          <w:tab w:val="left" w:pos="1174"/>
        </w:tabs>
        <w:autoSpaceDE w:val="0"/>
        <w:autoSpaceDN w:val="0"/>
        <w:spacing w:before="1" w:line="240" w:lineRule="auto"/>
        <w:ind w:hanging="479"/>
        <w:contextualSpacing w:val="0"/>
        <w:jc w:val="left"/>
        <w:rPr>
          <w:rFonts w:cs="Times New Roman"/>
          <w:szCs w:val="24"/>
          <w:lang w:val="tr-TR"/>
        </w:rPr>
      </w:pPr>
      <w:r w:rsidRPr="00DD0D1F">
        <w:rPr>
          <w:rFonts w:cs="Times New Roman"/>
          <w:szCs w:val="24"/>
          <w:lang w:val="tr-TR"/>
        </w:rPr>
        <w:t>Aşağıda örnekleri verilen birincil veya prosesle ilgili teknikler:</w:t>
      </w:r>
    </w:p>
    <w:p w14:paraId="332DDBF7" w14:textId="77777777" w:rsidR="00A508A2" w:rsidRPr="00DD0D1F" w:rsidRDefault="00A508A2" w:rsidP="00A508A2">
      <w:pPr>
        <w:pStyle w:val="GvdeMetni"/>
        <w:spacing w:before="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6"/>
        <w:gridCol w:w="3377"/>
        <w:gridCol w:w="2814"/>
      </w:tblGrid>
      <w:tr w:rsidR="00A508A2" w:rsidRPr="00DD0D1F" w14:paraId="6F936747" w14:textId="77777777" w:rsidTr="00A508A2">
        <w:trPr>
          <w:trHeight w:val="285"/>
        </w:trPr>
        <w:tc>
          <w:tcPr>
            <w:tcW w:w="1590" w:type="pct"/>
          </w:tcPr>
          <w:p w14:paraId="015C5B57" w14:textId="77777777" w:rsidR="00A508A2" w:rsidRPr="00DD0D1F" w:rsidRDefault="00A508A2" w:rsidP="00A508A2">
            <w:pPr>
              <w:pStyle w:val="TableParagraph"/>
              <w:spacing w:before="26"/>
              <w:ind w:left="902"/>
              <w:rPr>
                <w:b/>
                <w:szCs w:val="24"/>
              </w:rPr>
            </w:pPr>
            <w:r w:rsidRPr="00DD0D1F">
              <w:rPr>
                <w:b/>
                <w:bCs/>
                <w:szCs w:val="24"/>
              </w:rPr>
              <w:t>Teknik</w:t>
            </w:r>
          </w:p>
        </w:tc>
        <w:tc>
          <w:tcPr>
            <w:tcW w:w="1860" w:type="pct"/>
          </w:tcPr>
          <w:p w14:paraId="4F28CC75" w14:textId="77777777" w:rsidR="00A508A2" w:rsidRPr="00DD0D1F" w:rsidRDefault="00A508A2" w:rsidP="00A508A2">
            <w:pPr>
              <w:pStyle w:val="TableParagraph"/>
              <w:spacing w:before="26"/>
              <w:ind w:left="1068" w:right="1056"/>
              <w:jc w:val="center"/>
              <w:rPr>
                <w:b/>
                <w:szCs w:val="24"/>
              </w:rPr>
            </w:pPr>
            <w:r w:rsidRPr="00DD0D1F">
              <w:rPr>
                <w:b/>
                <w:bCs/>
                <w:szCs w:val="24"/>
              </w:rPr>
              <w:t>Açıklama</w:t>
            </w:r>
          </w:p>
        </w:tc>
        <w:tc>
          <w:tcPr>
            <w:tcW w:w="1550" w:type="pct"/>
          </w:tcPr>
          <w:p w14:paraId="6B3872A7" w14:textId="77777777" w:rsidR="00A508A2" w:rsidRPr="00DD0D1F" w:rsidRDefault="00A508A2" w:rsidP="00A508A2">
            <w:pPr>
              <w:pStyle w:val="TableParagraph"/>
              <w:spacing w:before="26"/>
              <w:ind w:left="763"/>
              <w:rPr>
                <w:b/>
                <w:szCs w:val="24"/>
              </w:rPr>
            </w:pPr>
            <w:r w:rsidRPr="00DD0D1F">
              <w:rPr>
                <w:b/>
                <w:bCs/>
                <w:szCs w:val="24"/>
              </w:rPr>
              <w:t>Uygulanabilirlik</w:t>
            </w:r>
          </w:p>
        </w:tc>
      </w:tr>
      <w:tr w:rsidR="00A508A2" w:rsidRPr="00DD0D1F" w14:paraId="5A85BFE7" w14:textId="77777777" w:rsidTr="00A508A2">
        <w:trPr>
          <w:trHeight w:val="1380"/>
        </w:trPr>
        <w:tc>
          <w:tcPr>
            <w:tcW w:w="1590" w:type="pct"/>
          </w:tcPr>
          <w:p w14:paraId="04EDFD51" w14:textId="77777777" w:rsidR="00A508A2" w:rsidRPr="00DD0D1F" w:rsidRDefault="00A508A2" w:rsidP="00A508A2">
            <w:pPr>
              <w:pStyle w:val="TableParagraph"/>
              <w:rPr>
                <w:szCs w:val="24"/>
              </w:rPr>
            </w:pPr>
          </w:p>
          <w:p w14:paraId="391BBCE8" w14:textId="77777777" w:rsidR="00A508A2" w:rsidRPr="00DD0D1F" w:rsidRDefault="00A508A2" w:rsidP="00A508A2">
            <w:pPr>
              <w:pStyle w:val="TableParagraph"/>
              <w:spacing w:before="5"/>
              <w:rPr>
                <w:szCs w:val="24"/>
              </w:rPr>
            </w:pPr>
          </w:p>
          <w:p w14:paraId="782AD7C2" w14:textId="77777777" w:rsidR="00A508A2" w:rsidRPr="00DD0D1F" w:rsidRDefault="00A508A2" w:rsidP="00A508A2">
            <w:pPr>
              <w:pStyle w:val="TableParagraph"/>
              <w:tabs>
                <w:tab w:val="left" w:pos="588"/>
              </w:tabs>
              <w:ind w:left="588" w:right="101" w:hanging="467"/>
              <w:rPr>
                <w:szCs w:val="24"/>
              </w:rPr>
            </w:pPr>
            <w:r w:rsidRPr="00DD0D1F">
              <w:rPr>
                <w:szCs w:val="24"/>
              </w:rPr>
              <w:t>i.</w:t>
            </w:r>
            <w:r w:rsidRPr="00DD0D1F">
              <w:rPr>
                <w:szCs w:val="24"/>
              </w:rPr>
              <w:tab/>
              <w:t>Katalizör katkı maddelerini indirgeyen SO</w:t>
            </w:r>
            <w:r w:rsidRPr="00DD0D1F">
              <w:rPr>
                <w:szCs w:val="24"/>
                <w:vertAlign w:val="subscript"/>
              </w:rPr>
              <w:t>X</w:t>
            </w:r>
            <w:r w:rsidRPr="00DD0D1F">
              <w:rPr>
                <w:b/>
                <w:bCs/>
                <w:szCs w:val="24"/>
                <w:vertAlign w:val="subscript"/>
              </w:rPr>
              <w:t xml:space="preserve"> </w:t>
            </w:r>
            <w:r w:rsidRPr="00DD0D1F">
              <w:rPr>
                <w:szCs w:val="24"/>
              </w:rPr>
              <w:t>kullanımı</w:t>
            </w:r>
          </w:p>
        </w:tc>
        <w:tc>
          <w:tcPr>
            <w:tcW w:w="1860" w:type="pct"/>
          </w:tcPr>
          <w:p w14:paraId="1EA4389F" w14:textId="77777777" w:rsidR="00A508A2" w:rsidRPr="00DD0D1F" w:rsidRDefault="00A508A2" w:rsidP="00A508A2">
            <w:pPr>
              <w:pStyle w:val="TableParagraph"/>
              <w:spacing w:before="5"/>
              <w:rPr>
                <w:szCs w:val="24"/>
              </w:rPr>
            </w:pPr>
          </w:p>
          <w:p w14:paraId="20764618" w14:textId="77777777" w:rsidR="00A508A2" w:rsidRPr="00DD0D1F" w:rsidRDefault="00A508A2" w:rsidP="00A508A2">
            <w:pPr>
              <w:pStyle w:val="TableParagraph"/>
              <w:ind w:left="110" w:right="89"/>
              <w:rPr>
                <w:szCs w:val="24"/>
              </w:rPr>
            </w:pPr>
            <w:r w:rsidRPr="00DD0D1F">
              <w:rPr>
                <w:szCs w:val="24"/>
              </w:rPr>
              <w:t xml:space="preserve">Rejeneratörden gelen kok ile ilişkili olan kükürdü reaktöre geri gönderen maddenin kullanılması. </w:t>
            </w:r>
          </w:p>
          <w:p w14:paraId="64C456F8" w14:textId="77777777" w:rsidR="000873D9" w:rsidRPr="00DD0D1F" w:rsidRDefault="000873D9" w:rsidP="00A508A2">
            <w:pPr>
              <w:pStyle w:val="TableParagraph"/>
              <w:ind w:left="110" w:right="89"/>
              <w:rPr>
                <w:szCs w:val="24"/>
              </w:rPr>
            </w:pPr>
          </w:p>
          <w:p w14:paraId="5B496719" w14:textId="37D5FF54" w:rsidR="000873D9" w:rsidRPr="00DD0D1F" w:rsidRDefault="000873D9" w:rsidP="000873D9">
            <w:pPr>
              <w:pStyle w:val="TableParagraph"/>
              <w:ind w:left="108" w:right="96"/>
              <w:jc w:val="both"/>
              <w:rPr>
                <w:szCs w:val="24"/>
              </w:rPr>
            </w:pPr>
            <w:r w:rsidRPr="00DD0D1F">
              <w:rPr>
                <w:szCs w:val="24"/>
              </w:rPr>
              <w:t>Bölüm 1.20.3 bakınız.</w:t>
            </w:r>
          </w:p>
          <w:p w14:paraId="1D1CEB14" w14:textId="746BC07C" w:rsidR="000873D9" w:rsidRPr="00DD0D1F" w:rsidRDefault="000873D9" w:rsidP="00A508A2">
            <w:pPr>
              <w:pStyle w:val="TableParagraph"/>
              <w:ind w:left="110" w:right="89"/>
              <w:rPr>
                <w:szCs w:val="24"/>
              </w:rPr>
            </w:pPr>
          </w:p>
        </w:tc>
        <w:tc>
          <w:tcPr>
            <w:tcW w:w="1550" w:type="pct"/>
          </w:tcPr>
          <w:p w14:paraId="79732465" w14:textId="77777777" w:rsidR="00A508A2" w:rsidRPr="00DD0D1F" w:rsidRDefault="00A508A2" w:rsidP="00A508A2">
            <w:pPr>
              <w:pStyle w:val="TableParagraph"/>
              <w:ind w:left="108" w:right="98"/>
              <w:jc w:val="both"/>
              <w:rPr>
                <w:szCs w:val="24"/>
              </w:rPr>
            </w:pPr>
            <w:r w:rsidRPr="00DD0D1F">
              <w:rPr>
                <w:szCs w:val="24"/>
              </w:rPr>
              <w:t>Rejeneratör koşulları tasarımı uygulanabilirliği sınırlayabilmektedir.</w:t>
            </w:r>
          </w:p>
          <w:p w14:paraId="5148377E" w14:textId="77777777" w:rsidR="00A508A2" w:rsidRPr="00DD0D1F" w:rsidRDefault="00A508A2" w:rsidP="00A508A2">
            <w:pPr>
              <w:pStyle w:val="TableParagraph"/>
              <w:tabs>
                <w:tab w:val="left" w:pos="1617"/>
              </w:tabs>
              <w:ind w:left="108" w:right="95"/>
              <w:jc w:val="both"/>
              <w:rPr>
                <w:szCs w:val="24"/>
              </w:rPr>
            </w:pPr>
            <w:r w:rsidRPr="00DD0D1F">
              <w:rPr>
                <w:szCs w:val="24"/>
              </w:rPr>
              <w:t>Uygun hidrojen sülfür azaltımı kapasitesini gerektirmektedir (ör. SRU).</w:t>
            </w:r>
          </w:p>
        </w:tc>
      </w:tr>
      <w:tr w:rsidR="00A508A2" w:rsidRPr="00DD0D1F" w14:paraId="595A5DC0" w14:textId="77777777" w:rsidTr="00A508A2">
        <w:trPr>
          <w:trHeight w:val="1840"/>
        </w:trPr>
        <w:tc>
          <w:tcPr>
            <w:tcW w:w="1590" w:type="pct"/>
          </w:tcPr>
          <w:p w14:paraId="581FE6AB" w14:textId="77777777" w:rsidR="00A508A2" w:rsidRPr="00DD0D1F" w:rsidRDefault="00A508A2" w:rsidP="00A508A2">
            <w:pPr>
              <w:pStyle w:val="TableParagraph"/>
              <w:spacing w:before="5"/>
              <w:ind w:right="31"/>
              <w:rPr>
                <w:szCs w:val="24"/>
              </w:rPr>
            </w:pPr>
          </w:p>
          <w:p w14:paraId="5AE12196" w14:textId="77777777" w:rsidR="00A508A2" w:rsidRPr="00DD0D1F" w:rsidRDefault="00A508A2" w:rsidP="00A508A2">
            <w:pPr>
              <w:pStyle w:val="TableParagraph"/>
              <w:ind w:left="588" w:right="31" w:hanging="522"/>
              <w:rPr>
                <w:szCs w:val="24"/>
              </w:rPr>
            </w:pPr>
            <w:r w:rsidRPr="00DD0D1F">
              <w:rPr>
                <w:szCs w:val="24"/>
              </w:rPr>
              <w:t>ii. Düşük kükürtlü hammadde kullanımı (ör. hammadde seçimi veya hammaddenin hydrotreatment işleminden geçirilmesiyle)</w:t>
            </w:r>
          </w:p>
        </w:tc>
        <w:tc>
          <w:tcPr>
            <w:tcW w:w="1860" w:type="pct"/>
          </w:tcPr>
          <w:p w14:paraId="09D24DD0" w14:textId="77777777" w:rsidR="00A508A2" w:rsidRPr="00DD0D1F" w:rsidRDefault="00A508A2" w:rsidP="00A508A2">
            <w:pPr>
              <w:pStyle w:val="TableParagraph"/>
              <w:ind w:left="110" w:right="31"/>
              <w:jc w:val="both"/>
              <w:rPr>
                <w:szCs w:val="24"/>
              </w:rPr>
            </w:pPr>
            <w:r w:rsidRPr="00DD0D1F">
              <w:rPr>
                <w:szCs w:val="24"/>
              </w:rPr>
              <w:t>Birimin işlemesi muhtemel kaynaklar arasında, hammadde seçiminde düşük kükürtlü hammaddelere öncelik verilir.</w:t>
            </w:r>
          </w:p>
          <w:p w14:paraId="63FFE1A1" w14:textId="0BAA9A11" w:rsidR="00A508A2" w:rsidRPr="00DD0D1F" w:rsidRDefault="00A508A2" w:rsidP="00A508A2">
            <w:pPr>
              <w:pStyle w:val="TableParagraph"/>
              <w:ind w:left="110" w:right="31"/>
              <w:jc w:val="both"/>
              <w:rPr>
                <w:szCs w:val="24"/>
              </w:rPr>
            </w:pPr>
            <w:r w:rsidRPr="00DD0D1F">
              <w:rPr>
                <w:szCs w:val="24"/>
              </w:rPr>
              <w:t xml:space="preserve">Hydrotreatment işleminin amacı hammaddedeki kükürt, azot ve metal </w:t>
            </w:r>
            <w:r w:rsidR="001C5B37" w:rsidRPr="00DD0D1F">
              <w:rPr>
                <w:szCs w:val="24"/>
              </w:rPr>
              <w:t xml:space="preserve">içeriğinin  </w:t>
            </w:r>
            <w:r w:rsidRPr="00DD0D1F">
              <w:rPr>
                <w:szCs w:val="24"/>
              </w:rPr>
              <w:t>düşürülmesidir.</w:t>
            </w:r>
          </w:p>
          <w:p w14:paraId="722D24DC" w14:textId="77777777" w:rsidR="000873D9" w:rsidRPr="00DD0D1F" w:rsidRDefault="000873D9" w:rsidP="00A508A2">
            <w:pPr>
              <w:pStyle w:val="TableParagraph"/>
              <w:ind w:left="110" w:right="31"/>
              <w:jc w:val="both"/>
              <w:rPr>
                <w:szCs w:val="24"/>
              </w:rPr>
            </w:pPr>
          </w:p>
          <w:p w14:paraId="6A7FB8C0" w14:textId="0AF2CB04" w:rsidR="00A508A2" w:rsidRPr="00DD0D1F" w:rsidRDefault="000873D9" w:rsidP="000873D9">
            <w:pPr>
              <w:pStyle w:val="TableParagraph"/>
              <w:ind w:left="108" w:right="96"/>
              <w:jc w:val="both"/>
              <w:rPr>
                <w:szCs w:val="24"/>
              </w:rPr>
            </w:pPr>
            <w:r w:rsidRPr="00DD0D1F">
              <w:rPr>
                <w:szCs w:val="24"/>
              </w:rPr>
              <w:t>Bölüm 1.20.3 bakınız.</w:t>
            </w:r>
          </w:p>
        </w:tc>
        <w:tc>
          <w:tcPr>
            <w:tcW w:w="1550" w:type="pct"/>
          </w:tcPr>
          <w:p w14:paraId="40DF80BB" w14:textId="77777777" w:rsidR="00A508A2" w:rsidRPr="00DD0D1F" w:rsidRDefault="00A508A2" w:rsidP="00A508A2">
            <w:pPr>
              <w:pStyle w:val="TableParagraph"/>
              <w:tabs>
                <w:tab w:val="left" w:pos="1772"/>
              </w:tabs>
              <w:spacing w:before="108"/>
              <w:ind w:left="108" w:right="99"/>
              <w:jc w:val="both"/>
              <w:rPr>
                <w:szCs w:val="24"/>
              </w:rPr>
            </w:pPr>
            <w:r w:rsidRPr="00DD0D1F">
              <w:rPr>
                <w:szCs w:val="24"/>
              </w:rPr>
              <w:t>Yeterli miktarda düşük kükürtlü hammadde arzını, hidrojen üretimini ve hidrojen sülfür (H</w:t>
            </w:r>
            <w:r w:rsidRPr="00DD0D1F">
              <w:rPr>
                <w:szCs w:val="24"/>
                <w:vertAlign w:val="subscript"/>
              </w:rPr>
              <w:t>2</w:t>
            </w:r>
            <w:r w:rsidRPr="00DD0D1F">
              <w:rPr>
                <w:szCs w:val="24"/>
              </w:rPr>
              <w:t>S) arıtma kapasitesini (ör. amin ve Claus birimleri) gerektirir.</w:t>
            </w:r>
          </w:p>
        </w:tc>
      </w:tr>
    </w:tbl>
    <w:p w14:paraId="7ACB6417" w14:textId="77777777" w:rsidR="00A508A2" w:rsidRPr="00DD0D1F" w:rsidRDefault="00A508A2" w:rsidP="00FF111D">
      <w:pPr>
        <w:pStyle w:val="ListeParagraf"/>
        <w:widowControl w:val="0"/>
        <w:numPr>
          <w:ilvl w:val="0"/>
          <w:numId w:val="96"/>
        </w:numPr>
        <w:tabs>
          <w:tab w:val="left" w:pos="1173"/>
          <w:tab w:val="left" w:pos="1174"/>
        </w:tabs>
        <w:autoSpaceDE w:val="0"/>
        <w:autoSpaceDN w:val="0"/>
        <w:spacing w:before="176" w:line="240" w:lineRule="auto"/>
        <w:ind w:hanging="544"/>
        <w:contextualSpacing w:val="0"/>
        <w:jc w:val="left"/>
        <w:rPr>
          <w:rFonts w:cs="Times New Roman"/>
          <w:szCs w:val="24"/>
          <w:lang w:val="tr-TR"/>
        </w:rPr>
      </w:pPr>
      <w:r w:rsidRPr="00DD0D1F">
        <w:rPr>
          <w:rFonts w:cs="Times New Roman"/>
          <w:szCs w:val="24"/>
          <w:lang w:val="tr-TR"/>
        </w:rPr>
        <w:t>İkincil veya boru çıkışı teknikleri, örneğin:</w:t>
      </w:r>
    </w:p>
    <w:p w14:paraId="67CBC249" w14:textId="77777777" w:rsidR="00A508A2" w:rsidRPr="00DD0D1F" w:rsidRDefault="00A508A2" w:rsidP="00A508A2">
      <w:pPr>
        <w:pStyle w:val="GvdeMetni"/>
        <w:spacing w:before="8"/>
        <w:rPr>
          <w:sz w:val="24"/>
          <w:szCs w:val="24"/>
        </w:rPr>
      </w:pPr>
    </w:p>
    <w:tbl>
      <w:tblPr>
        <w:tblStyle w:val="TableNormal"/>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3420"/>
        <w:gridCol w:w="2790"/>
      </w:tblGrid>
      <w:tr w:rsidR="00A508A2" w:rsidRPr="00DD0D1F" w14:paraId="68BD9ED1" w14:textId="77777777" w:rsidTr="00A508A2">
        <w:trPr>
          <w:trHeight w:val="282"/>
        </w:trPr>
        <w:tc>
          <w:tcPr>
            <w:tcW w:w="2880" w:type="dxa"/>
          </w:tcPr>
          <w:p w14:paraId="0EE95525" w14:textId="77777777" w:rsidR="00A508A2" w:rsidRPr="00DD0D1F" w:rsidRDefault="00A508A2" w:rsidP="00A508A2">
            <w:pPr>
              <w:pStyle w:val="TableParagraph"/>
              <w:spacing w:before="24"/>
              <w:ind w:left="864"/>
              <w:rPr>
                <w:b/>
                <w:szCs w:val="24"/>
              </w:rPr>
            </w:pPr>
            <w:r w:rsidRPr="00DD0D1F">
              <w:rPr>
                <w:b/>
                <w:bCs/>
                <w:szCs w:val="24"/>
              </w:rPr>
              <w:t>Teknikler</w:t>
            </w:r>
          </w:p>
        </w:tc>
        <w:tc>
          <w:tcPr>
            <w:tcW w:w="3420" w:type="dxa"/>
          </w:tcPr>
          <w:p w14:paraId="28743220" w14:textId="77777777" w:rsidR="00A508A2" w:rsidRPr="00DD0D1F" w:rsidRDefault="00A508A2" w:rsidP="00A508A2">
            <w:pPr>
              <w:pStyle w:val="TableParagraph"/>
              <w:spacing w:before="24"/>
              <w:ind w:left="955"/>
              <w:rPr>
                <w:b/>
                <w:szCs w:val="24"/>
              </w:rPr>
            </w:pPr>
            <w:r w:rsidRPr="00DD0D1F">
              <w:rPr>
                <w:b/>
                <w:bCs/>
                <w:szCs w:val="24"/>
              </w:rPr>
              <w:t>Açıklama</w:t>
            </w:r>
          </w:p>
        </w:tc>
        <w:tc>
          <w:tcPr>
            <w:tcW w:w="2790" w:type="dxa"/>
          </w:tcPr>
          <w:p w14:paraId="0CB3CC9F" w14:textId="77777777" w:rsidR="00A508A2" w:rsidRPr="00DD0D1F" w:rsidRDefault="00A508A2" w:rsidP="00A508A2">
            <w:pPr>
              <w:pStyle w:val="TableParagraph"/>
              <w:spacing w:before="24"/>
              <w:ind w:left="893"/>
              <w:rPr>
                <w:b/>
                <w:szCs w:val="24"/>
              </w:rPr>
            </w:pPr>
            <w:r w:rsidRPr="00DD0D1F">
              <w:rPr>
                <w:b/>
                <w:bCs/>
                <w:szCs w:val="24"/>
              </w:rPr>
              <w:t>Uygulanabilirlik</w:t>
            </w:r>
          </w:p>
        </w:tc>
      </w:tr>
      <w:tr w:rsidR="00A508A2" w:rsidRPr="00DD0D1F" w14:paraId="3C7FA01A" w14:textId="77777777" w:rsidTr="00A508A2">
        <w:trPr>
          <w:trHeight w:val="2301"/>
        </w:trPr>
        <w:tc>
          <w:tcPr>
            <w:tcW w:w="2880" w:type="dxa"/>
          </w:tcPr>
          <w:p w14:paraId="4D829476" w14:textId="77777777" w:rsidR="00A508A2" w:rsidRPr="00DD0D1F" w:rsidRDefault="00A508A2" w:rsidP="00A508A2">
            <w:pPr>
              <w:pStyle w:val="TableParagraph"/>
              <w:rPr>
                <w:szCs w:val="24"/>
              </w:rPr>
            </w:pPr>
          </w:p>
          <w:p w14:paraId="25865939" w14:textId="77777777" w:rsidR="00A508A2" w:rsidRPr="00DD0D1F" w:rsidRDefault="00A508A2" w:rsidP="00A508A2">
            <w:pPr>
              <w:pStyle w:val="TableParagraph"/>
              <w:rPr>
                <w:szCs w:val="24"/>
              </w:rPr>
            </w:pPr>
          </w:p>
          <w:p w14:paraId="2E1997D4" w14:textId="77777777" w:rsidR="00A508A2" w:rsidRPr="00DD0D1F" w:rsidRDefault="00A508A2" w:rsidP="00A508A2">
            <w:pPr>
              <w:pStyle w:val="TableParagraph"/>
              <w:rPr>
                <w:szCs w:val="24"/>
              </w:rPr>
            </w:pPr>
          </w:p>
          <w:p w14:paraId="26E27BBB" w14:textId="77777777" w:rsidR="00A508A2" w:rsidRPr="00DD0D1F" w:rsidRDefault="00A508A2" w:rsidP="00A508A2">
            <w:pPr>
              <w:pStyle w:val="TableParagraph"/>
              <w:tabs>
                <w:tab w:val="left" w:pos="588"/>
              </w:tabs>
              <w:spacing w:before="156"/>
              <w:ind w:left="588" w:right="709" w:hanging="467"/>
              <w:rPr>
                <w:szCs w:val="24"/>
              </w:rPr>
            </w:pPr>
            <w:r w:rsidRPr="00DD0D1F">
              <w:rPr>
                <w:szCs w:val="24"/>
              </w:rPr>
              <w:t>i.</w:t>
            </w:r>
            <w:r w:rsidRPr="00DD0D1F">
              <w:rPr>
                <w:szCs w:val="24"/>
              </w:rPr>
              <w:tab/>
              <w:t>Rejeneratif olmayan yıkama</w:t>
            </w:r>
          </w:p>
        </w:tc>
        <w:tc>
          <w:tcPr>
            <w:tcW w:w="3420" w:type="dxa"/>
          </w:tcPr>
          <w:p w14:paraId="59B174FF" w14:textId="77777777" w:rsidR="00A508A2" w:rsidRPr="00DD0D1F" w:rsidRDefault="00A508A2" w:rsidP="00A508A2">
            <w:pPr>
              <w:pStyle w:val="TableParagraph"/>
              <w:rPr>
                <w:szCs w:val="24"/>
              </w:rPr>
            </w:pPr>
          </w:p>
          <w:p w14:paraId="07E24018" w14:textId="77777777" w:rsidR="00A508A2" w:rsidRPr="00DD0D1F" w:rsidRDefault="00A508A2" w:rsidP="00A508A2">
            <w:pPr>
              <w:pStyle w:val="TableParagraph"/>
              <w:rPr>
                <w:szCs w:val="24"/>
              </w:rPr>
            </w:pPr>
          </w:p>
          <w:p w14:paraId="0DC189F3" w14:textId="77777777" w:rsidR="00A508A2" w:rsidRPr="00DD0D1F" w:rsidRDefault="00A508A2" w:rsidP="00A508A2">
            <w:pPr>
              <w:pStyle w:val="TableParagraph"/>
              <w:spacing w:before="6"/>
              <w:rPr>
                <w:szCs w:val="24"/>
              </w:rPr>
            </w:pPr>
          </w:p>
          <w:p w14:paraId="54D5EFB7" w14:textId="37DE6356" w:rsidR="00A508A2" w:rsidRPr="00DD0D1F" w:rsidRDefault="00A508A2" w:rsidP="00A508A2">
            <w:pPr>
              <w:pStyle w:val="TableParagraph"/>
              <w:tabs>
                <w:tab w:val="left" w:pos="666"/>
                <w:tab w:val="left" w:pos="1688"/>
                <w:tab w:val="left" w:pos="2093"/>
              </w:tabs>
              <w:ind w:left="95" w:right="96"/>
              <w:rPr>
                <w:szCs w:val="24"/>
              </w:rPr>
            </w:pPr>
            <w:r w:rsidRPr="00DD0D1F">
              <w:rPr>
                <w:szCs w:val="24"/>
              </w:rPr>
              <w:t>Yaş yıkama veya tuzlu su yıkaması</w:t>
            </w:r>
          </w:p>
          <w:p w14:paraId="6995BC9F" w14:textId="77777777" w:rsidR="000873D9" w:rsidRPr="00DD0D1F" w:rsidRDefault="000873D9" w:rsidP="00A508A2">
            <w:pPr>
              <w:pStyle w:val="TableParagraph"/>
              <w:tabs>
                <w:tab w:val="left" w:pos="666"/>
                <w:tab w:val="left" w:pos="1688"/>
                <w:tab w:val="left" w:pos="2093"/>
              </w:tabs>
              <w:ind w:left="95" w:right="96"/>
              <w:rPr>
                <w:szCs w:val="24"/>
              </w:rPr>
            </w:pPr>
          </w:p>
          <w:p w14:paraId="1F6319B8" w14:textId="77777777" w:rsidR="000873D9" w:rsidRPr="00DD0D1F" w:rsidRDefault="000873D9" w:rsidP="000873D9">
            <w:pPr>
              <w:pStyle w:val="TableParagraph"/>
              <w:ind w:left="108" w:right="96"/>
              <w:jc w:val="both"/>
              <w:rPr>
                <w:szCs w:val="24"/>
              </w:rPr>
            </w:pPr>
            <w:r w:rsidRPr="00DD0D1F">
              <w:rPr>
                <w:szCs w:val="24"/>
              </w:rPr>
              <w:t>Bölüm 1.20.3 bakınız.</w:t>
            </w:r>
          </w:p>
          <w:p w14:paraId="2E5A216A" w14:textId="77777777" w:rsidR="00A508A2" w:rsidRPr="00DD0D1F" w:rsidRDefault="00A508A2" w:rsidP="00A508A2">
            <w:pPr>
              <w:pStyle w:val="TableParagraph"/>
              <w:spacing w:line="228" w:lineRule="exact"/>
              <w:ind w:left="95"/>
              <w:rPr>
                <w:szCs w:val="24"/>
              </w:rPr>
            </w:pPr>
          </w:p>
        </w:tc>
        <w:tc>
          <w:tcPr>
            <w:tcW w:w="2790" w:type="dxa"/>
          </w:tcPr>
          <w:p w14:paraId="52C0A27E" w14:textId="77777777" w:rsidR="00A508A2" w:rsidRPr="00DD0D1F" w:rsidRDefault="00A508A2" w:rsidP="00A508A2">
            <w:pPr>
              <w:pStyle w:val="TableParagraph"/>
              <w:ind w:left="108" w:right="95"/>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4326A473" w14:textId="77777777" w:rsidR="00A508A2" w:rsidRPr="00DD0D1F" w:rsidRDefault="00A508A2" w:rsidP="00A508A2">
            <w:pPr>
              <w:pStyle w:val="TableParagraph"/>
              <w:spacing w:line="230" w:lineRule="atLeast"/>
              <w:ind w:left="108" w:right="96"/>
              <w:jc w:val="both"/>
              <w:rPr>
                <w:szCs w:val="24"/>
              </w:rPr>
            </w:pPr>
            <w:r w:rsidRPr="00DD0D1F">
              <w:rPr>
                <w:szCs w:val="24"/>
              </w:rPr>
              <w:t>Mevcut birimler bakımından uygulanabilirlik, yer varlığıyla sınırlı olabilir</w:t>
            </w:r>
          </w:p>
        </w:tc>
      </w:tr>
      <w:tr w:rsidR="00A508A2" w:rsidRPr="00DD0D1F" w14:paraId="69698672" w14:textId="77777777" w:rsidTr="00A508A2">
        <w:trPr>
          <w:trHeight w:val="1840"/>
        </w:trPr>
        <w:tc>
          <w:tcPr>
            <w:tcW w:w="2880" w:type="dxa"/>
          </w:tcPr>
          <w:p w14:paraId="072DD480" w14:textId="77777777" w:rsidR="00A508A2" w:rsidRPr="00DD0D1F" w:rsidRDefault="00A508A2" w:rsidP="00A508A2">
            <w:pPr>
              <w:pStyle w:val="TableParagraph"/>
              <w:rPr>
                <w:szCs w:val="24"/>
              </w:rPr>
            </w:pPr>
          </w:p>
          <w:p w14:paraId="043DD7D1" w14:textId="77777777" w:rsidR="00A508A2" w:rsidRPr="00DD0D1F" w:rsidRDefault="00A508A2" w:rsidP="00A508A2">
            <w:pPr>
              <w:pStyle w:val="TableParagraph"/>
              <w:rPr>
                <w:szCs w:val="24"/>
              </w:rPr>
            </w:pPr>
          </w:p>
          <w:p w14:paraId="538D31EF" w14:textId="77777777" w:rsidR="00A508A2" w:rsidRPr="00DD0D1F" w:rsidRDefault="00A508A2" w:rsidP="00A508A2">
            <w:pPr>
              <w:pStyle w:val="TableParagraph"/>
              <w:spacing w:before="3"/>
              <w:rPr>
                <w:szCs w:val="24"/>
              </w:rPr>
            </w:pPr>
          </w:p>
          <w:p w14:paraId="6AC182D3" w14:textId="77777777" w:rsidR="00A508A2" w:rsidRPr="00DD0D1F" w:rsidRDefault="00A508A2" w:rsidP="00A508A2">
            <w:pPr>
              <w:pStyle w:val="TableParagraph"/>
              <w:tabs>
                <w:tab w:val="left" w:pos="588"/>
              </w:tabs>
              <w:ind w:left="66"/>
              <w:rPr>
                <w:szCs w:val="24"/>
              </w:rPr>
            </w:pPr>
            <w:r w:rsidRPr="00DD0D1F">
              <w:rPr>
                <w:szCs w:val="24"/>
              </w:rPr>
              <w:t>ii.</w:t>
            </w:r>
            <w:r w:rsidRPr="00DD0D1F">
              <w:rPr>
                <w:szCs w:val="24"/>
              </w:rPr>
              <w:tab/>
              <w:t>Rejeneratif yıkama</w:t>
            </w:r>
          </w:p>
        </w:tc>
        <w:tc>
          <w:tcPr>
            <w:tcW w:w="3420" w:type="dxa"/>
          </w:tcPr>
          <w:p w14:paraId="1CC4D32A" w14:textId="225899E6" w:rsidR="00A508A2" w:rsidRPr="00DD0D1F" w:rsidRDefault="00A508A2" w:rsidP="00A508A2">
            <w:pPr>
              <w:pStyle w:val="TableParagraph"/>
              <w:ind w:left="108" w:right="97"/>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p w14:paraId="3C14DF20" w14:textId="77777777" w:rsidR="000873D9" w:rsidRPr="00DD0D1F" w:rsidRDefault="000873D9" w:rsidP="00A508A2">
            <w:pPr>
              <w:pStyle w:val="TableParagraph"/>
              <w:ind w:left="108" w:right="97"/>
              <w:jc w:val="both"/>
              <w:rPr>
                <w:szCs w:val="24"/>
              </w:rPr>
            </w:pPr>
          </w:p>
          <w:p w14:paraId="30720C8F" w14:textId="77777777" w:rsidR="000873D9" w:rsidRPr="00DD0D1F" w:rsidRDefault="000873D9" w:rsidP="000873D9">
            <w:pPr>
              <w:pStyle w:val="TableParagraph"/>
              <w:ind w:left="108" w:right="96"/>
              <w:jc w:val="both"/>
              <w:rPr>
                <w:szCs w:val="24"/>
              </w:rPr>
            </w:pPr>
            <w:r w:rsidRPr="00DD0D1F">
              <w:rPr>
                <w:szCs w:val="24"/>
              </w:rPr>
              <w:t>Bölüm 1.20.3 bakınız.</w:t>
            </w:r>
          </w:p>
          <w:p w14:paraId="45E5A50F" w14:textId="77777777" w:rsidR="00A508A2" w:rsidRPr="00DD0D1F" w:rsidRDefault="00A508A2" w:rsidP="00A508A2">
            <w:pPr>
              <w:pStyle w:val="TableParagraph"/>
              <w:spacing w:line="217" w:lineRule="exact"/>
              <w:ind w:left="108"/>
              <w:jc w:val="both"/>
              <w:rPr>
                <w:szCs w:val="24"/>
              </w:rPr>
            </w:pPr>
          </w:p>
        </w:tc>
        <w:tc>
          <w:tcPr>
            <w:tcW w:w="2790" w:type="dxa"/>
          </w:tcPr>
          <w:p w14:paraId="15FA1023" w14:textId="77777777" w:rsidR="00A508A2" w:rsidRPr="00DD0D1F" w:rsidRDefault="00A508A2" w:rsidP="00A508A2">
            <w:pPr>
              <w:pStyle w:val="TableParagraph"/>
              <w:ind w:left="108" w:right="98"/>
              <w:jc w:val="both"/>
              <w:rPr>
                <w:szCs w:val="24"/>
              </w:rPr>
            </w:pPr>
            <w:r w:rsidRPr="00DD0D1F">
              <w:rPr>
                <w:szCs w:val="24"/>
              </w:rPr>
              <w:t>Uygulanabilirlik, rejenere edilen yan ürünlerin satılabilir oldukları durumla sınırlıdır.</w:t>
            </w:r>
          </w:p>
          <w:p w14:paraId="3549C078" w14:textId="77777777" w:rsidR="00A508A2" w:rsidRPr="00DD0D1F" w:rsidRDefault="00A508A2" w:rsidP="00A508A2">
            <w:pPr>
              <w:pStyle w:val="TableParagraph"/>
              <w:ind w:left="108" w:right="96"/>
              <w:jc w:val="both"/>
              <w:rPr>
                <w:szCs w:val="24"/>
              </w:rPr>
            </w:pPr>
            <w:r w:rsidRPr="00DD0D1F">
              <w:rPr>
                <w:szCs w:val="24"/>
              </w:rPr>
              <w:t>Mevcut birimler bakımından uygulanabilirlik, mevcut kükürt geri kazanımı kapasitesi ile ve ayrıca yer varlığıyla sınırlı olabilir</w:t>
            </w:r>
          </w:p>
        </w:tc>
      </w:tr>
    </w:tbl>
    <w:p w14:paraId="1057AEDD" w14:textId="77777777" w:rsidR="00A508A2" w:rsidRPr="00DD0D1F" w:rsidRDefault="00A508A2" w:rsidP="00A508A2">
      <w:pPr>
        <w:spacing w:before="157"/>
        <w:rPr>
          <w:rFonts w:cs="Times New Roman"/>
          <w:szCs w:val="24"/>
          <w:lang w:val="tr-TR"/>
        </w:rPr>
      </w:pPr>
    </w:p>
    <w:p w14:paraId="0EDC19E6" w14:textId="77777777" w:rsidR="00A508A2" w:rsidRPr="00DD0D1F" w:rsidRDefault="00A508A2" w:rsidP="00A508A2">
      <w:pPr>
        <w:pStyle w:val="GvdeMetni"/>
        <w:rPr>
          <w:sz w:val="24"/>
          <w:szCs w:val="24"/>
        </w:rPr>
      </w:pPr>
    </w:p>
    <w:p w14:paraId="2CDA3637" w14:textId="77777777" w:rsidR="00A508A2" w:rsidRPr="00DD0D1F" w:rsidRDefault="00A508A2" w:rsidP="00A508A2">
      <w:pPr>
        <w:pStyle w:val="ResimYazs"/>
        <w:jc w:val="left"/>
        <w:rPr>
          <w:rFonts w:cs="Times New Roman"/>
          <w:b w:val="0"/>
          <w:color w:val="auto"/>
          <w:szCs w:val="24"/>
          <w:lang w:val="tr-TR"/>
        </w:rPr>
      </w:pPr>
      <w:bookmarkStart w:id="221" w:name="_bookmark888"/>
      <w:bookmarkEnd w:id="221"/>
      <w:r w:rsidRPr="00DD0D1F">
        <w:rPr>
          <w:rFonts w:cs="Times New Roman"/>
          <w:bCs/>
          <w:color w:val="auto"/>
          <w:szCs w:val="24"/>
          <w:lang w:val="tr-TR"/>
        </w:rPr>
        <w:t>Akışkan katalitik parçalama prosesinde rejeneratörden havaya yayılan SO</w:t>
      </w:r>
      <w:r w:rsidRPr="00DD0D1F">
        <w:rPr>
          <w:rFonts w:cs="Times New Roman"/>
          <w:bCs/>
          <w:color w:val="auto"/>
          <w:szCs w:val="24"/>
          <w:vertAlign w:val="subscript"/>
          <w:lang w:val="tr-TR"/>
        </w:rPr>
        <w:t xml:space="preserve">2  </w:t>
      </w:r>
      <w:r w:rsidRPr="00DD0D1F">
        <w:rPr>
          <w:rFonts w:cs="Times New Roman"/>
          <w:bCs/>
          <w:color w:val="auto"/>
          <w:szCs w:val="24"/>
          <w:lang w:val="tr-TR"/>
        </w:rPr>
        <w:t>emisyonları bakımından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4"/>
        <w:gridCol w:w="3168"/>
        <w:gridCol w:w="2405"/>
      </w:tblGrid>
      <w:tr w:rsidR="00A508A2" w:rsidRPr="00DD0D1F" w14:paraId="7AD89BD4" w14:textId="77777777" w:rsidTr="00A508A2">
        <w:trPr>
          <w:trHeight w:val="690"/>
        </w:trPr>
        <w:tc>
          <w:tcPr>
            <w:tcW w:w="1930" w:type="pct"/>
          </w:tcPr>
          <w:p w14:paraId="4A5EB585" w14:textId="77777777" w:rsidR="00A508A2" w:rsidRPr="00DD0D1F" w:rsidRDefault="00A508A2" w:rsidP="00A508A2">
            <w:pPr>
              <w:pStyle w:val="TableParagraph"/>
              <w:spacing w:before="9"/>
              <w:rPr>
                <w:b/>
                <w:szCs w:val="24"/>
              </w:rPr>
            </w:pPr>
          </w:p>
          <w:p w14:paraId="2E668B7B" w14:textId="77777777" w:rsidR="00A508A2" w:rsidRPr="00DD0D1F" w:rsidRDefault="00A508A2" w:rsidP="00A508A2">
            <w:pPr>
              <w:pStyle w:val="TableParagraph"/>
              <w:ind w:left="1283"/>
              <w:rPr>
                <w:b/>
                <w:szCs w:val="24"/>
              </w:rPr>
            </w:pPr>
            <w:r w:rsidRPr="00DD0D1F">
              <w:rPr>
                <w:b/>
                <w:bCs/>
                <w:szCs w:val="24"/>
              </w:rPr>
              <w:t>Parametre</w:t>
            </w:r>
          </w:p>
        </w:tc>
        <w:tc>
          <w:tcPr>
            <w:tcW w:w="1745" w:type="pct"/>
          </w:tcPr>
          <w:p w14:paraId="2F01B132" w14:textId="77777777" w:rsidR="00A508A2" w:rsidRPr="00DD0D1F" w:rsidRDefault="00A508A2" w:rsidP="00A508A2">
            <w:pPr>
              <w:pStyle w:val="TableParagraph"/>
              <w:spacing w:before="9"/>
              <w:rPr>
                <w:b/>
                <w:szCs w:val="24"/>
              </w:rPr>
            </w:pPr>
          </w:p>
          <w:p w14:paraId="6EF797E3" w14:textId="77777777" w:rsidR="00A508A2" w:rsidRPr="00DD0D1F" w:rsidRDefault="00A508A2" w:rsidP="00A508A2">
            <w:pPr>
              <w:pStyle w:val="TableParagraph"/>
              <w:ind w:left="351" w:right="150"/>
              <w:jc w:val="center"/>
              <w:rPr>
                <w:b/>
                <w:szCs w:val="24"/>
              </w:rPr>
            </w:pPr>
            <w:r w:rsidRPr="00DD0D1F">
              <w:rPr>
                <w:b/>
                <w:bCs/>
                <w:szCs w:val="24"/>
              </w:rPr>
              <w:t>Birimin/kipin türü</w:t>
            </w:r>
          </w:p>
        </w:tc>
        <w:tc>
          <w:tcPr>
            <w:tcW w:w="1325" w:type="pct"/>
          </w:tcPr>
          <w:p w14:paraId="2B8ADFAB" w14:textId="1C373B18" w:rsidR="00A508A2" w:rsidRPr="00DD0D1F" w:rsidRDefault="007D7613" w:rsidP="00A508A2">
            <w:pPr>
              <w:pStyle w:val="TableParagraph"/>
              <w:spacing w:line="228" w:lineRule="exact"/>
              <w:ind w:left="126" w:right="319"/>
              <w:jc w:val="center"/>
              <w:rPr>
                <w:b/>
                <w:szCs w:val="24"/>
              </w:rPr>
            </w:pPr>
            <w:r w:rsidRPr="00DD0D1F">
              <w:rPr>
                <w:b/>
                <w:bCs/>
                <w:szCs w:val="24"/>
              </w:rPr>
              <w:t>MET_İES</w:t>
            </w:r>
          </w:p>
          <w:p w14:paraId="09B374DF" w14:textId="77777777" w:rsidR="00A508A2" w:rsidRPr="00DD0D1F" w:rsidRDefault="00A508A2" w:rsidP="00A508A2">
            <w:pPr>
              <w:pStyle w:val="TableParagraph"/>
              <w:spacing w:line="228" w:lineRule="exact"/>
              <w:ind w:left="126" w:right="319"/>
              <w:jc w:val="center"/>
              <w:rPr>
                <w:b/>
                <w:szCs w:val="24"/>
              </w:rPr>
            </w:pPr>
            <w:r w:rsidRPr="00DD0D1F">
              <w:rPr>
                <w:b/>
                <w:bCs/>
                <w:szCs w:val="24"/>
              </w:rPr>
              <w:t>(aylık ortalama)</w:t>
            </w:r>
          </w:p>
          <w:p w14:paraId="44974902" w14:textId="77777777" w:rsidR="00A508A2" w:rsidRPr="00DD0D1F" w:rsidRDefault="00A508A2" w:rsidP="00A508A2">
            <w:pPr>
              <w:pStyle w:val="TableParagraph"/>
              <w:spacing w:line="215" w:lineRule="exact"/>
              <w:ind w:left="125" w:right="319"/>
              <w:jc w:val="center"/>
              <w:rPr>
                <w:szCs w:val="24"/>
              </w:rPr>
            </w:pPr>
            <w:r w:rsidRPr="00DD0D1F">
              <w:rPr>
                <w:szCs w:val="24"/>
              </w:rPr>
              <w:t>mg/Nm</w:t>
            </w:r>
            <w:r w:rsidRPr="00DD0D1F">
              <w:rPr>
                <w:szCs w:val="24"/>
                <w:vertAlign w:val="superscript"/>
              </w:rPr>
              <w:t>3</w:t>
            </w:r>
          </w:p>
        </w:tc>
      </w:tr>
      <w:tr w:rsidR="00A508A2" w:rsidRPr="00DD0D1F" w14:paraId="3F9C63E5" w14:textId="77777777" w:rsidTr="00A508A2">
        <w:trPr>
          <w:trHeight w:val="282"/>
        </w:trPr>
        <w:tc>
          <w:tcPr>
            <w:tcW w:w="1930" w:type="pct"/>
            <w:vMerge w:val="restart"/>
          </w:tcPr>
          <w:p w14:paraId="62DF0681" w14:textId="77777777" w:rsidR="00A508A2" w:rsidRPr="00DD0D1F" w:rsidRDefault="00A508A2" w:rsidP="00A508A2">
            <w:pPr>
              <w:pStyle w:val="TableParagraph"/>
              <w:spacing w:before="10"/>
              <w:rPr>
                <w:b/>
                <w:szCs w:val="24"/>
              </w:rPr>
            </w:pPr>
          </w:p>
          <w:p w14:paraId="210971AF" w14:textId="77777777" w:rsidR="00A508A2" w:rsidRPr="00DD0D1F" w:rsidRDefault="00A508A2" w:rsidP="00A508A2">
            <w:pPr>
              <w:pStyle w:val="TableParagraph"/>
              <w:ind w:left="304"/>
              <w:rPr>
                <w:szCs w:val="24"/>
              </w:rPr>
            </w:pPr>
            <w:r w:rsidRPr="00DD0D1F">
              <w:rPr>
                <w:szCs w:val="24"/>
              </w:rPr>
              <w:t>SO</w:t>
            </w:r>
            <w:r w:rsidRPr="00DD0D1F">
              <w:rPr>
                <w:szCs w:val="24"/>
                <w:vertAlign w:val="subscript"/>
              </w:rPr>
              <w:t>2</w:t>
            </w:r>
          </w:p>
        </w:tc>
        <w:tc>
          <w:tcPr>
            <w:tcW w:w="1745" w:type="pct"/>
          </w:tcPr>
          <w:p w14:paraId="025B12DB" w14:textId="77777777" w:rsidR="00A508A2" w:rsidRPr="00DD0D1F" w:rsidRDefault="00A508A2" w:rsidP="00A508A2">
            <w:pPr>
              <w:pStyle w:val="TableParagraph"/>
              <w:spacing w:before="19"/>
              <w:ind w:left="351" w:right="150"/>
              <w:jc w:val="center"/>
              <w:rPr>
                <w:szCs w:val="24"/>
              </w:rPr>
            </w:pPr>
            <w:r w:rsidRPr="00DD0D1F">
              <w:rPr>
                <w:szCs w:val="24"/>
              </w:rPr>
              <w:t>Yeni birim</w:t>
            </w:r>
          </w:p>
        </w:tc>
        <w:tc>
          <w:tcPr>
            <w:tcW w:w="1325" w:type="pct"/>
          </w:tcPr>
          <w:p w14:paraId="7AEF0B96" w14:textId="77777777" w:rsidR="00A508A2" w:rsidRPr="00DD0D1F" w:rsidRDefault="00A508A2" w:rsidP="00A508A2">
            <w:pPr>
              <w:pStyle w:val="TableParagraph"/>
              <w:spacing w:before="19"/>
              <w:ind w:left="128" w:right="319"/>
              <w:jc w:val="center"/>
              <w:rPr>
                <w:szCs w:val="24"/>
              </w:rPr>
            </w:pPr>
            <w:r w:rsidRPr="00DD0D1F">
              <w:rPr>
                <w:szCs w:val="24"/>
              </w:rPr>
              <w:t>≤ 300</w:t>
            </w:r>
          </w:p>
        </w:tc>
      </w:tr>
      <w:tr w:rsidR="00A508A2" w:rsidRPr="00DD0D1F" w14:paraId="324BB4D6" w14:textId="77777777" w:rsidTr="00A508A2">
        <w:trPr>
          <w:trHeight w:val="285"/>
        </w:trPr>
        <w:tc>
          <w:tcPr>
            <w:tcW w:w="1930" w:type="pct"/>
            <w:vMerge/>
            <w:tcBorders>
              <w:top w:val="nil"/>
            </w:tcBorders>
          </w:tcPr>
          <w:p w14:paraId="6DB1100C" w14:textId="77777777" w:rsidR="00A508A2" w:rsidRPr="00DD0D1F" w:rsidRDefault="00A508A2" w:rsidP="00A508A2">
            <w:pPr>
              <w:rPr>
                <w:rFonts w:cs="Times New Roman"/>
                <w:szCs w:val="24"/>
                <w:lang w:val="tr-TR"/>
              </w:rPr>
            </w:pPr>
          </w:p>
        </w:tc>
        <w:tc>
          <w:tcPr>
            <w:tcW w:w="1745" w:type="pct"/>
          </w:tcPr>
          <w:p w14:paraId="3CC17D9E" w14:textId="77777777" w:rsidR="00A508A2" w:rsidRPr="00DD0D1F" w:rsidRDefault="00A508A2" w:rsidP="00A508A2">
            <w:pPr>
              <w:pStyle w:val="TableParagraph"/>
              <w:spacing w:before="22"/>
              <w:ind w:left="353" w:right="150"/>
              <w:jc w:val="center"/>
              <w:rPr>
                <w:szCs w:val="24"/>
              </w:rPr>
            </w:pPr>
            <w:r w:rsidRPr="00DD0D1F">
              <w:rPr>
                <w:szCs w:val="24"/>
              </w:rPr>
              <w:t>Mevcut birimler / tam yanma</w:t>
            </w:r>
          </w:p>
        </w:tc>
        <w:tc>
          <w:tcPr>
            <w:tcW w:w="1325" w:type="pct"/>
          </w:tcPr>
          <w:p w14:paraId="65FCE78B" w14:textId="77777777" w:rsidR="00A508A2" w:rsidRPr="00DD0D1F" w:rsidRDefault="00A508A2" w:rsidP="00A508A2">
            <w:pPr>
              <w:pStyle w:val="TableParagraph"/>
              <w:spacing w:before="22"/>
              <w:ind w:left="129" w:right="319"/>
              <w:jc w:val="center"/>
              <w:rPr>
                <w:szCs w:val="24"/>
              </w:rPr>
            </w:pPr>
            <w:r w:rsidRPr="00DD0D1F">
              <w:rPr>
                <w:szCs w:val="24"/>
              </w:rPr>
              <w:t>&lt;100 – 800 (</w:t>
            </w:r>
            <w:r w:rsidRPr="00DD0D1F">
              <w:rPr>
                <w:szCs w:val="24"/>
                <w:vertAlign w:val="superscript"/>
              </w:rPr>
              <w:t>1</w:t>
            </w:r>
            <w:r w:rsidRPr="00DD0D1F">
              <w:rPr>
                <w:szCs w:val="24"/>
              </w:rPr>
              <w:t>)</w:t>
            </w:r>
          </w:p>
        </w:tc>
      </w:tr>
      <w:tr w:rsidR="00A508A2" w:rsidRPr="00DD0D1F" w14:paraId="4B01FC49" w14:textId="77777777" w:rsidTr="00A508A2">
        <w:trPr>
          <w:trHeight w:val="460"/>
        </w:trPr>
        <w:tc>
          <w:tcPr>
            <w:tcW w:w="1930" w:type="pct"/>
            <w:vMerge/>
            <w:tcBorders>
              <w:top w:val="nil"/>
            </w:tcBorders>
          </w:tcPr>
          <w:p w14:paraId="1D653A74" w14:textId="77777777" w:rsidR="00A508A2" w:rsidRPr="00DD0D1F" w:rsidRDefault="00A508A2" w:rsidP="00A508A2">
            <w:pPr>
              <w:rPr>
                <w:rFonts w:cs="Times New Roman"/>
                <w:szCs w:val="24"/>
                <w:lang w:val="tr-TR"/>
              </w:rPr>
            </w:pPr>
          </w:p>
        </w:tc>
        <w:tc>
          <w:tcPr>
            <w:tcW w:w="1745" w:type="pct"/>
          </w:tcPr>
          <w:p w14:paraId="4F803D45" w14:textId="77777777" w:rsidR="00A508A2" w:rsidRPr="00DD0D1F" w:rsidRDefault="00A508A2" w:rsidP="00A508A2">
            <w:pPr>
              <w:pStyle w:val="TableParagraph"/>
              <w:spacing w:line="223" w:lineRule="exact"/>
              <w:ind w:left="353" w:right="150"/>
              <w:jc w:val="center"/>
              <w:rPr>
                <w:szCs w:val="24"/>
              </w:rPr>
            </w:pPr>
            <w:r w:rsidRPr="00DD0D1F">
              <w:rPr>
                <w:szCs w:val="24"/>
              </w:rPr>
              <w:t xml:space="preserve">Mevcut birimler/kısmi yanma </w:t>
            </w:r>
          </w:p>
          <w:p w14:paraId="05BB64B3" w14:textId="77777777" w:rsidR="00A508A2" w:rsidRPr="00DD0D1F" w:rsidRDefault="00A508A2" w:rsidP="00A508A2">
            <w:pPr>
              <w:pStyle w:val="TableParagraph"/>
              <w:spacing w:line="217" w:lineRule="exact"/>
              <w:ind w:left="353" w:right="149"/>
              <w:jc w:val="center"/>
              <w:rPr>
                <w:szCs w:val="24"/>
              </w:rPr>
            </w:pPr>
          </w:p>
        </w:tc>
        <w:tc>
          <w:tcPr>
            <w:tcW w:w="1325" w:type="pct"/>
          </w:tcPr>
          <w:p w14:paraId="0112D856" w14:textId="77777777" w:rsidR="00A508A2" w:rsidRPr="00DD0D1F" w:rsidRDefault="00A508A2" w:rsidP="00A508A2">
            <w:pPr>
              <w:pStyle w:val="TableParagraph"/>
              <w:spacing w:before="108"/>
              <w:ind w:left="126" w:right="319"/>
              <w:jc w:val="center"/>
              <w:rPr>
                <w:szCs w:val="24"/>
              </w:rPr>
            </w:pPr>
            <w:r w:rsidRPr="00DD0D1F">
              <w:rPr>
                <w:szCs w:val="24"/>
              </w:rPr>
              <w:t>100 – 1200 (</w:t>
            </w:r>
            <w:r w:rsidRPr="00DD0D1F">
              <w:rPr>
                <w:szCs w:val="24"/>
                <w:vertAlign w:val="superscript"/>
              </w:rPr>
              <w:t>1</w:t>
            </w:r>
            <w:r w:rsidRPr="00DD0D1F">
              <w:rPr>
                <w:szCs w:val="24"/>
              </w:rPr>
              <w:t>)</w:t>
            </w:r>
          </w:p>
        </w:tc>
      </w:tr>
      <w:tr w:rsidR="00A508A2" w:rsidRPr="00DD0D1F" w14:paraId="00C1FF88" w14:textId="77777777" w:rsidTr="00A508A2">
        <w:trPr>
          <w:trHeight w:val="412"/>
        </w:trPr>
        <w:tc>
          <w:tcPr>
            <w:tcW w:w="5000" w:type="pct"/>
            <w:gridSpan w:val="3"/>
          </w:tcPr>
          <w:p w14:paraId="26385A55" w14:textId="2A63FD55" w:rsidR="00A508A2" w:rsidRPr="00DD0D1F" w:rsidRDefault="00A508A2" w:rsidP="00A508A2">
            <w:pPr>
              <w:pStyle w:val="TableParagraph"/>
              <w:spacing w:line="202" w:lineRule="exact"/>
              <w:ind w:left="141"/>
              <w:rPr>
                <w:szCs w:val="24"/>
              </w:rPr>
            </w:pPr>
            <w:r w:rsidRPr="00DD0D1F">
              <w:rPr>
                <w:szCs w:val="24"/>
              </w:rPr>
              <w:t xml:space="preserve">(1) Düşük kükürtlü (ör. %&lt;0,5 w/w) hammaddenin (veya hydrotreatment) ve/veya yıkamanın seçilebildiği durumda, tüm yanma kiplerinde: </w:t>
            </w:r>
            <w:r w:rsidR="007D7613" w:rsidRPr="00DD0D1F">
              <w:rPr>
                <w:szCs w:val="24"/>
              </w:rPr>
              <w:t>MET_İES</w:t>
            </w:r>
            <w:r w:rsidRPr="00DD0D1F">
              <w:rPr>
                <w:szCs w:val="24"/>
              </w:rPr>
              <w:t xml:space="preserve"> aralığının üst </w:t>
            </w:r>
            <w:r w:rsidR="00A504E5" w:rsidRPr="00DD0D1F">
              <w:rPr>
                <w:szCs w:val="24"/>
              </w:rPr>
              <w:t>sınırı</w:t>
            </w:r>
            <w:r w:rsidRPr="00DD0D1F">
              <w:rPr>
                <w:szCs w:val="24"/>
              </w:rPr>
              <w:t xml:space="preserve"> ≤600 mg/Nm</w:t>
            </w:r>
            <w:r w:rsidRPr="00DD0D1F">
              <w:rPr>
                <w:szCs w:val="24"/>
                <w:vertAlign w:val="superscript"/>
              </w:rPr>
              <w:t>3</w:t>
            </w:r>
            <w:r w:rsidRPr="00DD0D1F">
              <w:rPr>
                <w:szCs w:val="24"/>
              </w:rPr>
              <w:t>'tür.</w:t>
            </w:r>
          </w:p>
          <w:p w14:paraId="5AEE3DB4" w14:textId="77777777" w:rsidR="00A508A2" w:rsidRPr="00DD0D1F" w:rsidRDefault="00A508A2" w:rsidP="00A508A2">
            <w:pPr>
              <w:pStyle w:val="TableParagraph"/>
              <w:spacing w:line="191" w:lineRule="exact"/>
              <w:ind w:left="390"/>
              <w:rPr>
                <w:szCs w:val="24"/>
              </w:rPr>
            </w:pPr>
          </w:p>
        </w:tc>
      </w:tr>
    </w:tbl>
    <w:p w14:paraId="2D74AF6B" w14:textId="77777777" w:rsidR="00A508A2" w:rsidRPr="00DD0D1F" w:rsidRDefault="00A508A2" w:rsidP="00A508A2">
      <w:pPr>
        <w:pStyle w:val="GvdeMetni"/>
        <w:spacing w:before="7"/>
        <w:rPr>
          <w:b/>
          <w:sz w:val="24"/>
          <w:szCs w:val="24"/>
        </w:rPr>
      </w:pPr>
    </w:p>
    <w:p w14:paraId="707A5963"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20C4152E" w14:textId="77777777" w:rsidR="00A508A2" w:rsidRPr="00DD0D1F" w:rsidRDefault="00A508A2" w:rsidP="00A508A2">
      <w:pPr>
        <w:pStyle w:val="GvdeMetni"/>
        <w:rPr>
          <w:sz w:val="24"/>
          <w:szCs w:val="24"/>
        </w:rPr>
      </w:pPr>
    </w:p>
    <w:p w14:paraId="1D6D384A" w14:textId="77777777" w:rsidR="00A508A2" w:rsidRPr="00DD0D1F" w:rsidRDefault="00A508A2" w:rsidP="00A508A2">
      <w:pPr>
        <w:pStyle w:val="GvdeMetni"/>
        <w:spacing w:before="8" w:line="360" w:lineRule="auto"/>
        <w:jc w:val="both"/>
        <w:rPr>
          <w:sz w:val="24"/>
          <w:szCs w:val="24"/>
        </w:rPr>
      </w:pPr>
    </w:p>
    <w:p w14:paraId="021539AA"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27: </w:t>
      </w:r>
      <w:r w:rsidRPr="00DD0D1F">
        <w:rPr>
          <w:rFonts w:cs="Times New Roman"/>
          <w:bCs/>
          <w:szCs w:val="24"/>
          <w:lang w:val="tr-TR"/>
        </w:rPr>
        <w:t>Akışkan katalitik parçalama prosesinden (rejeneratör) havaya yayılan karbonmonoksit (CO) emisyonlarının azaltılması için aşağıdaki tekniklerden biri veya daha fazlasının kombinasyonu kullanılır.</w:t>
      </w:r>
    </w:p>
    <w:p w14:paraId="0351ECE1" w14:textId="77777777" w:rsidR="00A508A2" w:rsidRPr="00DD0D1F" w:rsidRDefault="00A508A2" w:rsidP="00A508A2">
      <w:pPr>
        <w:rPr>
          <w:rFonts w:cs="Times New Roman"/>
          <w:b/>
          <w:bCs/>
          <w:szCs w:val="24"/>
          <w:lang w:val="tr-TR"/>
        </w:rPr>
      </w:pPr>
    </w:p>
    <w:p w14:paraId="78F9171B"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9"/>
        <w:gridCol w:w="2890"/>
        <w:gridCol w:w="2888"/>
      </w:tblGrid>
      <w:tr w:rsidR="000873D9" w:rsidRPr="00DD0D1F" w14:paraId="327D67A9" w14:textId="77777777" w:rsidTr="000873D9">
        <w:trPr>
          <w:trHeight w:val="285"/>
        </w:trPr>
        <w:tc>
          <w:tcPr>
            <w:tcW w:w="1817" w:type="pct"/>
          </w:tcPr>
          <w:p w14:paraId="06F84D76" w14:textId="77777777" w:rsidR="000873D9" w:rsidRPr="00DD0D1F" w:rsidRDefault="000873D9" w:rsidP="00A508A2">
            <w:pPr>
              <w:pStyle w:val="TableParagraph"/>
              <w:spacing w:before="26"/>
              <w:ind w:left="632" w:right="627"/>
              <w:jc w:val="center"/>
              <w:rPr>
                <w:b/>
                <w:szCs w:val="24"/>
              </w:rPr>
            </w:pPr>
            <w:r w:rsidRPr="00DD0D1F">
              <w:rPr>
                <w:b/>
                <w:bCs/>
                <w:szCs w:val="24"/>
              </w:rPr>
              <w:t>Teknik</w:t>
            </w:r>
          </w:p>
        </w:tc>
        <w:tc>
          <w:tcPr>
            <w:tcW w:w="1592" w:type="pct"/>
          </w:tcPr>
          <w:p w14:paraId="10ABC921" w14:textId="17D0B320" w:rsidR="000873D9" w:rsidRPr="00DD0D1F" w:rsidRDefault="000873D9" w:rsidP="00A508A2">
            <w:pPr>
              <w:pStyle w:val="TableParagraph"/>
              <w:spacing w:before="26"/>
              <w:ind w:left="102"/>
              <w:jc w:val="center"/>
              <w:rPr>
                <w:b/>
                <w:bCs/>
                <w:szCs w:val="24"/>
              </w:rPr>
            </w:pPr>
            <w:r w:rsidRPr="00DD0D1F">
              <w:rPr>
                <w:b/>
                <w:bCs/>
                <w:szCs w:val="24"/>
              </w:rPr>
              <w:t xml:space="preserve">Açıklama </w:t>
            </w:r>
          </w:p>
        </w:tc>
        <w:tc>
          <w:tcPr>
            <w:tcW w:w="1591" w:type="pct"/>
          </w:tcPr>
          <w:p w14:paraId="7EC04E01" w14:textId="24CE1296" w:rsidR="000873D9" w:rsidRPr="00DD0D1F" w:rsidRDefault="000873D9" w:rsidP="00A508A2">
            <w:pPr>
              <w:pStyle w:val="TableParagraph"/>
              <w:spacing w:before="26"/>
              <w:ind w:left="102"/>
              <w:jc w:val="center"/>
              <w:rPr>
                <w:b/>
                <w:szCs w:val="24"/>
              </w:rPr>
            </w:pPr>
            <w:r w:rsidRPr="00DD0D1F">
              <w:rPr>
                <w:b/>
                <w:bCs/>
                <w:szCs w:val="24"/>
              </w:rPr>
              <w:t>Uygulanabilirlik</w:t>
            </w:r>
          </w:p>
        </w:tc>
      </w:tr>
      <w:tr w:rsidR="000873D9" w:rsidRPr="00DD0D1F" w14:paraId="3B4989DC" w14:textId="77777777" w:rsidTr="000873D9">
        <w:trPr>
          <w:trHeight w:val="282"/>
        </w:trPr>
        <w:tc>
          <w:tcPr>
            <w:tcW w:w="1817" w:type="pct"/>
            <w:vAlign w:val="center"/>
          </w:tcPr>
          <w:p w14:paraId="0FFE9C6F" w14:textId="77777777" w:rsidR="000873D9" w:rsidRPr="00DD0D1F" w:rsidRDefault="000873D9" w:rsidP="00FF111D">
            <w:pPr>
              <w:pStyle w:val="TableParagraph"/>
              <w:numPr>
                <w:ilvl w:val="0"/>
                <w:numId w:val="118"/>
              </w:numPr>
              <w:tabs>
                <w:tab w:val="left" w:pos="465"/>
              </w:tabs>
              <w:spacing w:before="19"/>
              <w:ind w:right="389"/>
              <w:rPr>
                <w:szCs w:val="24"/>
              </w:rPr>
            </w:pPr>
            <w:r w:rsidRPr="00DD0D1F">
              <w:rPr>
                <w:szCs w:val="24"/>
              </w:rPr>
              <w:t>Yanma operasyonu kontrolü</w:t>
            </w:r>
          </w:p>
        </w:tc>
        <w:tc>
          <w:tcPr>
            <w:tcW w:w="1592" w:type="pct"/>
          </w:tcPr>
          <w:p w14:paraId="3C74861A" w14:textId="4CA62A1C" w:rsidR="000873D9" w:rsidRPr="00DD0D1F" w:rsidRDefault="000873D9" w:rsidP="000873D9">
            <w:pPr>
              <w:pStyle w:val="TableParagraph"/>
              <w:ind w:left="108" w:right="96"/>
              <w:jc w:val="both"/>
              <w:rPr>
                <w:szCs w:val="24"/>
              </w:rPr>
            </w:pPr>
            <w:r w:rsidRPr="00DD0D1F">
              <w:rPr>
                <w:szCs w:val="24"/>
              </w:rPr>
              <w:t>Bölüm 1.20.5 bakınız.</w:t>
            </w:r>
          </w:p>
          <w:p w14:paraId="727ECF8D" w14:textId="77777777" w:rsidR="000873D9" w:rsidRPr="00DD0D1F" w:rsidRDefault="000873D9" w:rsidP="00A508A2">
            <w:pPr>
              <w:pStyle w:val="TableParagraph"/>
              <w:spacing w:before="19"/>
              <w:ind w:left="105"/>
              <w:rPr>
                <w:szCs w:val="24"/>
              </w:rPr>
            </w:pPr>
          </w:p>
        </w:tc>
        <w:tc>
          <w:tcPr>
            <w:tcW w:w="1591" w:type="pct"/>
          </w:tcPr>
          <w:p w14:paraId="35C4003A" w14:textId="294FB927" w:rsidR="000873D9" w:rsidRPr="00DD0D1F" w:rsidRDefault="000873D9" w:rsidP="00A508A2">
            <w:pPr>
              <w:pStyle w:val="TableParagraph"/>
              <w:spacing w:before="19"/>
              <w:ind w:left="105"/>
              <w:rPr>
                <w:szCs w:val="24"/>
              </w:rPr>
            </w:pPr>
            <w:r w:rsidRPr="00DD0D1F">
              <w:rPr>
                <w:szCs w:val="24"/>
              </w:rPr>
              <w:t>Genel olarak uygulanabilir</w:t>
            </w:r>
          </w:p>
        </w:tc>
      </w:tr>
      <w:tr w:rsidR="000873D9" w:rsidRPr="00DD0D1F" w14:paraId="6B16AEC1" w14:textId="77777777" w:rsidTr="000873D9">
        <w:trPr>
          <w:trHeight w:val="460"/>
        </w:trPr>
        <w:tc>
          <w:tcPr>
            <w:tcW w:w="1817" w:type="pct"/>
            <w:vAlign w:val="center"/>
          </w:tcPr>
          <w:p w14:paraId="0F3AA021" w14:textId="77777777" w:rsidR="000873D9" w:rsidRPr="00DD0D1F" w:rsidRDefault="000873D9" w:rsidP="000873D9">
            <w:pPr>
              <w:pStyle w:val="TableParagraph"/>
              <w:numPr>
                <w:ilvl w:val="0"/>
                <w:numId w:val="118"/>
              </w:numPr>
              <w:tabs>
                <w:tab w:val="left" w:pos="587"/>
              </w:tabs>
              <w:spacing w:line="223" w:lineRule="exact"/>
              <w:rPr>
                <w:szCs w:val="24"/>
              </w:rPr>
            </w:pPr>
            <w:r w:rsidRPr="00DD0D1F">
              <w:rPr>
                <w:szCs w:val="24"/>
              </w:rPr>
              <w:t>Karbonmonoksitli (CO) oksitleme   başlatıcılarına sahip katalizörler</w:t>
            </w:r>
          </w:p>
        </w:tc>
        <w:tc>
          <w:tcPr>
            <w:tcW w:w="1592" w:type="pct"/>
          </w:tcPr>
          <w:p w14:paraId="7C6AEFBD" w14:textId="4B595E3D" w:rsidR="000873D9" w:rsidRPr="00DD0D1F" w:rsidRDefault="000873D9" w:rsidP="000873D9">
            <w:pPr>
              <w:pStyle w:val="TableParagraph"/>
              <w:spacing w:line="223" w:lineRule="exact"/>
              <w:ind w:left="105"/>
              <w:rPr>
                <w:szCs w:val="24"/>
              </w:rPr>
            </w:pPr>
            <w:r w:rsidRPr="00DD0D1F">
              <w:rPr>
                <w:szCs w:val="24"/>
              </w:rPr>
              <w:t>Bölüm 1.20.5 bakınız.</w:t>
            </w:r>
          </w:p>
        </w:tc>
        <w:tc>
          <w:tcPr>
            <w:tcW w:w="1591" w:type="pct"/>
          </w:tcPr>
          <w:p w14:paraId="571DD858" w14:textId="05ED51E2" w:rsidR="000873D9" w:rsidRPr="00DD0D1F" w:rsidRDefault="000873D9" w:rsidP="000873D9">
            <w:pPr>
              <w:pStyle w:val="TableParagraph"/>
              <w:spacing w:line="223" w:lineRule="exact"/>
              <w:ind w:left="105"/>
              <w:rPr>
                <w:szCs w:val="24"/>
              </w:rPr>
            </w:pPr>
            <w:r w:rsidRPr="00DD0D1F">
              <w:rPr>
                <w:szCs w:val="24"/>
              </w:rPr>
              <w:t>Genel olarak sadece tam yanma kipinde uygulanabilir</w:t>
            </w:r>
          </w:p>
          <w:p w14:paraId="2F019750" w14:textId="77777777" w:rsidR="000873D9" w:rsidRPr="00DD0D1F" w:rsidRDefault="000873D9" w:rsidP="000873D9">
            <w:pPr>
              <w:pStyle w:val="TableParagraph"/>
              <w:spacing w:line="217" w:lineRule="exact"/>
              <w:ind w:left="105"/>
              <w:rPr>
                <w:szCs w:val="24"/>
              </w:rPr>
            </w:pPr>
          </w:p>
        </w:tc>
      </w:tr>
      <w:tr w:rsidR="000873D9" w:rsidRPr="00DD0D1F" w14:paraId="716C27CA" w14:textId="77777777" w:rsidTr="000873D9">
        <w:trPr>
          <w:trHeight w:val="460"/>
        </w:trPr>
        <w:tc>
          <w:tcPr>
            <w:tcW w:w="1817" w:type="pct"/>
            <w:vAlign w:val="center"/>
          </w:tcPr>
          <w:p w14:paraId="603B0205" w14:textId="77777777" w:rsidR="000873D9" w:rsidRPr="00DD0D1F" w:rsidRDefault="000873D9" w:rsidP="000873D9">
            <w:pPr>
              <w:pStyle w:val="TableParagraph"/>
              <w:numPr>
                <w:ilvl w:val="0"/>
                <w:numId w:val="118"/>
              </w:numPr>
              <w:tabs>
                <w:tab w:val="left" w:pos="575"/>
              </w:tabs>
              <w:spacing w:before="108"/>
              <w:ind w:right="373"/>
              <w:rPr>
                <w:szCs w:val="24"/>
              </w:rPr>
            </w:pPr>
            <w:r w:rsidRPr="00DD0D1F">
              <w:rPr>
                <w:szCs w:val="24"/>
              </w:rPr>
              <w:t>Karbonmonoksit (CO) kazanı</w:t>
            </w:r>
          </w:p>
        </w:tc>
        <w:tc>
          <w:tcPr>
            <w:tcW w:w="1592" w:type="pct"/>
          </w:tcPr>
          <w:p w14:paraId="0DBFCCBB" w14:textId="3E811996" w:rsidR="000873D9" w:rsidRPr="00DD0D1F" w:rsidRDefault="000873D9" w:rsidP="000873D9">
            <w:pPr>
              <w:pStyle w:val="TableParagraph"/>
              <w:spacing w:line="223" w:lineRule="exact"/>
              <w:ind w:left="105"/>
              <w:rPr>
                <w:szCs w:val="24"/>
              </w:rPr>
            </w:pPr>
            <w:r w:rsidRPr="00DD0D1F">
              <w:rPr>
                <w:szCs w:val="24"/>
              </w:rPr>
              <w:t>Bölüm 1.20.5 bakınız.</w:t>
            </w:r>
          </w:p>
        </w:tc>
        <w:tc>
          <w:tcPr>
            <w:tcW w:w="1591" w:type="pct"/>
          </w:tcPr>
          <w:p w14:paraId="52C966D6" w14:textId="2D7C1F0C" w:rsidR="000873D9" w:rsidRPr="00DD0D1F" w:rsidRDefault="000873D9" w:rsidP="000873D9">
            <w:pPr>
              <w:pStyle w:val="TableParagraph"/>
              <w:spacing w:line="223" w:lineRule="exact"/>
              <w:ind w:left="105"/>
              <w:rPr>
                <w:szCs w:val="24"/>
              </w:rPr>
            </w:pPr>
            <w:r w:rsidRPr="00DD0D1F">
              <w:rPr>
                <w:szCs w:val="24"/>
              </w:rPr>
              <w:t>Genel olarak sadece kısmi yanma kipinde uygulanabilir</w:t>
            </w:r>
          </w:p>
          <w:p w14:paraId="137B0499" w14:textId="77777777" w:rsidR="000873D9" w:rsidRPr="00DD0D1F" w:rsidRDefault="000873D9" w:rsidP="000873D9">
            <w:pPr>
              <w:pStyle w:val="TableParagraph"/>
              <w:spacing w:before="1" w:line="217" w:lineRule="exact"/>
              <w:ind w:left="105"/>
              <w:rPr>
                <w:szCs w:val="24"/>
              </w:rPr>
            </w:pPr>
          </w:p>
        </w:tc>
      </w:tr>
    </w:tbl>
    <w:p w14:paraId="5D3F51CA" w14:textId="77777777" w:rsidR="00A508A2" w:rsidRPr="00DD0D1F" w:rsidRDefault="00A508A2" w:rsidP="00A508A2">
      <w:pPr>
        <w:pStyle w:val="GvdeMetni"/>
        <w:rPr>
          <w:b/>
          <w:sz w:val="24"/>
          <w:szCs w:val="24"/>
        </w:rPr>
      </w:pPr>
    </w:p>
    <w:p w14:paraId="61319151" w14:textId="77777777" w:rsidR="00A508A2" w:rsidRPr="00DD0D1F" w:rsidRDefault="00A508A2" w:rsidP="00A508A2">
      <w:pPr>
        <w:pStyle w:val="GvdeMetni"/>
        <w:spacing w:before="5"/>
        <w:rPr>
          <w:b/>
          <w:sz w:val="24"/>
          <w:szCs w:val="24"/>
        </w:rPr>
      </w:pPr>
    </w:p>
    <w:p w14:paraId="45A0AF96"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Kısmi yanma kipi için Akışkan katalitik parçalama prosesinde rejeneratörden havaya yayılan karbon monoksit</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407CDB31"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3286"/>
        <w:gridCol w:w="2814"/>
      </w:tblGrid>
      <w:tr w:rsidR="00A508A2" w:rsidRPr="00DD0D1F" w14:paraId="2C8B8DC9" w14:textId="77777777" w:rsidTr="00A508A2">
        <w:trPr>
          <w:trHeight w:val="688"/>
        </w:trPr>
        <w:tc>
          <w:tcPr>
            <w:tcW w:w="1640" w:type="pct"/>
          </w:tcPr>
          <w:p w14:paraId="10F1CE81" w14:textId="77777777" w:rsidR="00A508A2" w:rsidRPr="00DD0D1F" w:rsidRDefault="00A508A2" w:rsidP="00A508A2">
            <w:pPr>
              <w:pStyle w:val="TableParagraph"/>
              <w:spacing w:before="9"/>
              <w:rPr>
                <w:b/>
                <w:szCs w:val="24"/>
              </w:rPr>
            </w:pPr>
          </w:p>
          <w:p w14:paraId="278BED54" w14:textId="77777777" w:rsidR="00A508A2" w:rsidRPr="00DD0D1F" w:rsidRDefault="00A508A2" w:rsidP="00A508A2">
            <w:pPr>
              <w:pStyle w:val="TableParagraph"/>
              <w:ind w:left="739"/>
              <w:rPr>
                <w:b/>
                <w:szCs w:val="24"/>
              </w:rPr>
            </w:pPr>
            <w:r w:rsidRPr="00DD0D1F">
              <w:rPr>
                <w:b/>
                <w:bCs/>
                <w:szCs w:val="24"/>
              </w:rPr>
              <w:t>Parametre</w:t>
            </w:r>
          </w:p>
        </w:tc>
        <w:tc>
          <w:tcPr>
            <w:tcW w:w="1810" w:type="pct"/>
          </w:tcPr>
          <w:p w14:paraId="3E1C676A" w14:textId="77777777" w:rsidR="00A508A2" w:rsidRPr="00DD0D1F" w:rsidRDefault="00A508A2" w:rsidP="00A508A2">
            <w:pPr>
              <w:pStyle w:val="TableParagraph"/>
              <w:spacing w:before="9"/>
              <w:rPr>
                <w:b/>
                <w:szCs w:val="24"/>
              </w:rPr>
            </w:pPr>
          </w:p>
          <w:p w14:paraId="62B81450" w14:textId="77777777" w:rsidR="00A508A2" w:rsidRPr="00DD0D1F" w:rsidRDefault="00A508A2" w:rsidP="00A508A2">
            <w:pPr>
              <w:pStyle w:val="TableParagraph"/>
              <w:ind w:left="296" w:right="290"/>
              <w:jc w:val="center"/>
              <w:rPr>
                <w:b/>
                <w:szCs w:val="24"/>
              </w:rPr>
            </w:pPr>
            <w:r w:rsidRPr="00DD0D1F">
              <w:rPr>
                <w:b/>
                <w:bCs/>
                <w:szCs w:val="24"/>
              </w:rPr>
              <w:t>Yanma kipi</w:t>
            </w:r>
          </w:p>
        </w:tc>
        <w:tc>
          <w:tcPr>
            <w:tcW w:w="1550" w:type="pct"/>
          </w:tcPr>
          <w:p w14:paraId="4AF033DA" w14:textId="44B6C8B8" w:rsidR="00A508A2" w:rsidRPr="00DD0D1F" w:rsidRDefault="007D7613" w:rsidP="00A508A2">
            <w:pPr>
              <w:pStyle w:val="TableParagraph"/>
              <w:spacing w:line="228" w:lineRule="exact"/>
              <w:ind w:left="226" w:right="216"/>
              <w:jc w:val="center"/>
              <w:rPr>
                <w:b/>
                <w:szCs w:val="24"/>
              </w:rPr>
            </w:pPr>
            <w:r w:rsidRPr="00DD0D1F">
              <w:rPr>
                <w:b/>
                <w:bCs/>
                <w:szCs w:val="24"/>
              </w:rPr>
              <w:t>MET_İES</w:t>
            </w:r>
          </w:p>
          <w:p w14:paraId="7C021685" w14:textId="77777777" w:rsidR="00A508A2" w:rsidRPr="00DD0D1F" w:rsidRDefault="00A508A2" w:rsidP="00A508A2">
            <w:pPr>
              <w:pStyle w:val="TableParagraph"/>
              <w:spacing w:line="227" w:lineRule="exact"/>
              <w:ind w:left="226" w:right="219"/>
              <w:jc w:val="center"/>
              <w:rPr>
                <w:b/>
                <w:szCs w:val="24"/>
              </w:rPr>
            </w:pPr>
            <w:r w:rsidRPr="00DD0D1F">
              <w:rPr>
                <w:b/>
                <w:bCs/>
                <w:szCs w:val="24"/>
              </w:rPr>
              <w:t>(aylık ortalama)</w:t>
            </w:r>
          </w:p>
          <w:p w14:paraId="7726F4D5" w14:textId="77777777" w:rsidR="00A508A2" w:rsidRPr="00DD0D1F" w:rsidRDefault="00A508A2" w:rsidP="00A508A2">
            <w:pPr>
              <w:pStyle w:val="TableParagraph"/>
              <w:spacing w:line="214" w:lineRule="exact"/>
              <w:ind w:left="226" w:right="221"/>
              <w:jc w:val="center"/>
              <w:rPr>
                <w:szCs w:val="24"/>
              </w:rPr>
            </w:pPr>
            <w:r w:rsidRPr="00DD0D1F">
              <w:rPr>
                <w:szCs w:val="24"/>
              </w:rPr>
              <w:t>mg/Nm</w:t>
            </w:r>
            <w:r w:rsidRPr="00DD0D1F">
              <w:rPr>
                <w:szCs w:val="24"/>
                <w:vertAlign w:val="superscript"/>
              </w:rPr>
              <w:t>3</w:t>
            </w:r>
          </w:p>
        </w:tc>
      </w:tr>
      <w:tr w:rsidR="00A508A2" w:rsidRPr="00DD0D1F" w14:paraId="430B1BB6" w14:textId="77777777" w:rsidTr="00A508A2">
        <w:trPr>
          <w:trHeight w:val="460"/>
        </w:trPr>
        <w:tc>
          <w:tcPr>
            <w:tcW w:w="1640" w:type="pct"/>
          </w:tcPr>
          <w:p w14:paraId="00CB1BFC" w14:textId="77777777" w:rsidR="00A508A2" w:rsidRPr="00DD0D1F" w:rsidRDefault="00A508A2" w:rsidP="00A508A2">
            <w:pPr>
              <w:pStyle w:val="TableParagraph"/>
              <w:tabs>
                <w:tab w:val="left" w:pos="1429"/>
              </w:tabs>
              <w:spacing w:line="223" w:lineRule="exact"/>
              <w:ind w:left="107"/>
              <w:rPr>
                <w:szCs w:val="24"/>
              </w:rPr>
            </w:pPr>
            <w:r w:rsidRPr="00DD0D1F">
              <w:rPr>
                <w:szCs w:val="24"/>
              </w:rPr>
              <w:t>CO olarak ifade edilen karbonmonoksit</w:t>
            </w:r>
          </w:p>
          <w:p w14:paraId="0AFD3C5C" w14:textId="77777777" w:rsidR="00A508A2" w:rsidRPr="00DD0D1F" w:rsidRDefault="00A508A2" w:rsidP="00A508A2">
            <w:pPr>
              <w:pStyle w:val="TableParagraph"/>
              <w:spacing w:line="217" w:lineRule="exact"/>
              <w:ind w:left="107"/>
              <w:rPr>
                <w:szCs w:val="24"/>
              </w:rPr>
            </w:pPr>
          </w:p>
        </w:tc>
        <w:tc>
          <w:tcPr>
            <w:tcW w:w="1810" w:type="pct"/>
          </w:tcPr>
          <w:p w14:paraId="30015689" w14:textId="77777777" w:rsidR="00A508A2" w:rsidRPr="00DD0D1F" w:rsidRDefault="00A508A2" w:rsidP="00A508A2">
            <w:pPr>
              <w:pStyle w:val="TableParagraph"/>
              <w:spacing w:before="108"/>
              <w:ind w:left="297" w:right="290"/>
              <w:jc w:val="center"/>
              <w:rPr>
                <w:szCs w:val="24"/>
              </w:rPr>
            </w:pPr>
            <w:r w:rsidRPr="00DD0D1F">
              <w:rPr>
                <w:szCs w:val="24"/>
              </w:rPr>
              <w:t>Kısmi yanma kipi</w:t>
            </w:r>
          </w:p>
        </w:tc>
        <w:tc>
          <w:tcPr>
            <w:tcW w:w="1550" w:type="pct"/>
          </w:tcPr>
          <w:p w14:paraId="3E61A531" w14:textId="77777777" w:rsidR="00A508A2" w:rsidRPr="00DD0D1F" w:rsidRDefault="00A508A2" w:rsidP="00A508A2">
            <w:pPr>
              <w:pStyle w:val="TableParagraph"/>
              <w:spacing w:before="108"/>
              <w:ind w:left="226" w:right="214"/>
              <w:jc w:val="center"/>
              <w:rPr>
                <w:szCs w:val="24"/>
              </w:rPr>
            </w:pPr>
            <w:r w:rsidRPr="00DD0D1F">
              <w:rPr>
                <w:szCs w:val="24"/>
              </w:rPr>
              <w:t>≤ 100 (</w:t>
            </w:r>
            <w:r w:rsidRPr="00DD0D1F">
              <w:rPr>
                <w:szCs w:val="24"/>
                <w:vertAlign w:val="superscript"/>
              </w:rPr>
              <w:t>1</w:t>
            </w:r>
            <w:r w:rsidRPr="00DD0D1F">
              <w:rPr>
                <w:szCs w:val="24"/>
              </w:rPr>
              <w:t>)</w:t>
            </w:r>
          </w:p>
        </w:tc>
      </w:tr>
      <w:tr w:rsidR="00A508A2" w:rsidRPr="00DD0D1F" w14:paraId="661200B0" w14:textId="77777777" w:rsidTr="00A508A2">
        <w:trPr>
          <w:trHeight w:val="285"/>
        </w:trPr>
        <w:tc>
          <w:tcPr>
            <w:tcW w:w="5000" w:type="pct"/>
            <w:gridSpan w:val="3"/>
          </w:tcPr>
          <w:p w14:paraId="1C32DB41" w14:textId="77777777" w:rsidR="00A508A2" w:rsidRPr="00DD0D1F" w:rsidRDefault="00A508A2" w:rsidP="00A508A2">
            <w:pPr>
              <w:pStyle w:val="TableParagraph"/>
              <w:spacing w:before="10"/>
              <w:ind w:left="107"/>
              <w:rPr>
                <w:szCs w:val="24"/>
              </w:rPr>
            </w:pPr>
            <w:r w:rsidRPr="00DD0D1F">
              <w:rPr>
                <w:szCs w:val="24"/>
              </w:rPr>
              <w:t>(1) CO kazanı tam yükte çalışıyorken elde edilemeyebilir.</w:t>
            </w:r>
          </w:p>
        </w:tc>
      </w:tr>
    </w:tbl>
    <w:p w14:paraId="5BB142FE" w14:textId="77777777" w:rsidR="00A508A2" w:rsidRPr="00DD0D1F" w:rsidRDefault="00A508A2" w:rsidP="00A508A2">
      <w:pPr>
        <w:pStyle w:val="GvdeMetni"/>
        <w:ind w:right="4795"/>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3A63E90F" w14:textId="5674E64B" w:rsidR="00A508A2" w:rsidRDefault="00A508A2" w:rsidP="00A508A2">
      <w:pPr>
        <w:pStyle w:val="GvdeMetni"/>
        <w:ind w:right="4795"/>
        <w:jc w:val="center"/>
        <w:rPr>
          <w:sz w:val="24"/>
          <w:szCs w:val="24"/>
        </w:rPr>
      </w:pPr>
    </w:p>
    <w:p w14:paraId="5DB3BBC9" w14:textId="5338077A" w:rsidR="00695881" w:rsidRDefault="00695881" w:rsidP="00A508A2">
      <w:pPr>
        <w:pStyle w:val="GvdeMetni"/>
        <w:ind w:right="4795"/>
        <w:jc w:val="center"/>
        <w:rPr>
          <w:sz w:val="24"/>
          <w:szCs w:val="24"/>
        </w:rPr>
      </w:pPr>
    </w:p>
    <w:p w14:paraId="2783BE05" w14:textId="041D9279" w:rsidR="00695881" w:rsidRDefault="00695881" w:rsidP="00A508A2">
      <w:pPr>
        <w:pStyle w:val="GvdeMetni"/>
        <w:ind w:right="4795"/>
        <w:jc w:val="center"/>
        <w:rPr>
          <w:sz w:val="24"/>
          <w:szCs w:val="24"/>
        </w:rPr>
      </w:pPr>
    </w:p>
    <w:p w14:paraId="7D88D876" w14:textId="05E52307" w:rsidR="00695881" w:rsidRDefault="00695881" w:rsidP="00A508A2">
      <w:pPr>
        <w:pStyle w:val="GvdeMetni"/>
        <w:ind w:right="4795"/>
        <w:jc w:val="center"/>
        <w:rPr>
          <w:sz w:val="24"/>
          <w:szCs w:val="24"/>
        </w:rPr>
      </w:pPr>
    </w:p>
    <w:p w14:paraId="427D7645" w14:textId="77777777" w:rsidR="00695881" w:rsidRPr="00DD0D1F" w:rsidRDefault="00695881" w:rsidP="00A508A2">
      <w:pPr>
        <w:pStyle w:val="GvdeMetni"/>
        <w:ind w:right="4795"/>
        <w:jc w:val="center"/>
        <w:rPr>
          <w:sz w:val="24"/>
          <w:szCs w:val="24"/>
        </w:rPr>
      </w:pPr>
    </w:p>
    <w:p w14:paraId="1E765D6E" w14:textId="77777777" w:rsidR="00A508A2" w:rsidRPr="00DD0D1F" w:rsidRDefault="00A508A2" w:rsidP="00A508A2">
      <w:pPr>
        <w:pStyle w:val="GvdeMetni"/>
        <w:ind w:right="4795"/>
        <w:jc w:val="center"/>
        <w:rPr>
          <w:sz w:val="24"/>
          <w:szCs w:val="24"/>
        </w:rPr>
      </w:pPr>
    </w:p>
    <w:p w14:paraId="3DEB058D" w14:textId="7E457B91"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tr-TR"/>
        </w:rPr>
      </w:pPr>
      <w:bookmarkStart w:id="222" w:name="_bookmark890"/>
      <w:bookmarkStart w:id="223" w:name="5.6_BAT_conclusions_for_the_catalytic_re"/>
      <w:bookmarkEnd w:id="222"/>
      <w:bookmarkEnd w:id="223"/>
      <w:r w:rsidRPr="00DD0D1F">
        <w:rPr>
          <w:rFonts w:cs="Times New Roman"/>
          <w:szCs w:val="24"/>
          <w:lang w:val="tr-TR"/>
        </w:rPr>
        <w:t xml:space="preserve">AKIŞKAN KATALİTİK PARÇALAMA İŞLEMİ İÇİN </w:t>
      </w:r>
      <w:r w:rsidR="00EB7491" w:rsidRPr="00DD0D1F">
        <w:rPr>
          <w:rFonts w:cs="Times New Roman"/>
          <w:szCs w:val="24"/>
          <w:lang w:val="tr-TR"/>
        </w:rPr>
        <w:t>MET</w:t>
      </w:r>
    </w:p>
    <w:p w14:paraId="7C40BBB9" w14:textId="77777777" w:rsidR="00A508A2" w:rsidRPr="00DD0D1F" w:rsidRDefault="00A508A2" w:rsidP="00A508A2">
      <w:pPr>
        <w:pStyle w:val="GvdeMetni"/>
        <w:spacing w:before="8" w:line="360" w:lineRule="auto"/>
        <w:jc w:val="both"/>
        <w:rPr>
          <w:b/>
          <w:sz w:val="24"/>
          <w:szCs w:val="24"/>
        </w:rPr>
      </w:pPr>
    </w:p>
    <w:p w14:paraId="5A6EAFAD"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28: </w:t>
      </w:r>
      <w:r w:rsidRPr="00DD0D1F">
        <w:rPr>
          <w:rFonts w:cs="Times New Roman"/>
          <w:bCs/>
          <w:szCs w:val="24"/>
          <w:lang w:val="tr-TR"/>
        </w:rPr>
        <w:t>Akışkan katalitik parçalama reformasyon biriminden havaya yayılan poliklorlu dibenzodioksinlerin/furanların (PCDD/F) azaltılması için aşağıdaki tekniklerden biri veya daha fazlasının kombinasyonu kullanılır.</w:t>
      </w:r>
    </w:p>
    <w:p w14:paraId="63566945" w14:textId="77777777" w:rsidR="00A508A2" w:rsidRPr="00DD0D1F" w:rsidRDefault="00A508A2" w:rsidP="00A508A2">
      <w:pPr>
        <w:pStyle w:val="GvdeMetni"/>
        <w:spacing w:before="7"/>
        <w:rPr>
          <w:b/>
          <w:sz w:val="24"/>
          <w:szCs w:val="24"/>
        </w:rPr>
      </w:pPr>
      <w:bookmarkStart w:id="224" w:name="_bookmark891"/>
      <w:bookmarkStart w:id="225" w:name="5.7_BAT_conclusions_for_the_coking_proce"/>
      <w:bookmarkEnd w:id="224"/>
      <w:bookmarkEnd w:id="225"/>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9"/>
        <w:gridCol w:w="2975"/>
        <w:gridCol w:w="2976"/>
      </w:tblGrid>
      <w:tr w:rsidR="00A508A2" w:rsidRPr="00DD0D1F" w14:paraId="68985422" w14:textId="77777777" w:rsidTr="00A508A2">
        <w:trPr>
          <w:trHeight w:val="285"/>
          <w:jc w:val="center"/>
        </w:trPr>
        <w:tc>
          <w:tcPr>
            <w:tcW w:w="2769" w:type="dxa"/>
          </w:tcPr>
          <w:p w14:paraId="05116BB7" w14:textId="5D1E5DF3" w:rsidR="00A508A2" w:rsidRPr="00DD0D1F" w:rsidRDefault="00A508A2" w:rsidP="006346F6">
            <w:pPr>
              <w:pStyle w:val="TableParagraph"/>
              <w:spacing w:before="26"/>
              <w:ind w:left="1031" w:right="932"/>
              <w:jc w:val="center"/>
              <w:rPr>
                <w:b/>
                <w:szCs w:val="24"/>
              </w:rPr>
            </w:pPr>
            <w:r w:rsidRPr="00DD0D1F">
              <w:rPr>
                <w:b/>
                <w:bCs/>
                <w:szCs w:val="24"/>
              </w:rPr>
              <w:t>Tekni</w:t>
            </w:r>
            <w:r w:rsidR="006346F6">
              <w:rPr>
                <w:b/>
                <w:bCs/>
                <w:szCs w:val="24"/>
              </w:rPr>
              <w:t>k</w:t>
            </w:r>
          </w:p>
        </w:tc>
        <w:tc>
          <w:tcPr>
            <w:tcW w:w="2975" w:type="dxa"/>
          </w:tcPr>
          <w:p w14:paraId="085DF153" w14:textId="77777777" w:rsidR="00A508A2" w:rsidRPr="00DD0D1F" w:rsidRDefault="00A508A2" w:rsidP="00A508A2">
            <w:pPr>
              <w:pStyle w:val="TableParagraph"/>
              <w:spacing w:before="26"/>
              <w:ind w:left="993"/>
              <w:rPr>
                <w:b/>
                <w:szCs w:val="24"/>
              </w:rPr>
            </w:pPr>
            <w:r w:rsidRPr="00DD0D1F">
              <w:rPr>
                <w:b/>
                <w:bCs/>
                <w:szCs w:val="24"/>
              </w:rPr>
              <w:t>Açıklama</w:t>
            </w:r>
          </w:p>
        </w:tc>
        <w:tc>
          <w:tcPr>
            <w:tcW w:w="2976" w:type="dxa"/>
          </w:tcPr>
          <w:p w14:paraId="16FFA637" w14:textId="77777777" w:rsidR="00A508A2" w:rsidRPr="00DD0D1F" w:rsidRDefault="00A508A2" w:rsidP="00A508A2">
            <w:pPr>
              <w:pStyle w:val="TableParagraph"/>
              <w:spacing w:before="26"/>
              <w:ind w:left="27"/>
              <w:jc w:val="center"/>
              <w:rPr>
                <w:b/>
                <w:szCs w:val="24"/>
              </w:rPr>
            </w:pPr>
            <w:r w:rsidRPr="00DD0D1F">
              <w:rPr>
                <w:b/>
                <w:bCs/>
                <w:szCs w:val="24"/>
              </w:rPr>
              <w:t>Uygulanabilirlik</w:t>
            </w:r>
          </w:p>
        </w:tc>
      </w:tr>
      <w:tr w:rsidR="00A508A2" w:rsidRPr="00DD0D1F" w14:paraId="65AEC27F" w14:textId="77777777" w:rsidTr="00A508A2">
        <w:trPr>
          <w:trHeight w:val="227"/>
          <w:jc w:val="center"/>
        </w:trPr>
        <w:tc>
          <w:tcPr>
            <w:tcW w:w="2769" w:type="dxa"/>
            <w:tcBorders>
              <w:bottom w:val="nil"/>
            </w:tcBorders>
          </w:tcPr>
          <w:p w14:paraId="36E0997C" w14:textId="77777777" w:rsidR="00A508A2" w:rsidRPr="00DD0D1F" w:rsidRDefault="00A508A2" w:rsidP="00A508A2">
            <w:pPr>
              <w:pStyle w:val="TableParagraph"/>
              <w:rPr>
                <w:szCs w:val="24"/>
              </w:rPr>
            </w:pPr>
          </w:p>
        </w:tc>
        <w:tc>
          <w:tcPr>
            <w:tcW w:w="2975" w:type="dxa"/>
            <w:vMerge w:val="restart"/>
          </w:tcPr>
          <w:p w14:paraId="616CEA8F" w14:textId="77777777" w:rsidR="00A508A2" w:rsidRPr="00DD0D1F" w:rsidRDefault="00A508A2" w:rsidP="00A508A2">
            <w:pPr>
              <w:pStyle w:val="TableParagraph"/>
              <w:spacing w:line="208" w:lineRule="exact"/>
              <w:ind w:left="110"/>
              <w:rPr>
                <w:szCs w:val="24"/>
              </w:rPr>
            </w:pPr>
            <w:r w:rsidRPr="00DD0D1F">
              <w:rPr>
                <w:szCs w:val="24"/>
              </w:rPr>
              <w:t xml:space="preserve">Rejenerasyon sırasında poliklorlu </w:t>
            </w:r>
          </w:p>
          <w:p w14:paraId="0DFE2858" w14:textId="77777777" w:rsidR="00A508A2" w:rsidRPr="00DD0D1F" w:rsidRDefault="00A508A2" w:rsidP="00A508A2">
            <w:pPr>
              <w:pStyle w:val="TableParagraph"/>
              <w:tabs>
                <w:tab w:val="left" w:pos="568"/>
                <w:tab w:val="left" w:pos="1609"/>
              </w:tabs>
              <w:spacing w:line="226" w:lineRule="exact"/>
              <w:ind w:left="110"/>
              <w:rPr>
                <w:szCs w:val="24"/>
              </w:rPr>
            </w:pPr>
            <w:r w:rsidRPr="00DD0D1F">
              <w:rPr>
                <w:szCs w:val="24"/>
              </w:rPr>
              <w:t>dibenzodioksinlerin/furanların (PCDD/F) oluşmasını en aza düşürmek için katalizör başlatıcısı ku</w:t>
            </w:r>
            <w:r w:rsidR="000873D9" w:rsidRPr="00DD0D1F">
              <w:rPr>
                <w:szCs w:val="24"/>
              </w:rPr>
              <w:t xml:space="preserve">llanımı. </w:t>
            </w:r>
          </w:p>
          <w:p w14:paraId="6A5E62E7" w14:textId="5844FCB4" w:rsidR="000873D9" w:rsidRPr="00DD0D1F" w:rsidRDefault="000873D9" w:rsidP="000873D9">
            <w:pPr>
              <w:pStyle w:val="TableParagraph"/>
              <w:ind w:left="108" w:right="96"/>
              <w:jc w:val="both"/>
              <w:rPr>
                <w:szCs w:val="24"/>
              </w:rPr>
            </w:pPr>
            <w:r w:rsidRPr="00DD0D1F">
              <w:rPr>
                <w:szCs w:val="24"/>
              </w:rPr>
              <w:t>Bölüm 1.20.7 bakınız.</w:t>
            </w:r>
          </w:p>
          <w:p w14:paraId="2A6F58DA" w14:textId="2062EBD6" w:rsidR="000873D9" w:rsidRPr="00DD0D1F" w:rsidRDefault="000873D9" w:rsidP="00A508A2">
            <w:pPr>
              <w:pStyle w:val="TableParagraph"/>
              <w:tabs>
                <w:tab w:val="left" w:pos="568"/>
                <w:tab w:val="left" w:pos="1609"/>
              </w:tabs>
              <w:spacing w:line="226" w:lineRule="exact"/>
              <w:ind w:left="110"/>
              <w:rPr>
                <w:szCs w:val="24"/>
              </w:rPr>
            </w:pPr>
          </w:p>
        </w:tc>
        <w:tc>
          <w:tcPr>
            <w:tcW w:w="2976" w:type="dxa"/>
            <w:tcBorders>
              <w:bottom w:val="nil"/>
            </w:tcBorders>
          </w:tcPr>
          <w:p w14:paraId="0CB06210" w14:textId="77777777" w:rsidR="00A508A2" w:rsidRPr="00DD0D1F" w:rsidRDefault="00A508A2" w:rsidP="00A508A2">
            <w:pPr>
              <w:pStyle w:val="TableParagraph"/>
              <w:rPr>
                <w:szCs w:val="24"/>
              </w:rPr>
            </w:pPr>
          </w:p>
        </w:tc>
      </w:tr>
      <w:tr w:rsidR="00A508A2" w:rsidRPr="00DD0D1F" w14:paraId="5B255685" w14:textId="77777777" w:rsidTr="00A508A2">
        <w:trPr>
          <w:trHeight w:val="688"/>
          <w:jc w:val="center"/>
        </w:trPr>
        <w:tc>
          <w:tcPr>
            <w:tcW w:w="2769" w:type="dxa"/>
            <w:tcBorders>
              <w:top w:val="nil"/>
              <w:bottom w:val="nil"/>
            </w:tcBorders>
          </w:tcPr>
          <w:p w14:paraId="7C68754C" w14:textId="77777777" w:rsidR="00A508A2" w:rsidRPr="00DD0D1F" w:rsidRDefault="00A508A2" w:rsidP="00A508A2">
            <w:pPr>
              <w:pStyle w:val="TableParagraph"/>
              <w:tabs>
                <w:tab w:val="left" w:pos="588"/>
                <w:tab w:val="left" w:pos="1394"/>
                <w:tab w:val="left" w:pos="1801"/>
                <w:tab w:val="left" w:pos="2286"/>
              </w:tabs>
              <w:spacing w:before="111"/>
              <w:ind w:left="588" w:right="99" w:hanging="467"/>
              <w:rPr>
                <w:szCs w:val="24"/>
              </w:rPr>
            </w:pPr>
            <w:r w:rsidRPr="00DD0D1F">
              <w:rPr>
                <w:szCs w:val="24"/>
              </w:rPr>
              <w:t>i. Katalizör başlatıcısı seçimi</w:t>
            </w:r>
          </w:p>
        </w:tc>
        <w:tc>
          <w:tcPr>
            <w:tcW w:w="2975" w:type="dxa"/>
            <w:vMerge/>
          </w:tcPr>
          <w:p w14:paraId="4E68EBC8" w14:textId="77777777" w:rsidR="00A508A2" w:rsidRPr="00DD0D1F" w:rsidRDefault="00A508A2" w:rsidP="00A508A2">
            <w:pPr>
              <w:pStyle w:val="TableParagraph"/>
              <w:spacing w:line="213" w:lineRule="exact"/>
              <w:ind w:left="110"/>
              <w:rPr>
                <w:szCs w:val="24"/>
              </w:rPr>
            </w:pPr>
          </w:p>
        </w:tc>
        <w:tc>
          <w:tcPr>
            <w:tcW w:w="2976" w:type="dxa"/>
            <w:tcBorders>
              <w:top w:val="nil"/>
              <w:bottom w:val="nil"/>
            </w:tcBorders>
          </w:tcPr>
          <w:p w14:paraId="2A2A2535" w14:textId="77777777" w:rsidR="00A508A2" w:rsidRPr="00DD0D1F" w:rsidRDefault="00A508A2" w:rsidP="00A508A2">
            <w:pPr>
              <w:pStyle w:val="TableParagraph"/>
              <w:spacing w:before="7"/>
              <w:rPr>
                <w:b/>
                <w:szCs w:val="24"/>
              </w:rPr>
            </w:pPr>
          </w:p>
          <w:p w14:paraId="2DE23C05" w14:textId="77777777" w:rsidR="00A508A2" w:rsidRPr="00DD0D1F" w:rsidRDefault="00A508A2" w:rsidP="00A508A2">
            <w:pPr>
              <w:pStyle w:val="TableParagraph"/>
              <w:ind w:left="107"/>
              <w:rPr>
                <w:szCs w:val="24"/>
              </w:rPr>
            </w:pPr>
            <w:r w:rsidRPr="00DD0D1F">
              <w:rPr>
                <w:szCs w:val="24"/>
              </w:rPr>
              <w:t>Genel olarak uygulanabilir</w:t>
            </w:r>
          </w:p>
        </w:tc>
      </w:tr>
      <w:tr w:rsidR="00A508A2" w:rsidRPr="00DD0D1F" w14:paraId="23D8F452" w14:textId="77777777" w:rsidTr="00A508A2">
        <w:trPr>
          <w:trHeight w:val="232"/>
          <w:jc w:val="center"/>
        </w:trPr>
        <w:tc>
          <w:tcPr>
            <w:tcW w:w="2769" w:type="dxa"/>
            <w:tcBorders>
              <w:top w:val="nil"/>
            </w:tcBorders>
          </w:tcPr>
          <w:p w14:paraId="427509D4" w14:textId="77777777" w:rsidR="00A508A2" w:rsidRPr="00DD0D1F" w:rsidRDefault="00A508A2" w:rsidP="00A508A2">
            <w:pPr>
              <w:pStyle w:val="TableParagraph"/>
              <w:rPr>
                <w:szCs w:val="24"/>
              </w:rPr>
            </w:pPr>
          </w:p>
        </w:tc>
        <w:tc>
          <w:tcPr>
            <w:tcW w:w="2975" w:type="dxa"/>
            <w:vMerge/>
          </w:tcPr>
          <w:p w14:paraId="1F06D7DE" w14:textId="77777777" w:rsidR="00A508A2" w:rsidRPr="00DD0D1F" w:rsidRDefault="00A508A2" w:rsidP="00A508A2">
            <w:pPr>
              <w:pStyle w:val="TableParagraph"/>
              <w:spacing w:line="213" w:lineRule="exact"/>
              <w:ind w:left="110"/>
              <w:rPr>
                <w:szCs w:val="24"/>
              </w:rPr>
            </w:pPr>
          </w:p>
        </w:tc>
        <w:tc>
          <w:tcPr>
            <w:tcW w:w="2976" w:type="dxa"/>
            <w:tcBorders>
              <w:top w:val="nil"/>
            </w:tcBorders>
          </w:tcPr>
          <w:p w14:paraId="64942EEC" w14:textId="77777777" w:rsidR="00A508A2" w:rsidRPr="00DD0D1F" w:rsidRDefault="00A508A2" w:rsidP="00A508A2">
            <w:pPr>
              <w:pStyle w:val="TableParagraph"/>
              <w:rPr>
                <w:szCs w:val="24"/>
              </w:rPr>
            </w:pPr>
          </w:p>
        </w:tc>
      </w:tr>
      <w:tr w:rsidR="000873D9" w:rsidRPr="00DD0D1F" w14:paraId="44701FEB" w14:textId="77777777" w:rsidTr="00FC13C1">
        <w:trPr>
          <w:trHeight w:val="460"/>
          <w:jc w:val="center"/>
        </w:trPr>
        <w:tc>
          <w:tcPr>
            <w:tcW w:w="8720" w:type="dxa"/>
            <w:gridSpan w:val="3"/>
          </w:tcPr>
          <w:p w14:paraId="6001E9B8" w14:textId="3B7C8B16" w:rsidR="000873D9" w:rsidRPr="00DD0D1F" w:rsidRDefault="000873D9" w:rsidP="00A508A2">
            <w:pPr>
              <w:pStyle w:val="TableParagraph"/>
              <w:rPr>
                <w:szCs w:val="24"/>
              </w:rPr>
            </w:pPr>
            <w:r w:rsidRPr="00DD0D1F">
              <w:rPr>
                <w:szCs w:val="24"/>
              </w:rPr>
              <w:t xml:space="preserve">ii. Rejenerasyon </w:t>
            </w:r>
            <w:r w:rsidR="00E00B0A" w:rsidRPr="00DD0D1F">
              <w:rPr>
                <w:szCs w:val="24"/>
              </w:rPr>
              <w:t>baca</w:t>
            </w:r>
            <w:r w:rsidRPr="00DD0D1F">
              <w:rPr>
                <w:szCs w:val="24"/>
              </w:rPr>
              <w:t xml:space="preserve"> gazının arıtımı</w:t>
            </w:r>
          </w:p>
        </w:tc>
      </w:tr>
      <w:tr w:rsidR="00A508A2" w:rsidRPr="00DD0D1F" w14:paraId="35F08051" w14:textId="77777777" w:rsidTr="00A508A2">
        <w:trPr>
          <w:trHeight w:val="228"/>
          <w:jc w:val="center"/>
        </w:trPr>
        <w:tc>
          <w:tcPr>
            <w:tcW w:w="2769" w:type="dxa"/>
            <w:tcBorders>
              <w:bottom w:val="nil"/>
            </w:tcBorders>
          </w:tcPr>
          <w:p w14:paraId="1C855FAD" w14:textId="77777777" w:rsidR="00A508A2" w:rsidRPr="00DD0D1F" w:rsidRDefault="00A508A2" w:rsidP="00A508A2">
            <w:pPr>
              <w:pStyle w:val="TableParagraph"/>
              <w:rPr>
                <w:szCs w:val="24"/>
              </w:rPr>
            </w:pPr>
          </w:p>
        </w:tc>
        <w:tc>
          <w:tcPr>
            <w:tcW w:w="2975" w:type="dxa"/>
            <w:tcBorders>
              <w:bottom w:val="nil"/>
            </w:tcBorders>
          </w:tcPr>
          <w:p w14:paraId="43B43981" w14:textId="77777777" w:rsidR="00A508A2" w:rsidRPr="00DD0D1F" w:rsidRDefault="00A508A2" w:rsidP="00A508A2">
            <w:pPr>
              <w:pStyle w:val="TableParagraph"/>
              <w:spacing w:line="208" w:lineRule="exact"/>
              <w:ind w:left="110"/>
              <w:rPr>
                <w:szCs w:val="24"/>
              </w:rPr>
            </w:pPr>
          </w:p>
        </w:tc>
        <w:tc>
          <w:tcPr>
            <w:tcW w:w="2976" w:type="dxa"/>
            <w:vMerge w:val="restart"/>
          </w:tcPr>
          <w:p w14:paraId="740ED28A" w14:textId="77777777" w:rsidR="00A508A2" w:rsidRPr="00DD0D1F" w:rsidRDefault="00A508A2" w:rsidP="00A508A2">
            <w:pPr>
              <w:pStyle w:val="TableParagraph"/>
              <w:spacing w:line="208" w:lineRule="exact"/>
              <w:ind w:left="107"/>
              <w:rPr>
                <w:szCs w:val="24"/>
              </w:rPr>
            </w:pPr>
            <w:r w:rsidRPr="00DD0D1F">
              <w:rPr>
                <w:szCs w:val="24"/>
              </w:rPr>
              <w:t>Genel olarak yeni birimlere uygulanır.</w:t>
            </w:r>
          </w:p>
          <w:p w14:paraId="77AFFFAD" w14:textId="77777777" w:rsidR="00A508A2" w:rsidRPr="00DD0D1F" w:rsidRDefault="00A508A2" w:rsidP="00A508A2">
            <w:pPr>
              <w:pStyle w:val="TableParagraph"/>
              <w:spacing w:line="210" w:lineRule="exact"/>
              <w:ind w:left="107"/>
              <w:rPr>
                <w:szCs w:val="24"/>
              </w:rPr>
            </w:pPr>
            <w:r w:rsidRPr="00DD0D1F">
              <w:rPr>
                <w:szCs w:val="24"/>
              </w:rPr>
              <w:t>Mevcut birimler bakımından uygulanabilirlik, mevcut rejenerasyon birimi tasarımına bağlı olabilir.</w:t>
            </w:r>
          </w:p>
        </w:tc>
      </w:tr>
      <w:tr w:rsidR="00A508A2" w:rsidRPr="00DD0D1F" w14:paraId="472AC906" w14:textId="77777777" w:rsidTr="00A508A2">
        <w:trPr>
          <w:trHeight w:val="1061"/>
          <w:jc w:val="center"/>
        </w:trPr>
        <w:tc>
          <w:tcPr>
            <w:tcW w:w="2769" w:type="dxa"/>
            <w:tcBorders>
              <w:top w:val="nil"/>
            </w:tcBorders>
          </w:tcPr>
          <w:p w14:paraId="66776FA0" w14:textId="77777777" w:rsidR="00A508A2" w:rsidRPr="00DD0D1F" w:rsidRDefault="00A508A2" w:rsidP="00A508A2">
            <w:pPr>
              <w:pStyle w:val="TableParagraph"/>
              <w:spacing w:line="210" w:lineRule="exact"/>
              <w:ind w:left="527" w:hanging="142"/>
              <w:rPr>
                <w:szCs w:val="24"/>
              </w:rPr>
            </w:pPr>
            <w:r w:rsidRPr="00DD0D1F">
              <w:rPr>
                <w:szCs w:val="24"/>
              </w:rPr>
              <w:t>a.Adsorban yataklı rejenerasyon gazı geri dönüşümü döngüsü</w:t>
            </w:r>
          </w:p>
        </w:tc>
        <w:tc>
          <w:tcPr>
            <w:tcW w:w="2975" w:type="dxa"/>
            <w:tcBorders>
              <w:top w:val="nil"/>
            </w:tcBorders>
          </w:tcPr>
          <w:p w14:paraId="0F0242EA" w14:textId="77777777" w:rsidR="00A508A2" w:rsidRPr="00DD0D1F" w:rsidRDefault="00A508A2" w:rsidP="00A508A2">
            <w:pPr>
              <w:pStyle w:val="TableParagraph"/>
              <w:spacing w:line="210" w:lineRule="exact"/>
              <w:ind w:left="26" w:right="100"/>
              <w:rPr>
                <w:szCs w:val="24"/>
              </w:rPr>
            </w:pPr>
            <w:r w:rsidRPr="00DD0D1F">
              <w:rPr>
                <w:szCs w:val="24"/>
              </w:rPr>
              <w:t>Rejenerasyon adımının atık gazı, klorürleşmiş bileşikleri gidermek için arıtılır (ör. dioksinler)</w:t>
            </w:r>
          </w:p>
        </w:tc>
        <w:tc>
          <w:tcPr>
            <w:tcW w:w="2976" w:type="dxa"/>
            <w:vMerge/>
          </w:tcPr>
          <w:p w14:paraId="64CDD329" w14:textId="77777777" w:rsidR="00A508A2" w:rsidRPr="00DD0D1F" w:rsidRDefault="00A508A2" w:rsidP="00A508A2">
            <w:pPr>
              <w:pStyle w:val="TableParagraph"/>
              <w:spacing w:line="209" w:lineRule="exact"/>
              <w:ind w:left="107"/>
              <w:rPr>
                <w:szCs w:val="24"/>
              </w:rPr>
            </w:pPr>
          </w:p>
        </w:tc>
      </w:tr>
      <w:tr w:rsidR="000873D9" w:rsidRPr="00DD0D1F" w14:paraId="4A407FFB" w14:textId="77777777" w:rsidTr="00A508A2">
        <w:trPr>
          <w:trHeight w:val="325"/>
          <w:jc w:val="center"/>
        </w:trPr>
        <w:tc>
          <w:tcPr>
            <w:tcW w:w="2769" w:type="dxa"/>
          </w:tcPr>
          <w:p w14:paraId="4F6ED20E" w14:textId="77777777" w:rsidR="000873D9" w:rsidRPr="00DD0D1F" w:rsidRDefault="000873D9" w:rsidP="000873D9">
            <w:pPr>
              <w:pStyle w:val="TableParagraph"/>
              <w:tabs>
                <w:tab w:val="left" w:pos="708"/>
              </w:tabs>
              <w:spacing w:before="108"/>
              <w:ind w:left="347"/>
              <w:rPr>
                <w:szCs w:val="24"/>
              </w:rPr>
            </w:pPr>
            <w:r w:rsidRPr="00DD0D1F">
              <w:rPr>
                <w:szCs w:val="24"/>
              </w:rPr>
              <w:t>b.Yaş yıkama</w:t>
            </w:r>
          </w:p>
        </w:tc>
        <w:tc>
          <w:tcPr>
            <w:tcW w:w="2975" w:type="dxa"/>
          </w:tcPr>
          <w:p w14:paraId="697D4BFC" w14:textId="4EE2458F" w:rsidR="000873D9" w:rsidRPr="00DD0D1F" w:rsidRDefault="000873D9" w:rsidP="000873D9">
            <w:pPr>
              <w:pStyle w:val="TableParagraph"/>
              <w:spacing w:before="108"/>
              <w:ind w:left="110"/>
              <w:rPr>
                <w:szCs w:val="24"/>
              </w:rPr>
            </w:pPr>
            <w:r w:rsidRPr="00DD0D1F">
              <w:rPr>
                <w:szCs w:val="24"/>
              </w:rPr>
              <w:t>Bölüm 1.20.3 bakınız.</w:t>
            </w:r>
          </w:p>
        </w:tc>
        <w:tc>
          <w:tcPr>
            <w:tcW w:w="2976" w:type="dxa"/>
          </w:tcPr>
          <w:p w14:paraId="06D8E7C7" w14:textId="77777777" w:rsidR="000873D9" w:rsidRPr="00DD0D1F" w:rsidRDefault="000873D9" w:rsidP="000873D9">
            <w:pPr>
              <w:pStyle w:val="TableParagraph"/>
              <w:tabs>
                <w:tab w:val="left" w:pos="1148"/>
              </w:tabs>
              <w:spacing w:line="223" w:lineRule="exact"/>
              <w:ind w:left="107"/>
              <w:rPr>
                <w:szCs w:val="24"/>
              </w:rPr>
            </w:pPr>
            <w:r w:rsidRPr="00DD0D1F">
              <w:rPr>
                <w:szCs w:val="24"/>
              </w:rPr>
              <w:t>Yarı-rejeneratif dönüştürücülere uygulanmaz</w:t>
            </w:r>
          </w:p>
        </w:tc>
      </w:tr>
      <w:tr w:rsidR="000873D9" w:rsidRPr="00DD0D1F" w14:paraId="01D2158C" w14:textId="77777777" w:rsidTr="00A508A2">
        <w:trPr>
          <w:trHeight w:val="460"/>
          <w:jc w:val="center"/>
        </w:trPr>
        <w:tc>
          <w:tcPr>
            <w:tcW w:w="2769" w:type="dxa"/>
          </w:tcPr>
          <w:p w14:paraId="277A8CFD" w14:textId="77777777" w:rsidR="000873D9" w:rsidRPr="00DD0D1F" w:rsidRDefault="000873D9" w:rsidP="000873D9">
            <w:pPr>
              <w:pStyle w:val="TableParagraph"/>
              <w:tabs>
                <w:tab w:val="left" w:pos="708"/>
                <w:tab w:val="left" w:pos="1976"/>
              </w:tabs>
              <w:spacing w:line="223" w:lineRule="exact"/>
              <w:ind w:left="347"/>
              <w:rPr>
                <w:szCs w:val="24"/>
              </w:rPr>
            </w:pPr>
            <w:r w:rsidRPr="00DD0D1F">
              <w:rPr>
                <w:szCs w:val="24"/>
              </w:rPr>
              <w:t>c. Elektrostatik çöktürücü (ESP)</w:t>
            </w:r>
          </w:p>
          <w:p w14:paraId="237F805B" w14:textId="77777777" w:rsidR="000873D9" w:rsidRPr="00DD0D1F" w:rsidRDefault="000873D9" w:rsidP="000873D9">
            <w:pPr>
              <w:pStyle w:val="TableParagraph"/>
              <w:spacing w:line="217" w:lineRule="exact"/>
              <w:ind w:left="708"/>
              <w:rPr>
                <w:szCs w:val="24"/>
              </w:rPr>
            </w:pPr>
          </w:p>
        </w:tc>
        <w:tc>
          <w:tcPr>
            <w:tcW w:w="2975" w:type="dxa"/>
          </w:tcPr>
          <w:p w14:paraId="6D6BF09B" w14:textId="086E04C5" w:rsidR="000873D9" w:rsidRPr="00DD0D1F" w:rsidRDefault="000873D9" w:rsidP="000873D9">
            <w:pPr>
              <w:pStyle w:val="TableParagraph"/>
              <w:spacing w:before="108"/>
              <w:ind w:left="110"/>
              <w:rPr>
                <w:szCs w:val="24"/>
              </w:rPr>
            </w:pPr>
            <w:r w:rsidRPr="00DD0D1F">
              <w:rPr>
                <w:szCs w:val="24"/>
              </w:rPr>
              <w:t>Bölüm 1.20.1 bakınız.</w:t>
            </w:r>
          </w:p>
        </w:tc>
        <w:tc>
          <w:tcPr>
            <w:tcW w:w="2976" w:type="dxa"/>
          </w:tcPr>
          <w:p w14:paraId="60FA6A6F" w14:textId="77777777" w:rsidR="000873D9" w:rsidRPr="00DD0D1F" w:rsidRDefault="000873D9" w:rsidP="000873D9">
            <w:pPr>
              <w:pStyle w:val="TableParagraph"/>
              <w:tabs>
                <w:tab w:val="left" w:pos="1148"/>
              </w:tabs>
              <w:spacing w:line="223" w:lineRule="exact"/>
              <w:ind w:left="107"/>
              <w:rPr>
                <w:szCs w:val="24"/>
              </w:rPr>
            </w:pPr>
            <w:r w:rsidRPr="00DD0D1F">
              <w:rPr>
                <w:szCs w:val="24"/>
              </w:rPr>
              <w:t>Yarı-rejeneratif dönüştürücülere uygulanmaz</w:t>
            </w:r>
          </w:p>
        </w:tc>
      </w:tr>
    </w:tbl>
    <w:p w14:paraId="73913A94" w14:textId="706C7A1E"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fi-FI"/>
        </w:rPr>
      </w:pPr>
      <w:r w:rsidRPr="00DD0D1F">
        <w:rPr>
          <w:rFonts w:cs="Times New Roman"/>
          <w:szCs w:val="24"/>
          <w:lang w:val="fi-FI"/>
        </w:rPr>
        <w:t xml:space="preserve">KOKLAŞTIRMA PROSESINE ILIŞKIN </w:t>
      </w:r>
      <w:r w:rsidR="00EB7491" w:rsidRPr="00DD0D1F">
        <w:rPr>
          <w:rFonts w:cs="Times New Roman"/>
          <w:szCs w:val="24"/>
          <w:lang w:val="fi-FI"/>
        </w:rPr>
        <w:t>MET</w:t>
      </w:r>
    </w:p>
    <w:p w14:paraId="25812BBE" w14:textId="77777777" w:rsidR="00A508A2" w:rsidRPr="00DD0D1F" w:rsidRDefault="00A508A2" w:rsidP="00A508A2">
      <w:pPr>
        <w:pStyle w:val="GvdeMetni"/>
        <w:spacing w:before="8" w:line="360" w:lineRule="auto"/>
        <w:jc w:val="both"/>
        <w:rPr>
          <w:b/>
          <w:sz w:val="24"/>
          <w:szCs w:val="24"/>
        </w:rPr>
      </w:pPr>
    </w:p>
    <w:p w14:paraId="6777D8AF"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29: </w:t>
      </w:r>
      <w:r w:rsidRPr="00DD0D1F">
        <w:rPr>
          <w:rFonts w:cs="Times New Roman"/>
          <w:bCs/>
          <w:szCs w:val="24"/>
          <w:lang w:val="tr-TR"/>
        </w:rPr>
        <w:t>Koklaştırma üretim proseslerinden havaya yayılan emisyonların azaltılması için aşağıdaki tekniklerden biri veya daha fazlasının kombinasyonu kullanılır.</w:t>
      </w:r>
      <w:r w:rsidRPr="00DD0D1F">
        <w:rPr>
          <w:rFonts w:cs="Times New Roman"/>
          <w:b/>
          <w:bCs/>
          <w:szCs w:val="24"/>
          <w:lang w:val="tr-TR"/>
        </w:rPr>
        <w:t xml:space="preserve"> </w:t>
      </w:r>
    </w:p>
    <w:p w14:paraId="7BC0A868" w14:textId="77777777" w:rsidR="00A508A2" w:rsidRPr="00DD0D1F" w:rsidRDefault="00A508A2" w:rsidP="00A508A2">
      <w:pPr>
        <w:pStyle w:val="GvdeMetni"/>
        <w:rPr>
          <w:sz w:val="24"/>
          <w:szCs w:val="24"/>
        </w:rPr>
      </w:pPr>
      <w:r w:rsidRPr="00DD0D1F">
        <w:rPr>
          <w:sz w:val="24"/>
          <w:szCs w:val="24"/>
        </w:rPr>
        <w:t>Aşağıda örnekleri verilen birincil veya prosesle ilgili teknikler:</w:t>
      </w:r>
    </w:p>
    <w:p w14:paraId="2909A122" w14:textId="77777777" w:rsidR="00A508A2" w:rsidRPr="00DD0D1F" w:rsidRDefault="00A508A2" w:rsidP="00A508A2">
      <w:pPr>
        <w:pStyle w:val="GvdeMetni"/>
        <w:spacing w:before="7"/>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4"/>
        <w:gridCol w:w="3524"/>
        <w:gridCol w:w="2669"/>
      </w:tblGrid>
      <w:tr w:rsidR="00A508A2" w:rsidRPr="00DD0D1F" w14:paraId="76EE5321" w14:textId="77777777" w:rsidTr="00A508A2">
        <w:trPr>
          <w:trHeight w:val="282"/>
        </w:trPr>
        <w:tc>
          <w:tcPr>
            <w:tcW w:w="1589" w:type="pct"/>
          </w:tcPr>
          <w:p w14:paraId="717758DC" w14:textId="77777777" w:rsidR="00A508A2" w:rsidRPr="00DD0D1F" w:rsidRDefault="00A508A2" w:rsidP="00A508A2">
            <w:pPr>
              <w:pStyle w:val="TableParagraph"/>
              <w:spacing w:before="24"/>
              <w:ind w:left="913" w:right="908"/>
              <w:jc w:val="center"/>
              <w:rPr>
                <w:b/>
                <w:szCs w:val="24"/>
              </w:rPr>
            </w:pPr>
            <w:r w:rsidRPr="00DD0D1F">
              <w:rPr>
                <w:b/>
                <w:bCs/>
                <w:szCs w:val="24"/>
              </w:rPr>
              <w:t>Teknik</w:t>
            </w:r>
          </w:p>
        </w:tc>
        <w:tc>
          <w:tcPr>
            <w:tcW w:w="1941" w:type="pct"/>
          </w:tcPr>
          <w:p w14:paraId="0A98E304" w14:textId="77777777" w:rsidR="00A508A2" w:rsidRPr="00DD0D1F" w:rsidRDefault="00A508A2" w:rsidP="00A508A2">
            <w:pPr>
              <w:pStyle w:val="TableParagraph"/>
              <w:spacing w:before="24"/>
              <w:ind w:left="632" w:right="627"/>
              <w:jc w:val="center"/>
              <w:rPr>
                <w:b/>
                <w:szCs w:val="24"/>
              </w:rPr>
            </w:pPr>
            <w:r w:rsidRPr="00DD0D1F">
              <w:rPr>
                <w:b/>
                <w:bCs/>
                <w:szCs w:val="24"/>
              </w:rPr>
              <w:t>Açıklama</w:t>
            </w:r>
          </w:p>
        </w:tc>
        <w:tc>
          <w:tcPr>
            <w:tcW w:w="1470" w:type="pct"/>
          </w:tcPr>
          <w:p w14:paraId="2649C3EE" w14:textId="77777777" w:rsidR="00A508A2" w:rsidRPr="00DD0D1F" w:rsidRDefault="00A508A2" w:rsidP="00A508A2">
            <w:pPr>
              <w:pStyle w:val="TableParagraph"/>
              <w:spacing w:before="24"/>
              <w:ind w:right="719"/>
              <w:jc w:val="right"/>
              <w:rPr>
                <w:b/>
                <w:szCs w:val="24"/>
              </w:rPr>
            </w:pPr>
            <w:r w:rsidRPr="00DD0D1F">
              <w:rPr>
                <w:b/>
                <w:bCs/>
                <w:szCs w:val="24"/>
              </w:rPr>
              <w:t>Uygulanabilirlik</w:t>
            </w:r>
          </w:p>
        </w:tc>
      </w:tr>
      <w:tr w:rsidR="00A508A2" w:rsidRPr="00DD0D1F" w14:paraId="77E41002" w14:textId="77777777" w:rsidTr="00A508A2">
        <w:trPr>
          <w:trHeight w:val="921"/>
        </w:trPr>
        <w:tc>
          <w:tcPr>
            <w:tcW w:w="1589" w:type="pct"/>
          </w:tcPr>
          <w:p w14:paraId="2FF818BE" w14:textId="77777777" w:rsidR="00A508A2" w:rsidRPr="00DD0D1F" w:rsidRDefault="00A508A2" w:rsidP="00A508A2">
            <w:pPr>
              <w:pStyle w:val="TableParagraph"/>
              <w:spacing w:before="5"/>
              <w:rPr>
                <w:szCs w:val="24"/>
              </w:rPr>
            </w:pPr>
          </w:p>
          <w:p w14:paraId="5BD9FF52" w14:textId="77777777" w:rsidR="00A508A2" w:rsidRPr="00DD0D1F" w:rsidRDefault="00A508A2" w:rsidP="00A508A2">
            <w:pPr>
              <w:pStyle w:val="TableParagraph"/>
              <w:tabs>
                <w:tab w:val="left" w:pos="587"/>
              </w:tabs>
              <w:ind w:left="587" w:right="100" w:hanging="466"/>
              <w:rPr>
                <w:szCs w:val="24"/>
              </w:rPr>
            </w:pPr>
            <w:r w:rsidRPr="00DD0D1F">
              <w:rPr>
                <w:szCs w:val="24"/>
              </w:rPr>
              <w:t>i.</w:t>
            </w:r>
            <w:r w:rsidRPr="00DD0D1F">
              <w:rPr>
                <w:szCs w:val="24"/>
              </w:rPr>
              <w:tab/>
              <w:t>İnce kok tanelerinin toplanması ve geri dönüştürülmesi</w:t>
            </w:r>
          </w:p>
        </w:tc>
        <w:tc>
          <w:tcPr>
            <w:tcW w:w="1941" w:type="pct"/>
          </w:tcPr>
          <w:p w14:paraId="5524E5DF" w14:textId="77777777" w:rsidR="00A508A2" w:rsidRPr="00DD0D1F" w:rsidRDefault="00A508A2" w:rsidP="00A508A2">
            <w:pPr>
              <w:pStyle w:val="TableParagraph"/>
              <w:ind w:left="107" w:right="98"/>
              <w:jc w:val="both"/>
              <w:rPr>
                <w:szCs w:val="24"/>
              </w:rPr>
            </w:pPr>
            <w:r w:rsidRPr="00DD0D1F">
              <w:rPr>
                <w:szCs w:val="24"/>
              </w:rPr>
              <w:t>Tam koklaştırma prosesinde (delme, elleçleme, kırma, soğutma, vs.) açığa çıkan ince kok tanelerinin sistematik olarak toplanması ve geri dönüştürülmesi</w:t>
            </w:r>
          </w:p>
        </w:tc>
        <w:tc>
          <w:tcPr>
            <w:tcW w:w="1470" w:type="pct"/>
          </w:tcPr>
          <w:p w14:paraId="03938A3C" w14:textId="77777777" w:rsidR="00A508A2" w:rsidRPr="00DD0D1F" w:rsidRDefault="00A508A2" w:rsidP="00A508A2">
            <w:pPr>
              <w:pStyle w:val="TableParagraph"/>
              <w:spacing w:before="5"/>
              <w:ind w:left="20"/>
              <w:rPr>
                <w:szCs w:val="24"/>
              </w:rPr>
            </w:pPr>
          </w:p>
          <w:p w14:paraId="4E2ADAB1" w14:textId="77777777" w:rsidR="00A508A2" w:rsidRPr="00DD0D1F" w:rsidRDefault="00A508A2" w:rsidP="00A508A2">
            <w:pPr>
              <w:pStyle w:val="TableParagraph"/>
              <w:ind w:left="20" w:right="139"/>
              <w:rPr>
                <w:szCs w:val="24"/>
              </w:rPr>
            </w:pPr>
          </w:p>
          <w:p w14:paraId="5D14894C" w14:textId="77777777" w:rsidR="00A508A2" w:rsidRPr="00DD0D1F" w:rsidRDefault="00A508A2" w:rsidP="00A508A2">
            <w:pPr>
              <w:pStyle w:val="TableParagraph"/>
              <w:ind w:left="20" w:right="139"/>
              <w:rPr>
                <w:szCs w:val="24"/>
              </w:rPr>
            </w:pPr>
            <w:r w:rsidRPr="00DD0D1F">
              <w:rPr>
                <w:szCs w:val="24"/>
              </w:rPr>
              <w:t xml:space="preserve">  Genel olarak uygulanabilir</w:t>
            </w:r>
          </w:p>
        </w:tc>
      </w:tr>
      <w:tr w:rsidR="00A508A2" w:rsidRPr="00DD0D1F" w14:paraId="6174C409" w14:textId="77777777" w:rsidTr="00A508A2">
        <w:trPr>
          <w:trHeight w:val="457"/>
        </w:trPr>
        <w:tc>
          <w:tcPr>
            <w:tcW w:w="1589" w:type="pct"/>
          </w:tcPr>
          <w:p w14:paraId="0347100C" w14:textId="77777777" w:rsidR="00A508A2" w:rsidRPr="00DD0D1F" w:rsidRDefault="00A508A2" w:rsidP="00A508A2">
            <w:pPr>
              <w:pStyle w:val="TableParagraph"/>
              <w:spacing w:line="223" w:lineRule="exact"/>
              <w:ind w:left="505" w:right="100" w:hanging="505"/>
              <w:rPr>
                <w:szCs w:val="24"/>
              </w:rPr>
            </w:pPr>
            <w:r w:rsidRPr="00DD0D1F">
              <w:rPr>
                <w:szCs w:val="24"/>
              </w:rPr>
              <w:t xml:space="preserve"> ii.      </w:t>
            </w:r>
            <w:hyperlink w:anchor="_bookmark866" w:history="1">
              <w:r w:rsidRPr="00DD0D1F">
                <w:rPr>
                  <w:szCs w:val="24"/>
                </w:rPr>
                <w:t>MET 3</w:t>
              </w:r>
            </w:hyperlink>
            <w:r w:rsidRPr="00DD0D1F">
              <w:rPr>
                <w:szCs w:val="24"/>
              </w:rPr>
              <w:t xml:space="preserve"> uyarınca kokun   elleçlenmesi ve depolanması</w:t>
            </w:r>
          </w:p>
          <w:p w14:paraId="583F3E73" w14:textId="77777777" w:rsidR="00A508A2" w:rsidRPr="00DD0D1F" w:rsidRDefault="00A508A2" w:rsidP="00A508A2">
            <w:pPr>
              <w:pStyle w:val="TableParagraph"/>
              <w:spacing w:line="215" w:lineRule="exact"/>
              <w:ind w:right="150"/>
              <w:jc w:val="right"/>
              <w:rPr>
                <w:szCs w:val="24"/>
              </w:rPr>
            </w:pPr>
          </w:p>
        </w:tc>
        <w:tc>
          <w:tcPr>
            <w:tcW w:w="1941" w:type="pct"/>
          </w:tcPr>
          <w:p w14:paraId="0D4BB46C" w14:textId="4E85CFBC" w:rsidR="00A508A2" w:rsidRPr="00DD0D1F" w:rsidRDefault="000873D9" w:rsidP="00A508A2">
            <w:pPr>
              <w:pStyle w:val="TableParagraph"/>
              <w:spacing w:before="108"/>
              <w:ind w:left="107"/>
              <w:rPr>
                <w:szCs w:val="24"/>
              </w:rPr>
            </w:pPr>
            <w:r w:rsidRPr="00DD0D1F">
              <w:rPr>
                <w:szCs w:val="24"/>
              </w:rPr>
              <w:t xml:space="preserve">Bakınız </w:t>
            </w:r>
            <w:hyperlink w:anchor="_bookmark866" w:history="1">
              <w:r w:rsidR="00A508A2" w:rsidRPr="00DD0D1F">
                <w:rPr>
                  <w:szCs w:val="24"/>
                </w:rPr>
                <w:t>MET 3</w:t>
              </w:r>
            </w:hyperlink>
          </w:p>
        </w:tc>
        <w:tc>
          <w:tcPr>
            <w:tcW w:w="1470" w:type="pct"/>
          </w:tcPr>
          <w:p w14:paraId="2C555A45" w14:textId="77777777" w:rsidR="00A508A2" w:rsidRPr="00DD0D1F" w:rsidRDefault="00A508A2" w:rsidP="00A508A2">
            <w:pPr>
              <w:pStyle w:val="TableParagraph"/>
              <w:spacing w:before="108"/>
              <w:ind w:left="20" w:right="139"/>
              <w:rPr>
                <w:szCs w:val="24"/>
              </w:rPr>
            </w:pPr>
            <w:r w:rsidRPr="00DD0D1F">
              <w:rPr>
                <w:szCs w:val="24"/>
              </w:rPr>
              <w:t xml:space="preserve">  Genel olarak uygulanabilir</w:t>
            </w:r>
          </w:p>
        </w:tc>
      </w:tr>
      <w:tr w:rsidR="00A508A2" w:rsidRPr="00DD0D1F" w14:paraId="1E324A15" w14:textId="77777777" w:rsidTr="00A508A2">
        <w:trPr>
          <w:trHeight w:val="461"/>
        </w:trPr>
        <w:tc>
          <w:tcPr>
            <w:tcW w:w="1589" w:type="pct"/>
          </w:tcPr>
          <w:p w14:paraId="5791653C" w14:textId="77777777" w:rsidR="00A508A2" w:rsidRPr="00DD0D1F" w:rsidRDefault="00A508A2" w:rsidP="00A508A2">
            <w:pPr>
              <w:pStyle w:val="TableParagraph"/>
              <w:tabs>
                <w:tab w:val="left" w:pos="587"/>
                <w:tab w:val="left" w:pos="1230"/>
                <w:tab w:val="left" w:pos="1729"/>
                <w:tab w:val="left" w:pos="2151"/>
              </w:tabs>
              <w:spacing w:line="228" w:lineRule="exact"/>
              <w:ind w:left="587" w:right="99" w:hanging="576"/>
              <w:rPr>
                <w:szCs w:val="24"/>
              </w:rPr>
            </w:pPr>
            <w:r w:rsidRPr="00DD0D1F">
              <w:rPr>
                <w:szCs w:val="24"/>
              </w:rPr>
              <w:t>iii.       Kapalı üfleme sisteminin kullanılması</w:t>
            </w:r>
          </w:p>
        </w:tc>
        <w:tc>
          <w:tcPr>
            <w:tcW w:w="1941" w:type="pct"/>
          </w:tcPr>
          <w:p w14:paraId="7FE59213" w14:textId="77777777" w:rsidR="00A508A2" w:rsidRPr="00DD0D1F" w:rsidRDefault="00A508A2" w:rsidP="00A508A2">
            <w:pPr>
              <w:pStyle w:val="TableParagraph"/>
              <w:spacing w:line="228" w:lineRule="exact"/>
              <w:ind w:left="107" w:right="97"/>
              <w:rPr>
                <w:szCs w:val="24"/>
              </w:rPr>
            </w:pPr>
            <w:r w:rsidRPr="00DD0D1F">
              <w:rPr>
                <w:szCs w:val="24"/>
              </w:rPr>
              <w:t>Kok tamburlarından basınç tahliyesi için tutma sistemi</w:t>
            </w:r>
          </w:p>
        </w:tc>
        <w:tc>
          <w:tcPr>
            <w:tcW w:w="1470" w:type="pct"/>
          </w:tcPr>
          <w:p w14:paraId="2521D698" w14:textId="77777777" w:rsidR="00A508A2" w:rsidRPr="00DD0D1F" w:rsidRDefault="00A508A2" w:rsidP="00A508A2">
            <w:pPr>
              <w:pStyle w:val="TableParagraph"/>
              <w:spacing w:before="111"/>
              <w:ind w:left="20" w:right="281"/>
              <w:rPr>
                <w:szCs w:val="24"/>
              </w:rPr>
            </w:pPr>
            <w:r w:rsidRPr="00DD0D1F">
              <w:rPr>
                <w:szCs w:val="24"/>
              </w:rPr>
              <w:t xml:space="preserve">  Genel olarak uygulanabilir</w:t>
            </w:r>
          </w:p>
        </w:tc>
      </w:tr>
      <w:tr w:rsidR="00A508A2" w:rsidRPr="00DD0D1F" w14:paraId="54A501E2" w14:textId="77777777" w:rsidTr="00A508A2">
        <w:trPr>
          <w:trHeight w:val="1840"/>
        </w:trPr>
        <w:tc>
          <w:tcPr>
            <w:tcW w:w="1589" w:type="pct"/>
          </w:tcPr>
          <w:p w14:paraId="0A50B856" w14:textId="77777777" w:rsidR="00A508A2" w:rsidRPr="00DD0D1F" w:rsidRDefault="00A508A2" w:rsidP="00A508A2">
            <w:pPr>
              <w:pStyle w:val="TableParagraph"/>
              <w:spacing w:before="5"/>
              <w:rPr>
                <w:szCs w:val="24"/>
              </w:rPr>
            </w:pPr>
          </w:p>
          <w:p w14:paraId="55BC7144" w14:textId="77777777" w:rsidR="00A508A2" w:rsidRPr="00DD0D1F" w:rsidRDefault="00A508A2" w:rsidP="00A508A2">
            <w:pPr>
              <w:pStyle w:val="TableParagraph"/>
              <w:ind w:left="587" w:right="98" w:hanging="567"/>
              <w:jc w:val="both"/>
              <w:rPr>
                <w:szCs w:val="24"/>
              </w:rPr>
            </w:pPr>
            <w:r w:rsidRPr="00DD0D1F">
              <w:rPr>
                <w:szCs w:val="24"/>
              </w:rPr>
              <w:t>iv.  Rafineri yakıt gazının bileşiği olarak geri kazanım gazı (tamburun atmosfere açılması öncesindeki hava alma işlemi de dahil)</w:t>
            </w:r>
          </w:p>
        </w:tc>
        <w:tc>
          <w:tcPr>
            <w:tcW w:w="1941" w:type="pct"/>
          </w:tcPr>
          <w:p w14:paraId="3952161F" w14:textId="77777777" w:rsidR="00A508A2" w:rsidRPr="00DD0D1F" w:rsidRDefault="00A508A2" w:rsidP="00A508A2">
            <w:pPr>
              <w:pStyle w:val="TableParagraph"/>
              <w:ind w:left="107" w:right="99"/>
              <w:jc w:val="both"/>
              <w:rPr>
                <w:szCs w:val="24"/>
              </w:rPr>
            </w:pPr>
            <w:r w:rsidRPr="00DD0D1F">
              <w:rPr>
                <w:szCs w:val="24"/>
              </w:rPr>
              <w:t>Yakma yerine RFG geri kazanımı amacıyla, alınan havanın kok tamburundan gaz kompresörüne taşınması.</w:t>
            </w:r>
          </w:p>
          <w:p w14:paraId="1D2763A1" w14:textId="77777777" w:rsidR="00A508A2" w:rsidRPr="00DD0D1F" w:rsidRDefault="00A508A2" w:rsidP="00A508A2">
            <w:pPr>
              <w:pStyle w:val="TableParagraph"/>
              <w:ind w:left="107" w:right="96"/>
              <w:jc w:val="both"/>
              <w:rPr>
                <w:szCs w:val="24"/>
              </w:rPr>
            </w:pPr>
            <w:r w:rsidRPr="00DD0D1F">
              <w:rPr>
                <w:szCs w:val="24"/>
              </w:rPr>
              <w:t>Fleksi-koklaştırma prosesi için, koklaştırma biriminden gelen gazın arıtımı öncesinde dönüştürme adımı (karbonil sülfürün (COS) H</w:t>
            </w:r>
            <w:r w:rsidRPr="00DD0D1F">
              <w:rPr>
                <w:szCs w:val="24"/>
                <w:vertAlign w:val="subscript"/>
              </w:rPr>
              <w:t>2</w:t>
            </w:r>
            <w:r w:rsidRPr="00DD0D1F">
              <w:rPr>
                <w:szCs w:val="24"/>
              </w:rPr>
              <w:t>S'ye dönüştürülmesi için) gereklidir.</w:t>
            </w:r>
          </w:p>
          <w:p w14:paraId="0B25CC17" w14:textId="77777777" w:rsidR="00A508A2" w:rsidRPr="00DD0D1F" w:rsidRDefault="00A508A2" w:rsidP="00A508A2">
            <w:pPr>
              <w:pStyle w:val="TableParagraph"/>
              <w:spacing w:line="216" w:lineRule="exact"/>
              <w:ind w:left="107"/>
              <w:jc w:val="both"/>
              <w:rPr>
                <w:szCs w:val="24"/>
              </w:rPr>
            </w:pPr>
          </w:p>
        </w:tc>
        <w:tc>
          <w:tcPr>
            <w:tcW w:w="1470" w:type="pct"/>
          </w:tcPr>
          <w:p w14:paraId="44135576" w14:textId="77777777" w:rsidR="00A508A2" w:rsidRPr="00DD0D1F" w:rsidRDefault="00A508A2" w:rsidP="00A508A2">
            <w:pPr>
              <w:pStyle w:val="TableParagraph"/>
              <w:rPr>
                <w:szCs w:val="24"/>
              </w:rPr>
            </w:pPr>
          </w:p>
          <w:p w14:paraId="34C2782B" w14:textId="77777777" w:rsidR="00A508A2" w:rsidRPr="00DD0D1F" w:rsidRDefault="00A508A2" w:rsidP="00A508A2">
            <w:pPr>
              <w:pStyle w:val="TableParagraph"/>
              <w:spacing w:before="5"/>
              <w:rPr>
                <w:szCs w:val="24"/>
              </w:rPr>
            </w:pPr>
          </w:p>
          <w:p w14:paraId="2388DD78" w14:textId="77777777" w:rsidR="00A508A2" w:rsidRPr="00DD0D1F" w:rsidRDefault="00A508A2" w:rsidP="00A508A2">
            <w:pPr>
              <w:pStyle w:val="TableParagraph"/>
              <w:ind w:left="107" w:right="102"/>
              <w:jc w:val="both"/>
              <w:rPr>
                <w:szCs w:val="24"/>
              </w:rPr>
            </w:pPr>
            <w:r w:rsidRPr="00DD0D1F">
              <w:rPr>
                <w:szCs w:val="24"/>
              </w:rPr>
              <w:t>Mevcut birimler bakımından tekniklerin uygulanabilirliği, yer varlığıyla sınırlı olabilir</w:t>
            </w:r>
          </w:p>
        </w:tc>
      </w:tr>
    </w:tbl>
    <w:p w14:paraId="59462B45" w14:textId="77777777" w:rsidR="00A508A2" w:rsidRPr="00DD0D1F" w:rsidRDefault="00A508A2" w:rsidP="00A508A2">
      <w:pPr>
        <w:pStyle w:val="GvdeMetni"/>
        <w:rPr>
          <w:sz w:val="24"/>
          <w:szCs w:val="24"/>
        </w:rPr>
      </w:pPr>
    </w:p>
    <w:p w14:paraId="73F6CCAE" w14:textId="77777777" w:rsidR="00A508A2" w:rsidRPr="00DD0D1F" w:rsidRDefault="00A508A2" w:rsidP="00A508A2">
      <w:pPr>
        <w:rPr>
          <w:rFonts w:cs="Times New Roman"/>
          <w:b/>
          <w:bCs/>
          <w:szCs w:val="24"/>
          <w:lang w:val="tr-TR"/>
        </w:rPr>
      </w:pPr>
    </w:p>
    <w:p w14:paraId="5E172E83" w14:textId="77777777" w:rsidR="00A508A2" w:rsidRPr="00DD0D1F" w:rsidRDefault="00A508A2" w:rsidP="00A508A2">
      <w:pPr>
        <w:pStyle w:val="GvdeMetni"/>
        <w:spacing w:before="2"/>
        <w:rPr>
          <w:sz w:val="24"/>
          <w:szCs w:val="24"/>
        </w:rPr>
      </w:pPr>
    </w:p>
    <w:p w14:paraId="3A6048CF" w14:textId="7E7F49EB" w:rsidR="00A508A2" w:rsidRPr="00DD0D1F" w:rsidRDefault="00A508A2" w:rsidP="00A508A2">
      <w:pPr>
        <w:rPr>
          <w:rFonts w:cs="Times New Roman"/>
          <w:bCs/>
          <w:szCs w:val="24"/>
          <w:lang w:val="tr-TR"/>
        </w:rPr>
      </w:pPr>
      <w:r w:rsidRPr="00DD0D1F">
        <w:rPr>
          <w:rFonts w:cs="Times New Roman"/>
          <w:b/>
          <w:bCs/>
          <w:szCs w:val="24"/>
          <w:lang w:val="tr-TR"/>
        </w:rPr>
        <w:t xml:space="preserve">MET 30: </w:t>
      </w:r>
      <w:r w:rsidRPr="00DD0D1F">
        <w:rPr>
          <w:rFonts w:cs="Times New Roman"/>
          <w:bCs/>
          <w:szCs w:val="24"/>
          <w:lang w:val="tr-TR"/>
        </w:rPr>
        <w:t>Yeşil kokun kireçleştirme prosesinden havaya yayılan NO</w:t>
      </w:r>
      <w:r w:rsidRPr="00DD0D1F">
        <w:rPr>
          <w:rFonts w:cs="Times New Roman"/>
          <w:bCs/>
          <w:szCs w:val="24"/>
          <w:vertAlign w:val="subscript"/>
          <w:lang w:val="tr-TR"/>
        </w:rPr>
        <w:t xml:space="preserve">X </w:t>
      </w:r>
      <w:r w:rsidRPr="00DD0D1F">
        <w:rPr>
          <w:rFonts w:cs="Times New Roman"/>
          <w:bCs/>
          <w:szCs w:val="24"/>
          <w:lang w:val="tr-TR"/>
        </w:rPr>
        <w:t>emisyonlarının azaltılması için Seçici katalitik  olmayan indirgeme (SNCR) kullanılır.</w:t>
      </w:r>
    </w:p>
    <w:p w14:paraId="7443A86A" w14:textId="62A0E803" w:rsidR="000873D9" w:rsidRPr="00DD0D1F" w:rsidRDefault="000873D9" w:rsidP="00A508A2">
      <w:pPr>
        <w:rPr>
          <w:rFonts w:cs="Times New Roman"/>
          <w:bCs/>
          <w:szCs w:val="24"/>
          <w:lang w:val="tr-TR"/>
        </w:rPr>
      </w:pPr>
    </w:p>
    <w:p w14:paraId="51F19E85" w14:textId="2FD682F9" w:rsidR="000873D9" w:rsidRPr="00DD0D1F" w:rsidRDefault="000873D9" w:rsidP="00A508A2">
      <w:pPr>
        <w:rPr>
          <w:rFonts w:cs="Times New Roman"/>
          <w:b/>
          <w:bCs/>
          <w:szCs w:val="24"/>
          <w:lang w:val="tr-TR"/>
        </w:rPr>
      </w:pPr>
      <w:r w:rsidRPr="00DD0D1F">
        <w:rPr>
          <w:rFonts w:cs="Times New Roman"/>
          <w:b/>
          <w:bCs/>
          <w:szCs w:val="24"/>
          <w:lang w:val="tr-TR"/>
        </w:rPr>
        <w:t xml:space="preserve">Açıklama </w:t>
      </w:r>
    </w:p>
    <w:p w14:paraId="585B5BA5" w14:textId="463D6163" w:rsidR="000873D9" w:rsidRPr="00DD0D1F" w:rsidRDefault="000873D9" w:rsidP="000873D9">
      <w:pPr>
        <w:pStyle w:val="TableParagraph"/>
        <w:ind w:left="108" w:right="96"/>
        <w:jc w:val="both"/>
        <w:rPr>
          <w:szCs w:val="24"/>
        </w:rPr>
      </w:pPr>
      <w:r w:rsidRPr="00DD0D1F">
        <w:rPr>
          <w:szCs w:val="24"/>
        </w:rPr>
        <w:t xml:space="preserve">Bölüm 1.20.2 bakınız. </w:t>
      </w:r>
    </w:p>
    <w:p w14:paraId="536B59A8" w14:textId="19E84501" w:rsidR="000873D9" w:rsidRPr="00DD0D1F" w:rsidRDefault="000873D9" w:rsidP="00A508A2">
      <w:pPr>
        <w:rPr>
          <w:rFonts w:cs="Times New Roman"/>
          <w:b/>
          <w:bCs/>
          <w:szCs w:val="24"/>
          <w:lang w:val="tr-TR"/>
        </w:rPr>
      </w:pPr>
    </w:p>
    <w:p w14:paraId="7EAC085B" w14:textId="41F0DB5B" w:rsidR="000873D9" w:rsidRPr="00DD0D1F" w:rsidRDefault="000873D9" w:rsidP="00A508A2">
      <w:pPr>
        <w:rPr>
          <w:rFonts w:cs="Times New Roman"/>
          <w:b/>
          <w:bCs/>
          <w:szCs w:val="24"/>
          <w:lang w:val="tr-TR"/>
        </w:rPr>
      </w:pPr>
      <w:r w:rsidRPr="00DD0D1F">
        <w:rPr>
          <w:rFonts w:cs="Times New Roman"/>
          <w:b/>
          <w:bCs/>
          <w:szCs w:val="24"/>
          <w:lang w:val="tr-TR"/>
        </w:rPr>
        <w:t>Uygulanabilirlik</w:t>
      </w:r>
    </w:p>
    <w:p w14:paraId="76F3873C" w14:textId="77777777" w:rsidR="004E28C3" w:rsidRPr="00DD0D1F" w:rsidRDefault="00AA7E73" w:rsidP="00A508A2">
      <w:pPr>
        <w:rPr>
          <w:rFonts w:cs="Times New Roman"/>
          <w:szCs w:val="24"/>
          <w:lang w:val="tr-TR"/>
        </w:rPr>
      </w:pPr>
      <w:r w:rsidRPr="00DD0D1F">
        <w:rPr>
          <w:rFonts w:cs="Times New Roman"/>
          <w:bCs/>
          <w:szCs w:val="24"/>
          <w:lang w:val="tr-TR"/>
        </w:rPr>
        <w:t>k</w:t>
      </w:r>
      <w:r w:rsidRPr="00DD0D1F">
        <w:rPr>
          <w:rFonts w:cs="Times New Roman"/>
          <w:szCs w:val="24"/>
          <w:lang w:val="tr-TR"/>
        </w:rPr>
        <w:t>alsinasyon prosesinin özelliğinden dolayı (örneğin kalış zamanı, sıcaklık aralığı) tekniğin uygulanabilirliği sınırlandırılabilir.</w:t>
      </w:r>
    </w:p>
    <w:p w14:paraId="1CBCA021" w14:textId="12FFB5F1" w:rsidR="00A508A2" w:rsidRPr="00DD0D1F" w:rsidRDefault="00A508A2" w:rsidP="00A508A2">
      <w:pPr>
        <w:rPr>
          <w:rFonts w:cs="Times New Roman"/>
          <w:b/>
          <w:bCs/>
          <w:szCs w:val="24"/>
          <w:lang w:val="tr-TR"/>
        </w:rPr>
      </w:pPr>
      <w:r w:rsidRPr="00DD0D1F">
        <w:rPr>
          <w:rFonts w:cs="Times New Roman"/>
          <w:b/>
          <w:bCs/>
          <w:szCs w:val="24"/>
          <w:lang w:val="tr-TR"/>
        </w:rPr>
        <w:t xml:space="preserve">MET 31: </w:t>
      </w:r>
      <w:r w:rsidRPr="00DD0D1F">
        <w:rPr>
          <w:rFonts w:cs="Times New Roman"/>
          <w:bCs/>
          <w:szCs w:val="24"/>
          <w:lang w:val="tr-TR"/>
        </w:rPr>
        <w:t>Yeşil kokun kireçleştirme prosesinden havaya yayılan SO</w:t>
      </w:r>
      <w:r w:rsidRPr="00DD0D1F">
        <w:rPr>
          <w:rFonts w:cs="Times New Roman"/>
          <w:bCs/>
          <w:szCs w:val="24"/>
          <w:vertAlign w:val="subscript"/>
          <w:lang w:val="tr-TR"/>
        </w:rPr>
        <w:t xml:space="preserve">X </w:t>
      </w:r>
      <w:r w:rsidRPr="00DD0D1F">
        <w:rPr>
          <w:rFonts w:cs="Times New Roman"/>
          <w:bCs/>
          <w:szCs w:val="24"/>
          <w:lang w:val="tr-TR"/>
        </w:rPr>
        <w:t>emisyonlarının azaltılması için aşağıdaki tekniklerden biri veya daha fazlasının kombinasyonu kullanılır.</w:t>
      </w:r>
    </w:p>
    <w:p w14:paraId="0B57E204" w14:textId="77777777" w:rsidR="00A508A2" w:rsidRPr="00DD0D1F" w:rsidRDefault="00A508A2" w:rsidP="00A508A2">
      <w:pPr>
        <w:pStyle w:val="GvdeMetni"/>
        <w:spacing w:before="9"/>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4"/>
        <w:gridCol w:w="3283"/>
        <w:gridCol w:w="3020"/>
      </w:tblGrid>
      <w:tr w:rsidR="00A508A2" w:rsidRPr="00DD0D1F" w14:paraId="232FED71" w14:textId="77777777" w:rsidTr="00A508A2">
        <w:trPr>
          <w:trHeight w:val="285"/>
        </w:trPr>
        <w:tc>
          <w:tcPr>
            <w:tcW w:w="1431" w:type="pct"/>
          </w:tcPr>
          <w:p w14:paraId="458666A1" w14:textId="77777777" w:rsidR="00A508A2" w:rsidRPr="00DD0D1F" w:rsidRDefault="00A508A2" w:rsidP="00A508A2">
            <w:pPr>
              <w:pStyle w:val="TableParagraph"/>
              <w:spacing w:before="26"/>
              <w:ind w:left="768"/>
              <w:rPr>
                <w:b/>
                <w:szCs w:val="24"/>
              </w:rPr>
            </w:pPr>
            <w:r w:rsidRPr="00DD0D1F">
              <w:rPr>
                <w:b/>
                <w:bCs/>
                <w:szCs w:val="24"/>
              </w:rPr>
              <w:t>Teknik</w:t>
            </w:r>
          </w:p>
        </w:tc>
        <w:tc>
          <w:tcPr>
            <w:tcW w:w="1857" w:type="pct"/>
          </w:tcPr>
          <w:p w14:paraId="501C0AA6" w14:textId="77777777" w:rsidR="00A508A2" w:rsidRPr="00DD0D1F" w:rsidRDefault="00A508A2" w:rsidP="00A508A2">
            <w:pPr>
              <w:pStyle w:val="TableParagraph"/>
              <w:spacing w:before="26"/>
              <w:ind w:left="1063" w:right="1056"/>
              <w:jc w:val="center"/>
              <w:rPr>
                <w:b/>
                <w:szCs w:val="24"/>
              </w:rPr>
            </w:pPr>
            <w:r w:rsidRPr="00DD0D1F">
              <w:rPr>
                <w:b/>
                <w:bCs/>
                <w:szCs w:val="24"/>
              </w:rPr>
              <w:t>Açıklama</w:t>
            </w:r>
          </w:p>
        </w:tc>
        <w:tc>
          <w:tcPr>
            <w:tcW w:w="1713" w:type="pct"/>
          </w:tcPr>
          <w:p w14:paraId="5ED16C2D" w14:textId="77777777" w:rsidR="00A508A2" w:rsidRPr="00DD0D1F" w:rsidRDefault="00A508A2" w:rsidP="00A508A2">
            <w:pPr>
              <w:pStyle w:val="TableParagraph"/>
              <w:spacing w:before="26"/>
              <w:ind w:left="900"/>
              <w:rPr>
                <w:b/>
                <w:szCs w:val="24"/>
              </w:rPr>
            </w:pPr>
            <w:r w:rsidRPr="00DD0D1F">
              <w:rPr>
                <w:b/>
                <w:bCs/>
                <w:szCs w:val="24"/>
              </w:rPr>
              <w:t>Uygulanabilirlik</w:t>
            </w:r>
          </w:p>
        </w:tc>
      </w:tr>
      <w:tr w:rsidR="00A508A2" w:rsidRPr="00DD0D1F" w14:paraId="11FFF6AE" w14:textId="77777777" w:rsidTr="00A508A2">
        <w:trPr>
          <w:trHeight w:val="2298"/>
        </w:trPr>
        <w:tc>
          <w:tcPr>
            <w:tcW w:w="1431" w:type="pct"/>
          </w:tcPr>
          <w:p w14:paraId="00B4BB88" w14:textId="77777777" w:rsidR="00A508A2" w:rsidRPr="00DD0D1F" w:rsidRDefault="00A508A2" w:rsidP="00A508A2">
            <w:pPr>
              <w:pStyle w:val="TableParagraph"/>
              <w:rPr>
                <w:b/>
                <w:szCs w:val="24"/>
              </w:rPr>
            </w:pPr>
          </w:p>
          <w:p w14:paraId="308AFBB7" w14:textId="77777777" w:rsidR="00A508A2" w:rsidRPr="00DD0D1F" w:rsidRDefault="00A508A2" w:rsidP="00A508A2">
            <w:pPr>
              <w:pStyle w:val="TableParagraph"/>
              <w:rPr>
                <w:b/>
                <w:szCs w:val="24"/>
              </w:rPr>
            </w:pPr>
          </w:p>
          <w:p w14:paraId="5EE774DF" w14:textId="77777777" w:rsidR="00A508A2" w:rsidRPr="00DD0D1F" w:rsidRDefault="00A508A2" w:rsidP="00A508A2">
            <w:pPr>
              <w:pStyle w:val="TableParagraph"/>
              <w:rPr>
                <w:b/>
                <w:szCs w:val="24"/>
              </w:rPr>
            </w:pPr>
          </w:p>
          <w:p w14:paraId="707B68BC" w14:textId="77777777" w:rsidR="00A508A2" w:rsidRPr="00DD0D1F" w:rsidRDefault="00A508A2" w:rsidP="00A508A2">
            <w:pPr>
              <w:pStyle w:val="TableParagraph"/>
              <w:tabs>
                <w:tab w:val="left" w:pos="588"/>
              </w:tabs>
              <w:spacing w:before="153"/>
              <w:ind w:left="588" w:right="438" w:hanging="467"/>
              <w:rPr>
                <w:szCs w:val="24"/>
              </w:rPr>
            </w:pPr>
            <w:r w:rsidRPr="00DD0D1F">
              <w:rPr>
                <w:szCs w:val="24"/>
              </w:rPr>
              <w:t>i.</w:t>
            </w:r>
            <w:r w:rsidRPr="00DD0D1F">
              <w:rPr>
                <w:szCs w:val="24"/>
              </w:rPr>
              <w:tab/>
              <w:t>Rejeneratif olmayan yıkama</w:t>
            </w:r>
          </w:p>
        </w:tc>
        <w:tc>
          <w:tcPr>
            <w:tcW w:w="1857" w:type="pct"/>
          </w:tcPr>
          <w:p w14:paraId="496DF506" w14:textId="77777777" w:rsidR="00A508A2" w:rsidRPr="00DD0D1F" w:rsidRDefault="00A508A2" w:rsidP="00A508A2">
            <w:pPr>
              <w:pStyle w:val="TableParagraph"/>
              <w:rPr>
                <w:b/>
                <w:szCs w:val="24"/>
              </w:rPr>
            </w:pPr>
          </w:p>
          <w:p w14:paraId="1A5DC36B" w14:textId="77777777" w:rsidR="00A508A2" w:rsidRPr="00DD0D1F" w:rsidRDefault="00A508A2" w:rsidP="00A508A2">
            <w:pPr>
              <w:pStyle w:val="TableParagraph"/>
              <w:rPr>
                <w:b/>
                <w:szCs w:val="24"/>
              </w:rPr>
            </w:pPr>
          </w:p>
          <w:p w14:paraId="1A1EAA5A" w14:textId="77777777" w:rsidR="00A508A2" w:rsidRPr="00DD0D1F" w:rsidRDefault="00A508A2" w:rsidP="00A508A2">
            <w:pPr>
              <w:pStyle w:val="TableParagraph"/>
              <w:spacing w:before="3"/>
              <w:rPr>
                <w:b/>
                <w:szCs w:val="24"/>
              </w:rPr>
            </w:pPr>
          </w:p>
          <w:p w14:paraId="257A074E" w14:textId="6DB03841" w:rsidR="00A508A2" w:rsidRPr="00DD0D1F" w:rsidRDefault="00A508A2" w:rsidP="00A508A2">
            <w:pPr>
              <w:pStyle w:val="TableParagraph"/>
              <w:ind w:left="95" w:right="-51"/>
              <w:rPr>
                <w:szCs w:val="24"/>
              </w:rPr>
            </w:pPr>
            <w:r w:rsidRPr="00DD0D1F">
              <w:rPr>
                <w:szCs w:val="24"/>
              </w:rPr>
              <w:t>Yaş yıkama veya tuzlu sulu yıkama.</w:t>
            </w:r>
          </w:p>
          <w:p w14:paraId="1C6B19F0" w14:textId="77777777" w:rsidR="00AA7E73" w:rsidRPr="00DD0D1F" w:rsidRDefault="00AA7E73" w:rsidP="00A508A2">
            <w:pPr>
              <w:pStyle w:val="TableParagraph"/>
              <w:ind w:left="95" w:right="-51"/>
              <w:rPr>
                <w:szCs w:val="24"/>
              </w:rPr>
            </w:pPr>
          </w:p>
          <w:p w14:paraId="52C5147F" w14:textId="391C58D9" w:rsidR="00AA7E73" w:rsidRPr="00DD0D1F" w:rsidRDefault="00AA7E73" w:rsidP="00AA7E73">
            <w:pPr>
              <w:pStyle w:val="TableParagraph"/>
              <w:ind w:left="108" w:right="96"/>
              <w:jc w:val="both"/>
              <w:rPr>
                <w:szCs w:val="24"/>
              </w:rPr>
            </w:pPr>
            <w:r w:rsidRPr="00DD0D1F">
              <w:rPr>
                <w:szCs w:val="24"/>
              </w:rPr>
              <w:t xml:space="preserve">Bölüm 1.20.3bakınız. </w:t>
            </w:r>
          </w:p>
          <w:p w14:paraId="5576EF2F" w14:textId="77777777" w:rsidR="00A508A2" w:rsidRPr="00DD0D1F" w:rsidRDefault="00A508A2" w:rsidP="00A508A2">
            <w:pPr>
              <w:pStyle w:val="TableParagraph"/>
              <w:spacing w:before="1"/>
              <w:ind w:left="95"/>
              <w:rPr>
                <w:szCs w:val="24"/>
              </w:rPr>
            </w:pPr>
          </w:p>
        </w:tc>
        <w:tc>
          <w:tcPr>
            <w:tcW w:w="1713" w:type="pct"/>
          </w:tcPr>
          <w:p w14:paraId="4EC2D296" w14:textId="77777777" w:rsidR="00A508A2" w:rsidRPr="00DD0D1F" w:rsidRDefault="00A508A2" w:rsidP="00A508A2">
            <w:pPr>
              <w:pStyle w:val="TableParagraph"/>
              <w:ind w:left="108" w:right="95"/>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2315AFA4" w14:textId="77777777" w:rsidR="00A508A2" w:rsidRPr="00DD0D1F" w:rsidRDefault="00A508A2" w:rsidP="00A508A2">
            <w:pPr>
              <w:pStyle w:val="TableParagraph"/>
              <w:ind w:left="108"/>
              <w:jc w:val="both"/>
              <w:rPr>
                <w:szCs w:val="24"/>
              </w:rPr>
            </w:pPr>
            <w:r w:rsidRPr="00DD0D1F">
              <w:rPr>
                <w:szCs w:val="24"/>
              </w:rPr>
              <w:t>Mevcut birimler bakımından uygulanabilirlik, yer varlığıyla sınırlı olabilir</w:t>
            </w:r>
          </w:p>
        </w:tc>
      </w:tr>
      <w:tr w:rsidR="00A508A2" w:rsidRPr="00DD0D1F" w14:paraId="6A993B1E" w14:textId="77777777" w:rsidTr="00A508A2">
        <w:trPr>
          <w:trHeight w:val="1840"/>
        </w:trPr>
        <w:tc>
          <w:tcPr>
            <w:tcW w:w="1431" w:type="pct"/>
          </w:tcPr>
          <w:p w14:paraId="23A72B5B" w14:textId="77777777" w:rsidR="00A508A2" w:rsidRPr="00DD0D1F" w:rsidRDefault="00A508A2" w:rsidP="00A508A2">
            <w:pPr>
              <w:pStyle w:val="TableParagraph"/>
              <w:rPr>
                <w:b/>
                <w:szCs w:val="24"/>
              </w:rPr>
            </w:pPr>
          </w:p>
          <w:p w14:paraId="5F371A19" w14:textId="77777777" w:rsidR="00A508A2" w:rsidRPr="00DD0D1F" w:rsidRDefault="00A508A2" w:rsidP="00A508A2">
            <w:pPr>
              <w:pStyle w:val="TableParagraph"/>
              <w:rPr>
                <w:b/>
                <w:szCs w:val="24"/>
              </w:rPr>
            </w:pPr>
          </w:p>
          <w:p w14:paraId="5FF11B54" w14:textId="77777777" w:rsidR="00A508A2" w:rsidRPr="00DD0D1F" w:rsidRDefault="00A508A2" w:rsidP="00A508A2">
            <w:pPr>
              <w:pStyle w:val="TableParagraph"/>
              <w:tabs>
                <w:tab w:val="left" w:pos="588"/>
              </w:tabs>
              <w:spacing w:before="179"/>
              <w:ind w:left="588" w:right="781" w:hanging="522"/>
              <w:rPr>
                <w:szCs w:val="24"/>
              </w:rPr>
            </w:pPr>
            <w:r w:rsidRPr="00DD0D1F">
              <w:rPr>
                <w:szCs w:val="24"/>
              </w:rPr>
              <w:t>ii.</w:t>
            </w:r>
            <w:r w:rsidRPr="00DD0D1F">
              <w:rPr>
                <w:szCs w:val="24"/>
              </w:rPr>
              <w:tab/>
              <w:t>Rejeneratif yıkama</w:t>
            </w:r>
          </w:p>
        </w:tc>
        <w:tc>
          <w:tcPr>
            <w:tcW w:w="1857" w:type="pct"/>
          </w:tcPr>
          <w:p w14:paraId="3FB25516" w14:textId="77777777" w:rsidR="00A508A2" w:rsidRPr="00DD0D1F" w:rsidRDefault="00A508A2" w:rsidP="00A508A2">
            <w:pPr>
              <w:pStyle w:val="TableParagraph"/>
              <w:spacing w:before="109"/>
              <w:ind w:left="107" w:right="95"/>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p w14:paraId="42197AB3" w14:textId="77777777" w:rsidR="00A508A2" w:rsidRPr="00DD0D1F" w:rsidRDefault="00A508A2" w:rsidP="00A508A2">
            <w:pPr>
              <w:pStyle w:val="TableParagraph"/>
              <w:ind w:left="107"/>
              <w:jc w:val="both"/>
              <w:rPr>
                <w:szCs w:val="24"/>
              </w:rPr>
            </w:pPr>
          </w:p>
          <w:p w14:paraId="6684FF9D" w14:textId="34EE07F4" w:rsidR="00AA7E73" w:rsidRPr="00DD0D1F" w:rsidRDefault="00AA7E73" w:rsidP="00AA7E73">
            <w:pPr>
              <w:pStyle w:val="TableParagraph"/>
              <w:ind w:left="108" w:right="96"/>
              <w:jc w:val="both"/>
              <w:rPr>
                <w:szCs w:val="24"/>
              </w:rPr>
            </w:pPr>
            <w:r w:rsidRPr="00DD0D1F">
              <w:rPr>
                <w:szCs w:val="24"/>
              </w:rPr>
              <w:t xml:space="preserve">Bölüm 1.20.3 bakınız. </w:t>
            </w:r>
          </w:p>
          <w:p w14:paraId="3776F23A" w14:textId="53CEDDA2" w:rsidR="00AA7E73" w:rsidRPr="00DD0D1F" w:rsidRDefault="00AA7E73" w:rsidP="00A508A2">
            <w:pPr>
              <w:pStyle w:val="TableParagraph"/>
              <w:ind w:left="107"/>
              <w:jc w:val="both"/>
              <w:rPr>
                <w:szCs w:val="24"/>
              </w:rPr>
            </w:pPr>
          </w:p>
        </w:tc>
        <w:tc>
          <w:tcPr>
            <w:tcW w:w="1713" w:type="pct"/>
          </w:tcPr>
          <w:p w14:paraId="69376E9D" w14:textId="77777777" w:rsidR="00A508A2" w:rsidRPr="00DD0D1F" w:rsidRDefault="00A508A2" w:rsidP="00A508A2">
            <w:pPr>
              <w:pStyle w:val="TableParagraph"/>
              <w:ind w:left="108" w:right="98"/>
              <w:jc w:val="both"/>
              <w:rPr>
                <w:szCs w:val="24"/>
              </w:rPr>
            </w:pPr>
            <w:r w:rsidRPr="00DD0D1F">
              <w:rPr>
                <w:szCs w:val="24"/>
              </w:rPr>
              <w:t>Uygulanabilirlik, rejenere edilen yan ürünlerin satılabilir oldukları durumla sınırlıdır.</w:t>
            </w:r>
          </w:p>
          <w:p w14:paraId="0E9B6B2F" w14:textId="77777777" w:rsidR="00A508A2" w:rsidRPr="00DD0D1F" w:rsidRDefault="00A508A2" w:rsidP="00A508A2">
            <w:pPr>
              <w:pStyle w:val="TableParagraph"/>
              <w:ind w:left="108" w:right="97"/>
              <w:jc w:val="both"/>
              <w:rPr>
                <w:szCs w:val="24"/>
              </w:rPr>
            </w:pPr>
            <w:r w:rsidRPr="00DD0D1F">
              <w:rPr>
                <w:szCs w:val="24"/>
              </w:rPr>
              <w:t>Mevcut birimler bakımından uygulanabilirlik, mevcut kükürt geri kazanımı kapasitesi ile ve ayrıca yer varlığıyla sınırlı olabilir</w:t>
            </w:r>
          </w:p>
          <w:p w14:paraId="7B6B9DFF" w14:textId="77777777" w:rsidR="00A508A2" w:rsidRPr="00DD0D1F" w:rsidRDefault="00A508A2" w:rsidP="00A508A2">
            <w:pPr>
              <w:pStyle w:val="TableParagraph"/>
              <w:spacing w:line="216" w:lineRule="exact"/>
              <w:ind w:left="108"/>
              <w:rPr>
                <w:szCs w:val="24"/>
              </w:rPr>
            </w:pPr>
          </w:p>
        </w:tc>
      </w:tr>
    </w:tbl>
    <w:p w14:paraId="137DD4EE" w14:textId="77777777" w:rsidR="00A508A2" w:rsidRPr="00DD0D1F" w:rsidRDefault="00A508A2" w:rsidP="00A508A2">
      <w:pPr>
        <w:pStyle w:val="GvdeMetni"/>
        <w:rPr>
          <w:b/>
          <w:sz w:val="24"/>
          <w:szCs w:val="24"/>
        </w:rPr>
      </w:pPr>
    </w:p>
    <w:p w14:paraId="5D5E5892" w14:textId="77777777" w:rsidR="00A508A2" w:rsidRPr="00DD0D1F" w:rsidRDefault="00A508A2" w:rsidP="00A508A2">
      <w:pPr>
        <w:pStyle w:val="GvdeMetni"/>
        <w:spacing w:before="3"/>
        <w:rPr>
          <w:b/>
          <w:sz w:val="24"/>
          <w:szCs w:val="24"/>
        </w:rPr>
      </w:pPr>
    </w:p>
    <w:p w14:paraId="0778B607" w14:textId="77777777" w:rsidR="00A508A2" w:rsidRPr="00DD0D1F" w:rsidRDefault="00A508A2" w:rsidP="00A508A2">
      <w:pPr>
        <w:tabs>
          <w:tab w:val="left" w:pos="1585"/>
        </w:tabs>
        <w:spacing w:before="92"/>
        <w:rPr>
          <w:rFonts w:cs="Times New Roman"/>
          <w:b/>
          <w:bCs/>
          <w:szCs w:val="24"/>
          <w:lang w:val="tr-TR"/>
        </w:rPr>
      </w:pPr>
      <w:r w:rsidRPr="00DD0D1F">
        <w:rPr>
          <w:rFonts w:cs="Times New Roman"/>
          <w:b/>
          <w:bCs/>
          <w:szCs w:val="24"/>
          <w:lang w:val="tr-TR"/>
        </w:rPr>
        <w:t xml:space="preserve">MET 32: </w:t>
      </w:r>
      <w:r w:rsidRPr="00DD0D1F">
        <w:rPr>
          <w:rFonts w:cs="Times New Roman"/>
          <w:bCs/>
          <w:szCs w:val="24"/>
          <w:lang w:val="tr-TR"/>
        </w:rPr>
        <w:t>Yeşil kokun kireçleştirme prosesinden havaya yayılan toz emisyonlarının azaltılması için aşağıdaki tekniklerin kombinasyonu kullanılır</w:t>
      </w:r>
      <w:r w:rsidRPr="00DD0D1F">
        <w:rPr>
          <w:rFonts w:cs="Times New Roman"/>
          <w:b/>
          <w:bCs/>
          <w:szCs w:val="24"/>
          <w:lang w:val="tr-TR"/>
        </w:rPr>
        <w:t>.</w:t>
      </w:r>
    </w:p>
    <w:p w14:paraId="3CEBEDFB"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4"/>
        <w:gridCol w:w="3406"/>
        <w:gridCol w:w="3407"/>
      </w:tblGrid>
      <w:tr w:rsidR="00AA7E73" w:rsidRPr="00DD0D1F" w14:paraId="44DA34E3" w14:textId="77777777" w:rsidTr="00AA7E73">
        <w:trPr>
          <w:trHeight w:val="283"/>
        </w:trPr>
        <w:tc>
          <w:tcPr>
            <w:tcW w:w="1204" w:type="pct"/>
          </w:tcPr>
          <w:p w14:paraId="42157BF1" w14:textId="77777777" w:rsidR="00AA7E73" w:rsidRPr="00DD0D1F" w:rsidRDefault="00AA7E73" w:rsidP="00A508A2">
            <w:pPr>
              <w:pStyle w:val="TableParagraph"/>
              <w:spacing w:before="24"/>
              <w:ind w:left="142" w:right="134"/>
              <w:jc w:val="center"/>
              <w:rPr>
                <w:b/>
                <w:szCs w:val="24"/>
              </w:rPr>
            </w:pPr>
            <w:r w:rsidRPr="00DD0D1F">
              <w:rPr>
                <w:b/>
                <w:bCs/>
                <w:szCs w:val="24"/>
              </w:rPr>
              <w:t>Teknik</w:t>
            </w:r>
          </w:p>
        </w:tc>
        <w:tc>
          <w:tcPr>
            <w:tcW w:w="1898" w:type="pct"/>
          </w:tcPr>
          <w:p w14:paraId="40DF8EF5" w14:textId="731449DE" w:rsidR="00AA7E73" w:rsidRPr="00DD0D1F" w:rsidRDefault="00AA7E73" w:rsidP="00A508A2">
            <w:pPr>
              <w:pStyle w:val="TableParagraph"/>
              <w:spacing w:before="24"/>
              <w:ind w:left="1115"/>
              <w:rPr>
                <w:b/>
                <w:bCs/>
                <w:szCs w:val="24"/>
              </w:rPr>
            </w:pPr>
            <w:r w:rsidRPr="00DD0D1F">
              <w:rPr>
                <w:b/>
                <w:bCs/>
                <w:szCs w:val="24"/>
              </w:rPr>
              <w:t>Açıklama</w:t>
            </w:r>
          </w:p>
        </w:tc>
        <w:tc>
          <w:tcPr>
            <w:tcW w:w="1898" w:type="pct"/>
          </w:tcPr>
          <w:p w14:paraId="4D40AA83" w14:textId="2B0D8622" w:rsidR="00AA7E73" w:rsidRPr="00DD0D1F" w:rsidRDefault="00AA7E73" w:rsidP="00A508A2">
            <w:pPr>
              <w:pStyle w:val="TableParagraph"/>
              <w:spacing w:before="24"/>
              <w:ind w:left="1115"/>
              <w:rPr>
                <w:b/>
                <w:szCs w:val="24"/>
              </w:rPr>
            </w:pPr>
            <w:r w:rsidRPr="00DD0D1F">
              <w:rPr>
                <w:b/>
                <w:bCs/>
                <w:szCs w:val="24"/>
              </w:rPr>
              <w:t>Uygulanabilirlik</w:t>
            </w:r>
          </w:p>
        </w:tc>
      </w:tr>
      <w:tr w:rsidR="00AA7E73" w:rsidRPr="00DD0D1F" w14:paraId="3865E133" w14:textId="77777777" w:rsidTr="00AA7E73">
        <w:trPr>
          <w:trHeight w:val="1379"/>
        </w:trPr>
        <w:tc>
          <w:tcPr>
            <w:tcW w:w="1204" w:type="pct"/>
          </w:tcPr>
          <w:p w14:paraId="022BC561" w14:textId="77777777" w:rsidR="00AA7E73" w:rsidRPr="00DD0D1F" w:rsidRDefault="00AA7E73" w:rsidP="00A508A2">
            <w:pPr>
              <w:pStyle w:val="TableParagraph"/>
              <w:rPr>
                <w:b/>
                <w:szCs w:val="24"/>
              </w:rPr>
            </w:pPr>
          </w:p>
          <w:p w14:paraId="643FD6B4" w14:textId="77777777" w:rsidR="00AA7E73" w:rsidRPr="00DD0D1F" w:rsidRDefault="00AA7E73" w:rsidP="00A508A2">
            <w:pPr>
              <w:pStyle w:val="TableParagraph"/>
              <w:spacing w:before="5"/>
              <w:rPr>
                <w:b/>
                <w:szCs w:val="24"/>
              </w:rPr>
            </w:pPr>
          </w:p>
          <w:p w14:paraId="001CA7A4" w14:textId="77777777" w:rsidR="00AA7E73" w:rsidRPr="00DD0D1F" w:rsidRDefault="00AA7E73" w:rsidP="00A508A2">
            <w:pPr>
              <w:pStyle w:val="TableParagraph"/>
              <w:tabs>
                <w:tab w:val="left" w:pos="588"/>
              </w:tabs>
              <w:ind w:left="588" w:right="99" w:hanging="467"/>
              <w:rPr>
                <w:szCs w:val="24"/>
              </w:rPr>
            </w:pPr>
            <w:r w:rsidRPr="00DD0D1F">
              <w:rPr>
                <w:szCs w:val="24"/>
              </w:rPr>
              <w:t>i.</w:t>
            </w:r>
            <w:r w:rsidRPr="00DD0D1F">
              <w:rPr>
                <w:szCs w:val="24"/>
              </w:rPr>
              <w:tab/>
              <w:t>Elektrostatik çöktürücü (ESP)</w:t>
            </w:r>
          </w:p>
        </w:tc>
        <w:tc>
          <w:tcPr>
            <w:tcW w:w="1898" w:type="pct"/>
          </w:tcPr>
          <w:p w14:paraId="6C7521E2" w14:textId="266D459D" w:rsidR="00AA7E73" w:rsidRPr="00DD0D1F" w:rsidRDefault="00AA7E73" w:rsidP="00AA7E73">
            <w:pPr>
              <w:pStyle w:val="TableParagraph"/>
              <w:ind w:left="108" w:right="96"/>
              <w:jc w:val="both"/>
              <w:rPr>
                <w:szCs w:val="24"/>
              </w:rPr>
            </w:pPr>
            <w:r w:rsidRPr="00DD0D1F">
              <w:rPr>
                <w:szCs w:val="24"/>
              </w:rPr>
              <w:t xml:space="preserve">Bölüm 1.20.1 bakınız. </w:t>
            </w:r>
          </w:p>
          <w:p w14:paraId="44F95D7E" w14:textId="77777777" w:rsidR="00AA7E73" w:rsidRPr="00DD0D1F" w:rsidRDefault="00AA7E73" w:rsidP="00A508A2">
            <w:pPr>
              <w:pStyle w:val="TableParagraph"/>
              <w:ind w:left="107" w:right="96"/>
              <w:rPr>
                <w:szCs w:val="24"/>
              </w:rPr>
            </w:pPr>
          </w:p>
        </w:tc>
        <w:tc>
          <w:tcPr>
            <w:tcW w:w="1898" w:type="pct"/>
          </w:tcPr>
          <w:p w14:paraId="6657E670" w14:textId="5B7C2737" w:rsidR="00AA7E73" w:rsidRPr="00DD0D1F" w:rsidRDefault="00AA7E73" w:rsidP="00A508A2">
            <w:pPr>
              <w:pStyle w:val="TableParagraph"/>
              <w:ind w:left="107" w:right="96"/>
              <w:rPr>
                <w:szCs w:val="24"/>
              </w:rPr>
            </w:pPr>
            <w:r w:rsidRPr="00DD0D1F">
              <w:rPr>
                <w:szCs w:val="24"/>
              </w:rPr>
              <w:t>Mevcut birimler bakımından uygulanabilirlik, yer varlığıyla sınırlı olabilir. Grafit ve anot kok kireçleştirme üretimi için uygulanabilirlik, kok partiküllerinin yüksek direnci nedeniyle sınırlı olabilir.</w:t>
            </w:r>
          </w:p>
          <w:p w14:paraId="553048CE" w14:textId="77777777" w:rsidR="00AA7E73" w:rsidRPr="00DD0D1F" w:rsidRDefault="00AA7E73" w:rsidP="00A508A2">
            <w:pPr>
              <w:pStyle w:val="TableParagraph"/>
              <w:spacing w:line="215" w:lineRule="exact"/>
              <w:ind w:left="107"/>
              <w:rPr>
                <w:szCs w:val="24"/>
              </w:rPr>
            </w:pPr>
          </w:p>
        </w:tc>
      </w:tr>
      <w:tr w:rsidR="00AA7E73" w:rsidRPr="00DD0D1F" w14:paraId="7B6C3A84" w14:textId="77777777" w:rsidTr="00AA7E73">
        <w:trPr>
          <w:trHeight w:val="460"/>
        </w:trPr>
        <w:tc>
          <w:tcPr>
            <w:tcW w:w="1204" w:type="pct"/>
          </w:tcPr>
          <w:p w14:paraId="377D3D9D" w14:textId="77777777" w:rsidR="00AA7E73" w:rsidRPr="00DD0D1F" w:rsidRDefault="00AA7E73" w:rsidP="00A508A2">
            <w:pPr>
              <w:pStyle w:val="TableParagraph"/>
              <w:tabs>
                <w:tab w:val="left" w:pos="588"/>
                <w:tab w:val="left" w:pos="2018"/>
              </w:tabs>
              <w:spacing w:line="224" w:lineRule="exact"/>
              <w:ind w:left="541" w:hanging="475"/>
              <w:rPr>
                <w:szCs w:val="24"/>
              </w:rPr>
            </w:pPr>
            <w:r w:rsidRPr="00DD0D1F">
              <w:rPr>
                <w:szCs w:val="24"/>
              </w:rPr>
              <w:t>ii.      Çok kademeli siklon ayırıcılar</w:t>
            </w:r>
          </w:p>
          <w:p w14:paraId="5AB192F0" w14:textId="77777777" w:rsidR="00AA7E73" w:rsidRPr="00DD0D1F" w:rsidRDefault="00AA7E73" w:rsidP="00A508A2">
            <w:pPr>
              <w:pStyle w:val="TableParagraph"/>
              <w:spacing w:line="216" w:lineRule="exact"/>
              <w:ind w:left="588"/>
              <w:rPr>
                <w:szCs w:val="24"/>
              </w:rPr>
            </w:pPr>
          </w:p>
        </w:tc>
        <w:tc>
          <w:tcPr>
            <w:tcW w:w="1898" w:type="pct"/>
          </w:tcPr>
          <w:p w14:paraId="64A1D981" w14:textId="2CACDABA" w:rsidR="00AA7E73" w:rsidRPr="00DD0D1F" w:rsidRDefault="00AA7E73" w:rsidP="00AA7E73">
            <w:pPr>
              <w:pStyle w:val="TableParagraph"/>
              <w:ind w:left="108" w:right="96"/>
              <w:jc w:val="both"/>
              <w:rPr>
                <w:szCs w:val="24"/>
              </w:rPr>
            </w:pPr>
            <w:r w:rsidRPr="00DD0D1F">
              <w:rPr>
                <w:szCs w:val="24"/>
              </w:rPr>
              <w:t xml:space="preserve">Bölüm 1.20.1 bakınız. </w:t>
            </w:r>
          </w:p>
          <w:p w14:paraId="52784ED5" w14:textId="77777777" w:rsidR="00AA7E73" w:rsidRPr="00DD0D1F" w:rsidRDefault="00AA7E73" w:rsidP="00A508A2">
            <w:pPr>
              <w:pStyle w:val="TableParagraph"/>
              <w:spacing w:before="108"/>
              <w:ind w:left="107"/>
              <w:rPr>
                <w:szCs w:val="24"/>
              </w:rPr>
            </w:pPr>
          </w:p>
        </w:tc>
        <w:tc>
          <w:tcPr>
            <w:tcW w:w="1898" w:type="pct"/>
          </w:tcPr>
          <w:p w14:paraId="695EF865" w14:textId="2D8495EC" w:rsidR="00AA7E73" w:rsidRPr="00DD0D1F" w:rsidRDefault="00AA7E73" w:rsidP="00A508A2">
            <w:pPr>
              <w:pStyle w:val="TableParagraph"/>
              <w:spacing w:before="108"/>
              <w:ind w:left="107"/>
              <w:rPr>
                <w:szCs w:val="24"/>
              </w:rPr>
            </w:pPr>
            <w:r w:rsidRPr="00DD0D1F">
              <w:rPr>
                <w:szCs w:val="24"/>
              </w:rPr>
              <w:t>Genel olarak uygulanabilir.</w:t>
            </w:r>
          </w:p>
        </w:tc>
      </w:tr>
    </w:tbl>
    <w:p w14:paraId="020DD584" w14:textId="77777777" w:rsidR="00A508A2" w:rsidRPr="00DD0D1F" w:rsidRDefault="00A508A2" w:rsidP="00A508A2">
      <w:pPr>
        <w:pStyle w:val="GvdeMetni"/>
        <w:spacing w:before="5"/>
        <w:rPr>
          <w:b/>
          <w:sz w:val="24"/>
          <w:szCs w:val="24"/>
        </w:rPr>
      </w:pPr>
    </w:p>
    <w:p w14:paraId="67C4CA4B" w14:textId="77777777" w:rsidR="00A508A2" w:rsidRPr="00DD0D1F" w:rsidRDefault="00A508A2" w:rsidP="00A508A2">
      <w:pPr>
        <w:pStyle w:val="ResimYazs"/>
        <w:jc w:val="left"/>
        <w:rPr>
          <w:rFonts w:cs="Times New Roman"/>
          <w:color w:val="auto"/>
          <w:szCs w:val="24"/>
        </w:rPr>
      </w:pPr>
      <w:r w:rsidRPr="00DD0D1F">
        <w:rPr>
          <w:rFonts w:cs="Times New Roman"/>
          <w:bCs/>
          <w:color w:val="auto"/>
          <w:szCs w:val="24"/>
          <w:lang w:val="tr-TR"/>
        </w:rPr>
        <w:t>Yeşil kokun kireçleştirmesi nedeniyle birimden havaya yayılan toz</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039198F0" w14:textId="77777777" w:rsidR="00A508A2" w:rsidRPr="00DD0D1F" w:rsidRDefault="00A508A2" w:rsidP="00A508A2">
      <w:pPr>
        <w:pStyle w:val="GvdeMetni"/>
        <w:spacing w:before="5"/>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38"/>
        <w:gridCol w:w="3339"/>
      </w:tblGrid>
      <w:tr w:rsidR="00A508A2" w:rsidRPr="00DD0D1F" w14:paraId="4FECF951" w14:textId="77777777" w:rsidTr="00A508A2">
        <w:trPr>
          <w:trHeight w:val="690"/>
        </w:trPr>
        <w:tc>
          <w:tcPr>
            <w:tcW w:w="3161" w:type="pct"/>
          </w:tcPr>
          <w:p w14:paraId="03A4D2B5" w14:textId="77777777" w:rsidR="00A508A2" w:rsidRPr="00DD0D1F" w:rsidRDefault="00A508A2" w:rsidP="00A508A2">
            <w:pPr>
              <w:pStyle w:val="TableParagraph"/>
              <w:spacing w:before="9"/>
              <w:rPr>
                <w:b/>
                <w:szCs w:val="24"/>
              </w:rPr>
            </w:pPr>
          </w:p>
          <w:p w14:paraId="653420F9" w14:textId="77777777" w:rsidR="00A508A2" w:rsidRPr="00DD0D1F" w:rsidRDefault="00A508A2" w:rsidP="00A508A2">
            <w:pPr>
              <w:pStyle w:val="TableParagraph"/>
              <w:spacing w:before="1"/>
              <w:ind w:left="2215" w:right="2208"/>
              <w:jc w:val="center"/>
              <w:rPr>
                <w:b/>
                <w:szCs w:val="24"/>
              </w:rPr>
            </w:pPr>
            <w:r w:rsidRPr="00DD0D1F">
              <w:rPr>
                <w:b/>
                <w:bCs/>
                <w:szCs w:val="24"/>
              </w:rPr>
              <w:t>Parametre</w:t>
            </w:r>
          </w:p>
        </w:tc>
        <w:tc>
          <w:tcPr>
            <w:tcW w:w="1839" w:type="pct"/>
          </w:tcPr>
          <w:p w14:paraId="1BE1EBA4" w14:textId="17EF1965" w:rsidR="00A508A2" w:rsidRPr="00DD0D1F" w:rsidRDefault="007D7613" w:rsidP="00A508A2">
            <w:pPr>
              <w:pStyle w:val="TableParagraph"/>
              <w:spacing w:line="228" w:lineRule="exact"/>
              <w:ind w:left="765" w:right="755"/>
              <w:jc w:val="center"/>
              <w:rPr>
                <w:b/>
                <w:szCs w:val="24"/>
              </w:rPr>
            </w:pPr>
            <w:r w:rsidRPr="00DD0D1F">
              <w:rPr>
                <w:b/>
                <w:bCs/>
                <w:szCs w:val="24"/>
              </w:rPr>
              <w:t>MET_İES</w:t>
            </w:r>
          </w:p>
          <w:p w14:paraId="4519BDBB" w14:textId="77777777" w:rsidR="00A508A2" w:rsidRPr="00DD0D1F" w:rsidRDefault="00A508A2" w:rsidP="00A508A2">
            <w:pPr>
              <w:pStyle w:val="TableParagraph"/>
              <w:spacing w:line="228" w:lineRule="exact"/>
              <w:ind w:left="765" w:right="759"/>
              <w:jc w:val="center"/>
              <w:rPr>
                <w:b/>
                <w:szCs w:val="24"/>
              </w:rPr>
            </w:pPr>
            <w:r w:rsidRPr="00DD0D1F">
              <w:rPr>
                <w:b/>
                <w:bCs/>
                <w:szCs w:val="24"/>
              </w:rPr>
              <w:t>(aylık ortalama)</w:t>
            </w:r>
          </w:p>
          <w:p w14:paraId="07908FE5" w14:textId="77777777" w:rsidR="00A508A2" w:rsidRPr="00DD0D1F" w:rsidRDefault="00A508A2" w:rsidP="00A508A2">
            <w:pPr>
              <w:pStyle w:val="TableParagraph"/>
              <w:spacing w:line="215" w:lineRule="exact"/>
              <w:ind w:left="764" w:right="759"/>
              <w:jc w:val="center"/>
              <w:rPr>
                <w:szCs w:val="24"/>
              </w:rPr>
            </w:pPr>
            <w:r w:rsidRPr="00DD0D1F">
              <w:rPr>
                <w:szCs w:val="24"/>
              </w:rPr>
              <w:t>mg/Nm</w:t>
            </w:r>
            <w:r w:rsidRPr="00DD0D1F">
              <w:rPr>
                <w:szCs w:val="24"/>
                <w:vertAlign w:val="superscript"/>
              </w:rPr>
              <w:t>3</w:t>
            </w:r>
          </w:p>
        </w:tc>
      </w:tr>
      <w:tr w:rsidR="00A508A2" w:rsidRPr="00DD0D1F" w14:paraId="75CB8E66" w14:textId="77777777" w:rsidTr="00A508A2">
        <w:trPr>
          <w:trHeight w:val="282"/>
        </w:trPr>
        <w:tc>
          <w:tcPr>
            <w:tcW w:w="3161" w:type="pct"/>
          </w:tcPr>
          <w:p w14:paraId="512569F2" w14:textId="77777777" w:rsidR="00A508A2" w:rsidRPr="00DD0D1F" w:rsidRDefault="00A508A2" w:rsidP="00A508A2">
            <w:pPr>
              <w:pStyle w:val="TableParagraph"/>
              <w:spacing w:before="19"/>
              <w:ind w:left="107"/>
              <w:rPr>
                <w:szCs w:val="24"/>
              </w:rPr>
            </w:pPr>
            <w:r w:rsidRPr="00DD0D1F">
              <w:rPr>
                <w:szCs w:val="24"/>
              </w:rPr>
              <w:t>Toz</w:t>
            </w:r>
          </w:p>
        </w:tc>
        <w:tc>
          <w:tcPr>
            <w:tcW w:w="1839" w:type="pct"/>
          </w:tcPr>
          <w:p w14:paraId="235E5ABB" w14:textId="77777777" w:rsidR="00A508A2" w:rsidRPr="00DD0D1F" w:rsidRDefault="00A508A2" w:rsidP="00A508A2">
            <w:pPr>
              <w:pStyle w:val="TableParagraph"/>
              <w:spacing w:before="19"/>
              <w:ind w:left="1017"/>
              <w:rPr>
                <w:szCs w:val="24"/>
              </w:rPr>
            </w:pPr>
            <w:r w:rsidRPr="00DD0D1F">
              <w:rPr>
                <w:szCs w:val="24"/>
              </w:rPr>
              <w:t>10 – 50 (</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06D48B38" w14:textId="77777777" w:rsidTr="00A508A2">
        <w:trPr>
          <w:trHeight w:val="414"/>
        </w:trPr>
        <w:tc>
          <w:tcPr>
            <w:tcW w:w="5000" w:type="pct"/>
            <w:gridSpan w:val="2"/>
          </w:tcPr>
          <w:p w14:paraId="1D22D06C" w14:textId="1CCBE9FA" w:rsidR="00A508A2" w:rsidRPr="00DD0D1F" w:rsidRDefault="00A508A2" w:rsidP="00FF111D">
            <w:pPr>
              <w:pStyle w:val="TableParagraph"/>
              <w:numPr>
                <w:ilvl w:val="0"/>
                <w:numId w:val="95"/>
              </w:numPr>
              <w:tabs>
                <w:tab w:val="left" w:pos="334"/>
              </w:tabs>
              <w:spacing w:line="192" w:lineRule="exact"/>
              <w:ind w:hanging="227"/>
              <w:rPr>
                <w:szCs w:val="24"/>
              </w:rPr>
            </w:pPr>
            <w:r w:rsidRPr="00DD0D1F">
              <w:rPr>
                <w:szCs w:val="24"/>
              </w:rPr>
              <w:t xml:space="preserve">Aralığın daha düşük olan </w:t>
            </w:r>
            <w:r w:rsidR="00A504E5" w:rsidRPr="00DD0D1F">
              <w:rPr>
                <w:szCs w:val="24"/>
              </w:rPr>
              <w:t>sınırı</w:t>
            </w:r>
            <w:r w:rsidRPr="00DD0D1F">
              <w:rPr>
                <w:szCs w:val="24"/>
              </w:rPr>
              <w:t>, 4 alanlı ESP ile elde edilebilir.</w:t>
            </w:r>
          </w:p>
          <w:p w14:paraId="5BA29254" w14:textId="77777777" w:rsidR="00A508A2" w:rsidRPr="00DD0D1F" w:rsidRDefault="00A508A2" w:rsidP="00FF111D">
            <w:pPr>
              <w:pStyle w:val="TableParagraph"/>
              <w:numPr>
                <w:ilvl w:val="0"/>
                <w:numId w:val="95"/>
              </w:numPr>
              <w:tabs>
                <w:tab w:val="left" w:pos="334"/>
              </w:tabs>
              <w:spacing w:line="203" w:lineRule="exact"/>
              <w:ind w:hanging="227"/>
              <w:rPr>
                <w:szCs w:val="24"/>
              </w:rPr>
            </w:pPr>
            <w:r w:rsidRPr="00DD0D1F">
              <w:rPr>
                <w:szCs w:val="24"/>
              </w:rPr>
              <w:t>ESP'nin uygulanmadığı durumda 150 mg/Nm</w:t>
            </w:r>
            <w:r w:rsidRPr="00DD0D1F">
              <w:rPr>
                <w:szCs w:val="24"/>
                <w:vertAlign w:val="superscript"/>
              </w:rPr>
              <w:t xml:space="preserve">3 </w:t>
            </w:r>
            <w:r w:rsidRPr="00DD0D1F">
              <w:rPr>
                <w:szCs w:val="24"/>
              </w:rPr>
              <w:t>düzeyine kadar değerler oluşabilir.</w:t>
            </w:r>
          </w:p>
        </w:tc>
      </w:tr>
    </w:tbl>
    <w:p w14:paraId="22ED89A2" w14:textId="77777777" w:rsidR="00A508A2" w:rsidRPr="00DD0D1F" w:rsidRDefault="00A508A2" w:rsidP="00A508A2">
      <w:pPr>
        <w:pStyle w:val="GvdeMetni"/>
        <w:spacing w:before="6"/>
        <w:rPr>
          <w:b/>
          <w:sz w:val="24"/>
          <w:szCs w:val="24"/>
        </w:rPr>
      </w:pPr>
    </w:p>
    <w:p w14:paraId="0DC5DEBA" w14:textId="77777777" w:rsidR="00A508A2" w:rsidRPr="00DD0D1F" w:rsidRDefault="00A508A2" w:rsidP="00A508A2">
      <w:pPr>
        <w:rPr>
          <w:rFonts w:cs="Times New Roman"/>
          <w:szCs w:val="24"/>
          <w:lang w:val="tr-TR"/>
        </w:rPr>
      </w:pPr>
    </w:p>
    <w:p w14:paraId="7AFE34FF" w14:textId="051F1701" w:rsidR="00A508A2" w:rsidRPr="00DD0D1F" w:rsidRDefault="00A508A2" w:rsidP="00EB7491">
      <w:pPr>
        <w:pStyle w:val="Balk1"/>
        <w:keepNext w:val="0"/>
        <w:keepLines w:val="0"/>
        <w:widowControl w:val="0"/>
        <w:numPr>
          <w:ilvl w:val="0"/>
          <w:numId w:val="0"/>
        </w:numPr>
        <w:autoSpaceDE w:val="0"/>
        <w:autoSpaceDN w:val="0"/>
        <w:spacing w:before="159"/>
        <w:ind w:left="432" w:hanging="432"/>
        <w:rPr>
          <w:rFonts w:cs="Times New Roman"/>
          <w:szCs w:val="24"/>
          <w:lang w:val="tr-TR"/>
        </w:rPr>
      </w:pPr>
      <w:bookmarkStart w:id="226" w:name="_bookmark893"/>
      <w:bookmarkStart w:id="227" w:name="5.8_BAT_conclusions_for_the_desalting_pr"/>
      <w:bookmarkEnd w:id="226"/>
      <w:bookmarkEnd w:id="227"/>
      <w:r w:rsidRPr="00DD0D1F">
        <w:rPr>
          <w:rFonts w:cs="Times New Roman"/>
          <w:szCs w:val="24"/>
          <w:lang w:val="tr-TR"/>
        </w:rPr>
        <w:t>TUZ GIDERME PROSESINE ILIŞKIN</w:t>
      </w:r>
      <w:r w:rsidR="00EB7491" w:rsidRPr="00DD0D1F">
        <w:rPr>
          <w:rFonts w:cs="Times New Roman"/>
          <w:szCs w:val="24"/>
          <w:lang w:val="tr-TR"/>
        </w:rPr>
        <w:t xml:space="preserve"> MET</w:t>
      </w:r>
    </w:p>
    <w:p w14:paraId="05441A05" w14:textId="77777777" w:rsidR="00A508A2" w:rsidRPr="00DD0D1F" w:rsidRDefault="00A508A2" w:rsidP="00A508A2">
      <w:pPr>
        <w:pStyle w:val="GvdeMetni"/>
        <w:spacing w:before="8" w:line="360" w:lineRule="auto"/>
        <w:jc w:val="both"/>
        <w:rPr>
          <w:b/>
          <w:sz w:val="24"/>
          <w:szCs w:val="24"/>
        </w:rPr>
      </w:pPr>
    </w:p>
    <w:p w14:paraId="20A6DD34" w14:textId="77777777" w:rsidR="00A508A2" w:rsidRPr="00DD0D1F" w:rsidRDefault="00A508A2" w:rsidP="00A508A2">
      <w:pPr>
        <w:tabs>
          <w:tab w:val="left" w:pos="2721"/>
        </w:tabs>
        <w:rPr>
          <w:rFonts w:cs="Times New Roman"/>
          <w:b/>
          <w:bCs/>
          <w:szCs w:val="24"/>
          <w:lang w:val="tr-TR"/>
        </w:rPr>
      </w:pPr>
      <w:r w:rsidRPr="00DD0D1F">
        <w:rPr>
          <w:rFonts w:cs="Times New Roman"/>
          <w:b/>
          <w:bCs/>
          <w:szCs w:val="24"/>
          <w:lang w:val="tr-TR"/>
        </w:rPr>
        <w:t xml:space="preserve">MET 33: </w:t>
      </w:r>
      <w:r w:rsidRPr="00DD0D1F">
        <w:rPr>
          <w:rFonts w:cs="Times New Roman"/>
          <w:bCs/>
          <w:szCs w:val="24"/>
          <w:lang w:val="tr-TR"/>
        </w:rPr>
        <w:t>Su tüketimini ve tuz giderme prosesinden suya yayılan emisyonların azaltılması için aşağıdaki tekniklerden biri veya daha fazlasının kombinasyonu kullanılır.</w:t>
      </w:r>
    </w:p>
    <w:p w14:paraId="3C80CDE3" w14:textId="77777777" w:rsidR="00A508A2" w:rsidRPr="00DD0D1F" w:rsidRDefault="00A508A2" w:rsidP="00A508A2">
      <w:pPr>
        <w:pStyle w:val="GvdeMetni"/>
        <w:spacing w:before="8"/>
        <w:rPr>
          <w:b/>
          <w:sz w:val="24"/>
          <w:szCs w:val="24"/>
        </w:rPr>
      </w:pPr>
      <w:bookmarkStart w:id="228" w:name="_bookmark894"/>
      <w:bookmarkStart w:id="229" w:name="5.9_BAT_conclusions_for_the_combustion_u"/>
      <w:bookmarkEnd w:id="228"/>
      <w:bookmarkEnd w:id="22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7"/>
        <w:gridCol w:w="4388"/>
        <w:gridCol w:w="2552"/>
      </w:tblGrid>
      <w:tr w:rsidR="00A508A2" w:rsidRPr="00DD0D1F" w14:paraId="0117159F" w14:textId="77777777" w:rsidTr="00A508A2">
        <w:trPr>
          <w:trHeight w:val="282"/>
        </w:trPr>
        <w:tc>
          <w:tcPr>
            <w:tcW w:w="1177" w:type="pct"/>
          </w:tcPr>
          <w:p w14:paraId="34674792" w14:textId="77777777" w:rsidR="00A508A2" w:rsidRPr="00DD0D1F" w:rsidRDefault="00A508A2" w:rsidP="00A508A2">
            <w:pPr>
              <w:pStyle w:val="TableParagraph"/>
              <w:spacing w:before="24"/>
              <w:ind w:left="575"/>
              <w:rPr>
                <w:b/>
                <w:szCs w:val="24"/>
              </w:rPr>
            </w:pPr>
            <w:r w:rsidRPr="00DD0D1F">
              <w:rPr>
                <w:b/>
                <w:bCs/>
                <w:szCs w:val="24"/>
              </w:rPr>
              <w:t>Teknik</w:t>
            </w:r>
          </w:p>
        </w:tc>
        <w:tc>
          <w:tcPr>
            <w:tcW w:w="2417" w:type="pct"/>
          </w:tcPr>
          <w:p w14:paraId="7931782A" w14:textId="77777777" w:rsidR="00A508A2" w:rsidRPr="00DD0D1F" w:rsidRDefault="00A508A2" w:rsidP="00A508A2">
            <w:pPr>
              <w:pStyle w:val="TableParagraph"/>
              <w:spacing w:before="24"/>
              <w:ind w:left="1590" w:right="1588"/>
              <w:jc w:val="center"/>
              <w:rPr>
                <w:b/>
                <w:szCs w:val="24"/>
              </w:rPr>
            </w:pPr>
            <w:r w:rsidRPr="00DD0D1F">
              <w:rPr>
                <w:b/>
                <w:bCs/>
                <w:szCs w:val="24"/>
              </w:rPr>
              <w:t>Açıklama</w:t>
            </w:r>
          </w:p>
        </w:tc>
        <w:tc>
          <w:tcPr>
            <w:tcW w:w="1406" w:type="pct"/>
          </w:tcPr>
          <w:p w14:paraId="79DBD213" w14:textId="77777777" w:rsidR="00A508A2" w:rsidRPr="00DD0D1F" w:rsidRDefault="00A508A2" w:rsidP="00A508A2">
            <w:pPr>
              <w:pStyle w:val="TableParagraph"/>
              <w:spacing w:before="24"/>
              <w:ind w:left="668"/>
              <w:rPr>
                <w:b/>
                <w:szCs w:val="24"/>
              </w:rPr>
            </w:pPr>
            <w:r w:rsidRPr="00DD0D1F">
              <w:rPr>
                <w:b/>
                <w:bCs/>
                <w:szCs w:val="24"/>
              </w:rPr>
              <w:t>Uygulanabilirlik</w:t>
            </w:r>
          </w:p>
        </w:tc>
      </w:tr>
      <w:tr w:rsidR="00A508A2" w:rsidRPr="00DD0D1F" w14:paraId="5A7CD0AE" w14:textId="77777777" w:rsidTr="00A508A2">
        <w:trPr>
          <w:trHeight w:val="1840"/>
        </w:trPr>
        <w:tc>
          <w:tcPr>
            <w:tcW w:w="1177" w:type="pct"/>
          </w:tcPr>
          <w:p w14:paraId="6DA52BD5" w14:textId="77777777" w:rsidR="00A508A2" w:rsidRPr="00DD0D1F" w:rsidRDefault="00A508A2" w:rsidP="00A508A2">
            <w:pPr>
              <w:pStyle w:val="TableParagraph"/>
              <w:rPr>
                <w:b/>
                <w:szCs w:val="24"/>
              </w:rPr>
            </w:pPr>
          </w:p>
          <w:p w14:paraId="748F779F" w14:textId="77777777" w:rsidR="00A508A2" w:rsidRPr="00DD0D1F" w:rsidRDefault="00A508A2" w:rsidP="00A508A2">
            <w:pPr>
              <w:pStyle w:val="TableParagraph"/>
              <w:spacing w:before="192"/>
              <w:ind w:left="467" w:right="99" w:hanging="257"/>
              <w:jc w:val="both"/>
              <w:rPr>
                <w:szCs w:val="24"/>
              </w:rPr>
            </w:pPr>
            <w:r w:rsidRPr="00DD0D1F">
              <w:rPr>
                <w:szCs w:val="24"/>
              </w:rPr>
              <w:t>i. Suyun geri kazanımı ve tuz giderme prosesinin optimizasyonu</w:t>
            </w:r>
          </w:p>
        </w:tc>
        <w:tc>
          <w:tcPr>
            <w:tcW w:w="2417" w:type="pct"/>
          </w:tcPr>
          <w:p w14:paraId="3EED140F" w14:textId="77777777" w:rsidR="00A508A2" w:rsidRPr="00DD0D1F" w:rsidRDefault="00A508A2" w:rsidP="00A508A2">
            <w:pPr>
              <w:pStyle w:val="TableParagraph"/>
              <w:ind w:left="107" w:right="102"/>
              <w:jc w:val="both"/>
              <w:rPr>
                <w:szCs w:val="24"/>
              </w:rPr>
            </w:pPr>
            <w:r w:rsidRPr="00DD0D1F">
              <w:rPr>
                <w:szCs w:val="24"/>
              </w:rPr>
              <w:t>Tuz gidericinin verimini yükseltmeyi ve yıkama suyu kullanımını azaltmayı (ör. alçak bıçaklı karıştırma cihazlarının, düşük su basıncının kullanımıyla) amaçlayan iyi tuz giderimi uygulamalarının karması. Yıkama (ör. iyi karıştırma) ve ayrıştırma (ör. pH, yoğunluk, viskozite, kaynaşma için elektrik alanı potansiyeli) adımları ile ilgili kilit parametrelerin yönetimini içerir.</w:t>
            </w:r>
          </w:p>
        </w:tc>
        <w:tc>
          <w:tcPr>
            <w:tcW w:w="1406" w:type="pct"/>
          </w:tcPr>
          <w:p w14:paraId="282762AF" w14:textId="77777777" w:rsidR="00A508A2" w:rsidRPr="00DD0D1F" w:rsidRDefault="00A508A2" w:rsidP="00A508A2">
            <w:pPr>
              <w:pStyle w:val="TableParagraph"/>
              <w:rPr>
                <w:b/>
                <w:szCs w:val="24"/>
              </w:rPr>
            </w:pPr>
          </w:p>
          <w:p w14:paraId="0A01A83F" w14:textId="77777777" w:rsidR="00A508A2" w:rsidRPr="00DD0D1F" w:rsidRDefault="00A508A2" w:rsidP="00A508A2">
            <w:pPr>
              <w:pStyle w:val="TableParagraph"/>
              <w:rPr>
                <w:b/>
                <w:szCs w:val="24"/>
              </w:rPr>
            </w:pPr>
          </w:p>
          <w:p w14:paraId="7CA0361A" w14:textId="77777777" w:rsidR="00A508A2" w:rsidRPr="00DD0D1F" w:rsidRDefault="00A508A2" w:rsidP="00A508A2">
            <w:pPr>
              <w:pStyle w:val="TableParagraph"/>
              <w:spacing w:before="6"/>
              <w:rPr>
                <w:b/>
                <w:szCs w:val="24"/>
              </w:rPr>
            </w:pPr>
          </w:p>
          <w:p w14:paraId="29486CA5" w14:textId="77777777" w:rsidR="00A508A2" w:rsidRPr="00DD0D1F" w:rsidRDefault="00A508A2" w:rsidP="00A508A2">
            <w:pPr>
              <w:pStyle w:val="TableParagraph"/>
              <w:ind w:left="106"/>
              <w:rPr>
                <w:szCs w:val="24"/>
              </w:rPr>
            </w:pPr>
            <w:r w:rsidRPr="00DD0D1F">
              <w:rPr>
                <w:szCs w:val="24"/>
              </w:rPr>
              <w:t>Genel olarak uygulanabilir</w:t>
            </w:r>
          </w:p>
        </w:tc>
      </w:tr>
      <w:tr w:rsidR="00A508A2" w:rsidRPr="00DD0D1F" w14:paraId="2C6D57F6" w14:textId="77777777" w:rsidTr="00A508A2">
        <w:trPr>
          <w:trHeight w:val="1149"/>
        </w:trPr>
        <w:tc>
          <w:tcPr>
            <w:tcW w:w="1177" w:type="pct"/>
          </w:tcPr>
          <w:p w14:paraId="015E7BC8" w14:textId="77777777" w:rsidR="00A508A2" w:rsidRPr="00DD0D1F" w:rsidRDefault="00A508A2" w:rsidP="00A508A2">
            <w:pPr>
              <w:pStyle w:val="TableParagraph"/>
              <w:rPr>
                <w:b/>
                <w:szCs w:val="24"/>
              </w:rPr>
            </w:pPr>
          </w:p>
          <w:p w14:paraId="20BF4F98" w14:textId="77777777" w:rsidR="00A508A2" w:rsidRPr="00DD0D1F" w:rsidRDefault="00A508A2" w:rsidP="00A508A2">
            <w:pPr>
              <w:pStyle w:val="TableParagraph"/>
              <w:spacing w:before="1" w:line="235" w:lineRule="auto"/>
              <w:ind w:left="467" w:right="179" w:hanging="317"/>
              <w:rPr>
                <w:szCs w:val="24"/>
              </w:rPr>
            </w:pPr>
            <w:r w:rsidRPr="00DD0D1F">
              <w:rPr>
                <w:szCs w:val="24"/>
              </w:rPr>
              <w:t>ii. Çok kademeli tuz giderici</w:t>
            </w:r>
          </w:p>
        </w:tc>
        <w:tc>
          <w:tcPr>
            <w:tcW w:w="2417" w:type="pct"/>
          </w:tcPr>
          <w:p w14:paraId="665D4CF0" w14:textId="2AE52969" w:rsidR="00A508A2" w:rsidRPr="00DD0D1F" w:rsidRDefault="00A508A2" w:rsidP="00353734">
            <w:pPr>
              <w:pStyle w:val="TableParagraph"/>
              <w:ind w:left="107" w:right="100"/>
              <w:jc w:val="both"/>
              <w:rPr>
                <w:szCs w:val="24"/>
              </w:rPr>
            </w:pPr>
            <w:r w:rsidRPr="00DD0D1F">
              <w:rPr>
                <w:szCs w:val="24"/>
              </w:rPr>
              <w:t>Çok kademeli tuz gidericiler, ayrıştırmada daha iyi verim elde edilmesi ve dolayısıyla</w:t>
            </w:r>
            <w:r w:rsidR="00AA7E73" w:rsidRPr="00DD0D1F">
              <w:rPr>
                <w:szCs w:val="24"/>
              </w:rPr>
              <w:t xml:space="preserve"> </w:t>
            </w:r>
            <w:r w:rsidR="00353734" w:rsidRPr="00DD0D1F">
              <w:rPr>
                <w:szCs w:val="24"/>
              </w:rPr>
              <w:t xml:space="preserve">bir sonraki  </w:t>
            </w:r>
            <w:r w:rsidRPr="00DD0D1F">
              <w:rPr>
                <w:szCs w:val="24"/>
              </w:rPr>
              <w:t>proseslerde daha az korozyon gerçekleşmesi için iki veya daha fazla aşamada yinelenen su ilavesi ve su giderimi ile çalışırlar.</w:t>
            </w:r>
          </w:p>
        </w:tc>
        <w:tc>
          <w:tcPr>
            <w:tcW w:w="1406" w:type="pct"/>
          </w:tcPr>
          <w:p w14:paraId="245D8CE9" w14:textId="77777777" w:rsidR="00A508A2" w:rsidRPr="00DD0D1F" w:rsidRDefault="00A508A2" w:rsidP="00A508A2">
            <w:pPr>
              <w:pStyle w:val="TableParagraph"/>
              <w:rPr>
                <w:b/>
                <w:szCs w:val="24"/>
              </w:rPr>
            </w:pPr>
          </w:p>
          <w:p w14:paraId="33F3903A" w14:textId="77777777" w:rsidR="00A508A2" w:rsidRPr="00DD0D1F" w:rsidRDefault="00A508A2" w:rsidP="00A508A2">
            <w:pPr>
              <w:pStyle w:val="TableParagraph"/>
              <w:spacing w:before="6"/>
              <w:rPr>
                <w:b/>
                <w:szCs w:val="24"/>
              </w:rPr>
            </w:pPr>
          </w:p>
          <w:p w14:paraId="21F0C2C9" w14:textId="77777777" w:rsidR="00A508A2" w:rsidRPr="00DD0D1F" w:rsidRDefault="00A508A2" w:rsidP="00A508A2">
            <w:pPr>
              <w:pStyle w:val="TableParagraph"/>
              <w:ind w:left="106"/>
              <w:rPr>
                <w:szCs w:val="24"/>
              </w:rPr>
            </w:pPr>
            <w:r w:rsidRPr="00DD0D1F">
              <w:rPr>
                <w:szCs w:val="24"/>
              </w:rPr>
              <w:t>Yeni birimler için uygulanır</w:t>
            </w:r>
          </w:p>
        </w:tc>
      </w:tr>
      <w:tr w:rsidR="00A508A2" w:rsidRPr="00DD0D1F" w14:paraId="30CBE52D" w14:textId="77777777" w:rsidTr="00A508A2">
        <w:trPr>
          <w:trHeight w:val="1151"/>
        </w:trPr>
        <w:tc>
          <w:tcPr>
            <w:tcW w:w="1177" w:type="pct"/>
          </w:tcPr>
          <w:p w14:paraId="79D44205" w14:textId="77777777" w:rsidR="00A508A2" w:rsidRPr="00DD0D1F" w:rsidRDefault="00A508A2" w:rsidP="00A508A2">
            <w:pPr>
              <w:pStyle w:val="TableParagraph"/>
              <w:spacing w:before="7"/>
              <w:rPr>
                <w:b/>
                <w:szCs w:val="24"/>
              </w:rPr>
            </w:pPr>
          </w:p>
          <w:p w14:paraId="5EF5A8DC" w14:textId="77777777" w:rsidR="00A508A2" w:rsidRPr="00DD0D1F" w:rsidRDefault="00A508A2" w:rsidP="00A508A2">
            <w:pPr>
              <w:pStyle w:val="TableParagraph"/>
              <w:spacing w:line="251" w:lineRule="exact"/>
              <w:ind w:left="88"/>
              <w:rPr>
                <w:szCs w:val="24"/>
              </w:rPr>
            </w:pPr>
            <w:r w:rsidRPr="00DD0D1F">
              <w:rPr>
                <w:szCs w:val="24"/>
              </w:rPr>
              <w:t>iii. İlave ayrıştırma adımı</w:t>
            </w:r>
          </w:p>
          <w:p w14:paraId="115BE142" w14:textId="77777777" w:rsidR="00A508A2" w:rsidRPr="00DD0D1F" w:rsidRDefault="00A508A2" w:rsidP="00A508A2">
            <w:pPr>
              <w:pStyle w:val="TableParagraph"/>
              <w:spacing w:line="228" w:lineRule="exact"/>
              <w:ind w:left="467"/>
              <w:rPr>
                <w:szCs w:val="24"/>
              </w:rPr>
            </w:pPr>
          </w:p>
        </w:tc>
        <w:tc>
          <w:tcPr>
            <w:tcW w:w="2417" w:type="pct"/>
          </w:tcPr>
          <w:p w14:paraId="0CDD5295" w14:textId="77777777" w:rsidR="00A508A2" w:rsidRPr="00DD0D1F" w:rsidRDefault="00A508A2" w:rsidP="00A508A2">
            <w:pPr>
              <w:pStyle w:val="TableParagraph"/>
              <w:ind w:left="107" w:right="103"/>
              <w:jc w:val="both"/>
              <w:rPr>
                <w:szCs w:val="24"/>
              </w:rPr>
            </w:pPr>
            <w:r w:rsidRPr="00DD0D1F">
              <w:rPr>
                <w:szCs w:val="24"/>
              </w:rPr>
              <w:t>Atık su arıtma tesisine giden yağın azaltılması ve prosese geri dönüştürülmesi için tasarlanan ilave gelişmiş yaş/su ve katı/su ayrıştırması. Bu kapsamda örneğin çöktürme tamburu ile optimum arabirim düzeyi kumanda birimlerinin kullanımı yer alır.</w:t>
            </w:r>
          </w:p>
        </w:tc>
        <w:tc>
          <w:tcPr>
            <w:tcW w:w="1406" w:type="pct"/>
          </w:tcPr>
          <w:p w14:paraId="21B5DB0C" w14:textId="77777777" w:rsidR="00A508A2" w:rsidRPr="00DD0D1F" w:rsidRDefault="00A508A2" w:rsidP="00A508A2">
            <w:pPr>
              <w:pStyle w:val="TableParagraph"/>
              <w:rPr>
                <w:b/>
                <w:szCs w:val="24"/>
              </w:rPr>
            </w:pPr>
          </w:p>
          <w:p w14:paraId="58A128AF" w14:textId="77777777" w:rsidR="00A508A2" w:rsidRPr="00DD0D1F" w:rsidRDefault="00A508A2" w:rsidP="00A508A2">
            <w:pPr>
              <w:pStyle w:val="TableParagraph"/>
              <w:spacing w:before="5"/>
              <w:rPr>
                <w:b/>
                <w:szCs w:val="24"/>
              </w:rPr>
            </w:pPr>
          </w:p>
          <w:p w14:paraId="39A2ACCC" w14:textId="77777777" w:rsidR="00A508A2" w:rsidRPr="00DD0D1F" w:rsidRDefault="00A508A2" w:rsidP="00A508A2">
            <w:pPr>
              <w:pStyle w:val="TableParagraph"/>
              <w:ind w:left="106"/>
              <w:rPr>
                <w:szCs w:val="24"/>
              </w:rPr>
            </w:pPr>
            <w:r w:rsidRPr="00DD0D1F">
              <w:rPr>
                <w:szCs w:val="24"/>
              </w:rPr>
              <w:t>Genel olarak uygulanabilir</w:t>
            </w:r>
          </w:p>
        </w:tc>
      </w:tr>
    </w:tbl>
    <w:p w14:paraId="1923CBBD" w14:textId="77777777" w:rsidR="00A508A2" w:rsidRPr="00DD0D1F" w:rsidRDefault="00A508A2" w:rsidP="00FF3ACE">
      <w:pPr>
        <w:pStyle w:val="Balk1"/>
        <w:numPr>
          <w:ilvl w:val="0"/>
          <w:numId w:val="0"/>
        </w:numPr>
        <w:tabs>
          <w:tab w:val="left" w:pos="1305"/>
          <w:tab w:val="left" w:pos="1306"/>
        </w:tabs>
        <w:ind w:left="785"/>
        <w:rPr>
          <w:rFonts w:cs="Times New Roman"/>
          <w:szCs w:val="24"/>
          <w:lang w:val="tr-TR"/>
        </w:rPr>
      </w:pPr>
    </w:p>
    <w:p w14:paraId="0D4BC3B7" w14:textId="48422103" w:rsidR="00A508A2" w:rsidRPr="00DD0D1F" w:rsidRDefault="00A508A2" w:rsidP="00EB7491">
      <w:pPr>
        <w:pStyle w:val="Balk1"/>
        <w:keepNext w:val="0"/>
        <w:keepLines w:val="0"/>
        <w:widowControl w:val="0"/>
        <w:numPr>
          <w:ilvl w:val="0"/>
          <w:numId w:val="0"/>
        </w:numPr>
        <w:tabs>
          <w:tab w:val="left" w:pos="1305"/>
          <w:tab w:val="left" w:pos="1306"/>
        </w:tabs>
        <w:autoSpaceDE w:val="0"/>
        <w:autoSpaceDN w:val="0"/>
        <w:spacing w:before="159" w:line="240" w:lineRule="auto"/>
        <w:ind w:left="432" w:hanging="432"/>
        <w:jc w:val="left"/>
        <w:rPr>
          <w:rFonts w:cs="Times New Roman"/>
          <w:szCs w:val="24"/>
          <w:lang w:val="tr-TR"/>
        </w:rPr>
      </w:pPr>
      <w:r w:rsidRPr="00DD0D1F">
        <w:rPr>
          <w:rFonts w:cs="Times New Roman"/>
          <w:szCs w:val="24"/>
          <w:lang w:val="tr-TR"/>
        </w:rPr>
        <w:t xml:space="preserve">YANMA BİRİMLERİNE İLİŞKİN </w:t>
      </w:r>
      <w:r w:rsidR="00EB7491" w:rsidRPr="00DD0D1F">
        <w:rPr>
          <w:rFonts w:cs="Times New Roman"/>
          <w:szCs w:val="24"/>
          <w:lang w:val="tr-TR"/>
        </w:rPr>
        <w:t>MET</w:t>
      </w:r>
    </w:p>
    <w:p w14:paraId="2EA003D8" w14:textId="77777777" w:rsidR="00A508A2" w:rsidRPr="00DD0D1F" w:rsidRDefault="00A508A2" w:rsidP="00FF3ACE">
      <w:pPr>
        <w:pStyle w:val="Balk1"/>
        <w:numPr>
          <w:ilvl w:val="0"/>
          <w:numId w:val="0"/>
        </w:numPr>
        <w:rPr>
          <w:rFonts w:cs="Times New Roman"/>
          <w:szCs w:val="24"/>
          <w:lang w:val="tr-TR"/>
        </w:rPr>
      </w:pPr>
    </w:p>
    <w:p w14:paraId="4BC0506E" w14:textId="77777777" w:rsidR="00A508A2" w:rsidRPr="00DD0D1F" w:rsidRDefault="00A508A2" w:rsidP="00A508A2">
      <w:pPr>
        <w:pStyle w:val="GvdeMetni"/>
        <w:spacing w:before="8" w:line="360" w:lineRule="auto"/>
        <w:jc w:val="both"/>
        <w:rPr>
          <w:b/>
          <w:sz w:val="24"/>
          <w:szCs w:val="24"/>
        </w:rPr>
      </w:pPr>
    </w:p>
    <w:p w14:paraId="2BDA796F" w14:textId="77777777" w:rsidR="00A508A2" w:rsidRPr="00DD0D1F" w:rsidRDefault="00A508A2" w:rsidP="00A508A2">
      <w:pPr>
        <w:rPr>
          <w:rFonts w:cs="Times New Roman"/>
          <w:b/>
          <w:bCs/>
          <w:szCs w:val="24"/>
          <w:lang w:val="tr-TR"/>
        </w:rPr>
      </w:pPr>
      <w:bookmarkStart w:id="230" w:name="_bookmark895"/>
      <w:bookmarkEnd w:id="230"/>
      <w:r w:rsidRPr="00DD0D1F">
        <w:rPr>
          <w:rFonts w:cs="Times New Roman"/>
          <w:b/>
          <w:bCs/>
          <w:szCs w:val="24"/>
          <w:lang w:val="tr-TR"/>
        </w:rPr>
        <w:t xml:space="preserve">MET 34: </w:t>
      </w:r>
      <w:r w:rsidRPr="00DD0D1F">
        <w:rPr>
          <w:rFonts w:cs="Times New Roman"/>
          <w:bCs/>
          <w:szCs w:val="24"/>
          <w:lang w:val="tr-TR"/>
        </w:rPr>
        <w:t>Yanma birimlerinden havaya yayılan NO</w:t>
      </w:r>
      <w:r w:rsidRPr="00DD0D1F">
        <w:rPr>
          <w:rFonts w:cs="Times New Roman"/>
          <w:bCs/>
          <w:szCs w:val="24"/>
          <w:vertAlign w:val="subscript"/>
          <w:lang w:val="tr-TR"/>
        </w:rPr>
        <w:t>X</w:t>
      </w:r>
      <w:r w:rsidRPr="00DD0D1F">
        <w:rPr>
          <w:rFonts w:cs="Times New Roman"/>
          <w:bCs/>
          <w:szCs w:val="24"/>
          <w:lang w:val="tr-TR"/>
        </w:rPr>
        <w:t xml:space="preserve"> emisyonlarının önlenmesi veya azaltılması için aşağıdaki tekniklerden biri veya daha fazlasının kombinasyonu kullanılır.</w:t>
      </w:r>
    </w:p>
    <w:p w14:paraId="77715942" w14:textId="77777777" w:rsidR="00A508A2" w:rsidRPr="00DD0D1F" w:rsidRDefault="00A508A2" w:rsidP="00A508A2">
      <w:pPr>
        <w:pStyle w:val="GvdeMetni"/>
        <w:rPr>
          <w:b/>
          <w:sz w:val="24"/>
          <w:szCs w:val="24"/>
        </w:rPr>
      </w:pPr>
    </w:p>
    <w:p w14:paraId="527A332F" w14:textId="77777777" w:rsidR="00A508A2" w:rsidRPr="00DD0D1F" w:rsidRDefault="00A508A2" w:rsidP="00A508A2">
      <w:pPr>
        <w:pStyle w:val="GvdeMetni"/>
        <w:spacing w:before="2"/>
        <w:rPr>
          <w:b/>
          <w:sz w:val="24"/>
          <w:szCs w:val="24"/>
        </w:rPr>
      </w:pPr>
    </w:p>
    <w:p w14:paraId="350A75CE" w14:textId="77777777" w:rsidR="00A508A2" w:rsidRPr="00DD0D1F" w:rsidRDefault="00A508A2" w:rsidP="00A508A2">
      <w:pPr>
        <w:pStyle w:val="GvdeMetni"/>
        <w:tabs>
          <w:tab w:val="left" w:pos="1173"/>
        </w:tabs>
        <w:ind w:left="695"/>
        <w:rPr>
          <w:sz w:val="24"/>
          <w:szCs w:val="24"/>
        </w:rPr>
      </w:pPr>
      <w:r w:rsidRPr="00DD0D1F">
        <w:rPr>
          <w:sz w:val="24"/>
          <w:szCs w:val="24"/>
        </w:rPr>
        <w:t>I.</w:t>
      </w:r>
      <w:r w:rsidRPr="00DD0D1F">
        <w:rPr>
          <w:sz w:val="24"/>
          <w:szCs w:val="24"/>
        </w:rPr>
        <w:tab/>
        <w:t>Aşağıda örnekleri verilen birincil veya prosesle ilgili teknikler:</w:t>
      </w:r>
    </w:p>
    <w:p w14:paraId="6D56309B" w14:textId="77777777" w:rsidR="00A508A2" w:rsidRPr="00DD0D1F" w:rsidRDefault="00A508A2" w:rsidP="00A508A2">
      <w:pPr>
        <w:pStyle w:val="GvdeMetni"/>
        <w:spacing w:before="7"/>
        <w:rPr>
          <w:sz w:val="24"/>
          <w:szCs w:val="24"/>
        </w:rPr>
      </w:pPr>
    </w:p>
    <w:tbl>
      <w:tblPr>
        <w:tblStyle w:val="TableNormal"/>
        <w:tblW w:w="9028"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3329"/>
        <w:gridCol w:w="3637"/>
      </w:tblGrid>
      <w:tr w:rsidR="00A508A2" w:rsidRPr="00DD0D1F" w14:paraId="254E9E2E" w14:textId="77777777" w:rsidTr="00AA7E73">
        <w:trPr>
          <w:trHeight w:val="282"/>
        </w:trPr>
        <w:tc>
          <w:tcPr>
            <w:tcW w:w="2062" w:type="dxa"/>
          </w:tcPr>
          <w:p w14:paraId="1E93A32C" w14:textId="77777777" w:rsidR="00A508A2" w:rsidRPr="00DD0D1F" w:rsidRDefault="00A508A2" w:rsidP="00A508A2">
            <w:pPr>
              <w:pStyle w:val="TableParagraph"/>
              <w:spacing w:before="24"/>
              <w:ind w:left="583"/>
              <w:rPr>
                <w:b/>
                <w:szCs w:val="24"/>
              </w:rPr>
            </w:pPr>
            <w:r w:rsidRPr="00DD0D1F">
              <w:rPr>
                <w:b/>
                <w:bCs/>
                <w:szCs w:val="24"/>
              </w:rPr>
              <w:t>Teknik</w:t>
            </w:r>
          </w:p>
        </w:tc>
        <w:tc>
          <w:tcPr>
            <w:tcW w:w="3329" w:type="dxa"/>
          </w:tcPr>
          <w:p w14:paraId="20E78203" w14:textId="77777777" w:rsidR="00A508A2" w:rsidRPr="00DD0D1F" w:rsidRDefault="00A508A2" w:rsidP="00A508A2">
            <w:pPr>
              <w:pStyle w:val="TableParagraph"/>
              <w:spacing w:before="24"/>
              <w:ind w:left="1147" w:right="1142"/>
              <w:jc w:val="center"/>
              <w:rPr>
                <w:b/>
                <w:szCs w:val="24"/>
              </w:rPr>
            </w:pPr>
            <w:r w:rsidRPr="00DD0D1F">
              <w:rPr>
                <w:b/>
                <w:bCs/>
                <w:szCs w:val="24"/>
              </w:rPr>
              <w:t>Açıklama</w:t>
            </w:r>
          </w:p>
        </w:tc>
        <w:tc>
          <w:tcPr>
            <w:tcW w:w="3637" w:type="dxa"/>
          </w:tcPr>
          <w:p w14:paraId="6C737B50" w14:textId="77777777" w:rsidR="00A508A2" w:rsidRPr="00DD0D1F" w:rsidRDefault="00A508A2" w:rsidP="00A508A2">
            <w:pPr>
              <w:pStyle w:val="TableParagraph"/>
              <w:spacing w:before="24"/>
              <w:ind w:left="88" w:right="147"/>
              <w:jc w:val="center"/>
              <w:rPr>
                <w:b/>
                <w:szCs w:val="24"/>
              </w:rPr>
            </w:pPr>
            <w:r w:rsidRPr="00DD0D1F">
              <w:rPr>
                <w:b/>
                <w:bCs/>
                <w:szCs w:val="24"/>
              </w:rPr>
              <w:t>Uygulanabilirlik</w:t>
            </w:r>
          </w:p>
        </w:tc>
      </w:tr>
      <w:tr w:rsidR="00A508A2" w:rsidRPr="00DD0D1F" w14:paraId="14D11EB2" w14:textId="77777777" w:rsidTr="00AA7E73">
        <w:trPr>
          <w:trHeight w:val="285"/>
        </w:trPr>
        <w:tc>
          <w:tcPr>
            <w:tcW w:w="9028" w:type="dxa"/>
            <w:gridSpan w:val="3"/>
          </w:tcPr>
          <w:p w14:paraId="541716C3" w14:textId="77777777" w:rsidR="00A508A2" w:rsidRPr="00DD0D1F" w:rsidRDefault="00A508A2" w:rsidP="00A508A2">
            <w:pPr>
              <w:pStyle w:val="TableParagraph"/>
              <w:tabs>
                <w:tab w:val="left" w:pos="590"/>
              </w:tabs>
              <w:spacing w:before="22"/>
              <w:ind w:left="124"/>
              <w:rPr>
                <w:szCs w:val="24"/>
              </w:rPr>
            </w:pPr>
            <w:r w:rsidRPr="00DD0D1F">
              <w:rPr>
                <w:szCs w:val="24"/>
              </w:rPr>
              <w:t>i.</w:t>
            </w:r>
            <w:r w:rsidRPr="00DD0D1F">
              <w:rPr>
                <w:szCs w:val="24"/>
              </w:rPr>
              <w:tab/>
              <w:t>Yakıt seçimi veya arıtımı</w:t>
            </w:r>
          </w:p>
        </w:tc>
      </w:tr>
      <w:tr w:rsidR="00A508A2" w:rsidRPr="00DD0D1F" w14:paraId="3A9FD003" w14:textId="77777777" w:rsidTr="00AA7E73">
        <w:trPr>
          <w:trHeight w:val="54"/>
        </w:trPr>
        <w:tc>
          <w:tcPr>
            <w:tcW w:w="2062" w:type="dxa"/>
          </w:tcPr>
          <w:p w14:paraId="35933CB3" w14:textId="77777777" w:rsidR="00A508A2" w:rsidRPr="00DD0D1F" w:rsidRDefault="00A508A2" w:rsidP="00A508A2">
            <w:pPr>
              <w:pStyle w:val="TableParagraph"/>
              <w:spacing w:before="5"/>
              <w:ind w:left="89"/>
              <w:rPr>
                <w:szCs w:val="24"/>
              </w:rPr>
            </w:pPr>
          </w:p>
          <w:p w14:paraId="6C8C750B" w14:textId="77777777" w:rsidR="00A508A2" w:rsidRPr="00DD0D1F" w:rsidRDefault="00A508A2" w:rsidP="00A508A2">
            <w:pPr>
              <w:pStyle w:val="TableParagraph"/>
              <w:ind w:left="376" w:right="98" w:hanging="287"/>
              <w:jc w:val="both"/>
              <w:rPr>
                <w:szCs w:val="24"/>
              </w:rPr>
            </w:pPr>
            <w:r w:rsidRPr="00DD0D1F">
              <w:rPr>
                <w:szCs w:val="24"/>
              </w:rPr>
              <w:t>(a) Akaryakıt yerine  gaz kullanımı</w:t>
            </w:r>
          </w:p>
        </w:tc>
        <w:tc>
          <w:tcPr>
            <w:tcW w:w="3329" w:type="dxa"/>
          </w:tcPr>
          <w:p w14:paraId="637314EA" w14:textId="77777777" w:rsidR="00A508A2" w:rsidRPr="00DD0D1F" w:rsidRDefault="00A508A2" w:rsidP="00A508A2">
            <w:pPr>
              <w:pStyle w:val="TableParagraph"/>
              <w:spacing w:before="108"/>
              <w:ind w:left="107" w:right="97"/>
              <w:jc w:val="both"/>
              <w:rPr>
                <w:szCs w:val="24"/>
              </w:rPr>
            </w:pPr>
            <w:r w:rsidRPr="00DD0D1F">
              <w:rPr>
                <w:szCs w:val="24"/>
              </w:rPr>
              <w:t>Gaz genellikle sıvıdan daha az azot içerir ve yanma neticesinde daha az düzeyde NO</w:t>
            </w:r>
            <w:r w:rsidRPr="00DD0D1F">
              <w:rPr>
                <w:szCs w:val="24"/>
                <w:vertAlign w:val="subscript"/>
              </w:rPr>
              <w:t xml:space="preserve">X </w:t>
            </w:r>
            <w:r w:rsidRPr="00DD0D1F">
              <w:rPr>
                <w:szCs w:val="24"/>
              </w:rPr>
              <w:t>emisyonları yayar.</w:t>
            </w:r>
          </w:p>
          <w:p w14:paraId="50F640D4" w14:textId="4A7C513B" w:rsidR="00A508A2" w:rsidRPr="00DD0D1F" w:rsidRDefault="00AA7E73" w:rsidP="00A508A2">
            <w:pPr>
              <w:pStyle w:val="TableParagraph"/>
              <w:spacing w:line="229" w:lineRule="exact"/>
              <w:ind w:left="107"/>
              <w:jc w:val="both"/>
              <w:rPr>
                <w:szCs w:val="24"/>
              </w:rPr>
            </w:pPr>
            <w:r w:rsidRPr="00DD0D1F">
              <w:rPr>
                <w:szCs w:val="24"/>
              </w:rPr>
              <w:t>Bölüm 1.20.3 bakınız.</w:t>
            </w:r>
          </w:p>
        </w:tc>
        <w:tc>
          <w:tcPr>
            <w:tcW w:w="3637" w:type="dxa"/>
          </w:tcPr>
          <w:p w14:paraId="1221ED78" w14:textId="77777777" w:rsidR="00A508A2" w:rsidRPr="00DD0D1F" w:rsidRDefault="00A508A2" w:rsidP="00A508A2">
            <w:pPr>
              <w:pStyle w:val="TableParagraph"/>
              <w:ind w:left="108" w:right="98"/>
              <w:jc w:val="both"/>
              <w:rPr>
                <w:szCs w:val="24"/>
              </w:rPr>
            </w:pPr>
            <w:r w:rsidRPr="00DD0D1F">
              <w:rPr>
                <w:szCs w:val="24"/>
              </w:rPr>
              <w:t>Uygulanabilirliği, Üye Devletin enerji politikasının etkileyebildiği düşük kükürtlü gaz yakıtların kullanılırlığıyla ilişkili kısıtlar nedeniyle sınırlı olabilir.</w:t>
            </w:r>
          </w:p>
        </w:tc>
      </w:tr>
      <w:tr w:rsidR="00A508A2" w:rsidRPr="00DD0D1F" w14:paraId="77F0A23E" w14:textId="77777777" w:rsidTr="00AA7E73">
        <w:trPr>
          <w:trHeight w:val="1675"/>
        </w:trPr>
        <w:tc>
          <w:tcPr>
            <w:tcW w:w="2062" w:type="dxa"/>
          </w:tcPr>
          <w:p w14:paraId="1FFBDE81" w14:textId="77777777" w:rsidR="00A508A2" w:rsidRPr="00DD0D1F" w:rsidRDefault="00A508A2" w:rsidP="00A508A2">
            <w:pPr>
              <w:pStyle w:val="TableParagraph"/>
              <w:tabs>
                <w:tab w:val="left" w:pos="626"/>
                <w:tab w:val="left" w:pos="1209"/>
                <w:tab w:val="left" w:pos="1240"/>
                <w:tab w:val="left" w:pos="1650"/>
                <w:tab w:val="left" w:pos="1753"/>
              </w:tabs>
              <w:ind w:left="376" w:right="95" w:hanging="287"/>
              <w:rPr>
                <w:szCs w:val="24"/>
              </w:rPr>
            </w:pPr>
            <w:r w:rsidRPr="00DD0D1F">
              <w:rPr>
                <w:szCs w:val="24"/>
              </w:rPr>
              <w:t>(b) Düşük azotlu rafineri akaryakıtı (RFO) kullanımı; ör. RFO seçimiyle veya RFO'ya hydrotreatment uygulanmasıyla</w:t>
            </w:r>
          </w:p>
        </w:tc>
        <w:tc>
          <w:tcPr>
            <w:tcW w:w="3329" w:type="dxa"/>
          </w:tcPr>
          <w:p w14:paraId="1C93C56B" w14:textId="727B5112" w:rsidR="00A508A2" w:rsidRPr="00DD0D1F" w:rsidRDefault="00A508A2" w:rsidP="00A508A2">
            <w:pPr>
              <w:pStyle w:val="TableParagraph"/>
              <w:spacing w:before="108"/>
              <w:ind w:left="107" w:right="100"/>
              <w:jc w:val="both"/>
              <w:rPr>
                <w:szCs w:val="24"/>
              </w:rPr>
            </w:pPr>
            <w:r w:rsidRPr="00DD0D1F">
              <w:rPr>
                <w:szCs w:val="24"/>
              </w:rPr>
              <w:t>Birimin kullanması muhtemel kaynaklar arasında, düşük azotlu akaryakıtların seçimine öncelik verilir. Hydrotreatment işleminin amacı y</w:t>
            </w:r>
            <w:r w:rsidR="00EF43D0" w:rsidRPr="00DD0D1F">
              <w:rPr>
                <w:szCs w:val="24"/>
              </w:rPr>
              <w:t xml:space="preserve">akıttaki kükürt, azot ve metal </w:t>
            </w:r>
            <w:r w:rsidR="001C5B37" w:rsidRPr="00DD0D1F">
              <w:rPr>
                <w:szCs w:val="24"/>
              </w:rPr>
              <w:t xml:space="preserve">içeriğinin  </w:t>
            </w:r>
            <w:r w:rsidRPr="00DD0D1F">
              <w:rPr>
                <w:szCs w:val="24"/>
              </w:rPr>
              <w:t>düşürülmesidir.</w:t>
            </w:r>
          </w:p>
          <w:p w14:paraId="6C096971" w14:textId="5E310362" w:rsidR="00A508A2" w:rsidRPr="00DD0D1F" w:rsidRDefault="00AA7E73" w:rsidP="00A508A2">
            <w:pPr>
              <w:pStyle w:val="TableParagraph"/>
              <w:ind w:left="107"/>
              <w:jc w:val="both"/>
              <w:rPr>
                <w:szCs w:val="24"/>
              </w:rPr>
            </w:pPr>
            <w:r w:rsidRPr="00DD0D1F">
              <w:rPr>
                <w:szCs w:val="24"/>
              </w:rPr>
              <w:t>Bölüm 1.20.3 bakınız.</w:t>
            </w:r>
          </w:p>
        </w:tc>
        <w:tc>
          <w:tcPr>
            <w:tcW w:w="3637" w:type="dxa"/>
          </w:tcPr>
          <w:p w14:paraId="401F1082" w14:textId="77777777" w:rsidR="00A508A2" w:rsidRPr="00DD0D1F" w:rsidRDefault="00A508A2" w:rsidP="00A508A2">
            <w:pPr>
              <w:pStyle w:val="TableParagraph"/>
              <w:spacing w:before="5"/>
              <w:rPr>
                <w:szCs w:val="24"/>
              </w:rPr>
            </w:pPr>
          </w:p>
          <w:p w14:paraId="02C919D5" w14:textId="77777777" w:rsidR="00A508A2" w:rsidRPr="00DD0D1F" w:rsidRDefault="00A508A2" w:rsidP="00A508A2">
            <w:pPr>
              <w:pStyle w:val="TableParagraph"/>
              <w:ind w:left="108" w:right="96"/>
              <w:jc w:val="both"/>
              <w:rPr>
                <w:szCs w:val="24"/>
              </w:rPr>
            </w:pPr>
            <w:r w:rsidRPr="00DD0D1F">
              <w:rPr>
                <w:szCs w:val="24"/>
              </w:rPr>
              <w:t>Düşük azotlu akaryakıtların, hidrojen üretiminin ve hidrojen sülfür (H</w:t>
            </w:r>
            <w:r w:rsidRPr="00DD0D1F">
              <w:rPr>
                <w:szCs w:val="24"/>
                <w:vertAlign w:val="subscript"/>
              </w:rPr>
              <w:t>2</w:t>
            </w:r>
            <w:r w:rsidRPr="00DD0D1F">
              <w:rPr>
                <w:szCs w:val="24"/>
              </w:rPr>
              <w:t>S) arıtma kapasitesinin (ör. amin ve Claus birimleri) kullanılırlığı uygulanabilirliği kısıtlamaktadır.</w:t>
            </w:r>
          </w:p>
        </w:tc>
      </w:tr>
      <w:tr w:rsidR="00A508A2" w:rsidRPr="00DD0D1F" w14:paraId="735C5584" w14:textId="77777777" w:rsidTr="00AA7E73">
        <w:trPr>
          <w:trHeight w:val="282"/>
        </w:trPr>
        <w:tc>
          <w:tcPr>
            <w:tcW w:w="9028" w:type="dxa"/>
            <w:gridSpan w:val="3"/>
          </w:tcPr>
          <w:p w14:paraId="658D289F" w14:textId="77777777" w:rsidR="00A508A2" w:rsidRPr="00DD0D1F" w:rsidRDefault="00A508A2" w:rsidP="00A508A2">
            <w:pPr>
              <w:pStyle w:val="TableParagraph"/>
              <w:tabs>
                <w:tab w:val="left" w:pos="590"/>
              </w:tabs>
              <w:spacing w:before="19"/>
              <w:ind w:left="89"/>
              <w:rPr>
                <w:szCs w:val="24"/>
              </w:rPr>
            </w:pPr>
            <w:r w:rsidRPr="00DD0D1F">
              <w:rPr>
                <w:szCs w:val="24"/>
              </w:rPr>
              <w:t>ii.</w:t>
            </w:r>
            <w:r w:rsidRPr="00DD0D1F">
              <w:rPr>
                <w:szCs w:val="24"/>
              </w:rPr>
              <w:tab/>
              <w:t>Yanma modifikasyonları</w:t>
            </w:r>
          </w:p>
        </w:tc>
      </w:tr>
      <w:tr w:rsidR="00A508A2" w:rsidRPr="00DD0D1F" w14:paraId="28A47EE4" w14:textId="77777777" w:rsidTr="00AA7E73">
        <w:trPr>
          <w:trHeight w:val="950"/>
        </w:trPr>
        <w:tc>
          <w:tcPr>
            <w:tcW w:w="2062" w:type="dxa"/>
          </w:tcPr>
          <w:p w14:paraId="3849AF86" w14:textId="77777777" w:rsidR="00A508A2" w:rsidRPr="00DD0D1F" w:rsidRDefault="00A508A2" w:rsidP="00FF111D">
            <w:pPr>
              <w:pStyle w:val="TableParagraph"/>
              <w:numPr>
                <w:ilvl w:val="0"/>
                <w:numId w:val="94"/>
              </w:numPr>
              <w:tabs>
                <w:tab w:val="left" w:pos="616"/>
                <w:tab w:val="left" w:pos="618"/>
              </w:tabs>
              <w:ind w:left="376" w:right="447" w:hanging="287"/>
              <w:rPr>
                <w:szCs w:val="24"/>
              </w:rPr>
            </w:pPr>
            <w:r w:rsidRPr="00DD0D1F">
              <w:rPr>
                <w:szCs w:val="24"/>
              </w:rPr>
              <w:t>Kademeli  yanma:</w:t>
            </w:r>
          </w:p>
          <w:p w14:paraId="7DDF8A35" w14:textId="77777777" w:rsidR="00A508A2" w:rsidRPr="00DD0D1F" w:rsidRDefault="00A508A2" w:rsidP="00FF111D">
            <w:pPr>
              <w:pStyle w:val="TableParagraph"/>
              <w:numPr>
                <w:ilvl w:val="0"/>
                <w:numId w:val="107"/>
              </w:numPr>
              <w:tabs>
                <w:tab w:val="left" w:pos="518"/>
              </w:tabs>
              <w:spacing w:line="245" w:lineRule="exact"/>
              <w:ind w:left="518" w:hanging="142"/>
              <w:rPr>
                <w:szCs w:val="24"/>
              </w:rPr>
            </w:pPr>
            <w:r w:rsidRPr="00DD0D1F">
              <w:rPr>
                <w:szCs w:val="24"/>
              </w:rPr>
              <w:t>hava kademelendirmesi</w:t>
            </w:r>
          </w:p>
          <w:p w14:paraId="03C60DFE" w14:textId="77777777" w:rsidR="00A508A2" w:rsidRPr="00DD0D1F" w:rsidRDefault="00A508A2" w:rsidP="00FF111D">
            <w:pPr>
              <w:pStyle w:val="TableParagraph"/>
              <w:numPr>
                <w:ilvl w:val="0"/>
                <w:numId w:val="107"/>
              </w:numPr>
              <w:tabs>
                <w:tab w:val="left" w:pos="518"/>
              </w:tabs>
              <w:spacing w:line="231" w:lineRule="exact"/>
              <w:ind w:left="518" w:hanging="142"/>
              <w:rPr>
                <w:szCs w:val="24"/>
              </w:rPr>
            </w:pPr>
            <w:r w:rsidRPr="00DD0D1F">
              <w:rPr>
                <w:szCs w:val="24"/>
              </w:rPr>
              <w:t>yakıt kademelendirmesi</w:t>
            </w:r>
          </w:p>
        </w:tc>
        <w:tc>
          <w:tcPr>
            <w:tcW w:w="3329" w:type="dxa"/>
          </w:tcPr>
          <w:p w14:paraId="60136AC4" w14:textId="77777777" w:rsidR="00A508A2" w:rsidRPr="00DD0D1F" w:rsidRDefault="00A508A2" w:rsidP="00A508A2">
            <w:pPr>
              <w:pStyle w:val="TableParagraph"/>
              <w:spacing w:before="8"/>
              <w:rPr>
                <w:szCs w:val="24"/>
              </w:rPr>
            </w:pPr>
          </w:p>
          <w:p w14:paraId="63F3C275" w14:textId="2DC37166" w:rsidR="00A508A2" w:rsidRPr="00DD0D1F" w:rsidRDefault="00AA7E73" w:rsidP="00AA7E73">
            <w:pPr>
              <w:pStyle w:val="TableParagraph"/>
              <w:ind w:left="107"/>
              <w:rPr>
                <w:szCs w:val="24"/>
              </w:rPr>
            </w:pPr>
            <w:r w:rsidRPr="00DD0D1F">
              <w:rPr>
                <w:szCs w:val="24"/>
              </w:rPr>
              <w:t>Bölüm 1.20.2 bakınız.</w:t>
            </w:r>
          </w:p>
        </w:tc>
        <w:tc>
          <w:tcPr>
            <w:tcW w:w="3637" w:type="dxa"/>
          </w:tcPr>
          <w:p w14:paraId="1977F9DE" w14:textId="77777777" w:rsidR="00A508A2" w:rsidRPr="00DD0D1F" w:rsidRDefault="00A508A2" w:rsidP="00A508A2">
            <w:pPr>
              <w:pStyle w:val="TableParagraph"/>
              <w:spacing w:before="7"/>
              <w:rPr>
                <w:szCs w:val="24"/>
              </w:rPr>
            </w:pPr>
          </w:p>
          <w:p w14:paraId="2AB97AB0" w14:textId="77777777" w:rsidR="00A508A2" w:rsidRPr="00DD0D1F" w:rsidRDefault="00A508A2" w:rsidP="00A508A2">
            <w:pPr>
              <w:pStyle w:val="TableParagraph"/>
              <w:spacing w:before="1"/>
              <w:ind w:left="108" w:right="86"/>
              <w:rPr>
                <w:szCs w:val="24"/>
              </w:rPr>
            </w:pPr>
            <w:r w:rsidRPr="00DD0D1F">
              <w:rPr>
                <w:szCs w:val="24"/>
              </w:rPr>
              <w:t>Karma veya sıvı yakma ile ilgili yakıt kademelendirmesi için özel brülör tasarımı gerekebilir</w:t>
            </w:r>
          </w:p>
        </w:tc>
      </w:tr>
      <w:tr w:rsidR="00AA7E73" w:rsidRPr="00DD0D1F" w14:paraId="37E48C54" w14:textId="77777777" w:rsidTr="00AA7E73">
        <w:trPr>
          <w:trHeight w:val="458"/>
        </w:trPr>
        <w:tc>
          <w:tcPr>
            <w:tcW w:w="2062" w:type="dxa"/>
          </w:tcPr>
          <w:p w14:paraId="49A4B935" w14:textId="77777777" w:rsidR="00AA7E73" w:rsidRPr="00DD0D1F" w:rsidRDefault="00AA7E73" w:rsidP="00AA7E73">
            <w:pPr>
              <w:pStyle w:val="TableParagraph"/>
              <w:spacing w:line="223" w:lineRule="exact"/>
              <w:ind w:left="376" w:hanging="287"/>
              <w:rPr>
                <w:szCs w:val="24"/>
              </w:rPr>
            </w:pPr>
            <w:r w:rsidRPr="00DD0D1F">
              <w:rPr>
                <w:szCs w:val="24"/>
              </w:rPr>
              <w:t>(b) Yanma optimizasyonu</w:t>
            </w:r>
          </w:p>
          <w:p w14:paraId="4F6211ED" w14:textId="77777777" w:rsidR="00AA7E73" w:rsidRPr="00DD0D1F" w:rsidRDefault="00AA7E73" w:rsidP="00AA7E73">
            <w:pPr>
              <w:pStyle w:val="TableParagraph"/>
              <w:spacing w:before="1" w:line="215" w:lineRule="exact"/>
              <w:ind w:left="89"/>
              <w:rPr>
                <w:szCs w:val="24"/>
              </w:rPr>
            </w:pPr>
          </w:p>
        </w:tc>
        <w:tc>
          <w:tcPr>
            <w:tcW w:w="3329" w:type="dxa"/>
          </w:tcPr>
          <w:p w14:paraId="00568B9E" w14:textId="0EC90D97" w:rsidR="00AA7E73" w:rsidRPr="00DD0D1F" w:rsidRDefault="00AA7E73" w:rsidP="00AA7E73">
            <w:pPr>
              <w:pStyle w:val="TableParagraph"/>
              <w:spacing w:before="108"/>
              <w:ind w:left="107"/>
              <w:rPr>
                <w:szCs w:val="24"/>
              </w:rPr>
            </w:pPr>
            <w:r w:rsidRPr="00DD0D1F">
              <w:rPr>
                <w:szCs w:val="24"/>
              </w:rPr>
              <w:t>Bölüm 1.20.2 bakınız.</w:t>
            </w:r>
          </w:p>
        </w:tc>
        <w:tc>
          <w:tcPr>
            <w:tcW w:w="3637" w:type="dxa"/>
          </w:tcPr>
          <w:p w14:paraId="1336C9B3" w14:textId="77777777" w:rsidR="00AA7E73" w:rsidRPr="00DD0D1F" w:rsidRDefault="00AA7E73" w:rsidP="00AA7E73">
            <w:pPr>
              <w:pStyle w:val="TableParagraph"/>
              <w:spacing w:before="108"/>
              <w:ind w:left="108"/>
              <w:rPr>
                <w:szCs w:val="24"/>
              </w:rPr>
            </w:pPr>
            <w:r w:rsidRPr="00DD0D1F">
              <w:rPr>
                <w:szCs w:val="24"/>
              </w:rPr>
              <w:t>Genel olarak uygulanabilir</w:t>
            </w:r>
          </w:p>
        </w:tc>
      </w:tr>
      <w:tr w:rsidR="00AA7E73" w:rsidRPr="00DD0D1F" w14:paraId="39DEBAA1" w14:textId="77777777" w:rsidTr="00AA7E73">
        <w:trPr>
          <w:trHeight w:val="1609"/>
        </w:trPr>
        <w:tc>
          <w:tcPr>
            <w:tcW w:w="2062" w:type="dxa"/>
          </w:tcPr>
          <w:p w14:paraId="55E8527B" w14:textId="77777777" w:rsidR="00AA7E73" w:rsidRPr="00DD0D1F" w:rsidRDefault="00AA7E73" w:rsidP="00AA7E73">
            <w:pPr>
              <w:pStyle w:val="TableParagraph"/>
              <w:ind w:left="89"/>
              <w:rPr>
                <w:szCs w:val="24"/>
              </w:rPr>
            </w:pPr>
          </w:p>
          <w:p w14:paraId="4CB10E2D" w14:textId="77777777" w:rsidR="00AA7E73" w:rsidRPr="00DD0D1F" w:rsidRDefault="00AA7E73" w:rsidP="00AA7E73">
            <w:pPr>
              <w:pStyle w:val="TableParagraph"/>
              <w:spacing w:before="5"/>
              <w:ind w:left="89"/>
              <w:rPr>
                <w:szCs w:val="24"/>
              </w:rPr>
            </w:pPr>
          </w:p>
          <w:p w14:paraId="3F79B7DA" w14:textId="2E35FBFD" w:rsidR="00AA7E73" w:rsidRPr="00DD0D1F" w:rsidRDefault="00AA7E73" w:rsidP="00AA7E73">
            <w:pPr>
              <w:pStyle w:val="TableParagraph"/>
              <w:tabs>
                <w:tab w:val="left" w:pos="616"/>
              </w:tabs>
              <w:ind w:left="376" w:hanging="287"/>
              <w:rPr>
                <w:szCs w:val="24"/>
              </w:rPr>
            </w:pPr>
            <w:r w:rsidRPr="00DD0D1F">
              <w:rPr>
                <w:szCs w:val="24"/>
              </w:rPr>
              <w:t>(c)</w:t>
            </w:r>
            <w:r w:rsidRPr="00DD0D1F">
              <w:rPr>
                <w:szCs w:val="24"/>
              </w:rPr>
              <w:tab/>
            </w:r>
            <w:r w:rsidR="00E00B0A" w:rsidRPr="00DD0D1F">
              <w:rPr>
                <w:szCs w:val="24"/>
              </w:rPr>
              <w:t>Baca</w:t>
            </w:r>
            <w:r w:rsidRPr="00DD0D1F">
              <w:rPr>
                <w:szCs w:val="24"/>
              </w:rPr>
              <w:t xml:space="preserve"> gazı devridaimi</w:t>
            </w:r>
          </w:p>
          <w:p w14:paraId="3B8F086D" w14:textId="77777777" w:rsidR="00AA7E73" w:rsidRPr="00DD0D1F" w:rsidRDefault="00AA7E73" w:rsidP="00AA7E73">
            <w:pPr>
              <w:pStyle w:val="TableParagraph"/>
              <w:spacing w:before="1"/>
              <w:ind w:left="89"/>
              <w:rPr>
                <w:szCs w:val="24"/>
              </w:rPr>
            </w:pPr>
          </w:p>
        </w:tc>
        <w:tc>
          <w:tcPr>
            <w:tcW w:w="3329" w:type="dxa"/>
          </w:tcPr>
          <w:p w14:paraId="1CCD5A90" w14:textId="75E9245F" w:rsidR="00AA7E73" w:rsidRPr="00DD0D1F" w:rsidRDefault="00AA7E73" w:rsidP="00AA7E73">
            <w:pPr>
              <w:pStyle w:val="TableParagraph"/>
              <w:spacing w:before="178"/>
              <w:ind w:left="107"/>
              <w:rPr>
                <w:szCs w:val="24"/>
              </w:rPr>
            </w:pPr>
            <w:r w:rsidRPr="00DD0D1F">
              <w:rPr>
                <w:szCs w:val="24"/>
              </w:rPr>
              <w:t>Bölüm 1.20.2 bakınız.</w:t>
            </w:r>
          </w:p>
        </w:tc>
        <w:tc>
          <w:tcPr>
            <w:tcW w:w="3637" w:type="dxa"/>
          </w:tcPr>
          <w:p w14:paraId="0D180E3F" w14:textId="6B3DD871" w:rsidR="00AA7E73" w:rsidRPr="00DD0D1F" w:rsidRDefault="00E00B0A" w:rsidP="00AA7E73">
            <w:pPr>
              <w:pStyle w:val="TableParagraph"/>
              <w:ind w:left="108" w:right="102"/>
              <w:jc w:val="both"/>
              <w:rPr>
                <w:szCs w:val="24"/>
              </w:rPr>
            </w:pPr>
            <w:r w:rsidRPr="00DD0D1F">
              <w:rPr>
                <w:szCs w:val="24"/>
              </w:rPr>
              <w:t>Baca</w:t>
            </w:r>
            <w:r w:rsidR="00AA7E73" w:rsidRPr="00DD0D1F">
              <w:rPr>
                <w:szCs w:val="24"/>
              </w:rPr>
              <w:t xml:space="preserve"> gazının dahili devridaiminin yapıldığı özel brülörlerin kullanımıyla uygulanabilir.</w:t>
            </w:r>
          </w:p>
          <w:p w14:paraId="6EE748BF" w14:textId="65583555" w:rsidR="00AA7E73" w:rsidRPr="00DD0D1F" w:rsidRDefault="00AA7E73" w:rsidP="00AA7E73">
            <w:pPr>
              <w:pStyle w:val="TableParagraph"/>
              <w:spacing w:line="230" w:lineRule="exact"/>
              <w:ind w:left="108" w:right="98"/>
              <w:jc w:val="both"/>
              <w:rPr>
                <w:szCs w:val="24"/>
              </w:rPr>
            </w:pPr>
            <w:r w:rsidRPr="00DD0D1F">
              <w:rPr>
                <w:szCs w:val="24"/>
              </w:rPr>
              <w:t xml:space="preserve">Uygulanabilirliği, harici </w:t>
            </w:r>
            <w:r w:rsidR="00E00B0A" w:rsidRPr="00DD0D1F">
              <w:rPr>
                <w:szCs w:val="24"/>
              </w:rPr>
              <w:t>baca</w:t>
            </w:r>
            <w:r w:rsidRPr="00DD0D1F">
              <w:rPr>
                <w:szCs w:val="24"/>
              </w:rPr>
              <w:t xml:space="preserve"> gazı devridaiminin cebri/indüklenmiş çekiş işletim kipine sahip birimlere güçlendirme yapılmasıyla sınırlı olabilir</w:t>
            </w:r>
          </w:p>
        </w:tc>
      </w:tr>
      <w:tr w:rsidR="00A508A2" w:rsidRPr="00DD0D1F" w14:paraId="3DF8E129" w14:textId="77777777" w:rsidTr="00AA7E73">
        <w:trPr>
          <w:trHeight w:val="690"/>
        </w:trPr>
        <w:tc>
          <w:tcPr>
            <w:tcW w:w="2062" w:type="dxa"/>
          </w:tcPr>
          <w:p w14:paraId="30AA740D" w14:textId="77777777" w:rsidR="00A508A2" w:rsidRPr="00DD0D1F" w:rsidRDefault="00A508A2" w:rsidP="00A508A2">
            <w:pPr>
              <w:pStyle w:val="TableParagraph"/>
              <w:spacing w:before="110" w:line="229" w:lineRule="exact"/>
              <w:ind w:left="89"/>
              <w:rPr>
                <w:szCs w:val="24"/>
              </w:rPr>
            </w:pPr>
            <w:r w:rsidRPr="00DD0D1F">
              <w:rPr>
                <w:szCs w:val="24"/>
              </w:rPr>
              <w:t xml:space="preserve">(d) Seyreltici </w:t>
            </w:r>
          </w:p>
          <w:p w14:paraId="1632EE18" w14:textId="77777777" w:rsidR="00A508A2" w:rsidRPr="00DD0D1F" w:rsidRDefault="00A508A2" w:rsidP="00A508A2">
            <w:pPr>
              <w:pStyle w:val="TableParagraph"/>
              <w:spacing w:line="229" w:lineRule="exact"/>
              <w:ind w:left="518" w:hanging="429"/>
              <w:rPr>
                <w:szCs w:val="24"/>
              </w:rPr>
            </w:pPr>
            <w:r w:rsidRPr="00DD0D1F">
              <w:rPr>
                <w:szCs w:val="24"/>
              </w:rPr>
              <w:t xml:space="preserve">      püskürtme</w:t>
            </w:r>
          </w:p>
          <w:p w14:paraId="3AE4BA41" w14:textId="77777777" w:rsidR="00A508A2" w:rsidRPr="00DD0D1F" w:rsidRDefault="00A508A2" w:rsidP="00A508A2">
            <w:pPr>
              <w:pStyle w:val="TableParagraph"/>
              <w:spacing w:line="229" w:lineRule="exact"/>
              <w:ind w:left="89"/>
              <w:rPr>
                <w:szCs w:val="24"/>
              </w:rPr>
            </w:pPr>
          </w:p>
        </w:tc>
        <w:tc>
          <w:tcPr>
            <w:tcW w:w="3329" w:type="dxa"/>
          </w:tcPr>
          <w:p w14:paraId="73CA178B" w14:textId="0C2547E0" w:rsidR="00A508A2" w:rsidRPr="00DD0D1F" w:rsidRDefault="00AA7E73" w:rsidP="00A508A2">
            <w:pPr>
              <w:tabs>
                <w:tab w:val="left" w:pos="1096"/>
              </w:tabs>
              <w:rPr>
                <w:rFonts w:cs="Times New Roman"/>
                <w:szCs w:val="24"/>
                <w:lang w:val="tr-TR"/>
              </w:rPr>
            </w:pPr>
            <w:r w:rsidRPr="00DD0D1F">
              <w:rPr>
                <w:rFonts w:cs="Times New Roman"/>
                <w:szCs w:val="24"/>
              </w:rPr>
              <w:t>Bölüm 1.20.2 bakınız.</w:t>
            </w:r>
          </w:p>
        </w:tc>
        <w:tc>
          <w:tcPr>
            <w:tcW w:w="3637" w:type="dxa"/>
          </w:tcPr>
          <w:p w14:paraId="2AF617B9" w14:textId="77777777" w:rsidR="00A508A2" w:rsidRPr="00DD0D1F" w:rsidRDefault="00A508A2" w:rsidP="00A508A2">
            <w:pPr>
              <w:pStyle w:val="TableParagraph"/>
              <w:spacing w:line="237" w:lineRule="auto"/>
              <w:ind w:left="108" w:right="86"/>
              <w:rPr>
                <w:szCs w:val="24"/>
              </w:rPr>
            </w:pPr>
            <w:r w:rsidRPr="00DD0D1F">
              <w:rPr>
                <w:szCs w:val="24"/>
              </w:rPr>
              <w:t>Genel olarak uygun inert seyrelticilerin mevcut olduğu gaz türbinleri için uygulanabilir</w:t>
            </w:r>
          </w:p>
        </w:tc>
      </w:tr>
      <w:tr w:rsidR="00A508A2" w:rsidRPr="00DD0D1F" w14:paraId="39A35B01" w14:textId="77777777" w:rsidTr="00AA7E73">
        <w:trPr>
          <w:trHeight w:val="3681"/>
        </w:trPr>
        <w:tc>
          <w:tcPr>
            <w:tcW w:w="2062" w:type="dxa"/>
          </w:tcPr>
          <w:p w14:paraId="0FE2AA47" w14:textId="77777777" w:rsidR="00A508A2" w:rsidRPr="00DD0D1F" w:rsidRDefault="00A508A2" w:rsidP="00A508A2">
            <w:pPr>
              <w:pStyle w:val="TableParagraph"/>
              <w:rPr>
                <w:szCs w:val="24"/>
              </w:rPr>
            </w:pPr>
          </w:p>
          <w:p w14:paraId="05AB2B1B" w14:textId="77777777" w:rsidR="00A508A2" w:rsidRPr="00DD0D1F" w:rsidRDefault="00A508A2" w:rsidP="00A508A2">
            <w:pPr>
              <w:pStyle w:val="TableParagraph"/>
              <w:rPr>
                <w:szCs w:val="24"/>
              </w:rPr>
            </w:pPr>
          </w:p>
          <w:p w14:paraId="12A15EF6" w14:textId="77777777" w:rsidR="00A508A2" w:rsidRPr="00DD0D1F" w:rsidRDefault="00A508A2" w:rsidP="00A508A2">
            <w:pPr>
              <w:pStyle w:val="TableParagraph"/>
              <w:rPr>
                <w:szCs w:val="24"/>
              </w:rPr>
            </w:pPr>
          </w:p>
          <w:p w14:paraId="53C4C707" w14:textId="77777777" w:rsidR="00A508A2" w:rsidRPr="00DD0D1F" w:rsidRDefault="00A508A2" w:rsidP="00A508A2">
            <w:pPr>
              <w:pStyle w:val="TableParagraph"/>
              <w:rPr>
                <w:szCs w:val="24"/>
              </w:rPr>
            </w:pPr>
          </w:p>
          <w:p w14:paraId="3F143235" w14:textId="77777777" w:rsidR="00A508A2" w:rsidRPr="00DD0D1F" w:rsidRDefault="00A508A2" w:rsidP="00A508A2">
            <w:pPr>
              <w:pStyle w:val="TableParagraph"/>
              <w:rPr>
                <w:szCs w:val="24"/>
              </w:rPr>
            </w:pPr>
          </w:p>
          <w:p w14:paraId="04D6ECDB" w14:textId="77777777" w:rsidR="00A508A2" w:rsidRPr="00DD0D1F" w:rsidRDefault="00A508A2" w:rsidP="00A508A2">
            <w:pPr>
              <w:pStyle w:val="TableParagraph"/>
              <w:spacing w:before="5"/>
              <w:rPr>
                <w:szCs w:val="24"/>
              </w:rPr>
            </w:pPr>
          </w:p>
          <w:p w14:paraId="4449399E" w14:textId="77777777" w:rsidR="00A508A2" w:rsidRPr="00DD0D1F" w:rsidRDefault="00A508A2" w:rsidP="00A508A2">
            <w:pPr>
              <w:pStyle w:val="TableParagraph"/>
              <w:tabs>
                <w:tab w:val="left" w:pos="616"/>
              </w:tabs>
              <w:ind w:left="617" w:right="98" w:hanging="426"/>
              <w:rPr>
                <w:szCs w:val="24"/>
              </w:rPr>
            </w:pPr>
            <w:r w:rsidRPr="00DD0D1F">
              <w:rPr>
                <w:szCs w:val="24"/>
              </w:rPr>
              <w:t>(e)</w:t>
            </w:r>
            <w:r w:rsidRPr="00DD0D1F">
              <w:rPr>
                <w:szCs w:val="24"/>
              </w:rPr>
              <w:tab/>
              <w:t>Düşük NO</w:t>
            </w:r>
            <w:r w:rsidRPr="00DD0D1F">
              <w:rPr>
                <w:szCs w:val="24"/>
                <w:vertAlign w:val="subscript"/>
              </w:rPr>
              <w:t>X</w:t>
            </w:r>
            <w:r w:rsidRPr="00DD0D1F">
              <w:rPr>
                <w:szCs w:val="24"/>
              </w:rPr>
              <w:t xml:space="preserve"> brülörlerin (LNB) Kullanımı</w:t>
            </w:r>
          </w:p>
        </w:tc>
        <w:tc>
          <w:tcPr>
            <w:tcW w:w="3329" w:type="dxa"/>
          </w:tcPr>
          <w:p w14:paraId="483434BF" w14:textId="77777777" w:rsidR="00A508A2" w:rsidRPr="00DD0D1F" w:rsidRDefault="00A508A2" w:rsidP="00A508A2">
            <w:pPr>
              <w:pStyle w:val="TableParagraph"/>
              <w:rPr>
                <w:szCs w:val="24"/>
              </w:rPr>
            </w:pPr>
          </w:p>
          <w:p w14:paraId="15D84EC4" w14:textId="77777777" w:rsidR="00A508A2" w:rsidRPr="00DD0D1F" w:rsidRDefault="00A508A2" w:rsidP="00A508A2">
            <w:pPr>
              <w:pStyle w:val="TableParagraph"/>
              <w:rPr>
                <w:szCs w:val="24"/>
              </w:rPr>
            </w:pPr>
          </w:p>
          <w:p w14:paraId="265284B4" w14:textId="0D431D7E" w:rsidR="00A508A2" w:rsidRPr="00DD0D1F" w:rsidRDefault="00AA7E73" w:rsidP="00A508A2">
            <w:pPr>
              <w:pStyle w:val="TableParagraph"/>
              <w:spacing w:before="1"/>
              <w:ind w:left="107"/>
              <w:rPr>
                <w:szCs w:val="24"/>
              </w:rPr>
            </w:pPr>
            <w:r w:rsidRPr="00DD0D1F">
              <w:rPr>
                <w:szCs w:val="24"/>
              </w:rPr>
              <w:t>Bölüm 1.20.2 bakınız.</w:t>
            </w:r>
          </w:p>
        </w:tc>
        <w:tc>
          <w:tcPr>
            <w:tcW w:w="3637" w:type="dxa"/>
          </w:tcPr>
          <w:p w14:paraId="46B9BC84" w14:textId="77777777" w:rsidR="00A508A2" w:rsidRPr="00DD0D1F" w:rsidRDefault="00A508A2" w:rsidP="00A508A2">
            <w:pPr>
              <w:pStyle w:val="TableParagraph"/>
              <w:ind w:right="96"/>
              <w:jc w:val="both"/>
              <w:rPr>
                <w:szCs w:val="24"/>
              </w:rPr>
            </w:pPr>
            <w:r w:rsidRPr="00DD0D1F">
              <w:rPr>
                <w:szCs w:val="24"/>
              </w:rPr>
              <w:t>Yakıt özgü sınırlama (ör. ağır yağ) hesaba katılarak, genellikle yeni birimler için uygulanır.</w:t>
            </w:r>
          </w:p>
          <w:p w14:paraId="5E81E699" w14:textId="77777777" w:rsidR="00A508A2" w:rsidRPr="00DD0D1F" w:rsidRDefault="00A508A2" w:rsidP="00A508A2">
            <w:pPr>
              <w:pStyle w:val="TableParagraph"/>
              <w:ind w:left="108" w:right="96"/>
              <w:jc w:val="both"/>
              <w:rPr>
                <w:szCs w:val="24"/>
              </w:rPr>
            </w:pPr>
            <w:r w:rsidRPr="00DD0D1F">
              <w:rPr>
                <w:szCs w:val="24"/>
              </w:rPr>
              <w:t>Mevcut birimlerde uygulanabilirlik, fırın tasarımı ve çevre cihazları gibi sahaya özgü koşulların yol açtığı karmaşıklıkla sınırlanabilir.</w:t>
            </w:r>
          </w:p>
          <w:p w14:paraId="387862D6" w14:textId="77777777" w:rsidR="00A508A2" w:rsidRPr="00DD0D1F" w:rsidRDefault="00A508A2" w:rsidP="00A508A2">
            <w:pPr>
              <w:pStyle w:val="TableParagraph"/>
              <w:ind w:left="108" w:right="98"/>
              <w:jc w:val="both"/>
              <w:rPr>
                <w:szCs w:val="24"/>
              </w:rPr>
            </w:pPr>
            <w:r w:rsidRPr="00DD0D1F">
              <w:rPr>
                <w:szCs w:val="24"/>
              </w:rPr>
              <w:t>Çok spesifik durumlarda ciddi modifikasyonların yapılması gerekebilir.</w:t>
            </w:r>
          </w:p>
          <w:p w14:paraId="7D746AC1" w14:textId="77777777" w:rsidR="00A508A2" w:rsidRPr="00DD0D1F" w:rsidRDefault="00A508A2" w:rsidP="00A508A2">
            <w:pPr>
              <w:pStyle w:val="TableParagraph"/>
              <w:ind w:left="108" w:right="100"/>
              <w:jc w:val="both"/>
              <w:rPr>
                <w:szCs w:val="24"/>
              </w:rPr>
            </w:pPr>
            <w:r w:rsidRPr="00DD0D1F">
              <w:rPr>
                <w:szCs w:val="24"/>
              </w:rPr>
              <w:t>Uygulanabilirlik, fırınlardaki olası kok açığa çıkması durumu nedeniyle gecikmeli koklaştırma prosesinde fırınlar için kısıtlı olabilir.</w:t>
            </w:r>
          </w:p>
          <w:p w14:paraId="76306519" w14:textId="77777777" w:rsidR="00A508A2" w:rsidRPr="00DD0D1F" w:rsidRDefault="00A508A2" w:rsidP="00A508A2">
            <w:pPr>
              <w:pStyle w:val="TableParagraph"/>
              <w:spacing w:line="230" w:lineRule="exact"/>
              <w:ind w:left="108" w:right="99"/>
              <w:jc w:val="both"/>
              <w:rPr>
                <w:szCs w:val="24"/>
              </w:rPr>
            </w:pPr>
            <w:r w:rsidRPr="00DD0D1F">
              <w:rPr>
                <w:szCs w:val="24"/>
              </w:rPr>
              <w:t>Gaz türbinlerindeki uygulanabilirlik ise düşük hidrojen içerikli (genellikle %&lt;10) yakıtlarla sınırlıdır.</w:t>
            </w:r>
          </w:p>
        </w:tc>
      </w:tr>
    </w:tbl>
    <w:p w14:paraId="4AE716FF" w14:textId="77777777" w:rsidR="00A508A2" w:rsidRPr="00DD0D1F" w:rsidRDefault="00A508A2" w:rsidP="00A508A2">
      <w:pPr>
        <w:spacing w:line="230" w:lineRule="exact"/>
        <w:rPr>
          <w:rFonts w:cs="Times New Roman"/>
          <w:szCs w:val="24"/>
          <w:lang w:val="tr-TR"/>
        </w:rPr>
        <w:sectPr w:rsidR="00A508A2" w:rsidRPr="00DD0D1F" w:rsidSect="00A508A2">
          <w:headerReference w:type="even" r:id="rId13"/>
          <w:footerReference w:type="even" r:id="rId14"/>
          <w:footerReference w:type="default" r:id="rId15"/>
          <w:pgSz w:w="11909" w:h="16850"/>
          <w:pgMar w:top="1411" w:right="1411" w:bottom="1411" w:left="1411" w:header="706" w:footer="706" w:gutter="0"/>
          <w:cols w:space="708"/>
          <w:docGrid w:linePitch="299"/>
        </w:sectPr>
      </w:pPr>
    </w:p>
    <w:p w14:paraId="1DCDDFC4" w14:textId="6CCBA828" w:rsidR="00AA7E73" w:rsidRPr="00DD0D1F" w:rsidRDefault="00AA7E73" w:rsidP="00AA7E73">
      <w:pPr>
        <w:pStyle w:val="GvdeMetni"/>
        <w:tabs>
          <w:tab w:val="left" w:pos="1173"/>
        </w:tabs>
        <w:ind w:left="695"/>
        <w:rPr>
          <w:sz w:val="24"/>
          <w:szCs w:val="24"/>
        </w:rPr>
      </w:pPr>
      <w:r w:rsidRPr="00DD0D1F">
        <w:rPr>
          <w:sz w:val="24"/>
          <w:szCs w:val="24"/>
        </w:rPr>
        <w:t>II</w:t>
      </w:r>
      <w:r w:rsidR="00FC13C1" w:rsidRPr="00DD0D1F">
        <w:rPr>
          <w:sz w:val="24"/>
          <w:szCs w:val="24"/>
        </w:rPr>
        <w:t>.</w:t>
      </w:r>
      <w:r w:rsidR="00FC13C1" w:rsidRPr="00DD0D1F">
        <w:rPr>
          <w:sz w:val="24"/>
          <w:szCs w:val="24"/>
        </w:rPr>
        <w:tab/>
        <w:t>Aşağıda örnekleri verilen ikincil veya boru sonu teknikleri, örneğin</w:t>
      </w:r>
    </w:p>
    <w:p w14:paraId="1E6A021D" w14:textId="77777777" w:rsidR="00A508A2" w:rsidRPr="00DD0D1F" w:rsidRDefault="00A508A2" w:rsidP="00A508A2">
      <w:pPr>
        <w:pStyle w:val="GvdeMetni"/>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3"/>
        <w:gridCol w:w="3567"/>
        <w:gridCol w:w="3567"/>
      </w:tblGrid>
      <w:tr w:rsidR="00FC13C1" w:rsidRPr="00DD0D1F" w14:paraId="4FED2287" w14:textId="77777777" w:rsidTr="00FC13C1">
        <w:trPr>
          <w:trHeight w:val="285"/>
        </w:trPr>
        <w:tc>
          <w:tcPr>
            <w:tcW w:w="1070" w:type="pct"/>
          </w:tcPr>
          <w:p w14:paraId="63DFE554" w14:textId="77777777" w:rsidR="00FC13C1" w:rsidRPr="00DD0D1F" w:rsidRDefault="00FC13C1" w:rsidP="00A508A2">
            <w:pPr>
              <w:pStyle w:val="TableParagraph"/>
              <w:spacing w:before="27"/>
              <w:ind w:left="683"/>
              <w:rPr>
                <w:b/>
                <w:szCs w:val="24"/>
              </w:rPr>
            </w:pPr>
            <w:r w:rsidRPr="00DD0D1F">
              <w:rPr>
                <w:b/>
                <w:bCs/>
                <w:szCs w:val="24"/>
              </w:rPr>
              <w:t>Teknik</w:t>
            </w:r>
          </w:p>
        </w:tc>
        <w:tc>
          <w:tcPr>
            <w:tcW w:w="1965" w:type="pct"/>
            <w:tcBorders>
              <w:right w:val="single" w:sz="6" w:space="0" w:color="000000"/>
            </w:tcBorders>
          </w:tcPr>
          <w:p w14:paraId="293CC423" w14:textId="37941768" w:rsidR="00FC13C1" w:rsidRPr="00DD0D1F" w:rsidRDefault="00FC13C1" w:rsidP="00A508A2">
            <w:pPr>
              <w:pStyle w:val="TableParagraph"/>
              <w:spacing w:before="27"/>
              <w:ind w:left="143" w:right="56"/>
              <w:jc w:val="center"/>
              <w:rPr>
                <w:b/>
                <w:bCs/>
                <w:szCs w:val="24"/>
              </w:rPr>
            </w:pPr>
            <w:r w:rsidRPr="00DD0D1F">
              <w:rPr>
                <w:b/>
                <w:bCs/>
                <w:szCs w:val="24"/>
              </w:rPr>
              <w:t>Açıklama</w:t>
            </w:r>
          </w:p>
        </w:tc>
        <w:tc>
          <w:tcPr>
            <w:tcW w:w="1965" w:type="pct"/>
            <w:tcBorders>
              <w:left w:val="single" w:sz="6" w:space="0" w:color="000000"/>
            </w:tcBorders>
          </w:tcPr>
          <w:p w14:paraId="1F6DBCB5" w14:textId="61BCF62B" w:rsidR="00FC13C1" w:rsidRPr="00DD0D1F" w:rsidRDefault="00FC13C1" w:rsidP="00A508A2">
            <w:pPr>
              <w:pStyle w:val="TableParagraph"/>
              <w:spacing w:before="27"/>
              <w:ind w:left="143" w:right="56"/>
              <w:jc w:val="center"/>
              <w:rPr>
                <w:b/>
                <w:szCs w:val="24"/>
              </w:rPr>
            </w:pPr>
            <w:r w:rsidRPr="00DD0D1F">
              <w:rPr>
                <w:b/>
                <w:bCs/>
                <w:szCs w:val="24"/>
              </w:rPr>
              <w:t>Uygulanabilirlik</w:t>
            </w:r>
          </w:p>
        </w:tc>
      </w:tr>
      <w:tr w:rsidR="00FC13C1" w:rsidRPr="00DD0D1F" w14:paraId="257EB283" w14:textId="77777777" w:rsidTr="00FC13C1">
        <w:trPr>
          <w:trHeight w:val="918"/>
        </w:trPr>
        <w:tc>
          <w:tcPr>
            <w:tcW w:w="1070" w:type="pct"/>
          </w:tcPr>
          <w:p w14:paraId="5752666A" w14:textId="77777777" w:rsidR="00FC13C1" w:rsidRPr="00DD0D1F" w:rsidRDefault="00FC13C1" w:rsidP="00A508A2">
            <w:pPr>
              <w:pStyle w:val="TableParagraph"/>
              <w:spacing w:before="5"/>
              <w:ind w:left="141" w:firstLine="141"/>
              <w:rPr>
                <w:szCs w:val="24"/>
              </w:rPr>
            </w:pPr>
          </w:p>
          <w:p w14:paraId="0F2FD464" w14:textId="77777777" w:rsidR="00FC13C1" w:rsidRPr="00DD0D1F" w:rsidRDefault="00FC13C1" w:rsidP="00A508A2">
            <w:pPr>
              <w:pStyle w:val="TableParagraph"/>
              <w:tabs>
                <w:tab w:val="left" w:pos="590"/>
              </w:tabs>
              <w:ind w:left="563" w:right="101" w:hanging="281"/>
              <w:rPr>
                <w:szCs w:val="24"/>
              </w:rPr>
            </w:pPr>
            <w:r w:rsidRPr="00DD0D1F">
              <w:rPr>
                <w:szCs w:val="24"/>
              </w:rPr>
              <w:t>i. Seçici katalitik indirgeme (SCR)</w:t>
            </w:r>
          </w:p>
        </w:tc>
        <w:tc>
          <w:tcPr>
            <w:tcW w:w="1965" w:type="pct"/>
            <w:tcBorders>
              <w:right w:val="single" w:sz="6" w:space="0" w:color="000000"/>
            </w:tcBorders>
          </w:tcPr>
          <w:p w14:paraId="1686F99A" w14:textId="372B0EFC" w:rsidR="00FC13C1" w:rsidRPr="00DD0D1F" w:rsidRDefault="00FC13C1" w:rsidP="00A508A2">
            <w:pPr>
              <w:pStyle w:val="TableParagraph"/>
              <w:spacing w:line="223" w:lineRule="exact"/>
              <w:ind w:left="104"/>
              <w:rPr>
                <w:szCs w:val="24"/>
              </w:rPr>
            </w:pPr>
            <w:r w:rsidRPr="00DD0D1F">
              <w:rPr>
                <w:szCs w:val="24"/>
              </w:rPr>
              <w:t>Bölüm 1.20.2 bakınız.</w:t>
            </w:r>
          </w:p>
        </w:tc>
        <w:tc>
          <w:tcPr>
            <w:tcW w:w="1965" w:type="pct"/>
            <w:tcBorders>
              <w:left w:val="single" w:sz="6" w:space="0" w:color="000000"/>
            </w:tcBorders>
          </w:tcPr>
          <w:p w14:paraId="38F3B8AD" w14:textId="1B3D3780" w:rsidR="00FC13C1" w:rsidRPr="00DD0D1F" w:rsidRDefault="00FC13C1" w:rsidP="00A508A2">
            <w:pPr>
              <w:pStyle w:val="TableParagraph"/>
              <w:spacing w:line="223" w:lineRule="exact"/>
              <w:ind w:left="104"/>
              <w:rPr>
                <w:szCs w:val="24"/>
              </w:rPr>
            </w:pPr>
            <w:r w:rsidRPr="00DD0D1F">
              <w:rPr>
                <w:szCs w:val="24"/>
              </w:rPr>
              <w:t>Genel olarak yeni birimler için uygulanır.</w:t>
            </w:r>
          </w:p>
          <w:p w14:paraId="79008F19" w14:textId="77777777" w:rsidR="00FC13C1" w:rsidRPr="00DD0D1F" w:rsidRDefault="00FC13C1" w:rsidP="00A508A2">
            <w:pPr>
              <w:pStyle w:val="TableParagraph"/>
              <w:ind w:left="104"/>
              <w:rPr>
                <w:szCs w:val="24"/>
              </w:rPr>
            </w:pPr>
            <w:r w:rsidRPr="00DD0D1F">
              <w:rPr>
                <w:szCs w:val="24"/>
              </w:rPr>
              <w:t>Mevcut birimler bakımından uygulanabilirlik, yüksek miktarda yer ve optimum tepken püskürtmesi nedeniyle sınırlı olabilir</w:t>
            </w:r>
          </w:p>
        </w:tc>
      </w:tr>
      <w:tr w:rsidR="00FC13C1" w:rsidRPr="00DD0D1F" w14:paraId="140587A7" w14:textId="77777777" w:rsidTr="00FC13C1">
        <w:trPr>
          <w:trHeight w:val="1151"/>
        </w:trPr>
        <w:tc>
          <w:tcPr>
            <w:tcW w:w="1070" w:type="pct"/>
          </w:tcPr>
          <w:p w14:paraId="08930BF5" w14:textId="77777777" w:rsidR="00FC13C1" w:rsidRPr="00DD0D1F" w:rsidRDefault="00FC13C1" w:rsidP="00A508A2">
            <w:pPr>
              <w:pStyle w:val="TableParagraph"/>
              <w:spacing w:before="5"/>
              <w:ind w:left="141" w:firstLine="141"/>
              <w:rPr>
                <w:szCs w:val="24"/>
              </w:rPr>
            </w:pPr>
          </w:p>
          <w:p w14:paraId="0C3E6A9B" w14:textId="77777777" w:rsidR="00FC13C1" w:rsidRPr="00DD0D1F" w:rsidRDefault="00FC13C1" w:rsidP="00A508A2">
            <w:pPr>
              <w:pStyle w:val="TableParagraph"/>
              <w:tabs>
                <w:tab w:val="left" w:pos="590"/>
              </w:tabs>
              <w:ind w:left="563" w:right="139" w:hanging="284"/>
              <w:rPr>
                <w:szCs w:val="24"/>
              </w:rPr>
            </w:pPr>
            <w:r w:rsidRPr="00DD0D1F">
              <w:rPr>
                <w:szCs w:val="24"/>
              </w:rPr>
              <w:t>ii.</w:t>
            </w:r>
            <w:r w:rsidRPr="00DD0D1F">
              <w:rPr>
                <w:szCs w:val="24"/>
              </w:rPr>
              <w:tab/>
              <w:t>Seçici katalitik olmayan indirgeme (SNCR)</w:t>
            </w:r>
          </w:p>
          <w:p w14:paraId="518C836A" w14:textId="77777777" w:rsidR="00FC13C1" w:rsidRPr="00DD0D1F" w:rsidRDefault="00FC13C1" w:rsidP="00A508A2">
            <w:pPr>
              <w:pStyle w:val="TableParagraph"/>
              <w:spacing w:before="1"/>
              <w:ind w:left="141" w:firstLine="141"/>
              <w:rPr>
                <w:szCs w:val="24"/>
              </w:rPr>
            </w:pPr>
          </w:p>
        </w:tc>
        <w:tc>
          <w:tcPr>
            <w:tcW w:w="1965" w:type="pct"/>
            <w:tcBorders>
              <w:right w:val="single" w:sz="6" w:space="0" w:color="000000"/>
            </w:tcBorders>
          </w:tcPr>
          <w:p w14:paraId="6474A165" w14:textId="09EAA12F" w:rsidR="00FC13C1" w:rsidRPr="00DD0D1F" w:rsidRDefault="00FC13C1" w:rsidP="00A508A2">
            <w:pPr>
              <w:pStyle w:val="TableParagraph"/>
              <w:spacing w:line="223" w:lineRule="exact"/>
              <w:ind w:left="104"/>
              <w:jc w:val="both"/>
              <w:rPr>
                <w:szCs w:val="24"/>
              </w:rPr>
            </w:pPr>
            <w:r w:rsidRPr="00DD0D1F">
              <w:rPr>
                <w:szCs w:val="24"/>
              </w:rPr>
              <w:t>Bölüm 1.20.2 bakınız.</w:t>
            </w:r>
          </w:p>
        </w:tc>
        <w:tc>
          <w:tcPr>
            <w:tcW w:w="1965" w:type="pct"/>
            <w:tcBorders>
              <w:left w:val="single" w:sz="6" w:space="0" w:color="000000"/>
            </w:tcBorders>
          </w:tcPr>
          <w:p w14:paraId="169A61D0" w14:textId="53224317" w:rsidR="00FC13C1" w:rsidRPr="00DD0D1F" w:rsidRDefault="00FC13C1" w:rsidP="00A508A2">
            <w:pPr>
              <w:pStyle w:val="TableParagraph"/>
              <w:spacing w:line="223" w:lineRule="exact"/>
              <w:ind w:left="104"/>
              <w:jc w:val="both"/>
              <w:rPr>
                <w:szCs w:val="24"/>
              </w:rPr>
            </w:pPr>
            <w:r w:rsidRPr="00DD0D1F">
              <w:rPr>
                <w:szCs w:val="24"/>
              </w:rPr>
              <w:t>Genel olarak yeni birimler için uygulanır.</w:t>
            </w:r>
          </w:p>
          <w:p w14:paraId="3BA7160B" w14:textId="77777777" w:rsidR="00FC13C1" w:rsidRPr="00DD0D1F" w:rsidRDefault="00FC13C1" w:rsidP="00A508A2">
            <w:pPr>
              <w:pStyle w:val="TableParagraph"/>
              <w:spacing w:line="230" w:lineRule="atLeast"/>
              <w:ind w:left="104" w:right="103"/>
              <w:jc w:val="both"/>
              <w:rPr>
                <w:szCs w:val="24"/>
              </w:rPr>
            </w:pPr>
            <w:r w:rsidRPr="00DD0D1F">
              <w:rPr>
                <w:szCs w:val="24"/>
              </w:rPr>
              <w:t>Mevcut birimler bakımından uygulanabilirlik, tepken püskürtmesi ile elde edilecek olan sıcaklık aralığı ve kalma süresi gereksinimi nedeniyle sınırlı olabilir</w:t>
            </w:r>
          </w:p>
        </w:tc>
      </w:tr>
      <w:tr w:rsidR="00FC13C1" w:rsidRPr="00DD0D1F" w14:paraId="0CF4070F" w14:textId="77777777" w:rsidTr="00FC13C1">
        <w:trPr>
          <w:trHeight w:val="2326"/>
        </w:trPr>
        <w:tc>
          <w:tcPr>
            <w:tcW w:w="1070" w:type="pct"/>
          </w:tcPr>
          <w:p w14:paraId="3331DB79" w14:textId="77777777" w:rsidR="00FC13C1" w:rsidRPr="00DD0D1F" w:rsidRDefault="00FC13C1" w:rsidP="00A508A2">
            <w:pPr>
              <w:pStyle w:val="TableParagraph"/>
              <w:ind w:left="141" w:firstLine="141"/>
              <w:rPr>
                <w:szCs w:val="24"/>
              </w:rPr>
            </w:pPr>
          </w:p>
          <w:p w14:paraId="1ABD8794" w14:textId="77777777" w:rsidR="00FC13C1" w:rsidRPr="00DD0D1F" w:rsidRDefault="00FC13C1" w:rsidP="00A508A2">
            <w:pPr>
              <w:pStyle w:val="TableParagraph"/>
              <w:ind w:left="141" w:firstLine="141"/>
              <w:rPr>
                <w:szCs w:val="24"/>
              </w:rPr>
            </w:pPr>
          </w:p>
          <w:p w14:paraId="7406EB57" w14:textId="77777777" w:rsidR="00FC13C1" w:rsidRPr="00DD0D1F" w:rsidRDefault="00FC13C1" w:rsidP="00A508A2">
            <w:pPr>
              <w:pStyle w:val="TableParagraph"/>
              <w:ind w:left="141" w:firstLine="141"/>
              <w:rPr>
                <w:szCs w:val="24"/>
              </w:rPr>
            </w:pPr>
          </w:p>
          <w:p w14:paraId="487F59BF" w14:textId="77777777" w:rsidR="00FC13C1" w:rsidRPr="00DD0D1F" w:rsidRDefault="00FC13C1" w:rsidP="00A508A2">
            <w:pPr>
              <w:pStyle w:val="TableParagraph"/>
              <w:spacing w:before="4"/>
              <w:ind w:left="141" w:firstLine="141"/>
              <w:rPr>
                <w:szCs w:val="24"/>
              </w:rPr>
            </w:pPr>
          </w:p>
          <w:p w14:paraId="58A2D904" w14:textId="77777777" w:rsidR="00FC13C1" w:rsidRPr="00DD0D1F" w:rsidRDefault="00FC13C1" w:rsidP="00A508A2">
            <w:pPr>
              <w:pStyle w:val="TableParagraph"/>
              <w:tabs>
                <w:tab w:val="left" w:pos="590"/>
                <w:tab w:val="left" w:pos="1201"/>
              </w:tabs>
              <w:ind w:left="563" w:right="101" w:hanging="281"/>
              <w:rPr>
                <w:szCs w:val="24"/>
              </w:rPr>
            </w:pPr>
            <w:r w:rsidRPr="00DD0D1F">
              <w:rPr>
                <w:szCs w:val="24"/>
              </w:rPr>
              <w:t>iii.</w:t>
            </w:r>
            <w:r w:rsidRPr="00DD0D1F">
              <w:rPr>
                <w:szCs w:val="24"/>
              </w:rPr>
              <w:tab/>
              <w:t>Düşük sıcaklıkta oksitleme</w:t>
            </w:r>
          </w:p>
        </w:tc>
        <w:tc>
          <w:tcPr>
            <w:tcW w:w="1965" w:type="pct"/>
            <w:tcBorders>
              <w:right w:val="single" w:sz="6" w:space="0" w:color="000000"/>
            </w:tcBorders>
          </w:tcPr>
          <w:p w14:paraId="3798ABC2" w14:textId="09362E11" w:rsidR="00FC13C1" w:rsidRPr="00DD0D1F" w:rsidRDefault="00FC13C1" w:rsidP="00A508A2">
            <w:pPr>
              <w:pStyle w:val="TableParagraph"/>
              <w:ind w:left="104" w:right="102"/>
              <w:jc w:val="both"/>
              <w:rPr>
                <w:szCs w:val="24"/>
              </w:rPr>
            </w:pPr>
            <w:r w:rsidRPr="00DD0D1F">
              <w:rPr>
                <w:szCs w:val="24"/>
              </w:rPr>
              <w:t>Bölüm 1.20.2 bakınız.</w:t>
            </w:r>
          </w:p>
        </w:tc>
        <w:tc>
          <w:tcPr>
            <w:tcW w:w="1965" w:type="pct"/>
            <w:tcBorders>
              <w:left w:val="single" w:sz="6" w:space="0" w:color="000000"/>
            </w:tcBorders>
          </w:tcPr>
          <w:p w14:paraId="7A6C461E" w14:textId="696089F0" w:rsidR="00FC13C1" w:rsidRPr="00DD0D1F" w:rsidRDefault="00FC13C1" w:rsidP="00A508A2">
            <w:pPr>
              <w:pStyle w:val="TableParagraph"/>
              <w:ind w:left="104" w:right="102"/>
              <w:jc w:val="both"/>
              <w:rPr>
                <w:szCs w:val="24"/>
              </w:rPr>
            </w:pPr>
            <w:r w:rsidRPr="00DD0D1F">
              <w:rPr>
                <w:szCs w:val="24"/>
              </w:rPr>
              <w:t>Uygulanabilirlik, ilave yıkama kapasitesine duyulan ihtiyaç ve ozon üretiminin ve bununla ilişkili risk yönetiminin uygun biçimde ele alınması ihtiyacı nedeniyle sınırlı olabilir.</w:t>
            </w:r>
          </w:p>
          <w:p w14:paraId="26CADAAC" w14:textId="77777777" w:rsidR="00FC13C1" w:rsidRPr="00DD0D1F" w:rsidRDefault="00FC13C1" w:rsidP="00A508A2">
            <w:pPr>
              <w:pStyle w:val="TableParagraph"/>
              <w:ind w:left="104" w:right="105"/>
              <w:jc w:val="both"/>
              <w:rPr>
                <w:szCs w:val="24"/>
              </w:rPr>
            </w:pPr>
            <w:r w:rsidRPr="00DD0D1F">
              <w:rPr>
                <w:szCs w:val="24"/>
              </w:rPr>
              <w:t>İlave atık su arıtımı ihtiyacı ve bununla ilgili çapraz-medya etkileri (ör. nitrat emisyonları) ile sıvı oksijen teminindeki (ozon üretimi için) yetersizlik nedeniyle uygulama sınırlı olabilir.</w:t>
            </w:r>
          </w:p>
          <w:p w14:paraId="4F33B001" w14:textId="77777777" w:rsidR="00FC13C1" w:rsidRPr="00DD0D1F" w:rsidRDefault="00FC13C1" w:rsidP="00A508A2">
            <w:pPr>
              <w:pStyle w:val="TableParagraph"/>
              <w:spacing w:line="230" w:lineRule="exact"/>
              <w:ind w:left="104" w:right="106"/>
              <w:jc w:val="both"/>
              <w:rPr>
                <w:szCs w:val="24"/>
              </w:rPr>
            </w:pPr>
            <w:r w:rsidRPr="00DD0D1F">
              <w:rPr>
                <w:szCs w:val="24"/>
              </w:rPr>
              <w:t>Mevcut birimler bakımından tekniğin uygulanabilirliği, yer varlığıyla sınırlı olabilir</w:t>
            </w:r>
          </w:p>
        </w:tc>
      </w:tr>
      <w:tr w:rsidR="00FC13C1" w:rsidRPr="00DD0D1F" w14:paraId="03611A77" w14:textId="77777777" w:rsidTr="00FC13C1">
        <w:trPr>
          <w:trHeight w:val="690"/>
        </w:trPr>
        <w:tc>
          <w:tcPr>
            <w:tcW w:w="1070" w:type="pct"/>
          </w:tcPr>
          <w:p w14:paraId="08BF851F" w14:textId="77777777" w:rsidR="00FC13C1" w:rsidRPr="00DD0D1F" w:rsidRDefault="00FC13C1" w:rsidP="00A508A2">
            <w:pPr>
              <w:pStyle w:val="TableParagraph"/>
              <w:spacing w:before="108"/>
              <w:ind w:left="563" w:right="101" w:hanging="284"/>
              <w:rPr>
                <w:szCs w:val="24"/>
              </w:rPr>
            </w:pPr>
            <w:r w:rsidRPr="00DD0D1F">
              <w:rPr>
                <w:szCs w:val="24"/>
              </w:rPr>
              <w:t>iv.</w:t>
            </w:r>
            <w:r w:rsidRPr="00DD0D1F">
              <w:rPr>
                <w:szCs w:val="24"/>
              </w:rPr>
              <w:tab/>
              <w:t>SNO</w:t>
            </w:r>
            <w:r w:rsidRPr="00DD0D1F">
              <w:rPr>
                <w:szCs w:val="24"/>
                <w:vertAlign w:val="subscript"/>
              </w:rPr>
              <w:t xml:space="preserve">X </w:t>
            </w:r>
            <w:r w:rsidRPr="00DD0D1F">
              <w:rPr>
                <w:szCs w:val="24"/>
              </w:rPr>
              <w:t>bileşik tekniği</w:t>
            </w:r>
          </w:p>
        </w:tc>
        <w:tc>
          <w:tcPr>
            <w:tcW w:w="1965" w:type="pct"/>
            <w:tcBorders>
              <w:right w:val="single" w:sz="6" w:space="0" w:color="000000"/>
            </w:tcBorders>
          </w:tcPr>
          <w:p w14:paraId="216277AA" w14:textId="3E9C1943" w:rsidR="00FC13C1" w:rsidRPr="00DD0D1F" w:rsidRDefault="00FC13C1" w:rsidP="00A508A2">
            <w:pPr>
              <w:pStyle w:val="TableParagraph"/>
              <w:ind w:left="104" w:right="95"/>
              <w:rPr>
                <w:szCs w:val="24"/>
              </w:rPr>
            </w:pPr>
            <w:r w:rsidRPr="00DD0D1F">
              <w:rPr>
                <w:szCs w:val="24"/>
              </w:rPr>
              <w:t>Bölüm 1.20.4 bakınız.</w:t>
            </w:r>
          </w:p>
        </w:tc>
        <w:tc>
          <w:tcPr>
            <w:tcW w:w="1965" w:type="pct"/>
            <w:tcBorders>
              <w:left w:val="single" w:sz="6" w:space="0" w:color="000000"/>
            </w:tcBorders>
          </w:tcPr>
          <w:p w14:paraId="3662B25B" w14:textId="13F7F237" w:rsidR="00FC13C1" w:rsidRPr="00DD0D1F" w:rsidRDefault="00FC13C1" w:rsidP="00A508A2">
            <w:pPr>
              <w:pStyle w:val="TableParagraph"/>
              <w:ind w:left="104" w:right="95"/>
              <w:rPr>
                <w:szCs w:val="24"/>
              </w:rPr>
            </w:pPr>
            <w:r w:rsidRPr="00DD0D1F">
              <w:rPr>
                <w:szCs w:val="24"/>
              </w:rPr>
              <w:t xml:space="preserve">Yalnızca yüksek </w:t>
            </w:r>
            <w:r w:rsidR="00E00B0A" w:rsidRPr="00DD0D1F">
              <w:rPr>
                <w:szCs w:val="24"/>
              </w:rPr>
              <w:t>baca</w:t>
            </w:r>
            <w:r w:rsidRPr="00DD0D1F">
              <w:rPr>
                <w:szCs w:val="24"/>
              </w:rPr>
              <w:t xml:space="preserve"> gazı (ör. &gt; 800 000 Nm</w:t>
            </w:r>
            <w:r w:rsidRPr="00DD0D1F">
              <w:rPr>
                <w:szCs w:val="24"/>
                <w:vertAlign w:val="superscript"/>
              </w:rPr>
              <w:t>3</w:t>
            </w:r>
            <w:r w:rsidRPr="00DD0D1F">
              <w:rPr>
                <w:szCs w:val="24"/>
              </w:rPr>
              <w:t>/h) debisi için ve bileşik NO</w:t>
            </w:r>
            <w:r w:rsidRPr="00DD0D1F">
              <w:rPr>
                <w:szCs w:val="24"/>
                <w:vertAlign w:val="subscript"/>
              </w:rPr>
              <w:t xml:space="preserve">X </w:t>
            </w:r>
            <w:r w:rsidRPr="00DD0D1F">
              <w:rPr>
                <w:szCs w:val="24"/>
              </w:rPr>
              <w:t>ve SO</w:t>
            </w:r>
            <w:r w:rsidRPr="00DD0D1F">
              <w:rPr>
                <w:szCs w:val="24"/>
                <w:vertAlign w:val="subscript"/>
              </w:rPr>
              <w:t xml:space="preserve">X </w:t>
            </w:r>
            <w:r w:rsidRPr="00DD0D1F">
              <w:rPr>
                <w:szCs w:val="24"/>
              </w:rPr>
              <w:t>azaltımı gerektiğinde uygulanabilir.</w:t>
            </w:r>
          </w:p>
        </w:tc>
      </w:tr>
    </w:tbl>
    <w:p w14:paraId="3F40ECB2" w14:textId="77777777" w:rsidR="00A508A2" w:rsidRPr="00DD0D1F" w:rsidRDefault="00A508A2" w:rsidP="00A508A2">
      <w:pPr>
        <w:rPr>
          <w:rFonts w:cs="Times New Roman"/>
          <w:b/>
          <w:bCs/>
          <w:szCs w:val="24"/>
          <w:lang w:val="tr-TR"/>
        </w:rPr>
      </w:pPr>
    </w:p>
    <w:p w14:paraId="38C53B9C"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Gaz türbininden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p w14:paraId="018CAC70" w14:textId="77777777" w:rsidR="00A508A2" w:rsidRPr="00DD0D1F" w:rsidRDefault="00A508A2" w:rsidP="00A508A2">
      <w:pPr>
        <w:pStyle w:val="GvdeMetni"/>
        <w:spacing w:before="4"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2895"/>
        <w:gridCol w:w="3243"/>
      </w:tblGrid>
      <w:tr w:rsidR="00A508A2" w:rsidRPr="00DD0D1F" w14:paraId="04DB73C1" w14:textId="77777777" w:rsidTr="00A508A2">
        <w:trPr>
          <w:trHeight w:val="690"/>
        </w:trPr>
        <w:tc>
          <w:tcPr>
            <w:tcW w:w="1603" w:type="pct"/>
          </w:tcPr>
          <w:p w14:paraId="0CBFF339" w14:textId="77777777" w:rsidR="00A508A2" w:rsidRPr="00DD0D1F" w:rsidRDefault="00A508A2" w:rsidP="00A508A2">
            <w:pPr>
              <w:pStyle w:val="TableParagraph"/>
              <w:spacing w:before="9"/>
              <w:rPr>
                <w:b/>
                <w:szCs w:val="24"/>
              </w:rPr>
            </w:pPr>
          </w:p>
          <w:p w14:paraId="3AE27D78" w14:textId="77777777" w:rsidR="00A508A2" w:rsidRPr="00DD0D1F" w:rsidRDefault="00A508A2" w:rsidP="00A508A2">
            <w:pPr>
              <w:pStyle w:val="TableParagraph"/>
              <w:spacing w:before="1"/>
              <w:ind w:left="921" w:right="915"/>
              <w:jc w:val="center"/>
              <w:rPr>
                <w:b/>
                <w:szCs w:val="24"/>
              </w:rPr>
            </w:pPr>
            <w:r w:rsidRPr="00DD0D1F">
              <w:rPr>
                <w:b/>
                <w:bCs/>
                <w:szCs w:val="24"/>
              </w:rPr>
              <w:t>Parametre</w:t>
            </w:r>
          </w:p>
        </w:tc>
        <w:tc>
          <w:tcPr>
            <w:tcW w:w="1603" w:type="pct"/>
          </w:tcPr>
          <w:p w14:paraId="1DF42692" w14:textId="77777777" w:rsidR="00A508A2" w:rsidRPr="00DD0D1F" w:rsidRDefault="00A508A2" w:rsidP="00A508A2">
            <w:pPr>
              <w:pStyle w:val="TableParagraph"/>
              <w:spacing w:before="9"/>
              <w:rPr>
                <w:b/>
                <w:szCs w:val="24"/>
              </w:rPr>
            </w:pPr>
          </w:p>
          <w:p w14:paraId="3A787339" w14:textId="77777777" w:rsidR="00A508A2" w:rsidRPr="00DD0D1F" w:rsidRDefault="00A508A2" w:rsidP="00A508A2">
            <w:pPr>
              <w:pStyle w:val="TableParagraph"/>
              <w:spacing w:before="1"/>
              <w:ind w:left="592"/>
              <w:rPr>
                <w:b/>
                <w:szCs w:val="24"/>
              </w:rPr>
            </w:pPr>
            <w:r w:rsidRPr="00DD0D1F">
              <w:rPr>
                <w:b/>
                <w:bCs/>
                <w:szCs w:val="24"/>
              </w:rPr>
              <w:t>Ekipmanlar türü</w:t>
            </w:r>
          </w:p>
        </w:tc>
        <w:tc>
          <w:tcPr>
            <w:tcW w:w="1794" w:type="pct"/>
          </w:tcPr>
          <w:p w14:paraId="39E936C9" w14:textId="0C2F4D4A" w:rsidR="00A508A2" w:rsidRPr="00DD0D1F" w:rsidRDefault="007D7613" w:rsidP="00A508A2">
            <w:pPr>
              <w:pStyle w:val="TableParagraph"/>
              <w:spacing w:line="229" w:lineRule="exact"/>
              <w:ind w:left="753" w:right="750"/>
              <w:jc w:val="center"/>
              <w:rPr>
                <w:b/>
                <w:szCs w:val="24"/>
              </w:rPr>
            </w:pPr>
            <w:r w:rsidRPr="00DD0D1F">
              <w:rPr>
                <w:b/>
                <w:bCs/>
                <w:szCs w:val="24"/>
              </w:rPr>
              <w:t>MET_İES</w:t>
            </w:r>
            <w:r w:rsidR="00A508A2" w:rsidRPr="00DD0D1F">
              <w:rPr>
                <w:b/>
                <w:bCs/>
                <w:szCs w:val="24"/>
              </w:rPr>
              <w:t xml:space="preserve"> (</w:t>
            </w:r>
            <w:r w:rsidR="00A508A2" w:rsidRPr="00DD0D1F">
              <w:rPr>
                <w:b/>
                <w:bCs/>
                <w:szCs w:val="24"/>
                <w:vertAlign w:val="superscript"/>
              </w:rPr>
              <w:t>1</w:t>
            </w:r>
            <w:r w:rsidR="00A508A2" w:rsidRPr="00DD0D1F">
              <w:rPr>
                <w:b/>
                <w:bCs/>
                <w:szCs w:val="24"/>
              </w:rPr>
              <w:t>)</w:t>
            </w:r>
          </w:p>
          <w:p w14:paraId="42E79822" w14:textId="77777777" w:rsidR="00A508A2" w:rsidRPr="00DD0D1F" w:rsidRDefault="00A508A2" w:rsidP="00A508A2">
            <w:pPr>
              <w:pStyle w:val="TableParagraph"/>
              <w:spacing w:line="227" w:lineRule="exact"/>
              <w:ind w:left="755" w:right="750"/>
              <w:jc w:val="center"/>
              <w:rPr>
                <w:b/>
                <w:szCs w:val="24"/>
              </w:rPr>
            </w:pPr>
            <w:r w:rsidRPr="00DD0D1F">
              <w:rPr>
                <w:b/>
                <w:bCs/>
                <w:szCs w:val="24"/>
              </w:rPr>
              <w:t>(aylık ortalama)</w:t>
            </w:r>
          </w:p>
          <w:p w14:paraId="49C42565" w14:textId="77777777" w:rsidR="00A508A2" w:rsidRPr="00DD0D1F" w:rsidRDefault="00A508A2" w:rsidP="00A508A2">
            <w:pPr>
              <w:pStyle w:val="TableParagraph"/>
              <w:spacing w:line="215" w:lineRule="exact"/>
              <w:ind w:left="756" w:right="750"/>
              <w:jc w:val="center"/>
              <w:rPr>
                <w:szCs w:val="24"/>
              </w:rPr>
            </w:pPr>
            <w:r w:rsidRPr="00DD0D1F">
              <w:rPr>
                <w:szCs w:val="24"/>
              </w:rPr>
              <w:t>%15 O</w:t>
            </w:r>
            <w:r w:rsidRPr="00DD0D1F">
              <w:rPr>
                <w:szCs w:val="24"/>
                <w:vertAlign w:val="subscript"/>
              </w:rPr>
              <w:t>2</w:t>
            </w:r>
            <w:r w:rsidRPr="00DD0D1F">
              <w:rPr>
                <w:szCs w:val="24"/>
              </w:rPr>
              <w:t>'de mg/Nm</w:t>
            </w:r>
            <w:r w:rsidRPr="00DD0D1F">
              <w:rPr>
                <w:szCs w:val="24"/>
                <w:vertAlign w:val="superscript"/>
              </w:rPr>
              <w:t>3</w:t>
            </w:r>
          </w:p>
        </w:tc>
      </w:tr>
      <w:tr w:rsidR="00A508A2" w:rsidRPr="00DD0D1F" w14:paraId="1DA18759" w14:textId="77777777" w:rsidTr="00A508A2">
        <w:trPr>
          <w:trHeight w:val="460"/>
        </w:trPr>
        <w:tc>
          <w:tcPr>
            <w:tcW w:w="1603" w:type="pct"/>
            <w:vMerge w:val="restart"/>
          </w:tcPr>
          <w:p w14:paraId="71F46157" w14:textId="77777777" w:rsidR="00A508A2" w:rsidRPr="00DD0D1F" w:rsidRDefault="00A508A2" w:rsidP="00A508A2">
            <w:pPr>
              <w:pStyle w:val="TableParagraph"/>
              <w:spacing w:before="10"/>
              <w:rPr>
                <w:b/>
                <w:szCs w:val="24"/>
              </w:rPr>
            </w:pPr>
          </w:p>
          <w:p w14:paraId="47474994" w14:textId="77777777" w:rsidR="00A508A2" w:rsidRPr="00DD0D1F" w:rsidRDefault="00A508A2" w:rsidP="00A508A2">
            <w:pPr>
              <w:pStyle w:val="TableParagraph"/>
              <w:ind w:left="107"/>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1603" w:type="pct"/>
            <w:vMerge w:val="restart"/>
          </w:tcPr>
          <w:p w14:paraId="14DEA017" w14:textId="77777777" w:rsidR="00A508A2" w:rsidRPr="00DD0D1F" w:rsidRDefault="00A508A2" w:rsidP="00A508A2">
            <w:pPr>
              <w:pStyle w:val="TableParagraph"/>
              <w:spacing w:line="230" w:lineRule="exact"/>
              <w:ind w:left="107" w:right="98"/>
              <w:jc w:val="both"/>
              <w:rPr>
                <w:szCs w:val="24"/>
              </w:rPr>
            </w:pPr>
            <w:r w:rsidRPr="00DD0D1F">
              <w:rPr>
                <w:szCs w:val="24"/>
              </w:rPr>
              <w:t>Gaz türbini (kombine çevrim gaz türbinleri - CCGT dahil olmak üzere) ve entegre gazlaştırma gaz çevrimi (IGCC)</w:t>
            </w:r>
          </w:p>
        </w:tc>
        <w:tc>
          <w:tcPr>
            <w:tcW w:w="1794" w:type="pct"/>
          </w:tcPr>
          <w:p w14:paraId="3BB0465B" w14:textId="77777777" w:rsidR="00A508A2" w:rsidRPr="00DD0D1F" w:rsidRDefault="00A508A2" w:rsidP="00A508A2">
            <w:pPr>
              <w:pStyle w:val="TableParagraph"/>
              <w:spacing w:line="223" w:lineRule="exact"/>
              <w:ind w:left="756" w:right="699"/>
              <w:jc w:val="center"/>
              <w:rPr>
                <w:szCs w:val="24"/>
              </w:rPr>
            </w:pPr>
            <w:r w:rsidRPr="00DD0D1F">
              <w:rPr>
                <w:szCs w:val="24"/>
              </w:rPr>
              <w:t>40 – 120</w:t>
            </w:r>
          </w:p>
          <w:p w14:paraId="7487ED25" w14:textId="77777777" w:rsidR="00A508A2" w:rsidRPr="00DD0D1F" w:rsidRDefault="00A508A2" w:rsidP="00A508A2">
            <w:pPr>
              <w:pStyle w:val="TableParagraph"/>
              <w:spacing w:line="217" w:lineRule="exact"/>
              <w:ind w:left="753" w:right="750"/>
              <w:jc w:val="center"/>
              <w:rPr>
                <w:szCs w:val="24"/>
              </w:rPr>
            </w:pPr>
            <w:r w:rsidRPr="00DD0D1F">
              <w:rPr>
                <w:szCs w:val="24"/>
              </w:rPr>
              <w:t>(mevcut türbin)</w:t>
            </w:r>
          </w:p>
        </w:tc>
      </w:tr>
      <w:tr w:rsidR="00A508A2" w:rsidRPr="00DD0D1F" w14:paraId="39E05D57" w14:textId="77777777" w:rsidTr="00A508A2">
        <w:trPr>
          <w:trHeight w:val="460"/>
        </w:trPr>
        <w:tc>
          <w:tcPr>
            <w:tcW w:w="1603" w:type="pct"/>
            <w:vMerge/>
            <w:tcBorders>
              <w:top w:val="nil"/>
            </w:tcBorders>
          </w:tcPr>
          <w:p w14:paraId="58D2322E" w14:textId="77777777" w:rsidR="00A508A2" w:rsidRPr="00DD0D1F" w:rsidRDefault="00A508A2" w:rsidP="00A508A2">
            <w:pPr>
              <w:rPr>
                <w:rFonts w:cs="Times New Roman"/>
                <w:szCs w:val="24"/>
                <w:lang w:val="tr-TR"/>
              </w:rPr>
            </w:pPr>
          </w:p>
        </w:tc>
        <w:tc>
          <w:tcPr>
            <w:tcW w:w="1603" w:type="pct"/>
            <w:vMerge/>
            <w:tcBorders>
              <w:top w:val="nil"/>
            </w:tcBorders>
          </w:tcPr>
          <w:p w14:paraId="12DBE82E" w14:textId="77777777" w:rsidR="00A508A2" w:rsidRPr="00DD0D1F" w:rsidRDefault="00A508A2" w:rsidP="00A508A2">
            <w:pPr>
              <w:rPr>
                <w:rFonts w:cs="Times New Roman"/>
                <w:szCs w:val="24"/>
                <w:lang w:val="tr-TR"/>
              </w:rPr>
            </w:pPr>
          </w:p>
        </w:tc>
        <w:tc>
          <w:tcPr>
            <w:tcW w:w="1794" w:type="pct"/>
          </w:tcPr>
          <w:p w14:paraId="1966DB8B" w14:textId="77777777" w:rsidR="00A508A2" w:rsidRPr="00DD0D1F" w:rsidRDefault="00A508A2" w:rsidP="00A508A2">
            <w:pPr>
              <w:pStyle w:val="TableParagraph"/>
              <w:spacing w:line="223" w:lineRule="exact"/>
              <w:ind w:left="756" w:right="747"/>
              <w:jc w:val="center"/>
              <w:rPr>
                <w:szCs w:val="24"/>
              </w:rPr>
            </w:pPr>
            <w:r w:rsidRPr="00DD0D1F">
              <w:rPr>
                <w:szCs w:val="24"/>
              </w:rPr>
              <w:t>20 – 50</w:t>
            </w:r>
          </w:p>
          <w:p w14:paraId="1A012B21" w14:textId="77777777" w:rsidR="00A508A2" w:rsidRPr="00DD0D1F" w:rsidRDefault="00A508A2" w:rsidP="00A508A2">
            <w:pPr>
              <w:pStyle w:val="TableParagraph"/>
              <w:spacing w:line="217" w:lineRule="exact"/>
              <w:ind w:left="753" w:right="750"/>
              <w:jc w:val="center"/>
              <w:rPr>
                <w:szCs w:val="24"/>
              </w:rPr>
            </w:pPr>
            <w:r w:rsidRPr="00DD0D1F">
              <w:rPr>
                <w:szCs w:val="24"/>
              </w:rPr>
              <w:t>(yeni türbin) (</w:t>
            </w:r>
            <w:r w:rsidRPr="00DD0D1F">
              <w:rPr>
                <w:szCs w:val="24"/>
                <w:vertAlign w:val="superscript"/>
              </w:rPr>
              <w:t>2</w:t>
            </w:r>
            <w:r w:rsidRPr="00DD0D1F">
              <w:rPr>
                <w:szCs w:val="24"/>
              </w:rPr>
              <w:t>)</w:t>
            </w:r>
          </w:p>
        </w:tc>
      </w:tr>
      <w:tr w:rsidR="00A508A2" w:rsidRPr="00DD0D1F" w14:paraId="76188D51" w14:textId="77777777" w:rsidTr="00A508A2">
        <w:trPr>
          <w:trHeight w:val="621"/>
        </w:trPr>
        <w:tc>
          <w:tcPr>
            <w:tcW w:w="5000" w:type="pct"/>
            <w:gridSpan w:val="3"/>
          </w:tcPr>
          <w:p w14:paraId="6F69AFF7" w14:textId="6B66CA34" w:rsidR="00A508A2" w:rsidRPr="00DD0D1F" w:rsidRDefault="007D7613" w:rsidP="00FF111D">
            <w:pPr>
              <w:pStyle w:val="TableParagraph"/>
              <w:numPr>
                <w:ilvl w:val="0"/>
                <w:numId w:val="93"/>
              </w:numPr>
              <w:tabs>
                <w:tab w:val="left" w:pos="334"/>
              </w:tabs>
              <w:spacing w:line="194" w:lineRule="exact"/>
              <w:ind w:left="328" w:hanging="227"/>
              <w:rPr>
                <w:szCs w:val="24"/>
              </w:rPr>
            </w:pPr>
            <w:r w:rsidRPr="00DD0D1F">
              <w:rPr>
                <w:szCs w:val="24"/>
              </w:rPr>
              <w:t>MET_İES</w:t>
            </w:r>
            <w:r w:rsidR="00A508A2" w:rsidRPr="00DD0D1F">
              <w:rPr>
                <w:szCs w:val="24"/>
              </w:rPr>
              <w:t>, gaz türbini kaynaklı kombine emisyonlara ve mevcut olması durumunda tamamlayıcı yanma geri kazanım kazanına atıf yapar.</w:t>
            </w:r>
          </w:p>
          <w:p w14:paraId="44907D02" w14:textId="114C3590" w:rsidR="00A508A2" w:rsidRPr="00DD0D1F" w:rsidRDefault="00A508A2" w:rsidP="00FD308E">
            <w:pPr>
              <w:pStyle w:val="TableParagraph"/>
              <w:numPr>
                <w:ilvl w:val="0"/>
                <w:numId w:val="93"/>
              </w:numPr>
              <w:tabs>
                <w:tab w:val="left" w:pos="334"/>
              </w:tabs>
              <w:spacing w:line="205" w:lineRule="exact"/>
              <w:ind w:hanging="227"/>
              <w:rPr>
                <w:szCs w:val="24"/>
              </w:rPr>
            </w:pPr>
            <w:r w:rsidRPr="00DD0D1F">
              <w:rPr>
                <w:szCs w:val="24"/>
              </w:rPr>
              <w:t>H</w:t>
            </w:r>
            <w:r w:rsidR="00EF43D0" w:rsidRPr="00DD0D1F">
              <w:rPr>
                <w:szCs w:val="24"/>
                <w:vertAlign w:val="subscript"/>
              </w:rPr>
              <w:t xml:space="preserve">2 </w:t>
            </w:r>
            <w:r w:rsidR="001C5B37" w:rsidRPr="00DD0D1F">
              <w:rPr>
                <w:szCs w:val="24"/>
              </w:rPr>
              <w:t xml:space="preserve">içeriği </w:t>
            </w:r>
            <w:r w:rsidRPr="00DD0D1F">
              <w:rPr>
                <w:szCs w:val="24"/>
              </w:rPr>
              <w:t>yüksek (yani %10'dan fazla) yakıt için aralığın üst aralığı 75 mg/Nm</w:t>
            </w:r>
            <w:r w:rsidRPr="00DD0D1F">
              <w:rPr>
                <w:szCs w:val="24"/>
                <w:vertAlign w:val="superscript"/>
              </w:rPr>
              <w:t>3</w:t>
            </w:r>
            <w:r w:rsidRPr="00DD0D1F">
              <w:rPr>
                <w:szCs w:val="24"/>
              </w:rPr>
              <w:t>'tür.</w:t>
            </w:r>
          </w:p>
        </w:tc>
      </w:tr>
    </w:tbl>
    <w:p w14:paraId="26F2433B" w14:textId="77777777" w:rsidR="00A508A2" w:rsidRPr="00DD0D1F" w:rsidRDefault="00A508A2" w:rsidP="00A508A2">
      <w:pPr>
        <w:pStyle w:val="GvdeMetni"/>
        <w:spacing w:before="4"/>
        <w:rPr>
          <w:b/>
          <w:sz w:val="24"/>
          <w:szCs w:val="24"/>
        </w:rPr>
      </w:pPr>
    </w:p>
    <w:p w14:paraId="3709EA01"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1262EB5A" w14:textId="77777777" w:rsidR="00A508A2" w:rsidRPr="00DD0D1F" w:rsidRDefault="00A508A2" w:rsidP="00A508A2">
      <w:pPr>
        <w:pStyle w:val="GvdeMetni"/>
        <w:spacing w:before="4"/>
        <w:rPr>
          <w:sz w:val="24"/>
          <w:szCs w:val="24"/>
        </w:rPr>
      </w:pPr>
    </w:p>
    <w:p w14:paraId="77EB9E01" w14:textId="77777777" w:rsidR="00A508A2" w:rsidRPr="00DD0D1F" w:rsidRDefault="00A508A2" w:rsidP="00A508A2">
      <w:pPr>
        <w:pStyle w:val="ResimYazs"/>
        <w:rPr>
          <w:rFonts w:cs="Times New Roman"/>
          <w:color w:val="auto"/>
          <w:szCs w:val="24"/>
          <w:lang w:val="tr-TR"/>
        </w:rPr>
      </w:pPr>
      <w:bookmarkStart w:id="231" w:name="_bookmark897"/>
      <w:bookmarkEnd w:id="231"/>
      <w:r w:rsidRPr="00DD0D1F">
        <w:rPr>
          <w:rFonts w:cs="Times New Roman"/>
          <w:bCs/>
          <w:color w:val="auto"/>
          <w:szCs w:val="24"/>
          <w:lang w:val="tr-TR"/>
        </w:rPr>
        <w:t>Gaz türbinleri hariç, gaz yakan yanma biriminden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p w14:paraId="2519830D"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8"/>
        <w:gridCol w:w="2981"/>
        <w:gridCol w:w="4208"/>
      </w:tblGrid>
      <w:tr w:rsidR="00A508A2" w:rsidRPr="00DD0D1F" w14:paraId="2909834B" w14:textId="77777777" w:rsidTr="00A508A2">
        <w:trPr>
          <w:trHeight w:val="690"/>
        </w:trPr>
        <w:tc>
          <w:tcPr>
            <w:tcW w:w="1040" w:type="pct"/>
          </w:tcPr>
          <w:p w14:paraId="5EC558C5" w14:textId="77777777" w:rsidR="00A508A2" w:rsidRPr="00DD0D1F" w:rsidRDefault="00A508A2" w:rsidP="00A508A2">
            <w:pPr>
              <w:pStyle w:val="TableParagraph"/>
              <w:spacing w:before="9"/>
              <w:rPr>
                <w:b/>
                <w:szCs w:val="24"/>
              </w:rPr>
            </w:pPr>
          </w:p>
          <w:p w14:paraId="53EB6F9B" w14:textId="77777777" w:rsidR="00A508A2" w:rsidRPr="00DD0D1F" w:rsidRDefault="00A508A2" w:rsidP="00A508A2">
            <w:pPr>
              <w:pStyle w:val="TableParagraph"/>
              <w:spacing w:before="1"/>
              <w:ind w:left="352"/>
              <w:rPr>
                <w:b/>
                <w:szCs w:val="24"/>
              </w:rPr>
            </w:pPr>
            <w:r w:rsidRPr="00DD0D1F">
              <w:rPr>
                <w:b/>
                <w:bCs/>
                <w:szCs w:val="24"/>
              </w:rPr>
              <w:t>Parametre</w:t>
            </w:r>
          </w:p>
        </w:tc>
        <w:tc>
          <w:tcPr>
            <w:tcW w:w="1642" w:type="pct"/>
          </w:tcPr>
          <w:p w14:paraId="0A2578AF" w14:textId="77777777" w:rsidR="00A508A2" w:rsidRPr="00DD0D1F" w:rsidRDefault="00A508A2" w:rsidP="00A508A2">
            <w:pPr>
              <w:pStyle w:val="TableParagraph"/>
              <w:spacing w:before="9"/>
              <w:rPr>
                <w:b/>
                <w:szCs w:val="24"/>
              </w:rPr>
            </w:pPr>
          </w:p>
          <w:p w14:paraId="5A939037" w14:textId="77777777" w:rsidR="00A508A2" w:rsidRPr="00DD0D1F" w:rsidRDefault="00A508A2" w:rsidP="00A508A2">
            <w:pPr>
              <w:pStyle w:val="TableParagraph"/>
              <w:spacing w:before="1"/>
              <w:ind w:left="429"/>
              <w:rPr>
                <w:b/>
                <w:szCs w:val="24"/>
              </w:rPr>
            </w:pPr>
            <w:r w:rsidRPr="00DD0D1F">
              <w:rPr>
                <w:b/>
                <w:bCs/>
                <w:szCs w:val="24"/>
              </w:rPr>
              <w:t>Yanma türü</w:t>
            </w:r>
          </w:p>
        </w:tc>
        <w:tc>
          <w:tcPr>
            <w:tcW w:w="2318" w:type="pct"/>
          </w:tcPr>
          <w:p w14:paraId="6A10621F" w14:textId="715808EA" w:rsidR="00A508A2" w:rsidRPr="00DD0D1F" w:rsidRDefault="007D7613" w:rsidP="00A508A2">
            <w:pPr>
              <w:pStyle w:val="TableParagraph"/>
              <w:spacing w:line="228" w:lineRule="exact"/>
              <w:ind w:left="997" w:right="992"/>
              <w:jc w:val="center"/>
              <w:rPr>
                <w:b/>
                <w:szCs w:val="24"/>
              </w:rPr>
            </w:pPr>
            <w:r w:rsidRPr="00DD0D1F">
              <w:rPr>
                <w:b/>
                <w:bCs/>
                <w:szCs w:val="24"/>
              </w:rPr>
              <w:t>MET_İES</w:t>
            </w:r>
          </w:p>
          <w:p w14:paraId="11913ECB" w14:textId="77777777" w:rsidR="00A508A2" w:rsidRPr="00DD0D1F" w:rsidRDefault="00A508A2" w:rsidP="00A508A2">
            <w:pPr>
              <w:pStyle w:val="TableParagraph"/>
              <w:spacing w:line="228" w:lineRule="exact"/>
              <w:ind w:left="997" w:right="996"/>
              <w:jc w:val="center"/>
              <w:rPr>
                <w:b/>
                <w:szCs w:val="24"/>
              </w:rPr>
            </w:pPr>
            <w:r w:rsidRPr="00DD0D1F">
              <w:rPr>
                <w:b/>
                <w:bCs/>
                <w:szCs w:val="24"/>
              </w:rPr>
              <w:t>(aylık ortalama)</w:t>
            </w:r>
          </w:p>
          <w:p w14:paraId="0C22AB12" w14:textId="77777777" w:rsidR="00A508A2" w:rsidRPr="00DD0D1F" w:rsidRDefault="00A508A2" w:rsidP="00A508A2">
            <w:pPr>
              <w:pStyle w:val="TableParagraph"/>
              <w:spacing w:line="215" w:lineRule="exact"/>
              <w:ind w:left="997" w:right="992"/>
              <w:jc w:val="center"/>
              <w:rPr>
                <w:szCs w:val="24"/>
              </w:rPr>
            </w:pPr>
            <w:r w:rsidRPr="00DD0D1F">
              <w:rPr>
                <w:szCs w:val="24"/>
              </w:rPr>
              <w:t>mg/Nm</w:t>
            </w:r>
            <w:r w:rsidRPr="00DD0D1F">
              <w:rPr>
                <w:szCs w:val="24"/>
                <w:vertAlign w:val="superscript"/>
              </w:rPr>
              <w:t>3</w:t>
            </w:r>
          </w:p>
        </w:tc>
      </w:tr>
      <w:tr w:rsidR="00A508A2" w:rsidRPr="00DD0D1F" w14:paraId="1FE9C872" w14:textId="77777777" w:rsidTr="00A508A2">
        <w:trPr>
          <w:trHeight w:val="457"/>
        </w:trPr>
        <w:tc>
          <w:tcPr>
            <w:tcW w:w="1040" w:type="pct"/>
            <w:vMerge w:val="restart"/>
          </w:tcPr>
          <w:p w14:paraId="6CFE9F19" w14:textId="77777777" w:rsidR="00A508A2" w:rsidRPr="00DD0D1F" w:rsidRDefault="00A508A2" w:rsidP="00A508A2">
            <w:pPr>
              <w:pStyle w:val="TableParagraph"/>
              <w:spacing w:before="9"/>
              <w:rPr>
                <w:b/>
                <w:szCs w:val="24"/>
              </w:rPr>
            </w:pPr>
          </w:p>
          <w:p w14:paraId="7F2A6D87" w14:textId="77777777" w:rsidR="00A508A2" w:rsidRPr="00DD0D1F" w:rsidRDefault="00A508A2" w:rsidP="00A508A2">
            <w:pPr>
              <w:pStyle w:val="TableParagraph"/>
              <w:ind w:left="27" w:right="30"/>
              <w:jc w:val="center"/>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1642" w:type="pct"/>
            <w:vMerge w:val="restart"/>
          </w:tcPr>
          <w:p w14:paraId="19B8C02B" w14:textId="77777777" w:rsidR="00A508A2" w:rsidRPr="00DD0D1F" w:rsidRDefault="00A508A2" w:rsidP="00A508A2">
            <w:pPr>
              <w:pStyle w:val="TableParagraph"/>
              <w:spacing w:before="10"/>
              <w:rPr>
                <w:b/>
                <w:szCs w:val="24"/>
              </w:rPr>
            </w:pPr>
          </w:p>
          <w:p w14:paraId="5FB0E94B" w14:textId="77777777" w:rsidR="00A508A2" w:rsidRPr="00DD0D1F" w:rsidRDefault="00A508A2" w:rsidP="00A508A2">
            <w:pPr>
              <w:pStyle w:val="TableParagraph"/>
              <w:ind w:left="112" w:right="172"/>
              <w:jc w:val="center"/>
              <w:rPr>
                <w:szCs w:val="24"/>
              </w:rPr>
            </w:pPr>
            <w:r w:rsidRPr="00DD0D1F">
              <w:rPr>
                <w:szCs w:val="24"/>
              </w:rPr>
              <w:t>Gaz yakan</w:t>
            </w:r>
          </w:p>
        </w:tc>
        <w:tc>
          <w:tcPr>
            <w:tcW w:w="2318" w:type="pct"/>
          </w:tcPr>
          <w:p w14:paraId="20F2BA84" w14:textId="77777777" w:rsidR="00A508A2" w:rsidRPr="00DD0D1F" w:rsidRDefault="00A508A2" w:rsidP="00A508A2">
            <w:pPr>
              <w:pStyle w:val="TableParagraph"/>
              <w:spacing w:line="223" w:lineRule="exact"/>
              <w:ind w:left="997" w:right="992"/>
              <w:jc w:val="center"/>
              <w:rPr>
                <w:szCs w:val="24"/>
              </w:rPr>
            </w:pPr>
            <w:r w:rsidRPr="00DD0D1F">
              <w:rPr>
                <w:szCs w:val="24"/>
              </w:rPr>
              <w:t>30 – 150</w:t>
            </w:r>
          </w:p>
          <w:p w14:paraId="1AEA0C62" w14:textId="77777777" w:rsidR="00A508A2" w:rsidRPr="00DD0D1F" w:rsidRDefault="00A508A2" w:rsidP="00A508A2">
            <w:pPr>
              <w:pStyle w:val="TableParagraph"/>
              <w:spacing w:line="215" w:lineRule="exact"/>
              <w:ind w:left="111" w:right="88"/>
              <w:jc w:val="center"/>
              <w:rPr>
                <w:szCs w:val="24"/>
              </w:rPr>
            </w:pPr>
            <w:r w:rsidRPr="00DD0D1F">
              <w:rPr>
                <w:szCs w:val="24"/>
              </w:rPr>
              <w:t>mevcut birimler için(</w:t>
            </w:r>
            <w:r w:rsidRPr="00DD0D1F">
              <w:rPr>
                <w:szCs w:val="24"/>
                <w:vertAlign w:val="superscript"/>
              </w:rPr>
              <w:t>1</w:t>
            </w:r>
            <w:r w:rsidRPr="00DD0D1F">
              <w:rPr>
                <w:szCs w:val="24"/>
              </w:rPr>
              <w:t>)</w:t>
            </w:r>
          </w:p>
        </w:tc>
      </w:tr>
      <w:tr w:rsidR="00A508A2" w:rsidRPr="00DD0D1F" w14:paraId="5E9B35D3" w14:textId="77777777" w:rsidTr="00A508A2">
        <w:trPr>
          <w:trHeight w:val="460"/>
        </w:trPr>
        <w:tc>
          <w:tcPr>
            <w:tcW w:w="1040" w:type="pct"/>
            <w:vMerge/>
            <w:tcBorders>
              <w:top w:val="nil"/>
            </w:tcBorders>
          </w:tcPr>
          <w:p w14:paraId="66BB83C5" w14:textId="77777777" w:rsidR="00A508A2" w:rsidRPr="00DD0D1F" w:rsidRDefault="00A508A2" w:rsidP="00A508A2">
            <w:pPr>
              <w:rPr>
                <w:rFonts w:cs="Times New Roman"/>
                <w:szCs w:val="24"/>
                <w:lang w:val="tr-TR"/>
              </w:rPr>
            </w:pPr>
          </w:p>
        </w:tc>
        <w:tc>
          <w:tcPr>
            <w:tcW w:w="1642" w:type="pct"/>
            <w:vMerge/>
            <w:tcBorders>
              <w:top w:val="nil"/>
            </w:tcBorders>
          </w:tcPr>
          <w:p w14:paraId="42BB0BE9" w14:textId="77777777" w:rsidR="00A508A2" w:rsidRPr="00DD0D1F" w:rsidRDefault="00A508A2" w:rsidP="00A508A2">
            <w:pPr>
              <w:rPr>
                <w:rFonts w:cs="Times New Roman"/>
                <w:szCs w:val="24"/>
                <w:lang w:val="tr-TR"/>
              </w:rPr>
            </w:pPr>
          </w:p>
        </w:tc>
        <w:tc>
          <w:tcPr>
            <w:tcW w:w="2318" w:type="pct"/>
          </w:tcPr>
          <w:p w14:paraId="1CC4C057" w14:textId="77777777" w:rsidR="00A508A2" w:rsidRPr="00DD0D1F" w:rsidRDefault="00A508A2" w:rsidP="00A508A2">
            <w:pPr>
              <w:pStyle w:val="TableParagraph"/>
              <w:spacing w:line="224" w:lineRule="exact"/>
              <w:ind w:left="997" w:right="992"/>
              <w:jc w:val="center"/>
              <w:rPr>
                <w:szCs w:val="24"/>
              </w:rPr>
            </w:pPr>
            <w:r w:rsidRPr="00DD0D1F">
              <w:rPr>
                <w:szCs w:val="24"/>
              </w:rPr>
              <w:t>30 – 100</w:t>
            </w:r>
          </w:p>
          <w:p w14:paraId="43138327" w14:textId="77777777" w:rsidR="00A508A2" w:rsidRPr="00DD0D1F" w:rsidRDefault="00A508A2" w:rsidP="00A508A2">
            <w:pPr>
              <w:pStyle w:val="TableParagraph"/>
              <w:spacing w:line="216" w:lineRule="exact"/>
              <w:ind w:left="997" w:right="996"/>
              <w:jc w:val="center"/>
              <w:rPr>
                <w:szCs w:val="24"/>
              </w:rPr>
            </w:pPr>
            <w:r w:rsidRPr="00DD0D1F">
              <w:rPr>
                <w:szCs w:val="24"/>
              </w:rPr>
              <w:t>yeni birim için</w:t>
            </w:r>
          </w:p>
        </w:tc>
      </w:tr>
      <w:tr w:rsidR="00A508A2" w:rsidRPr="00DD0D1F" w14:paraId="7EBB756E" w14:textId="77777777" w:rsidTr="00A508A2">
        <w:trPr>
          <w:trHeight w:val="414"/>
        </w:trPr>
        <w:tc>
          <w:tcPr>
            <w:tcW w:w="5000" w:type="pct"/>
            <w:gridSpan w:val="3"/>
          </w:tcPr>
          <w:p w14:paraId="036CC483" w14:textId="33AF7E73" w:rsidR="00A508A2" w:rsidRPr="00DD0D1F" w:rsidRDefault="00A508A2" w:rsidP="001C5B37">
            <w:pPr>
              <w:pStyle w:val="TableParagraph"/>
              <w:spacing w:line="202" w:lineRule="exact"/>
              <w:ind w:left="107"/>
              <w:rPr>
                <w:szCs w:val="24"/>
              </w:rPr>
            </w:pPr>
            <w:r w:rsidRPr="00DD0D1F">
              <w:rPr>
                <w:szCs w:val="24"/>
              </w:rPr>
              <w:t>(1) Yüksek hava ön ısıtması (yani &gt;200 °C) kullanılan veya yakıt gazdaki H</w:t>
            </w:r>
            <w:r w:rsidRPr="00DD0D1F">
              <w:rPr>
                <w:szCs w:val="24"/>
                <w:vertAlign w:val="subscript"/>
              </w:rPr>
              <w:t xml:space="preserve">2 </w:t>
            </w:r>
            <w:r w:rsidR="001C5B37" w:rsidRPr="00DD0D1F">
              <w:rPr>
                <w:szCs w:val="24"/>
              </w:rPr>
              <w:t xml:space="preserve"> içeriğinin  </w:t>
            </w:r>
            <w:r w:rsidR="00EF43D0" w:rsidRPr="00DD0D1F">
              <w:rPr>
                <w:szCs w:val="24"/>
              </w:rPr>
              <w:t xml:space="preserve"> </w:t>
            </w:r>
            <w:r w:rsidRPr="00DD0D1F">
              <w:rPr>
                <w:szCs w:val="24"/>
              </w:rPr>
              <w:t xml:space="preserve"> %50'den fazla olduğu mevcut birim için </w:t>
            </w:r>
            <w:r w:rsidR="007D7613" w:rsidRPr="00DD0D1F">
              <w:rPr>
                <w:szCs w:val="24"/>
              </w:rPr>
              <w:t>MET_İES</w:t>
            </w:r>
            <w:r w:rsidRPr="00DD0D1F">
              <w:rPr>
                <w:szCs w:val="24"/>
              </w:rPr>
              <w:t xml:space="preserve"> aralığının üst </w:t>
            </w:r>
            <w:r w:rsidR="00A504E5" w:rsidRPr="00DD0D1F">
              <w:rPr>
                <w:szCs w:val="24"/>
              </w:rPr>
              <w:t>sınırı</w:t>
            </w:r>
            <w:r w:rsidRPr="00DD0D1F">
              <w:rPr>
                <w:szCs w:val="24"/>
              </w:rPr>
              <w:t xml:space="preserve"> 200 mg/Nm</w:t>
            </w:r>
            <w:r w:rsidRPr="00DD0D1F">
              <w:rPr>
                <w:szCs w:val="24"/>
                <w:vertAlign w:val="superscript"/>
              </w:rPr>
              <w:t>3</w:t>
            </w:r>
            <w:r w:rsidRPr="00DD0D1F">
              <w:rPr>
                <w:szCs w:val="24"/>
              </w:rPr>
              <w:t>'tür.</w:t>
            </w:r>
          </w:p>
        </w:tc>
      </w:tr>
    </w:tbl>
    <w:p w14:paraId="789504BA" w14:textId="77777777" w:rsidR="00A508A2" w:rsidRPr="00DD0D1F" w:rsidRDefault="00A508A2" w:rsidP="00A508A2">
      <w:pPr>
        <w:pStyle w:val="GvdeMetni"/>
        <w:spacing w:before="4"/>
        <w:rPr>
          <w:b/>
          <w:sz w:val="24"/>
          <w:szCs w:val="24"/>
        </w:rPr>
      </w:pPr>
    </w:p>
    <w:p w14:paraId="07E358DF"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bookmarkStart w:id="232" w:name="_bookmark898"/>
      <w:bookmarkEnd w:id="232"/>
    </w:p>
    <w:p w14:paraId="37D51BE2" w14:textId="77777777" w:rsidR="00A508A2" w:rsidRPr="00DD0D1F" w:rsidRDefault="00A508A2" w:rsidP="00A508A2">
      <w:pPr>
        <w:pStyle w:val="GvdeMetni"/>
        <w:rPr>
          <w:sz w:val="24"/>
          <w:szCs w:val="24"/>
        </w:rPr>
      </w:pPr>
    </w:p>
    <w:p w14:paraId="059B81C6" w14:textId="6E92D0E6" w:rsidR="00A508A2" w:rsidRPr="00DD0D1F" w:rsidRDefault="00A508A2" w:rsidP="00A508A2">
      <w:pPr>
        <w:pStyle w:val="ResimYazs"/>
        <w:jc w:val="left"/>
        <w:rPr>
          <w:rFonts w:cs="Times New Roman"/>
          <w:color w:val="auto"/>
          <w:szCs w:val="24"/>
        </w:rPr>
      </w:pPr>
      <w:r w:rsidRPr="00DD0D1F">
        <w:rPr>
          <w:rFonts w:cs="Times New Roman"/>
          <w:color w:val="auto"/>
          <w:szCs w:val="24"/>
        </w:rPr>
        <w:t xml:space="preserve">Tablo </w:t>
      </w:r>
      <w:r w:rsidRPr="00DD0D1F">
        <w:rPr>
          <w:rFonts w:cs="Times New Roman"/>
          <w:color w:val="auto"/>
          <w:szCs w:val="24"/>
        </w:rPr>
        <w:fldChar w:fldCharType="begin"/>
      </w:r>
      <w:r w:rsidRPr="00DD0D1F">
        <w:rPr>
          <w:rFonts w:cs="Times New Roman"/>
          <w:color w:val="auto"/>
          <w:szCs w:val="24"/>
        </w:rPr>
        <w:instrText xml:space="preserve"> SEQ Tablo \* ARABIC </w:instrText>
      </w:r>
      <w:r w:rsidRPr="00DD0D1F">
        <w:rPr>
          <w:rFonts w:cs="Times New Roman"/>
          <w:color w:val="auto"/>
          <w:szCs w:val="24"/>
        </w:rPr>
        <w:fldChar w:fldCharType="separate"/>
      </w:r>
      <w:r w:rsidR="00CB2106" w:rsidRPr="00DD0D1F">
        <w:rPr>
          <w:rFonts w:cs="Times New Roman"/>
          <w:noProof/>
          <w:color w:val="auto"/>
          <w:szCs w:val="24"/>
        </w:rPr>
        <w:t>3</w:t>
      </w:r>
      <w:r w:rsidRPr="00DD0D1F">
        <w:rPr>
          <w:rFonts w:cs="Times New Roman"/>
          <w:noProof/>
          <w:color w:val="auto"/>
          <w:szCs w:val="24"/>
        </w:rPr>
        <w:fldChar w:fldCharType="end"/>
      </w:r>
      <w:r w:rsidRPr="00DD0D1F">
        <w:rPr>
          <w:rFonts w:cs="Times New Roman"/>
          <w:color w:val="auto"/>
          <w:szCs w:val="24"/>
        </w:rPr>
        <w:t xml:space="preserve"> </w:t>
      </w:r>
      <w:r w:rsidRPr="00DD0D1F">
        <w:rPr>
          <w:rFonts w:cs="Times New Roman"/>
          <w:bCs/>
          <w:color w:val="auto"/>
          <w:szCs w:val="24"/>
          <w:lang w:val="tr-TR"/>
        </w:rPr>
        <w:t>Gaz türbinleri hariç, farklı yakıtları yakan yanma biriminden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p w14:paraId="39CE4626"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3384"/>
        <w:gridCol w:w="3569"/>
      </w:tblGrid>
      <w:tr w:rsidR="00A508A2" w:rsidRPr="00DD0D1F" w14:paraId="465783C0" w14:textId="77777777" w:rsidTr="00A508A2">
        <w:trPr>
          <w:trHeight w:val="690"/>
        </w:trPr>
        <w:tc>
          <w:tcPr>
            <w:tcW w:w="1170" w:type="pct"/>
          </w:tcPr>
          <w:p w14:paraId="3965E2A4" w14:textId="77777777" w:rsidR="00A508A2" w:rsidRPr="00DD0D1F" w:rsidRDefault="00A508A2" w:rsidP="00A508A2">
            <w:pPr>
              <w:pStyle w:val="TableParagraph"/>
              <w:spacing w:before="9"/>
              <w:rPr>
                <w:b/>
                <w:szCs w:val="24"/>
              </w:rPr>
            </w:pPr>
          </w:p>
          <w:p w14:paraId="14B48852" w14:textId="77777777" w:rsidR="00A508A2" w:rsidRPr="00DD0D1F" w:rsidRDefault="00A508A2" w:rsidP="00A508A2">
            <w:pPr>
              <w:pStyle w:val="TableParagraph"/>
              <w:spacing w:before="1"/>
              <w:ind w:left="426"/>
              <w:rPr>
                <w:b/>
                <w:szCs w:val="24"/>
              </w:rPr>
            </w:pPr>
            <w:r w:rsidRPr="00DD0D1F">
              <w:rPr>
                <w:b/>
                <w:bCs/>
                <w:szCs w:val="24"/>
              </w:rPr>
              <w:t>Parametre</w:t>
            </w:r>
          </w:p>
        </w:tc>
        <w:tc>
          <w:tcPr>
            <w:tcW w:w="1864" w:type="pct"/>
          </w:tcPr>
          <w:p w14:paraId="6CDE63FD" w14:textId="77777777" w:rsidR="00A508A2" w:rsidRPr="00DD0D1F" w:rsidRDefault="00A508A2" w:rsidP="00A508A2">
            <w:pPr>
              <w:pStyle w:val="TableParagraph"/>
              <w:spacing w:before="9"/>
              <w:rPr>
                <w:b/>
                <w:szCs w:val="24"/>
              </w:rPr>
            </w:pPr>
          </w:p>
          <w:p w14:paraId="2AAED593" w14:textId="77777777" w:rsidR="00A508A2" w:rsidRPr="00DD0D1F" w:rsidRDefault="00A508A2" w:rsidP="00A508A2">
            <w:pPr>
              <w:pStyle w:val="TableParagraph"/>
              <w:spacing w:before="1"/>
              <w:ind w:left="90" w:right="84"/>
              <w:jc w:val="center"/>
              <w:rPr>
                <w:b/>
                <w:szCs w:val="24"/>
              </w:rPr>
            </w:pPr>
            <w:r w:rsidRPr="00DD0D1F">
              <w:rPr>
                <w:b/>
                <w:bCs/>
                <w:szCs w:val="24"/>
              </w:rPr>
              <w:t>Yanma türü</w:t>
            </w:r>
          </w:p>
        </w:tc>
        <w:tc>
          <w:tcPr>
            <w:tcW w:w="1966" w:type="pct"/>
          </w:tcPr>
          <w:p w14:paraId="10443B34" w14:textId="78984EC7" w:rsidR="00A508A2" w:rsidRPr="00DD0D1F" w:rsidRDefault="007D7613" w:rsidP="00A508A2">
            <w:pPr>
              <w:pStyle w:val="TableParagraph"/>
              <w:spacing w:line="228" w:lineRule="exact"/>
              <w:ind w:left="580" w:right="565"/>
              <w:jc w:val="center"/>
              <w:rPr>
                <w:b/>
                <w:szCs w:val="24"/>
              </w:rPr>
            </w:pPr>
            <w:r w:rsidRPr="00DD0D1F">
              <w:rPr>
                <w:b/>
                <w:bCs/>
                <w:szCs w:val="24"/>
              </w:rPr>
              <w:t>MET_İES</w:t>
            </w:r>
          </w:p>
          <w:p w14:paraId="249FE25B" w14:textId="77777777" w:rsidR="00A508A2" w:rsidRPr="00DD0D1F" w:rsidRDefault="00A508A2" w:rsidP="00A508A2">
            <w:pPr>
              <w:pStyle w:val="TableParagraph"/>
              <w:spacing w:line="228" w:lineRule="exact"/>
              <w:ind w:left="578" w:right="567"/>
              <w:jc w:val="center"/>
              <w:rPr>
                <w:b/>
                <w:szCs w:val="24"/>
              </w:rPr>
            </w:pPr>
            <w:r w:rsidRPr="00DD0D1F">
              <w:rPr>
                <w:b/>
                <w:bCs/>
                <w:szCs w:val="24"/>
              </w:rPr>
              <w:t>(aylık ortalama)</w:t>
            </w:r>
          </w:p>
          <w:p w14:paraId="24BB73D5" w14:textId="77777777" w:rsidR="00A508A2" w:rsidRPr="00DD0D1F" w:rsidRDefault="00A508A2" w:rsidP="00A508A2">
            <w:pPr>
              <w:pStyle w:val="TableParagraph"/>
              <w:spacing w:line="215" w:lineRule="exact"/>
              <w:ind w:left="580" w:right="566"/>
              <w:jc w:val="center"/>
              <w:rPr>
                <w:szCs w:val="24"/>
              </w:rPr>
            </w:pPr>
            <w:r w:rsidRPr="00DD0D1F">
              <w:rPr>
                <w:szCs w:val="24"/>
              </w:rPr>
              <w:t>mg/Nm</w:t>
            </w:r>
            <w:r w:rsidRPr="00DD0D1F">
              <w:rPr>
                <w:szCs w:val="24"/>
                <w:vertAlign w:val="superscript"/>
              </w:rPr>
              <w:t>3</w:t>
            </w:r>
          </w:p>
        </w:tc>
      </w:tr>
      <w:tr w:rsidR="00A508A2" w:rsidRPr="00DD0D1F" w14:paraId="513C6843" w14:textId="77777777" w:rsidTr="00A508A2">
        <w:trPr>
          <w:trHeight w:val="460"/>
        </w:trPr>
        <w:tc>
          <w:tcPr>
            <w:tcW w:w="1170" w:type="pct"/>
          </w:tcPr>
          <w:p w14:paraId="266640A2" w14:textId="77777777" w:rsidR="00A508A2" w:rsidRPr="00DD0D1F" w:rsidRDefault="00A508A2" w:rsidP="00A508A2">
            <w:pPr>
              <w:pStyle w:val="TableParagraph"/>
              <w:spacing w:line="223" w:lineRule="exact"/>
              <w:ind w:left="60" w:right="147"/>
              <w:jc w:val="center"/>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p w14:paraId="3BCA3F33" w14:textId="77777777" w:rsidR="00A508A2" w:rsidRPr="00DD0D1F" w:rsidRDefault="00A508A2" w:rsidP="00A508A2">
            <w:pPr>
              <w:pStyle w:val="TableParagraph"/>
              <w:spacing w:line="217" w:lineRule="exact"/>
              <w:ind w:left="250" w:right="243"/>
              <w:jc w:val="center"/>
              <w:rPr>
                <w:szCs w:val="24"/>
              </w:rPr>
            </w:pPr>
          </w:p>
        </w:tc>
        <w:tc>
          <w:tcPr>
            <w:tcW w:w="1864" w:type="pct"/>
          </w:tcPr>
          <w:p w14:paraId="58E751C8" w14:textId="77777777" w:rsidR="00A508A2" w:rsidRPr="00DD0D1F" w:rsidRDefault="00A508A2" w:rsidP="00A508A2">
            <w:pPr>
              <w:pStyle w:val="TableParagraph"/>
              <w:spacing w:before="108"/>
              <w:ind w:left="90" w:right="86"/>
              <w:jc w:val="center"/>
              <w:rPr>
                <w:szCs w:val="24"/>
              </w:rPr>
            </w:pPr>
            <w:r w:rsidRPr="00DD0D1F">
              <w:rPr>
                <w:szCs w:val="24"/>
              </w:rPr>
              <w:t>Farklı yakıtları yakan yanma birimi</w:t>
            </w:r>
          </w:p>
        </w:tc>
        <w:tc>
          <w:tcPr>
            <w:tcW w:w="1966" w:type="pct"/>
          </w:tcPr>
          <w:p w14:paraId="3D393FB8" w14:textId="77777777" w:rsidR="00A508A2" w:rsidRPr="00DD0D1F" w:rsidRDefault="00A508A2" w:rsidP="00A508A2">
            <w:pPr>
              <w:pStyle w:val="TableParagraph"/>
              <w:spacing w:line="223" w:lineRule="exact"/>
              <w:ind w:left="580" w:right="513"/>
              <w:jc w:val="center"/>
              <w:rPr>
                <w:szCs w:val="24"/>
              </w:rPr>
            </w:pPr>
            <w:r w:rsidRPr="00DD0D1F">
              <w:rPr>
                <w:szCs w:val="24"/>
              </w:rPr>
              <w:t>30 – 300</w:t>
            </w:r>
          </w:p>
          <w:p w14:paraId="584E5C6B" w14:textId="77777777" w:rsidR="00A508A2" w:rsidRPr="00DD0D1F" w:rsidRDefault="00A508A2" w:rsidP="00A508A2">
            <w:pPr>
              <w:pStyle w:val="TableParagraph"/>
              <w:spacing w:line="217" w:lineRule="exact"/>
              <w:ind w:left="158" w:right="114"/>
              <w:jc w:val="center"/>
              <w:rPr>
                <w:szCs w:val="24"/>
              </w:rPr>
            </w:pPr>
            <w:r w:rsidRPr="00DD0D1F">
              <w:rPr>
                <w:szCs w:val="24"/>
              </w:rPr>
              <w:t>mevcut birim için(</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5681CA4C" w14:textId="77777777" w:rsidTr="00A508A2">
        <w:trPr>
          <w:trHeight w:val="621"/>
        </w:trPr>
        <w:tc>
          <w:tcPr>
            <w:tcW w:w="5000" w:type="pct"/>
            <w:gridSpan w:val="3"/>
          </w:tcPr>
          <w:p w14:paraId="1578A1B1" w14:textId="11650091" w:rsidR="00A508A2" w:rsidRPr="00DD0D1F" w:rsidRDefault="00EF43D0" w:rsidP="00FF111D">
            <w:pPr>
              <w:pStyle w:val="TableParagraph"/>
              <w:numPr>
                <w:ilvl w:val="0"/>
                <w:numId w:val="92"/>
              </w:numPr>
              <w:tabs>
                <w:tab w:val="left" w:pos="353"/>
              </w:tabs>
              <w:spacing w:line="194" w:lineRule="exact"/>
              <w:ind w:left="359" w:hanging="246"/>
              <w:rPr>
                <w:szCs w:val="24"/>
              </w:rPr>
            </w:pPr>
            <w:r w:rsidRPr="00DD0D1F">
              <w:rPr>
                <w:szCs w:val="24"/>
              </w:rPr>
              <w:t xml:space="preserve">Azot </w:t>
            </w:r>
            <w:r w:rsidR="001C5B37" w:rsidRPr="00DD0D1F">
              <w:rPr>
                <w:szCs w:val="24"/>
              </w:rPr>
              <w:t xml:space="preserve">içeriği  </w:t>
            </w:r>
            <w:r w:rsidR="00A508A2" w:rsidRPr="00DD0D1F">
              <w:rPr>
                <w:szCs w:val="24"/>
              </w:rPr>
              <w:t>%0,5Ten (w/w) yüksek olan ve akaryakıt yakan &lt;100 MW mevcut birimler veya &gt;%50 akaryakıt yakan veya hava ön ısıtması yapan mevcut birimler bakımından 450 mg/Nm</w:t>
            </w:r>
            <w:r w:rsidR="00A508A2" w:rsidRPr="00DD0D1F">
              <w:rPr>
                <w:szCs w:val="24"/>
                <w:vertAlign w:val="superscript"/>
              </w:rPr>
              <w:t>3</w:t>
            </w:r>
            <w:r w:rsidR="00A508A2" w:rsidRPr="00DD0D1F">
              <w:rPr>
                <w:szCs w:val="24"/>
              </w:rPr>
              <w:t>'e kadar değerler ortaya çıkabilir.</w:t>
            </w:r>
          </w:p>
          <w:p w14:paraId="4FDFC47D" w14:textId="5A885B20" w:rsidR="00A508A2" w:rsidRPr="00DD0D1F" w:rsidRDefault="00A508A2" w:rsidP="00FF111D">
            <w:pPr>
              <w:pStyle w:val="TableParagraph"/>
              <w:numPr>
                <w:ilvl w:val="0"/>
                <w:numId w:val="92"/>
              </w:numPr>
              <w:tabs>
                <w:tab w:val="left" w:pos="334"/>
              </w:tabs>
              <w:spacing w:line="205" w:lineRule="exact"/>
              <w:ind w:left="333" w:hanging="227"/>
              <w:rPr>
                <w:szCs w:val="24"/>
              </w:rPr>
            </w:pPr>
            <w:r w:rsidRPr="00DD0D1F">
              <w:rPr>
                <w:szCs w:val="24"/>
              </w:rPr>
              <w:t xml:space="preserve">Aralığın daha düşük olan </w:t>
            </w:r>
            <w:r w:rsidR="00A504E5" w:rsidRPr="00DD0D1F">
              <w:rPr>
                <w:szCs w:val="24"/>
              </w:rPr>
              <w:t>sınırı</w:t>
            </w:r>
            <w:r w:rsidRPr="00DD0D1F">
              <w:rPr>
                <w:szCs w:val="24"/>
              </w:rPr>
              <w:t>, SCR tekniği kullanılarak elde edilebilir.</w:t>
            </w:r>
          </w:p>
        </w:tc>
      </w:tr>
    </w:tbl>
    <w:p w14:paraId="4C3AAC1C" w14:textId="77777777" w:rsidR="00A508A2" w:rsidRPr="00DD0D1F" w:rsidRDefault="00A508A2" w:rsidP="00A508A2">
      <w:pPr>
        <w:pStyle w:val="GvdeMetni"/>
        <w:spacing w:before="4"/>
        <w:rPr>
          <w:b/>
          <w:sz w:val="24"/>
          <w:szCs w:val="24"/>
        </w:rPr>
      </w:pPr>
    </w:p>
    <w:p w14:paraId="01E99A99"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79DC8CB0" w14:textId="77777777" w:rsidR="00A508A2" w:rsidRPr="00DD0D1F" w:rsidRDefault="00A508A2" w:rsidP="00A508A2">
      <w:pPr>
        <w:pStyle w:val="GvdeMetni"/>
        <w:spacing w:before="8"/>
        <w:rPr>
          <w:sz w:val="24"/>
          <w:szCs w:val="24"/>
        </w:rPr>
      </w:pPr>
    </w:p>
    <w:p w14:paraId="1D0E231E" w14:textId="77777777" w:rsidR="00A508A2" w:rsidRPr="00DD0D1F" w:rsidRDefault="00A508A2" w:rsidP="00A508A2">
      <w:pPr>
        <w:rPr>
          <w:rFonts w:cs="Times New Roman"/>
          <w:b/>
          <w:bCs/>
          <w:szCs w:val="24"/>
          <w:lang w:val="tr-TR"/>
        </w:rPr>
      </w:pPr>
      <w:bookmarkStart w:id="233" w:name="_bookmark899"/>
      <w:bookmarkEnd w:id="233"/>
      <w:r w:rsidRPr="00DD0D1F">
        <w:rPr>
          <w:rFonts w:cs="Times New Roman"/>
          <w:b/>
          <w:bCs/>
          <w:szCs w:val="24"/>
          <w:lang w:val="tr-TR"/>
        </w:rPr>
        <w:t xml:space="preserve">MET 35: </w:t>
      </w:r>
      <w:r w:rsidRPr="00DD0D1F">
        <w:rPr>
          <w:rFonts w:cs="Times New Roman"/>
          <w:bCs/>
          <w:szCs w:val="24"/>
          <w:lang w:val="tr-TR"/>
        </w:rPr>
        <w:t>Yanma birimlerinden havaya yayılan toz ve metal emisyonlarının önlenmesi veya azaltılması için MET kapsamında aşağıdaki tekniklerden biri veya daha fazlasının kombinasyonu kullanılır.</w:t>
      </w:r>
    </w:p>
    <w:p w14:paraId="426604F3" w14:textId="77777777" w:rsidR="00A508A2" w:rsidRPr="00DD0D1F" w:rsidRDefault="00A508A2" w:rsidP="00A508A2">
      <w:pPr>
        <w:pStyle w:val="GvdeMetni"/>
        <w:spacing w:before="4"/>
        <w:rPr>
          <w:b/>
          <w:sz w:val="24"/>
          <w:szCs w:val="24"/>
        </w:rPr>
      </w:pPr>
    </w:p>
    <w:p w14:paraId="5ED8A9F4" w14:textId="77777777" w:rsidR="00A508A2" w:rsidRPr="00DD0D1F" w:rsidRDefault="00A508A2" w:rsidP="00A508A2">
      <w:pPr>
        <w:pStyle w:val="GvdeMetni"/>
        <w:tabs>
          <w:tab w:val="left" w:pos="1173"/>
        </w:tabs>
        <w:ind w:left="695"/>
        <w:rPr>
          <w:b/>
          <w:bCs/>
          <w:sz w:val="24"/>
          <w:szCs w:val="24"/>
        </w:rPr>
      </w:pPr>
      <w:r w:rsidRPr="00DD0D1F">
        <w:rPr>
          <w:b/>
          <w:bCs/>
          <w:sz w:val="24"/>
          <w:szCs w:val="24"/>
        </w:rPr>
        <w:t>I.</w:t>
      </w:r>
      <w:r w:rsidRPr="00DD0D1F">
        <w:rPr>
          <w:b/>
          <w:bCs/>
          <w:sz w:val="24"/>
          <w:szCs w:val="24"/>
        </w:rPr>
        <w:tab/>
        <w:t>Aşağıda örnekleri verilen birincil veya prosesle ilgili teknikler:</w:t>
      </w:r>
    </w:p>
    <w:p w14:paraId="38FCE103" w14:textId="77777777" w:rsidR="00A508A2" w:rsidRPr="00DD0D1F" w:rsidRDefault="00A508A2" w:rsidP="00A508A2">
      <w:pPr>
        <w:pStyle w:val="GvdeMetni"/>
        <w:tabs>
          <w:tab w:val="left" w:pos="1173"/>
        </w:tabs>
        <w:ind w:left="69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309"/>
        <w:gridCol w:w="695"/>
        <w:gridCol w:w="3093"/>
        <w:gridCol w:w="2073"/>
        <w:gridCol w:w="327"/>
        <w:gridCol w:w="697"/>
      </w:tblGrid>
      <w:tr w:rsidR="00A508A2" w:rsidRPr="00DD0D1F" w14:paraId="22190B77" w14:textId="77777777" w:rsidTr="00A508A2">
        <w:trPr>
          <w:trHeight w:val="285"/>
        </w:trPr>
        <w:tc>
          <w:tcPr>
            <w:tcW w:w="1590" w:type="pct"/>
            <w:gridSpan w:val="3"/>
          </w:tcPr>
          <w:p w14:paraId="58511518" w14:textId="77777777" w:rsidR="00A508A2" w:rsidRPr="00DD0D1F" w:rsidRDefault="00A508A2" w:rsidP="00A508A2">
            <w:pPr>
              <w:pStyle w:val="TableParagraph"/>
              <w:spacing w:before="26"/>
              <w:ind w:left="902"/>
              <w:rPr>
                <w:b/>
                <w:szCs w:val="24"/>
              </w:rPr>
            </w:pPr>
            <w:r w:rsidRPr="00DD0D1F">
              <w:rPr>
                <w:b/>
                <w:bCs/>
                <w:szCs w:val="24"/>
              </w:rPr>
              <w:t>Teknik</w:t>
            </w:r>
          </w:p>
        </w:tc>
        <w:tc>
          <w:tcPr>
            <w:tcW w:w="1704" w:type="pct"/>
          </w:tcPr>
          <w:p w14:paraId="39A30DDD" w14:textId="77777777" w:rsidR="00A508A2" w:rsidRPr="00DD0D1F" w:rsidRDefault="00A508A2" w:rsidP="00A508A2">
            <w:pPr>
              <w:pStyle w:val="TableParagraph"/>
              <w:spacing w:before="26"/>
              <w:ind w:left="958"/>
              <w:rPr>
                <w:b/>
                <w:szCs w:val="24"/>
              </w:rPr>
            </w:pPr>
            <w:r w:rsidRPr="00DD0D1F">
              <w:rPr>
                <w:b/>
                <w:bCs/>
                <w:szCs w:val="24"/>
              </w:rPr>
              <w:t>Açıklama</w:t>
            </w:r>
          </w:p>
        </w:tc>
        <w:tc>
          <w:tcPr>
            <w:tcW w:w="1706" w:type="pct"/>
            <w:gridSpan w:val="3"/>
          </w:tcPr>
          <w:p w14:paraId="3F57B073" w14:textId="77777777" w:rsidR="00A508A2" w:rsidRPr="00DD0D1F" w:rsidRDefault="00A508A2" w:rsidP="00A508A2">
            <w:pPr>
              <w:pStyle w:val="TableParagraph"/>
              <w:spacing w:before="26"/>
              <w:ind w:left="895"/>
              <w:rPr>
                <w:b/>
                <w:szCs w:val="24"/>
              </w:rPr>
            </w:pPr>
            <w:r w:rsidRPr="00DD0D1F">
              <w:rPr>
                <w:b/>
                <w:bCs/>
                <w:szCs w:val="24"/>
              </w:rPr>
              <w:t>Uygulanabilirlik</w:t>
            </w:r>
          </w:p>
        </w:tc>
      </w:tr>
      <w:tr w:rsidR="00A508A2" w:rsidRPr="00DD0D1F" w14:paraId="74F5DF66" w14:textId="77777777" w:rsidTr="00A508A2">
        <w:trPr>
          <w:trHeight w:val="282"/>
        </w:trPr>
        <w:tc>
          <w:tcPr>
            <w:tcW w:w="5000" w:type="pct"/>
            <w:gridSpan w:val="7"/>
          </w:tcPr>
          <w:p w14:paraId="35D985FC" w14:textId="77777777" w:rsidR="00A508A2" w:rsidRPr="00DD0D1F" w:rsidRDefault="00A508A2" w:rsidP="00A508A2">
            <w:pPr>
              <w:pStyle w:val="TableParagraph"/>
              <w:tabs>
                <w:tab w:val="left" w:pos="588"/>
              </w:tabs>
              <w:spacing w:before="19"/>
              <w:ind w:left="122"/>
              <w:rPr>
                <w:szCs w:val="24"/>
              </w:rPr>
            </w:pPr>
            <w:r w:rsidRPr="00DD0D1F">
              <w:rPr>
                <w:szCs w:val="24"/>
              </w:rPr>
              <w:t>i.</w:t>
            </w:r>
            <w:r w:rsidRPr="00DD0D1F">
              <w:rPr>
                <w:szCs w:val="24"/>
              </w:rPr>
              <w:tab/>
              <w:t>Yakıt seçimi veya arıtımı</w:t>
            </w:r>
          </w:p>
        </w:tc>
      </w:tr>
      <w:tr w:rsidR="00A508A2" w:rsidRPr="00DD0D1F" w14:paraId="04CA5482" w14:textId="77777777" w:rsidTr="00A508A2">
        <w:trPr>
          <w:trHeight w:val="228"/>
        </w:trPr>
        <w:tc>
          <w:tcPr>
            <w:tcW w:w="1590" w:type="pct"/>
            <w:gridSpan w:val="3"/>
            <w:tcBorders>
              <w:bottom w:val="nil"/>
            </w:tcBorders>
          </w:tcPr>
          <w:p w14:paraId="17883781" w14:textId="77777777" w:rsidR="00A508A2" w:rsidRPr="00DD0D1F" w:rsidRDefault="00A508A2" w:rsidP="00A508A2">
            <w:pPr>
              <w:pStyle w:val="TableParagraph"/>
              <w:rPr>
                <w:szCs w:val="24"/>
              </w:rPr>
            </w:pPr>
          </w:p>
        </w:tc>
        <w:tc>
          <w:tcPr>
            <w:tcW w:w="1704" w:type="pct"/>
            <w:tcBorders>
              <w:bottom w:val="nil"/>
            </w:tcBorders>
          </w:tcPr>
          <w:p w14:paraId="5FC6159F" w14:textId="77777777" w:rsidR="00A508A2" w:rsidRPr="00DD0D1F" w:rsidRDefault="00A508A2" w:rsidP="00A508A2">
            <w:pPr>
              <w:pStyle w:val="TableParagraph"/>
              <w:rPr>
                <w:szCs w:val="24"/>
              </w:rPr>
            </w:pPr>
          </w:p>
        </w:tc>
        <w:tc>
          <w:tcPr>
            <w:tcW w:w="1706" w:type="pct"/>
            <w:gridSpan w:val="3"/>
            <w:tcBorders>
              <w:bottom w:val="nil"/>
            </w:tcBorders>
          </w:tcPr>
          <w:p w14:paraId="4D3852B9" w14:textId="77777777" w:rsidR="00A508A2" w:rsidRPr="00DD0D1F" w:rsidRDefault="00A508A2" w:rsidP="00A508A2">
            <w:pPr>
              <w:pStyle w:val="TableParagraph"/>
              <w:spacing w:line="209" w:lineRule="exact"/>
              <w:ind w:left="110"/>
              <w:rPr>
                <w:szCs w:val="24"/>
              </w:rPr>
            </w:pPr>
            <w:r w:rsidRPr="00DD0D1F">
              <w:rPr>
                <w:szCs w:val="24"/>
              </w:rPr>
              <w:t xml:space="preserve">Uygulanabilirliği, Üye Devletin </w:t>
            </w:r>
          </w:p>
        </w:tc>
      </w:tr>
      <w:tr w:rsidR="00A508A2" w:rsidRPr="00DD0D1F" w14:paraId="3645823B" w14:textId="77777777" w:rsidTr="00A508A2">
        <w:trPr>
          <w:trHeight w:val="1150"/>
        </w:trPr>
        <w:tc>
          <w:tcPr>
            <w:tcW w:w="1590" w:type="pct"/>
            <w:gridSpan w:val="3"/>
            <w:tcBorders>
              <w:top w:val="nil"/>
              <w:bottom w:val="nil"/>
            </w:tcBorders>
          </w:tcPr>
          <w:p w14:paraId="6118B5C6" w14:textId="77777777" w:rsidR="00A508A2" w:rsidRPr="00DD0D1F" w:rsidRDefault="00A508A2" w:rsidP="00A508A2">
            <w:pPr>
              <w:pStyle w:val="TableParagraph"/>
              <w:spacing w:before="6"/>
              <w:rPr>
                <w:szCs w:val="24"/>
              </w:rPr>
            </w:pPr>
          </w:p>
          <w:p w14:paraId="0C024FC3" w14:textId="77777777" w:rsidR="00A508A2" w:rsidRPr="00DD0D1F" w:rsidRDefault="00A508A2" w:rsidP="00A508A2">
            <w:pPr>
              <w:pStyle w:val="TableParagraph"/>
              <w:tabs>
                <w:tab w:val="left" w:pos="674"/>
              </w:tabs>
              <w:ind w:left="674" w:right="101" w:hanging="425"/>
              <w:rPr>
                <w:szCs w:val="24"/>
              </w:rPr>
            </w:pPr>
            <w:r w:rsidRPr="00DD0D1F">
              <w:rPr>
                <w:szCs w:val="24"/>
              </w:rPr>
              <w:t>(a) Akaryakıt yerine gaz kullanımı</w:t>
            </w:r>
          </w:p>
        </w:tc>
        <w:tc>
          <w:tcPr>
            <w:tcW w:w="1704" w:type="pct"/>
            <w:tcBorders>
              <w:top w:val="nil"/>
              <w:bottom w:val="nil"/>
            </w:tcBorders>
          </w:tcPr>
          <w:p w14:paraId="4FBAB5B8" w14:textId="77777777" w:rsidR="00A508A2" w:rsidRPr="00DD0D1F" w:rsidRDefault="00A508A2" w:rsidP="00A508A2">
            <w:pPr>
              <w:pStyle w:val="TableParagraph"/>
              <w:spacing w:before="109"/>
              <w:ind w:left="110" w:right="93"/>
              <w:jc w:val="both"/>
              <w:rPr>
                <w:szCs w:val="24"/>
              </w:rPr>
            </w:pPr>
            <w:r w:rsidRPr="00DD0D1F">
              <w:rPr>
                <w:szCs w:val="24"/>
              </w:rPr>
              <w:t>Sıvı yanmanın yerine gaz kullanımı toz emisyonlarını azaltır.</w:t>
            </w:r>
          </w:p>
          <w:p w14:paraId="48DA316E" w14:textId="091BC3E1" w:rsidR="00A508A2" w:rsidRPr="00DD0D1F" w:rsidRDefault="00FC13C1" w:rsidP="00A508A2">
            <w:pPr>
              <w:pStyle w:val="TableParagraph"/>
              <w:spacing w:before="2"/>
              <w:ind w:left="110"/>
              <w:jc w:val="both"/>
              <w:rPr>
                <w:szCs w:val="24"/>
              </w:rPr>
            </w:pPr>
            <w:r w:rsidRPr="00DD0D1F">
              <w:rPr>
                <w:szCs w:val="24"/>
              </w:rPr>
              <w:t>Bölüm 1.20.3 bakınız.</w:t>
            </w:r>
          </w:p>
        </w:tc>
        <w:tc>
          <w:tcPr>
            <w:tcW w:w="1706" w:type="pct"/>
            <w:gridSpan w:val="3"/>
            <w:tcBorders>
              <w:top w:val="nil"/>
              <w:bottom w:val="nil"/>
            </w:tcBorders>
          </w:tcPr>
          <w:p w14:paraId="75A71DC7" w14:textId="77777777" w:rsidR="00A508A2" w:rsidRPr="00DD0D1F" w:rsidRDefault="00A508A2" w:rsidP="00A508A2">
            <w:pPr>
              <w:pStyle w:val="TableParagraph"/>
              <w:ind w:left="110" w:right="95"/>
              <w:jc w:val="both"/>
              <w:rPr>
                <w:szCs w:val="24"/>
              </w:rPr>
            </w:pPr>
            <w:r w:rsidRPr="00DD0D1F">
              <w:rPr>
                <w:szCs w:val="24"/>
              </w:rPr>
              <w:t>enerji politikasının etkileyebildiği doğalgaz gibi düşük kükürtlü yakıtların kullanılırlığıyla ilişkili kısıtlar nedeniyle sınırlı olabilir.</w:t>
            </w:r>
          </w:p>
          <w:p w14:paraId="272E4CD0" w14:textId="77777777" w:rsidR="00A508A2" w:rsidRPr="00DD0D1F" w:rsidRDefault="00A508A2" w:rsidP="00A508A2">
            <w:pPr>
              <w:pStyle w:val="TableParagraph"/>
              <w:spacing w:line="215" w:lineRule="exact"/>
              <w:ind w:left="110"/>
              <w:jc w:val="both"/>
              <w:rPr>
                <w:szCs w:val="24"/>
              </w:rPr>
            </w:pPr>
          </w:p>
        </w:tc>
      </w:tr>
      <w:tr w:rsidR="00A508A2" w:rsidRPr="00DD0D1F" w14:paraId="361F8B49" w14:textId="77777777" w:rsidTr="00A508A2">
        <w:trPr>
          <w:trHeight w:val="230"/>
        </w:trPr>
        <w:tc>
          <w:tcPr>
            <w:tcW w:w="1590" w:type="pct"/>
            <w:gridSpan w:val="3"/>
            <w:tcBorders>
              <w:top w:val="nil"/>
            </w:tcBorders>
          </w:tcPr>
          <w:p w14:paraId="23A1F3E4" w14:textId="77777777" w:rsidR="00A508A2" w:rsidRPr="00DD0D1F" w:rsidRDefault="00A508A2" w:rsidP="00A508A2">
            <w:pPr>
              <w:pStyle w:val="TableParagraph"/>
              <w:rPr>
                <w:szCs w:val="24"/>
              </w:rPr>
            </w:pPr>
          </w:p>
        </w:tc>
        <w:tc>
          <w:tcPr>
            <w:tcW w:w="1704" w:type="pct"/>
            <w:tcBorders>
              <w:top w:val="nil"/>
            </w:tcBorders>
          </w:tcPr>
          <w:p w14:paraId="17163F3B" w14:textId="77777777" w:rsidR="00A508A2" w:rsidRPr="00DD0D1F" w:rsidRDefault="00A508A2" w:rsidP="00A508A2">
            <w:pPr>
              <w:pStyle w:val="TableParagraph"/>
              <w:rPr>
                <w:szCs w:val="24"/>
              </w:rPr>
            </w:pPr>
          </w:p>
        </w:tc>
        <w:tc>
          <w:tcPr>
            <w:tcW w:w="1706" w:type="pct"/>
            <w:gridSpan w:val="3"/>
            <w:tcBorders>
              <w:top w:val="nil"/>
            </w:tcBorders>
          </w:tcPr>
          <w:p w14:paraId="4B848643" w14:textId="77777777" w:rsidR="00A508A2" w:rsidRPr="00DD0D1F" w:rsidRDefault="00A508A2" w:rsidP="00A508A2">
            <w:pPr>
              <w:pStyle w:val="TableParagraph"/>
              <w:spacing w:line="210" w:lineRule="exact"/>
              <w:ind w:left="110"/>
              <w:rPr>
                <w:szCs w:val="24"/>
              </w:rPr>
            </w:pPr>
          </w:p>
        </w:tc>
      </w:tr>
      <w:tr w:rsidR="00A508A2" w:rsidRPr="00DD0D1F" w14:paraId="4EE0A240" w14:textId="77777777" w:rsidTr="00A508A2">
        <w:trPr>
          <w:trHeight w:val="229"/>
        </w:trPr>
        <w:tc>
          <w:tcPr>
            <w:tcW w:w="1590" w:type="pct"/>
            <w:gridSpan w:val="3"/>
            <w:tcBorders>
              <w:bottom w:val="nil"/>
            </w:tcBorders>
          </w:tcPr>
          <w:p w14:paraId="732F4C47" w14:textId="77777777" w:rsidR="00A508A2" w:rsidRPr="00DD0D1F" w:rsidRDefault="00A508A2" w:rsidP="00A508A2">
            <w:pPr>
              <w:pStyle w:val="TableParagraph"/>
              <w:rPr>
                <w:szCs w:val="24"/>
              </w:rPr>
            </w:pPr>
          </w:p>
        </w:tc>
        <w:tc>
          <w:tcPr>
            <w:tcW w:w="1704" w:type="pct"/>
            <w:tcBorders>
              <w:bottom w:val="nil"/>
            </w:tcBorders>
          </w:tcPr>
          <w:p w14:paraId="788E3B0C" w14:textId="77777777" w:rsidR="00A508A2" w:rsidRPr="00DD0D1F" w:rsidRDefault="00A508A2" w:rsidP="00A508A2">
            <w:pPr>
              <w:pStyle w:val="TableParagraph"/>
              <w:tabs>
                <w:tab w:val="left" w:pos="1060"/>
                <w:tab w:val="left" w:pos="1618"/>
                <w:tab w:val="left" w:pos="2081"/>
              </w:tabs>
              <w:spacing w:line="209" w:lineRule="exact"/>
              <w:ind w:left="110"/>
              <w:rPr>
                <w:szCs w:val="24"/>
              </w:rPr>
            </w:pPr>
            <w:r w:rsidRPr="00DD0D1F">
              <w:rPr>
                <w:szCs w:val="24"/>
              </w:rPr>
              <w:t>Rafineri akaryakıtı seçiminde</w:t>
            </w:r>
          </w:p>
        </w:tc>
        <w:tc>
          <w:tcPr>
            <w:tcW w:w="1706" w:type="pct"/>
            <w:gridSpan w:val="3"/>
            <w:tcBorders>
              <w:bottom w:val="nil"/>
            </w:tcBorders>
          </w:tcPr>
          <w:p w14:paraId="037C33EC" w14:textId="77777777" w:rsidR="00A508A2" w:rsidRPr="00DD0D1F" w:rsidRDefault="00A508A2" w:rsidP="00A508A2">
            <w:pPr>
              <w:pStyle w:val="TableParagraph"/>
              <w:rPr>
                <w:szCs w:val="24"/>
              </w:rPr>
            </w:pPr>
          </w:p>
        </w:tc>
      </w:tr>
      <w:tr w:rsidR="00A508A2" w:rsidRPr="00DD0D1F" w14:paraId="332277F0" w14:textId="77777777" w:rsidTr="00A508A2">
        <w:trPr>
          <w:trHeight w:val="1379"/>
        </w:trPr>
        <w:tc>
          <w:tcPr>
            <w:tcW w:w="1590" w:type="pct"/>
            <w:gridSpan w:val="3"/>
            <w:tcBorders>
              <w:top w:val="nil"/>
              <w:bottom w:val="nil"/>
            </w:tcBorders>
          </w:tcPr>
          <w:p w14:paraId="1ABD4FF6" w14:textId="77777777" w:rsidR="00A508A2" w:rsidRPr="00DD0D1F" w:rsidRDefault="00A508A2" w:rsidP="00A508A2">
            <w:pPr>
              <w:pStyle w:val="TableParagraph"/>
              <w:spacing w:before="110"/>
              <w:ind w:left="674" w:right="100" w:hanging="425"/>
              <w:jc w:val="both"/>
              <w:rPr>
                <w:szCs w:val="24"/>
              </w:rPr>
            </w:pPr>
            <w:r w:rsidRPr="00DD0D1F">
              <w:rPr>
                <w:szCs w:val="24"/>
              </w:rPr>
              <w:t>(b)   Düşük kükürtlü rafineri akaryakıtı (RFO) kullanımı; ör. RFO seçimiyle veya RFO'ya hydrotreatment uygulanmasıyla</w:t>
            </w:r>
          </w:p>
          <w:p w14:paraId="6BB15A9E" w14:textId="77777777" w:rsidR="00A508A2" w:rsidRPr="00DD0D1F" w:rsidRDefault="00A508A2" w:rsidP="00A508A2">
            <w:pPr>
              <w:pStyle w:val="TableParagraph"/>
              <w:ind w:left="674" w:right="99"/>
              <w:jc w:val="both"/>
              <w:rPr>
                <w:szCs w:val="24"/>
              </w:rPr>
            </w:pPr>
          </w:p>
        </w:tc>
        <w:tc>
          <w:tcPr>
            <w:tcW w:w="1704" w:type="pct"/>
            <w:tcBorders>
              <w:top w:val="nil"/>
              <w:bottom w:val="nil"/>
            </w:tcBorders>
          </w:tcPr>
          <w:p w14:paraId="0DEE5FD4" w14:textId="77777777" w:rsidR="00A508A2" w:rsidRPr="00DD0D1F" w:rsidRDefault="00A508A2" w:rsidP="00A508A2">
            <w:pPr>
              <w:pStyle w:val="TableParagraph"/>
              <w:ind w:left="110" w:right="95"/>
              <w:jc w:val="both"/>
              <w:rPr>
                <w:szCs w:val="24"/>
              </w:rPr>
            </w:pPr>
            <w:r w:rsidRPr="00DD0D1F">
              <w:rPr>
                <w:szCs w:val="24"/>
              </w:rPr>
              <w:t>birimin kullanması muhtemel kaynaklar arasında, düşük kükürtlü akaryakıtların seçimine öncelik verilir.</w:t>
            </w:r>
          </w:p>
          <w:p w14:paraId="697EDF65" w14:textId="6AD37BA3" w:rsidR="00A508A2" w:rsidRPr="00DD0D1F" w:rsidRDefault="00A508A2" w:rsidP="00A508A2">
            <w:pPr>
              <w:pStyle w:val="TableParagraph"/>
              <w:ind w:left="110"/>
              <w:jc w:val="both"/>
              <w:rPr>
                <w:szCs w:val="24"/>
              </w:rPr>
            </w:pPr>
            <w:r w:rsidRPr="00DD0D1F">
              <w:rPr>
                <w:szCs w:val="24"/>
              </w:rPr>
              <w:t>Hydrotreatment işleminin amacı yak</w:t>
            </w:r>
            <w:r w:rsidR="00CA4F2C" w:rsidRPr="00DD0D1F">
              <w:rPr>
                <w:szCs w:val="24"/>
              </w:rPr>
              <w:t xml:space="preserve">ıttaki kükürt, azot ve metal </w:t>
            </w:r>
            <w:r w:rsidR="001C5B37" w:rsidRPr="00DD0D1F">
              <w:rPr>
                <w:szCs w:val="24"/>
              </w:rPr>
              <w:t xml:space="preserve">içeriğinin </w:t>
            </w:r>
            <w:r w:rsidRPr="00DD0D1F">
              <w:rPr>
                <w:szCs w:val="24"/>
              </w:rPr>
              <w:t>düşürülmesidir.</w:t>
            </w:r>
          </w:p>
          <w:p w14:paraId="0CDF0862" w14:textId="4381FD78" w:rsidR="00FC13C1" w:rsidRPr="00DD0D1F" w:rsidRDefault="00FC13C1" w:rsidP="00A508A2">
            <w:pPr>
              <w:pStyle w:val="TableParagraph"/>
              <w:ind w:left="110"/>
              <w:jc w:val="both"/>
              <w:rPr>
                <w:szCs w:val="24"/>
              </w:rPr>
            </w:pPr>
            <w:r w:rsidRPr="00DD0D1F">
              <w:rPr>
                <w:szCs w:val="24"/>
              </w:rPr>
              <w:t>Bölüm 1.20.3 bakınız.</w:t>
            </w:r>
          </w:p>
        </w:tc>
        <w:tc>
          <w:tcPr>
            <w:tcW w:w="1706" w:type="pct"/>
            <w:gridSpan w:val="3"/>
            <w:tcBorders>
              <w:top w:val="nil"/>
              <w:bottom w:val="nil"/>
            </w:tcBorders>
          </w:tcPr>
          <w:p w14:paraId="63514C33" w14:textId="77777777" w:rsidR="00A508A2" w:rsidRPr="00DD0D1F" w:rsidRDefault="00A508A2" w:rsidP="00A508A2">
            <w:pPr>
              <w:pStyle w:val="TableParagraph"/>
              <w:ind w:left="110" w:right="97"/>
              <w:jc w:val="both"/>
              <w:rPr>
                <w:szCs w:val="24"/>
              </w:rPr>
            </w:pPr>
            <w:r w:rsidRPr="00DD0D1F">
              <w:rPr>
                <w:szCs w:val="24"/>
              </w:rPr>
              <w:t>Düşük kükürtlü akaryakıtların, hidrojen üretiminin ve hidrojen sülfür (H</w:t>
            </w:r>
            <w:r w:rsidRPr="00DD0D1F">
              <w:rPr>
                <w:szCs w:val="24"/>
                <w:vertAlign w:val="subscript"/>
              </w:rPr>
              <w:t>2</w:t>
            </w:r>
            <w:r w:rsidRPr="00DD0D1F">
              <w:rPr>
                <w:szCs w:val="24"/>
              </w:rPr>
              <w:t>S) arıtma kapasitesinin (ör. amin ve Claus birimleri) kullanılırlığı uygulanabilirliği kısıtlamaktadır</w:t>
            </w:r>
          </w:p>
          <w:p w14:paraId="40E52DFF" w14:textId="77777777" w:rsidR="00A508A2" w:rsidRPr="00DD0D1F" w:rsidRDefault="00A508A2" w:rsidP="00A508A2">
            <w:pPr>
              <w:pStyle w:val="TableParagraph"/>
              <w:spacing w:line="228" w:lineRule="exact"/>
              <w:ind w:left="110" w:right="100"/>
              <w:jc w:val="both"/>
              <w:rPr>
                <w:szCs w:val="24"/>
              </w:rPr>
            </w:pPr>
          </w:p>
        </w:tc>
      </w:tr>
      <w:tr w:rsidR="00A508A2" w:rsidRPr="00DD0D1F" w14:paraId="135EDF85" w14:textId="77777777" w:rsidTr="00A508A2">
        <w:trPr>
          <w:trHeight w:val="232"/>
        </w:trPr>
        <w:tc>
          <w:tcPr>
            <w:tcW w:w="1590" w:type="pct"/>
            <w:gridSpan w:val="3"/>
            <w:tcBorders>
              <w:top w:val="nil"/>
            </w:tcBorders>
          </w:tcPr>
          <w:p w14:paraId="4C600608" w14:textId="77777777" w:rsidR="00A508A2" w:rsidRPr="00DD0D1F" w:rsidRDefault="00A508A2" w:rsidP="00A508A2">
            <w:pPr>
              <w:pStyle w:val="TableParagraph"/>
              <w:rPr>
                <w:szCs w:val="24"/>
              </w:rPr>
            </w:pPr>
          </w:p>
        </w:tc>
        <w:tc>
          <w:tcPr>
            <w:tcW w:w="1704" w:type="pct"/>
            <w:tcBorders>
              <w:top w:val="nil"/>
            </w:tcBorders>
          </w:tcPr>
          <w:p w14:paraId="1AD44490" w14:textId="77777777" w:rsidR="00A508A2" w:rsidRPr="00DD0D1F" w:rsidRDefault="00A508A2" w:rsidP="00A508A2">
            <w:pPr>
              <w:pStyle w:val="TableParagraph"/>
              <w:spacing w:line="213" w:lineRule="exact"/>
              <w:ind w:left="110"/>
              <w:rPr>
                <w:szCs w:val="24"/>
              </w:rPr>
            </w:pPr>
          </w:p>
        </w:tc>
        <w:tc>
          <w:tcPr>
            <w:tcW w:w="1706" w:type="pct"/>
            <w:gridSpan w:val="3"/>
            <w:tcBorders>
              <w:top w:val="nil"/>
            </w:tcBorders>
          </w:tcPr>
          <w:p w14:paraId="5C57121E" w14:textId="77777777" w:rsidR="00A508A2" w:rsidRPr="00DD0D1F" w:rsidRDefault="00A508A2" w:rsidP="00A508A2">
            <w:pPr>
              <w:pStyle w:val="TableParagraph"/>
              <w:rPr>
                <w:szCs w:val="24"/>
              </w:rPr>
            </w:pPr>
          </w:p>
        </w:tc>
      </w:tr>
      <w:tr w:rsidR="00A508A2" w:rsidRPr="00DD0D1F" w14:paraId="6EE952F8" w14:textId="77777777" w:rsidTr="00A508A2">
        <w:trPr>
          <w:trHeight w:val="285"/>
        </w:trPr>
        <w:tc>
          <w:tcPr>
            <w:tcW w:w="5000" w:type="pct"/>
            <w:gridSpan w:val="7"/>
          </w:tcPr>
          <w:p w14:paraId="39B1A3E5" w14:textId="77777777" w:rsidR="00A508A2" w:rsidRPr="00DD0D1F" w:rsidRDefault="00A508A2" w:rsidP="00A508A2">
            <w:pPr>
              <w:pStyle w:val="TableParagraph"/>
              <w:tabs>
                <w:tab w:val="left" w:pos="588"/>
              </w:tabs>
              <w:spacing w:before="22"/>
              <w:ind w:left="66"/>
              <w:rPr>
                <w:szCs w:val="24"/>
              </w:rPr>
            </w:pPr>
            <w:r w:rsidRPr="00DD0D1F">
              <w:rPr>
                <w:szCs w:val="24"/>
              </w:rPr>
              <w:t>ii.</w:t>
            </w:r>
            <w:r w:rsidRPr="00DD0D1F">
              <w:rPr>
                <w:szCs w:val="24"/>
              </w:rPr>
              <w:tab/>
              <w:t>Yanma modifikasyonları</w:t>
            </w:r>
          </w:p>
        </w:tc>
      </w:tr>
      <w:tr w:rsidR="00A508A2" w:rsidRPr="00DD0D1F" w14:paraId="43DB5E7E" w14:textId="77777777" w:rsidTr="00A508A2">
        <w:trPr>
          <w:trHeight w:val="477"/>
        </w:trPr>
        <w:tc>
          <w:tcPr>
            <w:tcW w:w="1590" w:type="pct"/>
            <w:gridSpan w:val="3"/>
          </w:tcPr>
          <w:p w14:paraId="0820D894" w14:textId="77777777" w:rsidR="00A508A2" w:rsidRPr="00DD0D1F" w:rsidRDefault="00A508A2" w:rsidP="00A508A2">
            <w:pPr>
              <w:pStyle w:val="TableParagraph"/>
              <w:tabs>
                <w:tab w:val="left" w:pos="674"/>
              </w:tabs>
              <w:spacing w:line="223" w:lineRule="exact"/>
              <w:ind w:left="249"/>
              <w:rPr>
                <w:szCs w:val="24"/>
              </w:rPr>
            </w:pPr>
            <w:r w:rsidRPr="00DD0D1F">
              <w:rPr>
                <w:szCs w:val="24"/>
              </w:rPr>
              <w:t>(a)</w:t>
            </w:r>
            <w:r w:rsidRPr="00DD0D1F">
              <w:rPr>
                <w:szCs w:val="24"/>
              </w:rPr>
              <w:tab/>
              <w:t>Yanma optimizasyonu</w:t>
            </w:r>
          </w:p>
          <w:p w14:paraId="6F214934" w14:textId="77777777" w:rsidR="00A508A2" w:rsidRPr="00DD0D1F" w:rsidRDefault="00A508A2" w:rsidP="00A508A2">
            <w:pPr>
              <w:pStyle w:val="TableParagraph"/>
              <w:spacing w:line="223" w:lineRule="exact"/>
              <w:ind w:right="98"/>
              <w:jc w:val="right"/>
              <w:rPr>
                <w:szCs w:val="24"/>
              </w:rPr>
            </w:pPr>
          </w:p>
        </w:tc>
        <w:tc>
          <w:tcPr>
            <w:tcW w:w="1704" w:type="pct"/>
          </w:tcPr>
          <w:p w14:paraId="6B024CDE" w14:textId="6CE5B42B" w:rsidR="00A508A2" w:rsidRPr="00DD0D1F" w:rsidRDefault="00FC13C1" w:rsidP="00A508A2">
            <w:pPr>
              <w:pStyle w:val="TableParagraph"/>
              <w:spacing w:before="108"/>
              <w:ind w:left="110"/>
              <w:rPr>
                <w:szCs w:val="24"/>
              </w:rPr>
            </w:pPr>
            <w:r w:rsidRPr="00DD0D1F">
              <w:rPr>
                <w:szCs w:val="24"/>
              </w:rPr>
              <w:t>Bölüm 1.20.2 bakınız.</w:t>
            </w:r>
          </w:p>
        </w:tc>
        <w:tc>
          <w:tcPr>
            <w:tcW w:w="1706" w:type="pct"/>
            <w:gridSpan w:val="3"/>
          </w:tcPr>
          <w:p w14:paraId="524BDFF3" w14:textId="77777777" w:rsidR="00A508A2" w:rsidRPr="00DD0D1F" w:rsidRDefault="00A508A2" w:rsidP="00A508A2">
            <w:pPr>
              <w:pStyle w:val="TableParagraph"/>
              <w:spacing w:line="223" w:lineRule="exact"/>
              <w:ind w:left="110"/>
              <w:rPr>
                <w:szCs w:val="24"/>
              </w:rPr>
            </w:pPr>
            <w:r w:rsidRPr="00DD0D1F">
              <w:rPr>
                <w:szCs w:val="24"/>
              </w:rPr>
              <w:t>Genel olarak tüm yanma türlerine uygulanır</w:t>
            </w:r>
          </w:p>
        </w:tc>
      </w:tr>
      <w:tr w:rsidR="00A508A2" w:rsidRPr="00DD0D1F" w14:paraId="2B99DF37" w14:textId="77777777" w:rsidTr="00A508A2">
        <w:trPr>
          <w:trHeight w:val="228"/>
        </w:trPr>
        <w:tc>
          <w:tcPr>
            <w:tcW w:w="1037" w:type="pct"/>
            <w:tcBorders>
              <w:bottom w:val="nil"/>
              <w:right w:val="nil"/>
            </w:tcBorders>
          </w:tcPr>
          <w:p w14:paraId="51C4F338" w14:textId="77777777" w:rsidR="00A508A2" w:rsidRPr="00DD0D1F" w:rsidRDefault="00A508A2" w:rsidP="00A508A2">
            <w:pPr>
              <w:pStyle w:val="TableParagraph"/>
              <w:rPr>
                <w:szCs w:val="24"/>
              </w:rPr>
            </w:pPr>
          </w:p>
        </w:tc>
        <w:tc>
          <w:tcPr>
            <w:tcW w:w="170" w:type="pct"/>
            <w:tcBorders>
              <w:left w:val="nil"/>
              <w:bottom w:val="nil"/>
              <w:right w:val="nil"/>
            </w:tcBorders>
          </w:tcPr>
          <w:p w14:paraId="0BB39752" w14:textId="77777777" w:rsidR="00A508A2" w:rsidRPr="00DD0D1F" w:rsidRDefault="00A508A2" w:rsidP="00A508A2">
            <w:pPr>
              <w:pStyle w:val="TableParagraph"/>
              <w:rPr>
                <w:szCs w:val="24"/>
              </w:rPr>
            </w:pPr>
          </w:p>
        </w:tc>
        <w:tc>
          <w:tcPr>
            <w:tcW w:w="383" w:type="pct"/>
            <w:tcBorders>
              <w:left w:val="nil"/>
              <w:bottom w:val="nil"/>
            </w:tcBorders>
          </w:tcPr>
          <w:p w14:paraId="03C0CE74" w14:textId="77777777" w:rsidR="00A508A2" w:rsidRPr="00DD0D1F" w:rsidRDefault="00A508A2" w:rsidP="00A508A2">
            <w:pPr>
              <w:pStyle w:val="TableParagraph"/>
              <w:rPr>
                <w:szCs w:val="24"/>
              </w:rPr>
            </w:pPr>
          </w:p>
        </w:tc>
        <w:tc>
          <w:tcPr>
            <w:tcW w:w="1704" w:type="pct"/>
            <w:tcBorders>
              <w:bottom w:val="nil"/>
            </w:tcBorders>
          </w:tcPr>
          <w:p w14:paraId="16BCEB52" w14:textId="77777777" w:rsidR="00A508A2" w:rsidRPr="00DD0D1F" w:rsidRDefault="00A508A2" w:rsidP="00A508A2">
            <w:pPr>
              <w:pStyle w:val="TableParagraph"/>
              <w:spacing w:line="209" w:lineRule="exact"/>
              <w:ind w:left="110"/>
              <w:rPr>
                <w:szCs w:val="24"/>
              </w:rPr>
            </w:pPr>
            <w:r w:rsidRPr="00DD0D1F">
              <w:rPr>
                <w:szCs w:val="24"/>
              </w:rPr>
              <w:t>Akaryakıtın damlacık boyutunu</w:t>
            </w:r>
          </w:p>
        </w:tc>
        <w:tc>
          <w:tcPr>
            <w:tcW w:w="1142" w:type="pct"/>
            <w:tcBorders>
              <w:bottom w:val="nil"/>
              <w:right w:val="nil"/>
            </w:tcBorders>
          </w:tcPr>
          <w:p w14:paraId="689C5E96" w14:textId="77777777" w:rsidR="00A508A2" w:rsidRPr="00DD0D1F" w:rsidRDefault="00A508A2" w:rsidP="00A508A2">
            <w:pPr>
              <w:pStyle w:val="TableParagraph"/>
              <w:rPr>
                <w:szCs w:val="24"/>
              </w:rPr>
            </w:pPr>
          </w:p>
        </w:tc>
        <w:tc>
          <w:tcPr>
            <w:tcW w:w="180" w:type="pct"/>
            <w:tcBorders>
              <w:left w:val="nil"/>
              <w:bottom w:val="nil"/>
              <w:right w:val="nil"/>
            </w:tcBorders>
          </w:tcPr>
          <w:p w14:paraId="51E58A5D" w14:textId="77777777" w:rsidR="00A508A2" w:rsidRPr="00DD0D1F" w:rsidRDefault="00A508A2" w:rsidP="00A508A2">
            <w:pPr>
              <w:pStyle w:val="TableParagraph"/>
              <w:rPr>
                <w:szCs w:val="24"/>
              </w:rPr>
            </w:pPr>
          </w:p>
        </w:tc>
        <w:tc>
          <w:tcPr>
            <w:tcW w:w="383" w:type="pct"/>
            <w:tcBorders>
              <w:left w:val="nil"/>
              <w:bottom w:val="nil"/>
            </w:tcBorders>
          </w:tcPr>
          <w:p w14:paraId="6DFA04DF" w14:textId="77777777" w:rsidR="00A508A2" w:rsidRPr="00DD0D1F" w:rsidRDefault="00A508A2" w:rsidP="00A508A2">
            <w:pPr>
              <w:pStyle w:val="TableParagraph"/>
              <w:rPr>
                <w:szCs w:val="24"/>
              </w:rPr>
            </w:pPr>
          </w:p>
        </w:tc>
      </w:tr>
      <w:tr w:rsidR="00A508A2" w:rsidRPr="00DD0D1F" w14:paraId="3C5AFAAE" w14:textId="77777777" w:rsidTr="00A508A2">
        <w:trPr>
          <w:trHeight w:val="690"/>
        </w:trPr>
        <w:tc>
          <w:tcPr>
            <w:tcW w:w="1590" w:type="pct"/>
            <w:gridSpan w:val="3"/>
            <w:tcBorders>
              <w:top w:val="nil"/>
              <w:bottom w:val="nil"/>
            </w:tcBorders>
          </w:tcPr>
          <w:p w14:paraId="491512BA" w14:textId="77777777" w:rsidR="00A508A2" w:rsidRPr="00DD0D1F" w:rsidRDefault="00A508A2" w:rsidP="00A508A2">
            <w:pPr>
              <w:pStyle w:val="TableParagraph"/>
              <w:spacing w:before="109"/>
              <w:ind w:left="249" w:right="38"/>
              <w:rPr>
                <w:szCs w:val="24"/>
              </w:rPr>
            </w:pPr>
            <w:r w:rsidRPr="00DD0D1F">
              <w:rPr>
                <w:szCs w:val="24"/>
              </w:rPr>
              <w:t>(b) Akaryakıtın atomizasyonu</w:t>
            </w:r>
          </w:p>
          <w:p w14:paraId="487C49EE" w14:textId="77777777" w:rsidR="00A508A2" w:rsidRPr="00DD0D1F" w:rsidRDefault="00A508A2" w:rsidP="00A508A2">
            <w:pPr>
              <w:pStyle w:val="TableParagraph"/>
              <w:spacing w:before="109"/>
              <w:ind w:right="100"/>
              <w:jc w:val="right"/>
              <w:rPr>
                <w:szCs w:val="24"/>
              </w:rPr>
            </w:pPr>
          </w:p>
        </w:tc>
        <w:tc>
          <w:tcPr>
            <w:tcW w:w="1704" w:type="pct"/>
            <w:tcBorders>
              <w:top w:val="nil"/>
              <w:bottom w:val="nil"/>
            </w:tcBorders>
          </w:tcPr>
          <w:p w14:paraId="632CF990" w14:textId="77777777" w:rsidR="00A508A2" w:rsidRPr="00DD0D1F" w:rsidRDefault="00A508A2" w:rsidP="00A508A2">
            <w:pPr>
              <w:pStyle w:val="TableParagraph"/>
              <w:spacing w:line="224" w:lineRule="exact"/>
              <w:ind w:left="110"/>
              <w:rPr>
                <w:szCs w:val="24"/>
              </w:rPr>
            </w:pPr>
            <w:r w:rsidRPr="00DD0D1F">
              <w:rPr>
                <w:szCs w:val="24"/>
              </w:rPr>
              <w:t>küçültmek için yüksek basınç kullanımı.</w:t>
            </w:r>
          </w:p>
          <w:p w14:paraId="4F6EFBCD" w14:textId="77777777" w:rsidR="00A508A2" w:rsidRPr="00DD0D1F" w:rsidRDefault="00A508A2" w:rsidP="00A508A2">
            <w:pPr>
              <w:pStyle w:val="TableParagraph"/>
              <w:tabs>
                <w:tab w:val="left" w:pos="1295"/>
                <w:tab w:val="left" w:pos="2324"/>
              </w:tabs>
              <w:spacing w:line="230" w:lineRule="atLeast"/>
              <w:ind w:left="110" w:right="92"/>
              <w:rPr>
                <w:szCs w:val="24"/>
              </w:rPr>
            </w:pPr>
            <w:r w:rsidRPr="00DD0D1F">
              <w:rPr>
                <w:szCs w:val="24"/>
              </w:rPr>
              <w:t xml:space="preserve">Yeni optimum brülör tasarımlarında genellikle buhar </w:t>
            </w:r>
          </w:p>
        </w:tc>
        <w:tc>
          <w:tcPr>
            <w:tcW w:w="1142" w:type="pct"/>
            <w:tcBorders>
              <w:top w:val="nil"/>
              <w:bottom w:val="nil"/>
              <w:right w:val="nil"/>
            </w:tcBorders>
          </w:tcPr>
          <w:p w14:paraId="6FBED64A" w14:textId="77777777" w:rsidR="00A508A2" w:rsidRPr="00DD0D1F" w:rsidRDefault="00A508A2" w:rsidP="00A508A2">
            <w:pPr>
              <w:pStyle w:val="TableParagraph"/>
              <w:spacing w:before="109"/>
              <w:ind w:left="110"/>
              <w:rPr>
                <w:szCs w:val="24"/>
              </w:rPr>
            </w:pPr>
            <w:r w:rsidRPr="00DD0D1F">
              <w:rPr>
                <w:szCs w:val="24"/>
              </w:rPr>
              <w:t>Genel olarak akaryakıt yakmasına uygulanabilir</w:t>
            </w:r>
          </w:p>
        </w:tc>
        <w:tc>
          <w:tcPr>
            <w:tcW w:w="180" w:type="pct"/>
            <w:tcBorders>
              <w:top w:val="nil"/>
              <w:left w:val="nil"/>
              <w:bottom w:val="nil"/>
              <w:right w:val="nil"/>
            </w:tcBorders>
          </w:tcPr>
          <w:p w14:paraId="072FC787" w14:textId="77777777" w:rsidR="00A508A2" w:rsidRPr="00DD0D1F" w:rsidRDefault="00A508A2" w:rsidP="00A508A2">
            <w:pPr>
              <w:pStyle w:val="TableParagraph"/>
              <w:spacing w:before="109"/>
              <w:ind w:left="80"/>
              <w:rPr>
                <w:szCs w:val="24"/>
              </w:rPr>
            </w:pPr>
          </w:p>
        </w:tc>
        <w:tc>
          <w:tcPr>
            <w:tcW w:w="383" w:type="pct"/>
            <w:tcBorders>
              <w:top w:val="nil"/>
              <w:left w:val="nil"/>
              <w:bottom w:val="nil"/>
            </w:tcBorders>
          </w:tcPr>
          <w:p w14:paraId="4F063639" w14:textId="77777777" w:rsidR="00A508A2" w:rsidRPr="00DD0D1F" w:rsidRDefault="00A508A2" w:rsidP="00A508A2">
            <w:pPr>
              <w:pStyle w:val="TableParagraph"/>
              <w:spacing w:before="109"/>
              <w:ind w:left="80"/>
              <w:rPr>
                <w:szCs w:val="24"/>
              </w:rPr>
            </w:pPr>
          </w:p>
        </w:tc>
      </w:tr>
      <w:tr w:rsidR="00A508A2" w:rsidRPr="00DD0D1F" w14:paraId="0C97DE1C" w14:textId="77777777" w:rsidTr="00A508A2">
        <w:trPr>
          <w:trHeight w:val="232"/>
        </w:trPr>
        <w:tc>
          <w:tcPr>
            <w:tcW w:w="1037" w:type="pct"/>
            <w:tcBorders>
              <w:top w:val="nil"/>
              <w:right w:val="nil"/>
            </w:tcBorders>
          </w:tcPr>
          <w:p w14:paraId="094FB41D" w14:textId="77777777" w:rsidR="00A508A2" w:rsidRPr="00DD0D1F" w:rsidRDefault="00A508A2" w:rsidP="00A508A2">
            <w:pPr>
              <w:pStyle w:val="TableParagraph"/>
              <w:rPr>
                <w:szCs w:val="24"/>
              </w:rPr>
            </w:pPr>
          </w:p>
        </w:tc>
        <w:tc>
          <w:tcPr>
            <w:tcW w:w="170" w:type="pct"/>
            <w:tcBorders>
              <w:top w:val="nil"/>
              <w:left w:val="nil"/>
              <w:right w:val="nil"/>
            </w:tcBorders>
          </w:tcPr>
          <w:p w14:paraId="51BD7A46" w14:textId="77777777" w:rsidR="00A508A2" w:rsidRPr="00DD0D1F" w:rsidRDefault="00A508A2" w:rsidP="00A508A2">
            <w:pPr>
              <w:pStyle w:val="TableParagraph"/>
              <w:rPr>
                <w:szCs w:val="24"/>
              </w:rPr>
            </w:pPr>
          </w:p>
        </w:tc>
        <w:tc>
          <w:tcPr>
            <w:tcW w:w="383" w:type="pct"/>
            <w:tcBorders>
              <w:top w:val="nil"/>
              <w:left w:val="nil"/>
            </w:tcBorders>
          </w:tcPr>
          <w:p w14:paraId="6D08C30B" w14:textId="77777777" w:rsidR="00A508A2" w:rsidRPr="00DD0D1F" w:rsidRDefault="00A508A2" w:rsidP="00A508A2">
            <w:pPr>
              <w:pStyle w:val="TableParagraph"/>
              <w:rPr>
                <w:szCs w:val="24"/>
              </w:rPr>
            </w:pPr>
          </w:p>
        </w:tc>
        <w:tc>
          <w:tcPr>
            <w:tcW w:w="1704" w:type="pct"/>
            <w:tcBorders>
              <w:top w:val="nil"/>
            </w:tcBorders>
          </w:tcPr>
          <w:p w14:paraId="042F6141" w14:textId="77777777" w:rsidR="00A508A2" w:rsidRPr="00DD0D1F" w:rsidRDefault="00A508A2" w:rsidP="00A508A2">
            <w:pPr>
              <w:pStyle w:val="TableParagraph"/>
              <w:spacing w:line="213" w:lineRule="exact"/>
              <w:ind w:left="110"/>
              <w:rPr>
                <w:szCs w:val="24"/>
              </w:rPr>
            </w:pPr>
            <w:r w:rsidRPr="00DD0D1F">
              <w:rPr>
                <w:szCs w:val="24"/>
              </w:rPr>
              <w:t>atomizasyonu vardır</w:t>
            </w:r>
          </w:p>
        </w:tc>
        <w:tc>
          <w:tcPr>
            <w:tcW w:w="1142" w:type="pct"/>
            <w:tcBorders>
              <w:top w:val="nil"/>
              <w:right w:val="nil"/>
            </w:tcBorders>
          </w:tcPr>
          <w:p w14:paraId="28B2AF97" w14:textId="77777777" w:rsidR="00A508A2" w:rsidRPr="00DD0D1F" w:rsidRDefault="00A508A2" w:rsidP="00A508A2">
            <w:pPr>
              <w:pStyle w:val="TableParagraph"/>
              <w:rPr>
                <w:szCs w:val="24"/>
              </w:rPr>
            </w:pPr>
          </w:p>
        </w:tc>
        <w:tc>
          <w:tcPr>
            <w:tcW w:w="180" w:type="pct"/>
            <w:tcBorders>
              <w:top w:val="nil"/>
              <w:left w:val="nil"/>
              <w:right w:val="nil"/>
            </w:tcBorders>
          </w:tcPr>
          <w:p w14:paraId="6A06F770" w14:textId="77777777" w:rsidR="00A508A2" w:rsidRPr="00DD0D1F" w:rsidRDefault="00A508A2" w:rsidP="00A508A2">
            <w:pPr>
              <w:pStyle w:val="TableParagraph"/>
              <w:rPr>
                <w:szCs w:val="24"/>
              </w:rPr>
            </w:pPr>
          </w:p>
        </w:tc>
        <w:tc>
          <w:tcPr>
            <w:tcW w:w="383" w:type="pct"/>
            <w:tcBorders>
              <w:top w:val="nil"/>
              <w:left w:val="nil"/>
            </w:tcBorders>
          </w:tcPr>
          <w:p w14:paraId="284F7DBF" w14:textId="77777777" w:rsidR="00A508A2" w:rsidRPr="00DD0D1F" w:rsidRDefault="00A508A2" w:rsidP="00A508A2">
            <w:pPr>
              <w:pStyle w:val="TableParagraph"/>
              <w:rPr>
                <w:szCs w:val="24"/>
              </w:rPr>
            </w:pPr>
          </w:p>
        </w:tc>
      </w:tr>
    </w:tbl>
    <w:p w14:paraId="393083DB" w14:textId="77777777" w:rsidR="00A508A2" w:rsidRPr="00DD0D1F" w:rsidRDefault="00A508A2" w:rsidP="00A508A2">
      <w:pPr>
        <w:pStyle w:val="GvdeMetni"/>
        <w:tabs>
          <w:tab w:val="left" w:pos="1173"/>
        </w:tabs>
        <w:ind w:left="695"/>
        <w:rPr>
          <w:sz w:val="24"/>
          <w:szCs w:val="24"/>
        </w:rPr>
      </w:pPr>
      <w:r w:rsidRPr="00DD0D1F">
        <w:rPr>
          <w:sz w:val="24"/>
          <w:szCs w:val="24"/>
        </w:rPr>
        <w:t xml:space="preserve">İkincil teknikler örneğin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3"/>
        <w:gridCol w:w="2997"/>
        <w:gridCol w:w="2997"/>
      </w:tblGrid>
      <w:tr w:rsidR="00FC13C1" w:rsidRPr="00DD0D1F" w14:paraId="6C0B10C1" w14:textId="77777777" w:rsidTr="00FC13C1">
        <w:trPr>
          <w:trHeight w:val="285"/>
        </w:trPr>
        <w:tc>
          <w:tcPr>
            <w:tcW w:w="1698" w:type="pct"/>
          </w:tcPr>
          <w:p w14:paraId="153F3E6E" w14:textId="77777777" w:rsidR="00FC13C1" w:rsidRPr="00DD0D1F" w:rsidRDefault="00FC13C1" w:rsidP="00A508A2">
            <w:pPr>
              <w:pStyle w:val="TableParagraph"/>
              <w:spacing w:before="27"/>
              <w:ind w:left="1170" w:right="1168"/>
              <w:jc w:val="center"/>
              <w:rPr>
                <w:b/>
                <w:szCs w:val="24"/>
              </w:rPr>
            </w:pPr>
            <w:r w:rsidRPr="00DD0D1F">
              <w:rPr>
                <w:b/>
                <w:bCs/>
                <w:szCs w:val="24"/>
              </w:rPr>
              <w:t>Teknik</w:t>
            </w:r>
          </w:p>
        </w:tc>
        <w:tc>
          <w:tcPr>
            <w:tcW w:w="1651" w:type="pct"/>
          </w:tcPr>
          <w:p w14:paraId="512F3834" w14:textId="782E76DC" w:rsidR="00FC13C1" w:rsidRPr="00DD0D1F" w:rsidRDefault="00FC13C1" w:rsidP="00A508A2">
            <w:pPr>
              <w:pStyle w:val="TableParagraph"/>
              <w:spacing w:before="27"/>
              <w:ind w:left="143" w:right="31"/>
              <w:jc w:val="center"/>
              <w:rPr>
                <w:b/>
                <w:bCs/>
                <w:szCs w:val="24"/>
              </w:rPr>
            </w:pPr>
            <w:r w:rsidRPr="00DD0D1F">
              <w:rPr>
                <w:b/>
                <w:bCs/>
                <w:szCs w:val="24"/>
              </w:rPr>
              <w:t>Açıklama</w:t>
            </w:r>
          </w:p>
        </w:tc>
        <w:tc>
          <w:tcPr>
            <w:tcW w:w="1651" w:type="pct"/>
          </w:tcPr>
          <w:p w14:paraId="364ABB95" w14:textId="38813DDE" w:rsidR="00FC13C1" w:rsidRPr="00DD0D1F" w:rsidRDefault="00FC13C1" w:rsidP="00A508A2">
            <w:pPr>
              <w:pStyle w:val="TableParagraph"/>
              <w:spacing w:before="27"/>
              <w:ind w:left="143" w:right="31"/>
              <w:jc w:val="center"/>
              <w:rPr>
                <w:b/>
                <w:szCs w:val="24"/>
              </w:rPr>
            </w:pPr>
            <w:r w:rsidRPr="00DD0D1F">
              <w:rPr>
                <w:b/>
                <w:bCs/>
                <w:szCs w:val="24"/>
              </w:rPr>
              <w:t>Uygulanabilirlik</w:t>
            </w:r>
          </w:p>
        </w:tc>
      </w:tr>
      <w:tr w:rsidR="00FC13C1" w:rsidRPr="00DD0D1F" w14:paraId="0DF206F2" w14:textId="77777777" w:rsidTr="00FC13C1">
        <w:trPr>
          <w:trHeight w:val="460"/>
        </w:trPr>
        <w:tc>
          <w:tcPr>
            <w:tcW w:w="1698" w:type="pct"/>
          </w:tcPr>
          <w:p w14:paraId="7F8E9CD8" w14:textId="77777777" w:rsidR="00FC13C1" w:rsidRPr="00DD0D1F" w:rsidRDefault="00FC13C1" w:rsidP="00A508A2">
            <w:pPr>
              <w:pStyle w:val="TableParagraph"/>
              <w:tabs>
                <w:tab w:val="left" w:pos="827"/>
                <w:tab w:val="left" w:pos="2257"/>
              </w:tabs>
              <w:spacing w:line="223" w:lineRule="exact"/>
              <w:ind w:left="362"/>
              <w:rPr>
                <w:szCs w:val="24"/>
              </w:rPr>
            </w:pPr>
            <w:r w:rsidRPr="00DD0D1F">
              <w:rPr>
                <w:szCs w:val="24"/>
              </w:rPr>
              <w:t xml:space="preserve">i.    Elektrostatik çöktürücü </w:t>
            </w:r>
          </w:p>
          <w:p w14:paraId="1D23F77E" w14:textId="77777777" w:rsidR="00FC13C1" w:rsidRPr="00DD0D1F" w:rsidRDefault="00FC13C1" w:rsidP="00A508A2">
            <w:pPr>
              <w:pStyle w:val="TableParagraph"/>
              <w:tabs>
                <w:tab w:val="left" w:pos="827"/>
                <w:tab w:val="left" w:pos="2257"/>
              </w:tabs>
              <w:spacing w:line="223" w:lineRule="exact"/>
              <w:ind w:left="362"/>
              <w:rPr>
                <w:szCs w:val="24"/>
              </w:rPr>
            </w:pPr>
            <w:r w:rsidRPr="00DD0D1F">
              <w:rPr>
                <w:szCs w:val="24"/>
              </w:rPr>
              <w:t xml:space="preserve">      (ESP)</w:t>
            </w:r>
          </w:p>
          <w:p w14:paraId="07DA5B58" w14:textId="77777777" w:rsidR="00FC13C1" w:rsidRPr="00DD0D1F" w:rsidRDefault="00FC13C1" w:rsidP="00A508A2">
            <w:pPr>
              <w:pStyle w:val="TableParagraph"/>
              <w:spacing w:line="217" w:lineRule="exact"/>
              <w:ind w:left="827"/>
              <w:rPr>
                <w:szCs w:val="24"/>
              </w:rPr>
            </w:pPr>
          </w:p>
        </w:tc>
        <w:tc>
          <w:tcPr>
            <w:tcW w:w="1651" w:type="pct"/>
          </w:tcPr>
          <w:p w14:paraId="62E19552" w14:textId="08799C10" w:rsidR="00FC13C1" w:rsidRPr="00DD0D1F" w:rsidRDefault="00FC13C1" w:rsidP="00A508A2">
            <w:pPr>
              <w:pStyle w:val="TableParagraph"/>
              <w:spacing w:line="223" w:lineRule="exact"/>
              <w:ind w:left="104"/>
              <w:rPr>
                <w:szCs w:val="24"/>
              </w:rPr>
            </w:pPr>
            <w:r w:rsidRPr="00DD0D1F">
              <w:rPr>
                <w:szCs w:val="24"/>
              </w:rPr>
              <w:t>Bölüm 1.20.1 bakınız.</w:t>
            </w:r>
          </w:p>
        </w:tc>
        <w:tc>
          <w:tcPr>
            <w:tcW w:w="1651" w:type="pct"/>
          </w:tcPr>
          <w:p w14:paraId="5EEEE5C8" w14:textId="1B8BF278" w:rsidR="00FC13C1" w:rsidRPr="00DD0D1F" w:rsidRDefault="00FC13C1" w:rsidP="00A508A2">
            <w:pPr>
              <w:pStyle w:val="TableParagraph"/>
              <w:spacing w:line="223" w:lineRule="exact"/>
              <w:ind w:left="104"/>
              <w:rPr>
                <w:szCs w:val="24"/>
              </w:rPr>
            </w:pPr>
            <w:r w:rsidRPr="00DD0D1F">
              <w:rPr>
                <w:szCs w:val="24"/>
              </w:rPr>
              <w:t>Mevcut birimler bakımından uygulanabilirlik, yer varlığıyla sınırlı olabilir</w:t>
            </w:r>
          </w:p>
        </w:tc>
      </w:tr>
      <w:tr w:rsidR="00FC13C1" w:rsidRPr="00DD0D1F" w14:paraId="1C05EE69" w14:textId="77777777" w:rsidTr="00FC13C1">
        <w:trPr>
          <w:trHeight w:val="349"/>
        </w:trPr>
        <w:tc>
          <w:tcPr>
            <w:tcW w:w="1698" w:type="pct"/>
          </w:tcPr>
          <w:p w14:paraId="19012ADD" w14:textId="77777777" w:rsidR="00FC13C1" w:rsidRPr="00DD0D1F" w:rsidRDefault="00FC13C1" w:rsidP="00A508A2">
            <w:pPr>
              <w:pStyle w:val="TableParagraph"/>
              <w:tabs>
                <w:tab w:val="left" w:pos="827"/>
              </w:tabs>
              <w:spacing w:before="19"/>
              <w:ind w:left="680" w:hanging="425"/>
              <w:rPr>
                <w:szCs w:val="24"/>
              </w:rPr>
            </w:pPr>
            <w:r w:rsidRPr="00DD0D1F">
              <w:rPr>
                <w:szCs w:val="24"/>
              </w:rPr>
              <w:t>ii.     Üçüncü kademe geri tepme filtresi</w:t>
            </w:r>
          </w:p>
        </w:tc>
        <w:tc>
          <w:tcPr>
            <w:tcW w:w="1651" w:type="pct"/>
          </w:tcPr>
          <w:p w14:paraId="0BA5577A" w14:textId="7FBB0785" w:rsidR="00FC13C1" w:rsidRPr="00DD0D1F" w:rsidRDefault="00FC13C1" w:rsidP="00FC13C1">
            <w:pPr>
              <w:pStyle w:val="TableParagraph"/>
              <w:spacing w:before="19"/>
              <w:ind w:left="104"/>
              <w:rPr>
                <w:szCs w:val="24"/>
              </w:rPr>
            </w:pPr>
            <w:r w:rsidRPr="00DD0D1F">
              <w:rPr>
                <w:szCs w:val="24"/>
              </w:rPr>
              <w:t>Bölüm 1.20.1 bakınız.</w:t>
            </w:r>
          </w:p>
        </w:tc>
        <w:tc>
          <w:tcPr>
            <w:tcW w:w="1651" w:type="pct"/>
          </w:tcPr>
          <w:p w14:paraId="5CD6158F" w14:textId="032A5FAE" w:rsidR="00FC13C1" w:rsidRPr="00DD0D1F" w:rsidRDefault="00FC13C1" w:rsidP="00A508A2">
            <w:pPr>
              <w:pStyle w:val="TableParagraph"/>
              <w:spacing w:before="19"/>
              <w:ind w:left="104"/>
              <w:rPr>
                <w:szCs w:val="24"/>
              </w:rPr>
            </w:pPr>
            <w:r w:rsidRPr="00DD0D1F">
              <w:rPr>
                <w:szCs w:val="24"/>
              </w:rPr>
              <w:t>Genel olarak uygulanabilir</w:t>
            </w:r>
          </w:p>
        </w:tc>
      </w:tr>
      <w:tr w:rsidR="00FC13C1" w:rsidRPr="00DD0D1F" w14:paraId="2D912F8F" w14:textId="77777777" w:rsidTr="00FC13C1">
        <w:trPr>
          <w:trHeight w:val="1840"/>
        </w:trPr>
        <w:tc>
          <w:tcPr>
            <w:tcW w:w="1698" w:type="pct"/>
          </w:tcPr>
          <w:p w14:paraId="2A97F55B" w14:textId="77777777" w:rsidR="00FC13C1" w:rsidRPr="00DD0D1F" w:rsidRDefault="00FC13C1" w:rsidP="00A508A2">
            <w:pPr>
              <w:pStyle w:val="TableParagraph"/>
              <w:rPr>
                <w:szCs w:val="24"/>
              </w:rPr>
            </w:pPr>
          </w:p>
          <w:p w14:paraId="22AC7B47" w14:textId="77777777" w:rsidR="00FC13C1" w:rsidRPr="00DD0D1F" w:rsidRDefault="00FC13C1" w:rsidP="00A508A2">
            <w:pPr>
              <w:pStyle w:val="TableParagraph"/>
              <w:rPr>
                <w:szCs w:val="24"/>
              </w:rPr>
            </w:pPr>
          </w:p>
          <w:p w14:paraId="4E0216C1" w14:textId="77777777" w:rsidR="00FC13C1" w:rsidRPr="00DD0D1F" w:rsidRDefault="00FC13C1" w:rsidP="00A508A2">
            <w:pPr>
              <w:pStyle w:val="TableParagraph"/>
              <w:spacing w:before="6"/>
              <w:rPr>
                <w:szCs w:val="24"/>
              </w:rPr>
            </w:pPr>
          </w:p>
          <w:p w14:paraId="412FBA49" w14:textId="77777777" w:rsidR="00FC13C1" w:rsidRPr="00DD0D1F" w:rsidRDefault="00FC13C1" w:rsidP="00A508A2">
            <w:pPr>
              <w:pStyle w:val="TableParagraph"/>
              <w:tabs>
                <w:tab w:val="left" w:pos="827"/>
              </w:tabs>
              <w:ind w:left="251"/>
              <w:rPr>
                <w:szCs w:val="24"/>
              </w:rPr>
            </w:pPr>
            <w:r w:rsidRPr="00DD0D1F">
              <w:rPr>
                <w:szCs w:val="24"/>
              </w:rPr>
              <w:t>iii.    Yaş yıkama</w:t>
            </w:r>
          </w:p>
        </w:tc>
        <w:tc>
          <w:tcPr>
            <w:tcW w:w="1651" w:type="pct"/>
          </w:tcPr>
          <w:p w14:paraId="2EEE8AF0" w14:textId="6C622A21" w:rsidR="00FC13C1" w:rsidRPr="00DD0D1F" w:rsidRDefault="00FC13C1" w:rsidP="00A508A2">
            <w:pPr>
              <w:pStyle w:val="TableParagraph"/>
              <w:ind w:left="104" w:right="102"/>
              <w:jc w:val="both"/>
              <w:rPr>
                <w:szCs w:val="24"/>
              </w:rPr>
            </w:pPr>
            <w:r w:rsidRPr="00DD0D1F">
              <w:rPr>
                <w:szCs w:val="24"/>
              </w:rPr>
              <w:t>Bölüm 1.20.3 bakınız.</w:t>
            </w:r>
          </w:p>
        </w:tc>
        <w:tc>
          <w:tcPr>
            <w:tcW w:w="1651" w:type="pct"/>
          </w:tcPr>
          <w:p w14:paraId="5F0A69FE" w14:textId="61199ED0" w:rsidR="00FC13C1" w:rsidRPr="00DD0D1F" w:rsidRDefault="00FC13C1" w:rsidP="00A508A2">
            <w:pPr>
              <w:pStyle w:val="TableParagraph"/>
              <w:ind w:left="104" w:right="102"/>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 Mevcut birimler bakımından tekniğin uygulanabilirliği, yer varlığıyla sınırlı olabilir</w:t>
            </w:r>
          </w:p>
        </w:tc>
      </w:tr>
      <w:tr w:rsidR="00FC13C1" w:rsidRPr="00DD0D1F" w14:paraId="72CBD6F6" w14:textId="77777777" w:rsidTr="00FC13C1">
        <w:trPr>
          <w:trHeight w:val="285"/>
        </w:trPr>
        <w:tc>
          <w:tcPr>
            <w:tcW w:w="1698" w:type="pct"/>
          </w:tcPr>
          <w:p w14:paraId="35DA4536" w14:textId="77777777" w:rsidR="00FC13C1" w:rsidRPr="00DD0D1F" w:rsidRDefault="00FC13C1" w:rsidP="00A508A2">
            <w:pPr>
              <w:pStyle w:val="TableParagraph"/>
              <w:tabs>
                <w:tab w:val="left" w:pos="827"/>
              </w:tabs>
              <w:spacing w:before="19"/>
              <w:ind w:left="261"/>
              <w:rPr>
                <w:szCs w:val="24"/>
              </w:rPr>
            </w:pPr>
            <w:r w:rsidRPr="00DD0D1F">
              <w:rPr>
                <w:szCs w:val="24"/>
              </w:rPr>
              <w:t>iv.</w:t>
            </w:r>
            <w:r w:rsidRPr="00DD0D1F">
              <w:rPr>
                <w:szCs w:val="24"/>
              </w:rPr>
              <w:tab/>
              <w:t>Santrifüjlü yıkayıcılar</w:t>
            </w:r>
          </w:p>
        </w:tc>
        <w:tc>
          <w:tcPr>
            <w:tcW w:w="1651" w:type="pct"/>
          </w:tcPr>
          <w:p w14:paraId="252D2E87" w14:textId="7FF3AC11" w:rsidR="00FC13C1" w:rsidRPr="00DD0D1F" w:rsidRDefault="00FC13C1" w:rsidP="00FC13C1">
            <w:pPr>
              <w:pStyle w:val="TableParagraph"/>
              <w:spacing w:before="19"/>
              <w:ind w:left="104"/>
              <w:rPr>
                <w:szCs w:val="24"/>
              </w:rPr>
            </w:pPr>
            <w:r w:rsidRPr="00DD0D1F">
              <w:rPr>
                <w:szCs w:val="24"/>
              </w:rPr>
              <w:t>Bölüm 1.20.1 bakınız.</w:t>
            </w:r>
          </w:p>
        </w:tc>
        <w:tc>
          <w:tcPr>
            <w:tcW w:w="1651" w:type="pct"/>
          </w:tcPr>
          <w:p w14:paraId="119DEE4E" w14:textId="1054EDA3" w:rsidR="00FC13C1" w:rsidRPr="00DD0D1F" w:rsidRDefault="00FC13C1" w:rsidP="00A508A2">
            <w:pPr>
              <w:pStyle w:val="TableParagraph"/>
              <w:spacing w:before="19"/>
              <w:ind w:left="104"/>
              <w:rPr>
                <w:szCs w:val="24"/>
              </w:rPr>
            </w:pPr>
            <w:r w:rsidRPr="00DD0D1F">
              <w:rPr>
                <w:szCs w:val="24"/>
              </w:rPr>
              <w:t>Genel olarak uygulanabilir</w:t>
            </w:r>
          </w:p>
        </w:tc>
      </w:tr>
    </w:tbl>
    <w:p w14:paraId="11029727" w14:textId="77777777" w:rsidR="00A508A2" w:rsidRPr="00DD0D1F" w:rsidRDefault="00A508A2" w:rsidP="00A508A2">
      <w:pPr>
        <w:pStyle w:val="GvdeMetni"/>
        <w:rPr>
          <w:sz w:val="24"/>
          <w:szCs w:val="24"/>
        </w:rPr>
      </w:pPr>
    </w:p>
    <w:p w14:paraId="2B6D6958" w14:textId="77777777" w:rsidR="00A508A2" w:rsidRPr="00DD0D1F" w:rsidRDefault="00A508A2" w:rsidP="00A508A2">
      <w:pPr>
        <w:pStyle w:val="GvdeMetni"/>
        <w:spacing w:before="3" w:line="360" w:lineRule="auto"/>
        <w:jc w:val="both"/>
        <w:rPr>
          <w:sz w:val="24"/>
          <w:szCs w:val="24"/>
        </w:rPr>
      </w:pPr>
    </w:p>
    <w:p w14:paraId="1F6F14F6" w14:textId="77777777" w:rsidR="00A508A2" w:rsidRPr="00DD0D1F" w:rsidRDefault="00A508A2" w:rsidP="00A508A2">
      <w:pPr>
        <w:pStyle w:val="ResimYazs"/>
        <w:rPr>
          <w:rFonts w:cs="Times New Roman"/>
          <w:color w:val="auto"/>
          <w:szCs w:val="24"/>
          <w:lang w:val="tr-TR"/>
        </w:rPr>
      </w:pPr>
      <w:r w:rsidRPr="00DD0D1F">
        <w:rPr>
          <w:rFonts w:cs="Times New Roman"/>
          <w:bCs/>
          <w:color w:val="auto"/>
          <w:szCs w:val="24"/>
          <w:lang w:val="tr-TR"/>
        </w:rPr>
        <w:t>Gaz türbinleri hariç, farklı yakıtları yakan yanma biriminden havaya yayılan toz</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0383D97E" w14:textId="77777777" w:rsidR="00A508A2" w:rsidRPr="00DD0D1F" w:rsidRDefault="00A508A2" w:rsidP="00A508A2">
      <w:pPr>
        <w:pStyle w:val="GvdeMetni"/>
        <w:spacing w:before="5"/>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21"/>
        <w:gridCol w:w="2275"/>
        <w:gridCol w:w="2781"/>
      </w:tblGrid>
      <w:tr w:rsidR="00A508A2" w:rsidRPr="00DD0D1F" w14:paraId="23CE3488" w14:textId="77777777" w:rsidTr="00A508A2">
        <w:trPr>
          <w:trHeight w:val="690"/>
        </w:trPr>
        <w:tc>
          <w:tcPr>
            <w:tcW w:w="2215" w:type="pct"/>
          </w:tcPr>
          <w:p w14:paraId="743B6C1F" w14:textId="77777777" w:rsidR="00A508A2" w:rsidRPr="00DD0D1F" w:rsidRDefault="00A508A2" w:rsidP="00A508A2">
            <w:pPr>
              <w:pStyle w:val="TableParagraph"/>
              <w:spacing w:before="9"/>
              <w:rPr>
                <w:b/>
                <w:szCs w:val="24"/>
              </w:rPr>
            </w:pPr>
          </w:p>
          <w:p w14:paraId="26AFC7B1" w14:textId="77777777" w:rsidR="00A508A2" w:rsidRPr="00DD0D1F" w:rsidRDefault="00A508A2" w:rsidP="00A508A2">
            <w:pPr>
              <w:pStyle w:val="TableParagraph"/>
              <w:ind w:left="355" w:right="351"/>
              <w:jc w:val="center"/>
              <w:rPr>
                <w:b/>
                <w:szCs w:val="24"/>
              </w:rPr>
            </w:pPr>
            <w:r w:rsidRPr="00DD0D1F">
              <w:rPr>
                <w:b/>
                <w:bCs/>
                <w:szCs w:val="24"/>
              </w:rPr>
              <w:t>Parametre</w:t>
            </w:r>
          </w:p>
        </w:tc>
        <w:tc>
          <w:tcPr>
            <w:tcW w:w="1253" w:type="pct"/>
          </w:tcPr>
          <w:p w14:paraId="408C9077" w14:textId="77777777" w:rsidR="00A508A2" w:rsidRPr="00DD0D1F" w:rsidRDefault="00A508A2" w:rsidP="00A508A2">
            <w:pPr>
              <w:pStyle w:val="TableParagraph"/>
              <w:spacing w:before="9"/>
              <w:rPr>
                <w:b/>
                <w:szCs w:val="24"/>
              </w:rPr>
            </w:pPr>
          </w:p>
          <w:p w14:paraId="6B8F03CA" w14:textId="77777777" w:rsidR="00A508A2" w:rsidRPr="00DD0D1F" w:rsidRDefault="00A508A2" w:rsidP="00A508A2">
            <w:pPr>
              <w:pStyle w:val="TableParagraph"/>
              <w:ind w:left="30"/>
              <w:jc w:val="center"/>
              <w:rPr>
                <w:b/>
                <w:szCs w:val="24"/>
              </w:rPr>
            </w:pPr>
            <w:r w:rsidRPr="00DD0D1F">
              <w:rPr>
                <w:b/>
                <w:bCs/>
                <w:szCs w:val="24"/>
              </w:rPr>
              <w:t>Yanma türü</w:t>
            </w:r>
          </w:p>
        </w:tc>
        <w:tc>
          <w:tcPr>
            <w:tcW w:w="1532" w:type="pct"/>
          </w:tcPr>
          <w:p w14:paraId="68913F10" w14:textId="281F40A5" w:rsidR="00A508A2" w:rsidRPr="00DD0D1F" w:rsidRDefault="007D7613" w:rsidP="00A508A2">
            <w:pPr>
              <w:pStyle w:val="TableParagraph"/>
              <w:spacing w:line="228" w:lineRule="exact"/>
              <w:ind w:left="396" w:right="390"/>
              <w:jc w:val="center"/>
              <w:rPr>
                <w:b/>
                <w:szCs w:val="24"/>
              </w:rPr>
            </w:pPr>
            <w:r w:rsidRPr="00DD0D1F">
              <w:rPr>
                <w:b/>
                <w:bCs/>
                <w:szCs w:val="24"/>
              </w:rPr>
              <w:t>MET_İES</w:t>
            </w:r>
          </w:p>
          <w:p w14:paraId="272D2B32" w14:textId="77777777" w:rsidR="00A508A2" w:rsidRPr="00DD0D1F" w:rsidRDefault="00A508A2" w:rsidP="00A508A2">
            <w:pPr>
              <w:pStyle w:val="TableParagraph"/>
              <w:spacing w:line="228" w:lineRule="exact"/>
              <w:ind w:left="393" w:right="392"/>
              <w:jc w:val="center"/>
              <w:rPr>
                <w:b/>
                <w:szCs w:val="24"/>
              </w:rPr>
            </w:pPr>
            <w:r w:rsidRPr="00DD0D1F">
              <w:rPr>
                <w:b/>
                <w:bCs/>
                <w:szCs w:val="24"/>
              </w:rPr>
              <w:t>(aylık ortalama)</w:t>
            </w:r>
          </w:p>
          <w:p w14:paraId="0ADEE39A" w14:textId="77777777" w:rsidR="00A508A2" w:rsidRPr="00DD0D1F" w:rsidRDefault="00A508A2" w:rsidP="00A508A2">
            <w:pPr>
              <w:pStyle w:val="TableParagraph"/>
              <w:spacing w:line="215" w:lineRule="exact"/>
              <w:ind w:left="396" w:right="391"/>
              <w:jc w:val="center"/>
              <w:rPr>
                <w:szCs w:val="24"/>
              </w:rPr>
            </w:pPr>
            <w:r w:rsidRPr="00DD0D1F">
              <w:rPr>
                <w:szCs w:val="24"/>
              </w:rPr>
              <w:t>mg/Nm</w:t>
            </w:r>
            <w:r w:rsidRPr="00DD0D1F">
              <w:rPr>
                <w:szCs w:val="24"/>
                <w:vertAlign w:val="superscript"/>
              </w:rPr>
              <w:t>3</w:t>
            </w:r>
          </w:p>
        </w:tc>
      </w:tr>
      <w:tr w:rsidR="00A508A2" w:rsidRPr="00DD0D1F" w14:paraId="2B4FE075" w14:textId="77777777" w:rsidTr="00A508A2">
        <w:trPr>
          <w:trHeight w:val="460"/>
        </w:trPr>
        <w:tc>
          <w:tcPr>
            <w:tcW w:w="2215" w:type="pct"/>
            <w:vMerge w:val="restart"/>
          </w:tcPr>
          <w:p w14:paraId="38C217FA" w14:textId="77777777" w:rsidR="00A508A2" w:rsidRPr="00DD0D1F" w:rsidRDefault="00A508A2" w:rsidP="00A508A2">
            <w:pPr>
              <w:pStyle w:val="TableParagraph"/>
              <w:spacing w:before="10"/>
              <w:rPr>
                <w:b/>
                <w:szCs w:val="24"/>
              </w:rPr>
            </w:pPr>
          </w:p>
          <w:p w14:paraId="091EB21B" w14:textId="77777777" w:rsidR="00A508A2" w:rsidRPr="00DD0D1F" w:rsidRDefault="00A508A2" w:rsidP="00A508A2">
            <w:pPr>
              <w:pStyle w:val="TableParagraph"/>
              <w:ind w:left="107"/>
              <w:rPr>
                <w:szCs w:val="24"/>
              </w:rPr>
            </w:pPr>
            <w:r w:rsidRPr="00DD0D1F">
              <w:rPr>
                <w:szCs w:val="24"/>
              </w:rPr>
              <w:t>Toz</w:t>
            </w:r>
          </w:p>
        </w:tc>
        <w:tc>
          <w:tcPr>
            <w:tcW w:w="1253" w:type="pct"/>
            <w:vMerge w:val="restart"/>
          </w:tcPr>
          <w:p w14:paraId="79A378F1" w14:textId="77777777" w:rsidR="00A508A2" w:rsidRPr="00DD0D1F" w:rsidRDefault="00A508A2" w:rsidP="00A508A2">
            <w:pPr>
              <w:pStyle w:val="TableParagraph"/>
              <w:spacing w:before="10"/>
              <w:rPr>
                <w:b/>
                <w:szCs w:val="24"/>
              </w:rPr>
            </w:pPr>
          </w:p>
          <w:p w14:paraId="0F63AC2A" w14:textId="77777777" w:rsidR="00A508A2" w:rsidRPr="00DD0D1F" w:rsidRDefault="00A508A2" w:rsidP="00A508A2">
            <w:pPr>
              <w:pStyle w:val="TableParagraph"/>
              <w:ind w:left="172"/>
              <w:rPr>
                <w:szCs w:val="24"/>
              </w:rPr>
            </w:pPr>
            <w:r w:rsidRPr="00DD0D1F">
              <w:rPr>
                <w:szCs w:val="24"/>
              </w:rPr>
              <w:t>Farklı yakıtları yakma</w:t>
            </w:r>
          </w:p>
        </w:tc>
        <w:tc>
          <w:tcPr>
            <w:tcW w:w="1532" w:type="pct"/>
          </w:tcPr>
          <w:p w14:paraId="7DD08F69" w14:textId="77777777" w:rsidR="00A508A2" w:rsidRPr="00DD0D1F" w:rsidRDefault="00A508A2" w:rsidP="00A508A2">
            <w:pPr>
              <w:pStyle w:val="TableParagraph"/>
              <w:spacing w:line="223" w:lineRule="exact"/>
              <w:ind w:left="396" w:right="388"/>
              <w:jc w:val="center"/>
              <w:rPr>
                <w:szCs w:val="24"/>
              </w:rPr>
            </w:pPr>
            <w:r w:rsidRPr="00DD0D1F">
              <w:rPr>
                <w:szCs w:val="24"/>
              </w:rPr>
              <w:t>5 – 50</w:t>
            </w:r>
          </w:p>
          <w:p w14:paraId="451AAC46" w14:textId="77777777" w:rsidR="00A508A2" w:rsidRPr="00DD0D1F" w:rsidRDefault="00A508A2" w:rsidP="00A508A2">
            <w:pPr>
              <w:pStyle w:val="TableParagraph"/>
              <w:spacing w:line="217" w:lineRule="exact"/>
              <w:ind w:left="166" w:right="392"/>
              <w:jc w:val="center"/>
              <w:rPr>
                <w:szCs w:val="24"/>
              </w:rPr>
            </w:pPr>
            <w:r w:rsidRPr="00DD0D1F">
              <w:rPr>
                <w:szCs w:val="24"/>
              </w:rPr>
              <w:t>mevcut birim için(</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799D376A" w14:textId="77777777" w:rsidTr="00A508A2">
        <w:trPr>
          <w:trHeight w:val="458"/>
        </w:trPr>
        <w:tc>
          <w:tcPr>
            <w:tcW w:w="2215" w:type="pct"/>
            <w:vMerge/>
            <w:tcBorders>
              <w:top w:val="nil"/>
            </w:tcBorders>
          </w:tcPr>
          <w:p w14:paraId="3262B8FA" w14:textId="77777777" w:rsidR="00A508A2" w:rsidRPr="00DD0D1F" w:rsidRDefault="00A508A2" w:rsidP="00A508A2">
            <w:pPr>
              <w:rPr>
                <w:rFonts w:cs="Times New Roman"/>
                <w:szCs w:val="24"/>
                <w:lang w:val="tr-TR"/>
              </w:rPr>
            </w:pPr>
          </w:p>
        </w:tc>
        <w:tc>
          <w:tcPr>
            <w:tcW w:w="1253" w:type="pct"/>
            <w:vMerge/>
            <w:tcBorders>
              <w:top w:val="nil"/>
            </w:tcBorders>
          </w:tcPr>
          <w:p w14:paraId="105F2BCF" w14:textId="77777777" w:rsidR="00A508A2" w:rsidRPr="00DD0D1F" w:rsidRDefault="00A508A2" w:rsidP="00A508A2">
            <w:pPr>
              <w:rPr>
                <w:rFonts w:cs="Times New Roman"/>
                <w:szCs w:val="24"/>
                <w:lang w:val="tr-TR"/>
              </w:rPr>
            </w:pPr>
          </w:p>
        </w:tc>
        <w:tc>
          <w:tcPr>
            <w:tcW w:w="1532" w:type="pct"/>
          </w:tcPr>
          <w:p w14:paraId="2E2067A3" w14:textId="77777777" w:rsidR="00A508A2" w:rsidRPr="00DD0D1F" w:rsidRDefault="00A508A2" w:rsidP="00A508A2">
            <w:pPr>
              <w:pStyle w:val="TableParagraph"/>
              <w:spacing w:line="223" w:lineRule="exact"/>
              <w:ind w:left="396" w:right="392"/>
              <w:jc w:val="center"/>
              <w:rPr>
                <w:szCs w:val="24"/>
              </w:rPr>
            </w:pPr>
            <w:r w:rsidRPr="00DD0D1F">
              <w:rPr>
                <w:szCs w:val="24"/>
              </w:rPr>
              <w:t>5 – 25</w:t>
            </w:r>
          </w:p>
          <w:p w14:paraId="2C349DFA" w14:textId="77777777" w:rsidR="00A508A2" w:rsidRPr="00DD0D1F" w:rsidRDefault="00A508A2" w:rsidP="00A508A2">
            <w:pPr>
              <w:pStyle w:val="TableParagraph"/>
              <w:spacing w:line="215" w:lineRule="exact"/>
              <w:ind w:left="166" w:right="391"/>
              <w:jc w:val="center"/>
              <w:rPr>
                <w:szCs w:val="24"/>
              </w:rPr>
            </w:pPr>
            <w:r w:rsidRPr="00DD0D1F">
              <w:rPr>
                <w:szCs w:val="24"/>
              </w:rPr>
              <w:t>&lt;50 MW yeni birim için</w:t>
            </w:r>
          </w:p>
        </w:tc>
      </w:tr>
      <w:tr w:rsidR="00A508A2" w:rsidRPr="00DD0D1F" w14:paraId="135EB71C" w14:textId="77777777" w:rsidTr="00A508A2">
        <w:trPr>
          <w:trHeight w:val="691"/>
        </w:trPr>
        <w:tc>
          <w:tcPr>
            <w:tcW w:w="5000" w:type="pct"/>
            <w:gridSpan w:val="3"/>
          </w:tcPr>
          <w:p w14:paraId="1F63D52C" w14:textId="35BC99F6" w:rsidR="00A508A2" w:rsidRPr="00DD0D1F" w:rsidRDefault="00A508A2" w:rsidP="00FF111D">
            <w:pPr>
              <w:pStyle w:val="TableParagraph"/>
              <w:numPr>
                <w:ilvl w:val="0"/>
                <w:numId w:val="91"/>
              </w:numPr>
              <w:tabs>
                <w:tab w:val="left" w:pos="355"/>
              </w:tabs>
              <w:spacing w:line="213" w:lineRule="exact"/>
              <w:ind w:hanging="248"/>
              <w:rPr>
                <w:szCs w:val="24"/>
              </w:rPr>
            </w:pPr>
            <w:r w:rsidRPr="00DD0D1F">
              <w:rPr>
                <w:szCs w:val="24"/>
              </w:rPr>
              <w:t xml:space="preserve">Aralığın daha düşük olan </w:t>
            </w:r>
            <w:r w:rsidR="00A504E5" w:rsidRPr="00DD0D1F">
              <w:rPr>
                <w:szCs w:val="24"/>
              </w:rPr>
              <w:t>sınırı</w:t>
            </w:r>
            <w:r w:rsidRPr="00DD0D1F">
              <w:rPr>
                <w:szCs w:val="24"/>
              </w:rPr>
              <w:t>, boru çıkışı tekniklerinin kullanımı ile elde edilebilir.</w:t>
            </w:r>
          </w:p>
          <w:p w14:paraId="53F5AF9B" w14:textId="71DBC47C" w:rsidR="00A508A2" w:rsidRPr="00DD0D1F" w:rsidRDefault="00A508A2" w:rsidP="00FF111D">
            <w:pPr>
              <w:pStyle w:val="TableParagraph"/>
              <w:numPr>
                <w:ilvl w:val="0"/>
                <w:numId w:val="91"/>
              </w:numPr>
              <w:tabs>
                <w:tab w:val="left" w:pos="379"/>
              </w:tabs>
              <w:spacing w:line="230" w:lineRule="exact"/>
              <w:ind w:left="390" w:right="109" w:hanging="284"/>
              <w:rPr>
                <w:szCs w:val="24"/>
              </w:rPr>
            </w:pPr>
            <w:r w:rsidRPr="00DD0D1F">
              <w:rPr>
                <w:szCs w:val="24"/>
              </w:rPr>
              <w:t xml:space="preserve">Aralığın düşük </w:t>
            </w:r>
            <w:r w:rsidR="00A504E5" w:rsidRPr="00DD0D1F">
              <w:rPr>
                <w:szCs w:val="24"/>
              </w:rPr>
              <w:t>sınırı</w:t>
            </w:r>
            <w:r w:rsidRPr="00DD0D1F">
              <w:rPr>
                <w:szCs w:val="24"/>
              </w:rPr>
              <w:t>, yüksek yağ yakma yüzdesinin kullanımına ve yalnızca birincil teknik uygulandığı duruma atıf yapar.</w:t>
            </w:r>
          </w:p>
        </w:tc>
      </w:tr>
    </w:tbl>
    <w:p w14:paraId="33A372EE" w14:textId="77777777" w:rsidR="00A508A2" w:rsidRPr="00DD0D1F" w:rsidRDefault="00A508A2" w:rsidP="00A508A2">
      <w:pPr>
        <w:pStyle w:val="GvdeMetni"/>
        <w:spacing w:before="6"/>
        <w:rPr>
          <w:b/>
          <w:sz w:val="24"/>
          <w:szCs w:val="24"/>
        </w:rPr>
      </w:pPr>
    </w:p>
    <w:p w14:paraId="207CF26C"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746CEA87" w14:textId="77777777" w:rsidR="00A508A2" w:rsidRPr="00DD0D1F" w:rsidRDefault="00A508A2" w:rsidP="00A508A2">
      <w:pPr>
        <w:pStyle w:val="GvdeMetni"/>
        <w:spacing w:line="360" w:lineRule="auto"/>
        <w:ind w:left="1948"/>
        <w:jc w:val="both"/>
        <w:rPr>
          <w:sz w:val="24"/>
          <w:szCs w:val="24"/>
        </w:rPr>
      </w:pPr>
    </w:p>
    <w:p w14:paraId="116E4052" w14:textId="77777777" w:rsidR="00A508A2" w:rsidRPr="00DD0D1F" w:rsidRDefault="00A508A2" w:rsidP="00A508A2">
      <w:pPr>
        <w:pStyle w:val="GvdeMetni"/>
        <w:spacing w:before="5" w:line="360" w:lineRule="auto"/>
        <w:jc w:val="both"/>
        <w:rPr>
          <w:sz w:val="24"/>
          <w:szCs w:val="24"/>
        </w:rPr>
      </w:pPr>
    </w:p>
    <w:p w14:paraId="4DA64641" w14:textId="77777777" w:rsidR="00A508A2" w:rsidRPr="00DD0D1F" w:rsidRDefault="00A508A2" w:rsidP="00A508A2">
      <w:pPr>
        <w:rPr>
          <w:rFonts w:cs="Times New Roman"/>
          <w:b/>
          <w:bCs/>
          <w:szCs w:val="24"/>
          <w:lang w:val="tr-TR"/>
        </w:rPr>
      </w:pPr>
      <w:bookmarkStart w:id="234" w:name="_bookmark901"/>
      <w:bookmarkEnd w:id="234"/>
      <w:r w:rsidRPr="00DD0D1F">
        <w:rPr>
          <w:rFonts w:cs="Times New Roman"/>
          <w:b/>
          <w:bCs/>
          <w:szCs w:val="24"/>
          <w:lang w:val="tr-TR"/>
        </w:rPr>
        <w:t xml:space="preserve">MET 36: </w:t>
      </w:r>
      <w:r w:rsidRPr="00DD0D1F">
        <w:rPr>
          <w:rFonts w:cs="Times New Roman"/>
          <w:bCs/>
          <w:szCs w:val="24"/>
          <w:lang w:val="tr-TR"/>
        </w:rPr>
        <w:t>Yanma birimlerinden havaya yayılan SO</w:t>
      </w:r>
      <w:r w:rsidRPr="00DD0D1F">
        <w:rPr>
          <w:rFonts w:cs="Times New Roman"/>
          <w:bCs/>
          <w:szCs w:val="24"/>
          <w:vertAlign w:val="subscript"/>
          <w:lang w:val="tr-TR"/>
        </w:rPr>
        <w:t>X</w:t>
      </w:r>
      <w:r w:rsidRPr="00DD0D1F">
        <w:rPr>
          <w:rFonts w:cs="Times New Roman"/>
          <w:bCs/>
          <w:szCs w:val="24"/>
          <w:lang w:val="tr-TR"/>
        </w:rPr>
        <w:t xml:space="preserve"> emisyonlarının önlenmesi veya azaltılması için aşağıdaki tekniklerden biri veya daha fazlasının kombinasyonu kullanılır.</w:t>
      </w:r>
    </w:p>
    <w:p w14:paraId="7EE21BDA" w14:textId="77777777" w:rsidR="00A508A2" w:rsidRPr="00DD0D1F" w:rsidRDefault="00A508A2" w:rsidP="00A508A2">
      <w:pPr>
        <w:pStyle w:val="GvdeMetni"/>
        <w:spacing w:before="4"/>
        <w:rPr>
          <w:b/>
          <w:sz w:val="24"/>
          <w:szCs w:val="24"/>
        </w:rPr>
      </w:pPr>
    </w:p>
    <w:p w14:paraId="43537E25" w14:textId="77777777" w:rsidR="00A508A2" w:rsidRPr="00DD0D1F" w:rsidRDefault="00A508A2" w:rsidP="00FF111D">
      <w:pPr>
        <w:pStyle w:val="ListeParagraf"/>
        <w:widowControl w:val="0"/>
        <w:numPr>
          <w:ilvl w:val="0"/>
          <w:numId w:val="90"/>
        </w:numPr>
        <w:tabs>
          <w:tab w:val="left" w:pos="1173"/>
          <w:tab w:val="left" w:pos="1174"/>
        </w:tabs>
        <w:autoSpaceDE w:val="0"/>
        <w:autoSpaceDN w:val="0"/>
        <w:spacing w:line="240" w:lineRule="auto"/>
        <w:ind w:right="1629"/>
        <w:contextualSpacing w:val="0"/>
        <w:jc w:val="left"/>
        <w:rPr>
          <w:rFonts w:cs="Times New Roman"/>
          <w:b/>
          <w:bCs/>
          <w:szCs w:val="24"/>
          <w:lang w:val="tr-TR"/>
        </w:rPr>
      </w:pPr>
      <w:r w:rsidRPr="00DD0D1F">
        <w:rPr>
          <w:rFonts w:cs="Times New Roman"/>
          <w:b/>
          <w:bCs/>
          <w:szCs w:val="24"/>
          <w:lang w:val="tr-TR"/>
        </w:rPr>
        <w:t>Yakıt seçimine veya arıtımına dayalı olarak birincil veya prosesle ilgili teknikler, örneğin:</w:t>
      </w:r>
    </w:p>
    <w:p w14:paraId="751B2655" w14:textId="77777777" w:rsidR="00A508A2" w:rsidRPr="00DD0D1F" w:rsidRDefault="00A508A2" w:rsidP="00A508A2">
      <w:pPr>
        <w:tabs>
          <w:tab w:val="left" w:pos="1173"/>
          <w:tab w:val="left" w:pos="1174"/>
        </w:tabs>
        <w:ind w:right="1629"/>
        <w:rPr>
          <w:rFonts w:cs="Times New Roman"/>
          <w:szCs w:val="24"/>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2900"/>
        <w:gridCol w:w="2902"/>
      </w:tblGrid>
      <w:tr w:rsidR="00A508A2" w:rsidRPr="00DD0D1F" w14:paraId="41751620" w14:textId="77777777" w:rsidTr="00A508A2">
        <w:trPr>
          <w:trHeight w:val="285"/>
          <w:jc w:val="center"/>
        </w:trPr>
        <w:tc>
          <w:tcPr>
            <w:tcW w:w="2705" w:type="dxa"/>
          </w:tcPr>
          <w:p w14:paraId="2D9A835D" w14:textId="77777777" w:rsidR="00A508A2" w:rsidRPr="00DD0D1F" w:rsidRDefault="00A508A2" w:rsidP="00A508A2">
            <w:pPr>
              <w:pStyle w:val="TableParagraph"/>
              <w:spacing w:before="26"/>
              <w:ind w:left="902"/>
              <w:rPr>
                <w:b/>
                <w:szCs w:val="24"/>
              </w:rPr>
            </w:pPr>
            <w:r w:rsidRPr="00DD0D1F">
              <w:rPr>
                <w:b/>
                <w:bCs/>
                <w:szCs w:val="24"/>
              </w:rPr>
              <w:t>Teknik</w:t>
            </w:r>
          </w:p>
        </w:tc>
        <w:tc>
          <w:tcPr>
            <w:tcW w:w="2900" w:type="dxa"/>
          </w:tcPr>
          <w:p w14:paraId="1BAE63A0" w14:textId="77777777" w:rsidR="00A508A2" w:rsidRPr="00DD0D1F" w:rsidRDefault="00A508A2" w:rsidP="00A508A2">
            <w:pPr>
              <w:pStyle w:val="TableParagraph"/>
              <w:spacing w:before="26"/>
              <w:ind w:left="958"/>
              <w:rPr>
                <w:b/>
                <w:szCs w:val="24"/>
              </w:rPr>
            </w:pPr>
            <w:r w:rsidRPr="00DD0D1F">
              <w:rPr>
                <w:b/>
                <w:bCs/>
                <w:szCs w:val="24"/>
              </w:rPr>
              <w:t>Açıklama</w:t>
            </w:r>
          </w:p>
        </w:tc>
        <w:tc>
          <w:tcPr>
            <w:tcW w:w="2902" w:type="dxa"/>
          </w:tcPr>
          <w:p w14:paraId="0C30A6A1" w14:textId="77777777" w:rsidR="00A508A2" w:rsidRPr="00DD0D1F" w:rsidRDefault="00A508A2" w:rsidP="00A508A2">
            <w:pPr>
              <w:pStyle w:val="TableParagraph"/>
              <w:spacing w:before="26"/>
              <w:ind w:left="895"/>
              <w:rPr>
                <w:b/>
                <w:szCs w:val="24"/>
              </w:rPr>
            </w:pPr>
            <w:r w:rsidRPr="00DD0D1F">
              <w:rPr>
                <w:b/>
                <w:bCs/>
                <w:szCs w:val="24"/>
              </w:rPr>
              <w:t>Uygulanabilirlik</w:t>
            </w:r>
          </w:p>
        </w:tc>
      </w:tr>
      <w:tr w:rsidR="00A508A2" w:rsidRPr="00DD0D1F" w14:paraId="1BE6B4B6" w14:textId="77777777" w:rsidTr="00A508A2">
        <w:trPr>
          <w:trHeight w:val="1360"/>
          <w:jc w:val="center"/>
        </w:trPr>
        <w:tc>
          <w:tcPr>
            <w:tcW w:w="2705" w:type="dxa"/>
          </w:tcPr>
          <w:p w14:paraId="43DEA6D6" w14:textId="77777777" w:rsidR="00A508A2" w:rsidRPr="00DD0D1F" w:rsidRDefault="00A508A2" w:rsidP="00A508A2">
            <w:pPr>
              <w:pStyle w:val="TableParagraph"/>
              <w:rPr>
                <w:szCs w:val="24"/>
              </w:rPr>
            </w:pPr>
          </w:p>
          <w:p w14:paraId="4FB33815" w14:textId="77777777" w:rsidR="00A508A2" w:rsidRPr="00DD0D1F" w:rsidRDefault="00A508A2" w:rsidP="00A508A2">
            <w:pPr>
              <w:pStyle w:val="TableParagraph"/>
              <w:spacing w:before="9"/>
              <w:rPr>
                <w:szCs w:val="24"/>
              </w:rPr>
            </w:pPr>
          </w:p>
          <w:p w14:paraId="297B5D64" w14:textId="77777777" w:rsidR="00A508A2" w:rsidRPr="00DD0D1F" w:rsidRDefault="00A508A2" w:rsidP="00A508A2">
            <w:pPr>
              <w:pStyle w:val="TableParagraph"/>
              <w:tabs>
                <w:tab w:val="left" w:pos="547"/>
              </w:tabs>
              <w:spacing w:line="235" w:lineRule="auto"/>
              <w:ind w:left="547" w:right="101" w:hanging="447"/>
              <w:rPr>
                <w:szCs w:val="24"/>
              </w:rPr>
            </w:pPr>
            <w:r w:rsidRPr="00DD0D1F">
              <w:rPr>
                <w:szCs w:val="24"/>
              </w:rPr>
              <w:t>i.</w:t>
            </w:r>
            <w:r w:rsidRPr="00DD0D1F">
              <w:rPr>
                <w:szCs w:val="24"/>
              </w:rPr>
              <w:tab/>
              <w:t>Akaryakıt yerine gaz kullanımı</w:t>
            </w:r>
          </w:p>
        </w:tc>
        <w:tc>
          <w:tcPr>
            <w:tcW w:w="2900" w:type="dxa"/>
          </w:tcPr>
          <w:p w14:paraId="7CBA7E0C" w14:textId="77777777" w:rsidR="00A508A2" w:rsidRPr="00DD0D1F" w:rsidRDefault="00A508A2" w:rsidP="00A508A2">
            <w:pPr>
              <w:pStyle w:val="TableParagraph"/>
              <w:rPr>
                <w:szCs w:val="24"/>
              </w:rPr>
            </w:pPr>
          </w:p>
          <w:p w14:paraId="19827F75" w14:textId="77777777" w:rsidR="00A508A2" w:rsidRPr="00DD0D1F" w:rsidRDefault="00A508A2" w:rsidP="00A508A2">
            <w:pPr>
              <w:pStyle w:val="TableParagraph"/>
              <w:rPr>
                <w:szCs w:val="24"/>
              </w:rPr>
            </w:pPr>
          </w:p>
          <w:p w14:paraId="3E6070F6" w14:textId="49D12690" w:rsidR="00A508A2" w:rsidRPr="00DD0D1F" w:rsidRDefault="00FC13C1" w:rsidP="00FC13C1">
            <w:pPr>
              <w:pStyle w:val="TableParagraph"/>
              <w:spacing w:before="176"/>
              <w:ind w:left="110"/>
              <w:rPr>
                <w:szCs w:val="24"/>
              </w:rPr>
            </w:pPr>
            <w:r w:rsidRPr="00DD0D1F">
              <w:rPr>
                <w:szCs w:val="24"/>
              </w:rPr>
              <w:t>Bölüm 1.20.3 bakınız.</w:t>
            </w:r>
          </w:p>
        </w:tc>
        <w:tc>
          <w:tcPr>
            <w:tcW w:w="2902" w:type="dxa"/>
          </w:tcPr>
          <w:p w14:paraId="14DA75D2" w14:textId="77777777" w:rsidR="00A508A2" w:rsidRPr="00DD0D1F" w:rsidRDefault="00A508A2" w:rsidP="00A508A2">
            <w:pPr>
              <w:pStyle w:val="TableParagraph"/>
              <w:ind w:left="110" w:right="94"/>
              <w:jc w:val="both"/>
              <w:rPr>
                <w:szCs w:val="24"/>
              </w:rPr>
            </w:pPr>
            <w:r w:rsidRPr="00DD0D1F">
              <w:rPr>
                <w:szCs w:val="24"/>
              </w:rPr>
              <w:t>Uygulanabilirliği, Üye Devletin enerji politikasının etkileyebildiği doğalgaz gibi düşük kükürtlü yakıtların kullanılırlığıyla ilişkili kısıtlar nedeniyle sınırlı olabilir</w:t>
            </w:r>
          </w:p>
        </w:tc>
      </w:tr>
      <w:tr w:rsidR="00A508A2" w:rsidRPr="00DD0D1F" w14:paraId="2BB771DB" w14:textId="77777777" w:rsidTr="00A508A2">
        <w:trPr>
          <w:trHeight w:val="1440"/>
          <w:jc w:val="center"/>
        </w:trPr>
        <w:tc>
          <w:tcPr>
            <w:tcW w:w="2705" w:type="dxa"/>
          </w:tcPr>
          <w:p w14:paraId="7CAF5F2A" w14:textId="77777777" w:rsidR="00A508A2" w:rsidRPr="00DD0D1F" w:rsidRDefault="00A508A2" w:rsidP="00A508A2">
            <w:pPr>
              <w:pStyle w:val="TableParagraph"/>
              <w:spacing w:before="2"/>
              <w:rPr>
                <w:szCs w:val="24"/>
              </w:rPr>
            </w:pPr>
          </w:p>
          <w:p w14:paraId="6EE2BF2C" w14:textId="77777777" w:rsidR="00A508A2" w:rsidRPr="00DD0D1F" w:rsidRDefault="00A508A2" w:rsidP="00A508A2">
            <w:pPr>
              <w:pStyle w:val="TableParagraph"/>
              <w:tabs>
                <w:tab w:val="left" w:pos="657"/>
              </w:tabs>
              <w:spacing w:before="1" w:line="232" w:lineRule="auto"/>
              <w:ind w:left="674" w:right="101" w:hanging="603"/>
              <w:rPr>
                <w:szCs w:val="24"/>
              </w:rPr>
            </w:pPr>
            <w:r w:rsidRPr="00DD0D1F">
              <w:rPr>
                <w:szCs w:val="24"/>
              </w:rPr>
              <w:t>ii.</w:t>
            </w:r>
            <w:r w:rsidRPr="00DD0D1F">
              <w:rPr>
                <w:szCs w:val="24"/>
              </w:rPr>
              <w:tab/>
              <w:t>Rafineri yakıt gazının (RFG) arıtılması</w:t>
            </w:r>
          </w:p>
        </w:tc>
        <w:tc>
          <w:tcPr>
            <w:tcW w:w="2900" w:type="dxa"/>
          </w:tcPr>
          <w:p w14:paraId="0BCCF100" w14:textId="77777777" w:rsidR="00A508A2" w:rsidRPr="00DD0D1F" w:rsidRDefault="00A508A2" w:rsidP="00A508A2">
            <w:pPr>
              <w:pStyle w:val="TableParagraph"/>
              <w:ind w:left="110" w:right="96"/>
              <w:jc w:val="both"/>
              <w:rPr>
                <w:szCs w:val="24"/>
              </w:rPr>
            </w:pPr>
            <w:r w:rsidRPr="00DD0D1F">
              <w:rPr>
                <w:szCs w:val="24"/>
              </w:rPr>
              <w:t>RFG'deki Artık H</w:t>
            </w:r>
            <w:r w:rsidRPr="00DD0D1F">
              <w:rPr>
                <w:szCs w:val="24"/>
                <w:vertAlign w:val="subscript"/>
              </w:rPr>
              <w:t>2</w:t>
            </w:r>
            <w:r w:rsidRPr="00DD0D1F">
              <w:rPr>
                <w:szCs w:val="24"/>
              </w:rPr>
              <w:t>S yoğunluğu, arıtma prosesi parametresine bağlıdır; ör. amin yıkama basıncı.</w:t>
            </w:r>
          </w:p>
          <w:p w14:paraId="504643C6" w14:textId="449717BA" w:rsidR="00A508A2" w:rsidRPr="00DD0D1F" w:rsidRDefault="00FC13C1" w:rsidP="00A508A2">
            <w:pPr>
              <w:pStyle w:val="TableParagraph"/>
              <w:spacing w:line="217" w:lineRule="exact"/>
              <w:ind w:left="110"/>
              <w:jc w:val="both"/>
              <w:rPr>
                <w:szCs w:val="24"/>
              </w:rPr>
            </w:pPr>
            <w:r w:rsidRPr="00DD0D1F">
              <w:rPr>
                <w:szCs w:val="24"/>
              </w:rPr>
              <w:t>Bölüm 1.20.3 bakınız.</w:t>
            </w:r>
          </w:p>
        </w:tc>
        <w:tc>
          <w:tcPr>
            <w:tcW w:w="2902" w:type="dxa"/>
          </w:tcPr>
          <w:p w14:paraId="32A2D44E" w14:textId="77777777" w:rsidR="00A508A2" w:rsidRPr="00DD0D1F" w:rsidRDefault="00A508A2" w:rsidP="00A508A2">
            <w:pPr>
              <w:pStyle w:val="TableParagraph"/>
              <w:ind w:left="110" w:right="95"/>
              <w:jc w:val="both"/>
              <w:rPr>
                <w:szCs w:val="24"/>
              </w:rPr>
            </w:pPr>
            <w:r w:rsidRPr="00DD0D1F">
              <w:rPr>
                <w:szCs w:val="24"/>
              </w:rPr>
              <w:t>Örneğin koklaştırma birimlerinden kaynaklanan karbonil sülfür (COS) içeren düşük kalorili gaz ile ilgili olarak H</w:t>
            </w:r>
            <w:r w:rsidRPr="00DD0D1F">
              <w:rPr>
                <w:szCs w:val="24"/>
                <w:vertAlign w:val="subscript"/>
              </w:rPr>
              <w:t>2</w:t>
            </w:r>
            <w:r w:rsidRPr="00DD0D1F">
              <w:rPr>
                <w:szCs w:val="24"/>
              </w:rPr>
              <w:t>S giderimi öncesinde konvertör gereklidir</w:t>
            </w:r>
          </w:p>
        </w:tc>
      </w:tr>
      <w:tr w:rsidR="00A508A2" w:rsidRPr="00DD0D1F" w14:paraId="0B39652B" w14:textId="77777777" w:rsidTr="00A508A2">
        <w:trPr>
          <w:trHeight w:val="1840"/>
          <w:jc w:val="center"/>
        </w:trPr>
        <w:tc>
          <w:tcPr>
            <w:tcW w:w="2705" w:type="dxa"/>
          </w:tcPr>
          <w:p w14:paraId="379796E8" w14:textId="77777777" w:rsidR="00A508A2" w:rsidRPr="00DD0D1F" w:rsidRDefault="00A508A2" w:rsidP="00A508A2">
            <w:pPr>
              <w:pStyle w:val="TableParagraph"/>
              <w:spacing w:before="2"/>
              <w:rPr>
                <w:szCs w:val="24"/>
              </w:rPr>
            </w:pPr>
          </w:p>
          <w:p w14:paraId="4D850C89" w14:textId="77777777" w:rsidR="00A508A2" w:rsidRPr="00DD0D1F" w:rsidRDefault="00A508A2" w:rsidP="00A508A2">
            <w:pPr>
              <w:pStyle w:val="TableParagraph"/>
              <w:spacing w:line="232" w:lineRule="auto"/>
              <w:ind w:left="674" w:right="100" w:hanging="663"/>
              <w:jc w:val="both"/>
              <w:rPr>
                <w:szCs w:val="24"/>
              </w:rPr>
            </w:pPr>
            <w:r w:rsidRPr="00DD0D1F">
              <w:rPr>
                <w:szCs w:val="24"/>
              </w:rPr>
              <w:t>iii.    Düşük kükürtlü rafineri akaryakıtı (RFO) kullanımı; ör. RFO seçimiyle veya RFO'ya hydrotreatment uygulanmasıyla</w:t>
            </w:r>
          </w:p>
        </w:tc>
        <w:tc>
          <w:tcPr>
            <w:tcW w:w="2900" w:type="dxa"/>
          </w:tcPr>
          <w:p w14:paraId="043EBDD6" w14:textId="77777777" w:rsidR="00A508A2" w:rsidRPr="00DD0D1F" w:rsidRDefault="00A508A2" w:rsidP="00A508A2">
            <w:pPr>
              <w:pStyle w:val="TableParagraph"/>
              <w:ind w:left="110" w:right="95"/>
              <w:jc w:val="both"/>
              <w:rPr>
                <w:szCs w:val="24"/>
              </w:rPr>
            </w:pPr>
            <w:r w:rsidRPr="00DD0D1F">
              <w:rPr>
                <w:szCs w:val="24"/>
              </w:rPr>
              <w:t>Birimin kullanması muhtemel kaynaklar arasında, düşük kükürtlü akaryakıtların seçimine öncelik verilir.</w:t>
            </w:r>
          </w:p>
          <w:p w14:paraId="76057AF4" w14:textId="4E3B0890" w:rsidR="00A508A2" w:rsidRPr="00DD0D1F" w:rsidRDefault="00A508A2" w:rsidP="00A508A2">
            <w:pPr>
              <w:pStyle w:val="TableParagraph"/>
              <w:ind w:left="110" w:right="97"/>
              <w:jc w:val="both"/>
              <w:rPr>
                <w:szCs w:val="24"/>
              </w:rPr>
            </w:pPr>
            <w:r w:rsidRPr="00DD0D1F">
              <w:rPr>
                <w:szCs w:val="24"/>
              </w:rPr>
              <w:t xml:space="preserve">Hydrotreatment işleminin amacı yakıttaki kükürt, azot ve metal </w:t>
            </w:r>
            <w:r w:rsidR="001C5B37" w:rsidRPr="00DD0D1F">
              <w:rPr>
                <w:szCs w:val="24"/>
              </w:rPr>
              <w:t xml:space="preserve">içeriğinin  </w:t>
            </w:r>
            <w:r w:rsidRPr="00DD0D1F">
              <w:rPr>
                <w:szCs w:val="24"/>
              </w:rPr>
              <w:t>düşürülmesidir.</w:t>
            </w:r>
          </w:p>
          <w:p w14:paraId="4B4AD608" w14:textId="098077BA" w:rsidR="00A508A2" w:rsidRPr="00DD0D1F" w:rsidRDefault="00FC13C1" w:rsidP="00A508A2">
            <w:pPr>
              <w:pStyle w:val="TableParagraph"/>
              <w:spacing w:line="217" w:lineRule="exact"/>
              <w:ind w:left="110"/>
              <w:jc w:val="both"/>
              <w:rPr>
                <w:szCs w:val="24"/>
              </w:rPr>
            </w:pPr>
            <w:r w:rsidRPr="00DD0D1F">
              <w:rPr>
                <w:szCs w:val="24"/>
              </w:rPr>
              <w:t>Bölüm 1.20.3 bakınız.</w:t>
            </w:r>
          </w:p>
        </w:tc>
        <w:tc>
          <w:tcPr>
            <w:tcW w:w="2902" w:type="dxa"/>
          </w:tcPr>
          <w:p w14:paraId="1101C042" w14:textId="77777777" w:rsidR="00A508A2" w:rsidRPr="00DD0D1F" w:rsidRDefault="00A508A2" w:rsidP="00A508A2">
            <w:pPr>
              <w:pStyle w:val="TableParagraph"/>
              <w:spacing w:before="108"/>
              <w:ind w:left="110" w:right="95"/>
              <w:jc w:val="both"/>
              <w:rPr>
                <w:szCs w:val="24"/>
              </w:rPr>
            </w:pPr>
            <w:r w:rsidRPr="00DD0D1F">
              <w:rPr>
                <w:szCs w:val="24"/>
              </w:rPr>
              <w:t>Düşük kükürtlü akaryakıtların, hidrojen üretiminin ve hidrojen sülfür (H</w:t>
            </w:r>
            <w:r w:rsidRPr="00DD0D1F">
              <w:rPr>
                <w:szCs w:val="24"/>
                <w:vertAlign w:val="subscript"/>
              </w:rPr>
              <w:t>2</w:t>
            </w:r>
            <w:r w:rsidRPr="00DD0D1F">
              <w:rPr>
                <w:szCs w:val="24"/>
              </w:rPr>
              <w:t>S) arıtma kapasitesinin (ör. amin ve Claus birimleri) kullanılırlığı uygulanabilirliği kısıtlamaktadır.</w:t>
            </w:r>
          </w:p>
        </w:tc>
      </w:tr>
    </w:tbl>
    <w:p w14:paraId="21CE54EE" w14:textId="622F0DC8" w:rsidR="00A508A2" w:rsidRPr="00695881" w:rsidRDefault="00A508A2" w:rsidP="00695881">
      <w:pPr>
        <w:pStyle w:val="ListeParagraf"/>
        <w:widowControl w:val="0"/>
        <w:numPr>
          <w:ilvl w:val="0"/>
          <w:numId w:val="90"/>
        </w:numPr>
        <w:tabs>
          <w:tab w:val="left" w:pos="1173"/>
          <w:tab w:val="left" w:pos="1174"/>
        </w:tabs>
        <w:autoSpaceDE w:val="0"/>
        <w:autoSpaceDN w:val="0"/>
        <w:spacing w:line="240" w:lineRule="auto"/>
        <w:ind w:hanging="544"/>
        <w:contextualSpacing w:val="0"/>
        <w:jc w:val="left"/>
        <w:rPr>
          <w:rFonts w:cs="Times New Roman"/>
          <w:b/>
          <w:bCs/>
          <w:szCs w:val="24"/>
          <w:lang w:val="tr-TR"/>
        </w:rPr>
      </w:pPr>
      <w:r w:rsidRPr="00695881">
        <w:rPr>
          <w:rFonts w:cs="Times New Roman"/>
          <w:b/>
          <w:bCs/>
          <w:szCs w:val="24"/>
          <w:lang w:val="tr-TR"/>
        </w:rPr>
        <w:t>İkincil veya boru çıkışı teknikleri: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3159"/>
        <w:gridCol w:w="2914"/>
      </w:tblGrid>
      <w:tr w:rsidR="00A508A2" w:rsidRPr="00DD0D1F" w14:paraId="43C5A548" w14:textId="77777777" w:rsidTr="00A508A2">
        <w:trPr>
          <w:trHeight w:val="285"/>
          <w:jc w:val="center"/>
        </w:trPr>
        <w:tc>
          <w:tcPr>
            <w:tcW w:w="2434" w:type="dxa"/>
          </w:tcPr>
          <w:p w14:paraId="6DD5C2D9" w14:textId="77777777" w:rsidR="00A508A2" w:rsidRPr="00DD0D1F" w:rsidRDefault="00A508A2" w:rsidP="00A508A2">
            <w:pPr>
              <w:pStyle w:val="TableParagraph"/>
              <w:spacing w:before="26"/>
              <w:ind w:left="765"/>
              <w:rPr>
                <w:b/>
                <w:szCs w:val="24"/>
              </w:rPr>
            </w:pPr>
            <w:r w:rsidRPr="00DD0D1F">
              <w:rPr>
                <w:b/>
                <w:bCs/>
                <w:szCs w:val="24"/>
              </w:rPr>
              <w:t>Teknik</w:t>
            </w:r>
          </w:p>
        </w:tc>
        <w:tc>
          <w:tcPr>
            <w:tcW w:w="3159" w:type="dxa"/>
          </w:tcPr>
          <w:p w14:paraId="3CA0E961" w14:textId="77777777" w:rsidR="00A508A2" w:rsidRPr="00DD0D1F" w:rsidRDefault="00A508A2" w:rsidP="00A508A2">
            <w:pPr>
              <w:pStyle w:val="TableParagraph"/>
              <w:spacing w:before="26"/>
              <w:ind w:left="1063" w:right="1056"/>
              <w:jc w:val="center"/>
              <w:rPr>
                <w:b/>
                <w:szCs w:val="24"/>
              </w:rPr>
            </w:pPr>
            <w:r w:rsidRPr="00DD0D1F">
              <w:rPr>
                <w:b/>
                <w:bCs/>
                <w:szCs w:val="24"/>
              </w:rPr>
              <w:t>Açıklama</w:t>
            </w:r>
          </w:p>
        </w:tc>
        <w:tc>
          <w:tcPr>
            <w:tcW w:w="2914" w:type="dxa"/>
          </w:tcPr>
          <w:p w14:paraId="04261378" w14:textId="77777777" w:rsidR="00A508A2" w:rsidRPr="00DD0D1F" w:rsidRDefault="00A508A2" w:rsidP="00A508A2">
            <w:pPr>
              <w:pStyle w:val="TableParagraph"/>
              <w:spacing w:before="26"/>
              <w:ind w:left="900"/>
              <w:rPr>
                <w:b/>
                <w:szCs w:val="24"/>
              </w:rPr>
            </w:pPr>
            <w:r w:rsidRPr="00DD0D1F">
              <w:rPr>
                <w:b/>
                <w:bCs/>
                <w:szCs w:val="24"/>
              </w:rPr>
              <w:t>Uygulanabilirlik</w:t>
            </w:r>
          </w:p>
        </w:tc>
      </w:tr>
      <w:tr w:rsidR="00A508A2" w:rsidRPr="00DD0D1F" w14:paraId="0B3CFC48" w14:textId="77777777" w:rsidTr="00A508A2">
        <w:trPr>
          <w:trHeight w:val="2146"/>
          <w:jc w:val="center"/>
        </w:trPr>
        <w:tc>
          <w:tcPr>
            <w:tcW w:w="2434" w:type="dxa"/>
          </w:tcPr>
          <w:p w14:paraId="106287F6" w14:textId="77777777" w:rsidR="00A508A2" w:rsidRPr="00DD0D1F" w:rsidRDefault="00A508A2" w:rsidP="00A508A2">
            <w:pPr>
              <w:pStyle w:val="TableParagraph"/>
              <w:rPr>
                <w:szCs w:val="24"/>
              </w:rPr>
            </w:pPr>
          </w:p>
          <w:p w14:paraId="2F06A2D0" w14:textId="77777777" w:rsidR="00A508A2" w:rsidRPr="00DD0D1F" w:rsidRDefault="00A508A2" w:rsidP="00A508A2">
            <w:pPr>
              <w:pStyle w:val="TableParagraph"/>
              <w:rPr>
                <w:szCs w:val="24"/>
              </w:rPr>
            </w:pPr>
          </w:p>
          <w:p w14:paraId="2CA0D31D" w14:textId="77777777" w:rsidR="00A508A2" w:rsidRPr="00DD0D1F" w:rsidRDefault="00A508A2" w:rsidP="00A508A2">
            <w:pPr>
              <w:pStyle w:val="TableParagraph"/>
              <w:rPr>
                <w:szCs w:val="24"/>
              </w:rPr>
            </w:pPr>
          </w:p>
          <w:p w14:paraId="30CFD94D" w14:textId="77777777" w:rsidR="00A508A2" w:rsidRPr="00DD0D1F" w:rsidRDefault="00A508A2" w:rsidP="00A508A2">
            <w:pPr>
              <w:pStyle w:val="TableParagraph"/>
              <w:spacing w:before="4"/>
              <w:rPr>
                <w:szCs w:val="24"/>
              </w:rPr>
            </w:pPr>
          </w:p>
          <w:p w14:paraId="30D029AD" w14:textId="77777777" w:rsidR="00A508A2" w:rsidRPr="00DD0D1F" w:rsidRDefault="00A508A2" w:rsidP="00A508A2">
            <w:pPr>
              <w:pStyle w:val="TableParagraph"/>
              <w:tabs>
                <w:tab w:val="left" w:pos="588"/>
              </w:tabs>
              <w:ind w:left="588" w:right="438" w:hanging="467"/>
              <w:rPr>
                <w:szCs w:val="24"/>
              </w:rPr>
            </w:pPr>
            <w:r w:rsidRPr="00DD0D1F">
              <w:rPr>
                <w:szCs w:val="24"/>
              </w:rPr>
              <w:t>i.</w:t>
            </w:r>
            <w:r w:rsidRPr="00DD0D1F">
              <w:rPr>
                <w:szCs w:val="24"/>
              </w:rPr>
              <w:tab/>
              <w:t>Rejeneratif olmayan yıkama</w:t>
            </w:r>
          </w:p>
        </w:tc>
        <w:tc>
          <w:tcPr>
            <w:tcW w:w="3159" w:type="dxa"/>
          </w:tcPr>
          <w:p w14:paraId="3CDBAF5C" w14:textId="77777777" w:rsidR="00A508A2" w:rsidRPr="00DD0D1F" w:rsidRDefault="00A508A2" w:rsidP="00A508A2">
            <w:pPr>
              <w:pStyle w:val="TableParagraph"/>
              <w:rPr>
                <w:szCs w:val="24"/>
              </w:rPr>
            </w:pPr>
          </w:p>
          <w:p w14:paraId="52E32A46" w14:textId="77777777" w:rsidR="00A508A2" w:rsidRPr="00DD0D1F" w:rsidRDefault="00A508A2" w:rsidP="00A508A2">
            <w:pPr>
              <w:pStyle w:val="TableParagraph"/>
              <w:rPr>
                <w:szCs w:val="24"/>
              </w:rPr>
            </w:pPr>
          </w:p>
          <w:p w14:paraId="6FD98EB4" w14:textId="77777777" w:rsidR="00A508A2" w:rsidRPr="00DD0D1F" w:rsidRDefault="00A508A2" w:rsidP="00A508A2">
            <w:pPr>
              <w:pStyle w:val="TableParagraph"/>
              <w:rPr>
                <w:szCs w:val="24"/>
              </w:rPr>
            </w:pPr>
          </w:p>
          <w:p w14:paraId="08446FFA" w14:textId="5524D8DA" w:rsidR="00A508A2" w:rsidRPr="00DD0D1F" w:rsidRDefault="00A508A2" w:rsidP="00A508A2">
            <w:pPr>
              <w:pStyle w:val="TableParagraph"/>
              <w:tabs>
                <w:tab w:val="left" w:pos="750"/>
                <w:tab w:val="left" w:pos="1858"/>
                <w:tab w:val="left" w:pos="2349"/>
              </w:tabs>
              <w:spacing w:before="153"/>
              <w:ind w:left="95" w:right="100"/>
              <w:rPr>
                <w:szCs w:val="24"/>
              </w:rPr>
            </w:pPr>
            <w:r w:rsidRPr="00DD0D1F">
              <w:rPr>
                <w:szCs w:val="24"/>
              </w:rPr>
              <w:t>Yaş yıkama veya tuzlu su yıkaması</w:t>
            </w:r>
          </w:p>
          <w:p w14:paraId="019FFEB0" w14:textId="77777777" w:rsidR="00FC13C1" w:rsidRPr="00DD0D1F" w:rsidRDefault="00FC13C1" w:rsidP="00A508A2">
            <w:pPr>
              <w:pStyle w:val="TableParagraph"/>
              <w:tabs>
                <w:tab w:val="left" w:pos="750"/>
                <w:tab w:val="left" w:pos="1858"/>
                <w:tab w:val="left" w:pos="2349"/>
              </w:tabs>
              <w:spacing w:before="153"/>
              <w:ind w:left="95" w:right="100"/>
              <w:rPr>
                <w:szCs w:val="24"/>
              </w:rPr>
            </w:pPr>
          </w:p>
          <w:p w14:paraId="4488828B" w14:textId="18FE9FCB" w:rsidR="00A508A2" w:rsidRPr="00DD0D1F" w:rsidRDefault="00FC13C1" w:rsidP="00A508A2">
            <w:pPr>
              <w:pStyle w:val="TableParagraph"/>
              <w:spacing w:before="1"/>
              <w:ind w:left="95"/>
              <w:rPr>
                <w:szCs w:val="24"/>
              </w:rPr>
            </w:pPr>
            <w:r w:rsidRPr="00DD0D1F">
              <w:rPr>
                <w:szCs w:val="24"/>
              </w:rPr>
              <w:t>Bölüm 1.20.3  bakınız.</w:t>
            </w:r>
          </w:p>
        </w:tc>
        <w:tc>
          <w:tcPr>
            <w:tcW w:w="2914" w:type="dxa"/>
          </w:tcPr>
          <w:p w14:paraId="4404D53A" w14:textId="77777777" w:rsidR="00A508A2" w:rsidRPr="00DD0D1F" w:rsidRDefault="00A508A2" w:rsidP="00A508A2">
            <w:pPr>
              <w:pStyle w:val="TableParagraph"/>
              <w:ind w:left="108" w:right="96"/>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0874FDE5" w14:textId="77777777" w:rsidR="00A508A2" w:rsidRPr="00DD0D1F" w:rsidRDefault="00A508A2" w:rsidP="00A508A2">
            <w:pPr>
              <w:pStyle w:val="TableParagraph"/>
              <w:ind w:left="108" w:right="98"/>
              <w:jc w:val="both"/>
              <w:rPr>
                <w:szCs w:val="24"/>
              </w:rPr>
            </w:pPr>
            <w:r w:rsidRPr="00DD0D1F">
              <w:rPr>
                <w:szCs w:val="24"/>
              </w:rPr>
              <w:t>Mevcut birimler bakımından tekniğin uygulanabilirliği, yer varlığıyla sınırlı olabilir</w:t>
            </w:r>
          </w:p>
        </w:tc>
      </w:tr>
      <w:tr w:rsidR="00A508A2" w:rsidRPr="00DD0D1F" w14:paraId="2C6A8BBB" w14:textId="77777777" w:rsidTr="00A508A2">
        <w:trPr>
          <w:trHeight w:val="2301"/>
          <w:jc w:val="center"/>
        </w:trPr>
        <w:tc>
          <w:tcPr>
            <w:tcW w:w="2434" w:type="dxa"/>
          </w:tcPr>
          <w:p w14:paraId="3DA71193" w14:textId="77777777" w:rsidR="00A508A2" w:rsidRPr="00DD0D1F" w:rsidRDefault="00A508A2" w:rsidP="00A508A2">
            <w:pPr>
              <w:pStyle w:val="TableParagraph"/>
              <w:rPr>
                <w:szCs w:val="24"/>
              </w:rPr>
            </w:pPr>
          </w:p>
          <w:p w14:paraId="4D5A0FD0" w14:textId="77777777" w:rsidR="00A508A2" w:rsidRPr="00DD0D1F" w:rsidRDefault="00A508A2" w:rsidP="00A508A2">
            <w:pPr>
              <w:pStyle w:val="TableParagraph"/>
              <w:rPr>
                <w:szCs w:val="24"/>
              </w:rPr>
            </w:pPr>
          </w:p>
          <w:p w14:paraId="131D8F7C" w14:textId="77777777" w:rsidR="00A508A2" w:rsidRPr="00DD0D1F" w:rsidRDefault="00A508A2" w:rsidP="00A508A2">
            <w:pPr>
              <w:pStyle w:val="TableParagraph"/>
              <w:rPr>
                <w:szCs w:val="24"/>
              </w:rPr>
            </w:pPr>
          </w:p>
          <w:p w14:paraId="70163141" w14:textId="77777777" w:rsidR="00A508A2" w:rsidRPr="00DD0D1F" w:rsidRDefault="00A508A2" w:rsidP="00A508A2">
            <w:pPr>
              <w:pStyle w:val="TableParagraph"/>
              <w:tabs>
                <w:tab w:val="left" w:pos="588"/>
              </w:tabs>
              <w:spacing w:before="156"/>
              <w:ind w:left="588" w:right="781" w:hanging="522"/>
              <w:rPr>
                <w:szCs w:val="24"/>
              </w:rPr>
            </w:pPr>
            <w:r w:rsidRPr="00DD0D1F">
              <w:rPr>
                <w:szCs w:val="24"/>
              </w:rPr>
              <w:t>ii.</w:t>
            </w:r>
            <w:r w:rsidRPr="00DD0D1F">
              <w:rPr>
                <w:szCs w:val="24"/>
              </w:rPr>
              <w:tab/>
              <w:t>Rejeneratif yıkama</w:t>
            </w:r>
          </w:p>
        </w:tc>
        <w:tc>
          <w:tcPr>
            <w:tcW w:w="3159" w:type="dxa"/>
          </w:tcPr>
          <w:p w14:paraId="1E6C8712" w14:textId="77777777" w:rsidR="00A508A2" w:rsidRPr="00DD0D1F" w:rsidRDefault="00A508A2" w:rsidP="00A508A2">
            <w:pPr>
              <w:pStyle w:val="TableParagraph"/>
              <w:spacing w:before="5"/>
              <w:rPr>
                <w:szCs w:val="24"/>
              </w:rPr>
            </w:pPr>
          </w:p>
          <w:p w14:paraId="44868C24" w14:textId="1D372FEA" w:rsidR="00A508A2" w:rsidRPr="00DD0D1F" w:rsidRDefault="00A508A2" w:rsidP="00A508A2">
            <w:pPr>
              <w:pStyle w:val="TableParagraph"/>
              <w:spacing w:before="1"/>
              <w:ind w:left="107" w:right="95"/>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p w14:paraId="6935EF29" w14:textId="77777777" w:rsidR="00FC13C1" w:rsidRPr="00DD0D1F" w:rsidRDefault="00FC13C1" w:rsidP="00A508A2">
            <w:pPr>
              <w:pStyle w:val="TableParagraph"/>
              <w:spacing w:before="1"/>
              <w:ind w:left="107" w:right="95"/>
              <w:jc w:val="both"/>
              <w:rPr>
                <w:szCs w:val="24"/>
              </w:rPr>
            </w:pPr>
          </w:p>
          <w:p w14:paraId="78BB094E" w14:textId="1EF624DA" w:rsidR="00A508A2" w:rsidRPr="00DD0D1F" w:rsidRDefault="00FC13C1" w:rsidP="00A508A2">
            <w:pPr>
              <w:pStyle w:val="TableParagraph"/>
              <w:ind w:left="107"/>
              <w:jc w:val="both"/>
              <w:rPr>
                <w:szCs w:val="24"/>
              </w:rPr>
            </w:pPr>
            <w:r w:rsidRPr="00DD0D1F">
              <w:rPr>
                <w:szCs w:val="24"/>
              </w:rPr>
              <w:t>Bölüm 1.20.3 bakınız.</w:t>
            </w:r>
          </w:p>
        </w:tc>
        <w:tc>
          <w:tcPr>
            <w:tcW w:w="2914" w:type="dxa"/>
          </w:tcPr>
          <w:p w14:paraId="3A60F96F" w14:textId="77777777" w:rsidR="00A508A2" w:rsidRPr="00DD0D1F" w:rsidRDefault="00A508A2" w:rsidP="00A508A2">
            <w:pPr>
              <w:pStyle w:val="TableParagraph"/>
              <w:ind w:left="108" w:right="96"/>
              <w:jc w:val="both"/>
              <w:rPr>
                <w:szCs w:val="24"/>
              </w:rPr>
            </w:pPr>
            <w:r w:rsidRPr="00DD0D1F">
              <w:rPr>
                <w:szCs w:val="24"/>
              </w:rPr>
              <w:t>Uygulanabilirlik, rejenere edilen yan ürünlerin satılabilir oldukları durumla sınırlıdır.</w:t>
            </w:r>
          </w:p>
          <w:p w14:paraId="354DFA28" w14:textId="77777777" w:rsidR="00A508A2" w:rsidRPr="00DD0D1F" w:rsidRDefault="00A508A2" w:rsidP="00A508A2">
            <w:pPr>
              <w:pStyle w:val="TableParagraph"/>
              <w:ind w:left="108" w:right="98"/>
              <w:jc w:val="both"/>
              <w:rPr>
                <w:szCs w:val="24"/>
              </w:rPr>
            </w:pPr>
            <w:r w:rsidRPr="00DD0D1F">
              <w:rPr>
                <w:szCs w:val="24"/>
              </w:rPr>
              <w:t>Mevcut kükürt geri kazanımı kapasitesi nedeniyle mevcut birimlere entegrasyon sınırlı olabilir.</w:t>
            </w:r>
          </w:p>
          <w:p w14:paraId="0B829A6A" w14:textId="77777777" w:rsidR="00A508A2" w:rsidRPr="00DD0D1F" w:rsidRDefault="00A508A2" w:rsidP="00A508A2">
            <w:pPr>
              <w:pStyle w:val="TableParagraph"/>
              <w:spacing w:line="230" w:lineRule="exact"/>
              <w:ind w:left="108" w:right="98"/>
              <w:jc w:val="both"/>
              <w:rPr>
                <w:szCs w:val="24"/>
              </w:rPr>
            </w:pPr>
            <w:r w:rsidRPr="00DD0D1F">
              <w:rPr>
                <w:szCs w:val="24"/>
              </w:rPr>
              <w:t>Mevcut birimler bakımından tekniğin uygulanabilirliği, yer varlığıyla sınırlı olabilir</w:t>
            </w:r>
          </w:p>
        </w:tc>
      </w:tr>
      <w:tr w:rsidR="00A508A2" w:rsidRPr="00DD0D1F" w14:paraId="4FFA491F" w14:textId="77777777" w:rsidTr="00A508A2">
        <w:trPr>
          <w:trHeight w:val="918"/>
          <w:jc w:val="center"/>
        </w:trPr>
        <w:tc>
          <w:tcPr>
            <w:tcW w:w="2434" w:type="dxa"/>
          </w:tcPr>
          <w:p w14:paraId="0E7F59C1" w14:textId="77777777" w:rsidR="00A508A2" w:rsidRPr="00DD0D1F" w:rsidRDefault="00A508A2" w:rsidP="00A508A2">
            <w:pPr>
              <w:pStyle w:val="TableParagraph"/>
              <w:spacing w:before="5"/>
              <w:rPr>
                <w:szCs w:val="24"/>
              </w:rPr>
            </w:pPr>
          </w:p>
          <w:p w14:paraId="46A30C44" w14:textId="77777777" w:rsidR="00A508A2" w:rsidRPr="00DD0D1F" w:rsidRDefault="00A508A2" w:rsidP="00A508A2">
            <w:pPr>
              <w:pStyle w:val="TableParagraph"/>
              <w:tabs>
                <w:tab w:val="left" w:pos="588"/>
                <w:tab w:val="left" w:pos="1533"/>
              </w:tabs>
              <w:ind w:left="588" w:right="100" w:hanging="577"/>
              <w:rPr>
                <w:szCs w:val="24"/>
              </w:rPr>
            </w:pPr>
            <w:r w:rsidRPr="00DD0D1F">
              <w:rPr>
                <w:szCs w:val="24"/>
              </w:rPr>
              <w:t>iii.</w:t>
            </w:r>
            <w:r w:rsidRPr="00DD0D1F">
              <w:rPr>
                <w:szCs w:val="24"/>
              </w:rPr>
              <w:tab/>
              <w:t>SNO</w:t>
            </w:r>
            <w:r w:rsidRPr="00DD0D1F">
              <w:rPr>
                <w:szCs w:val="24"/>
                <w:vertAlign w:val="subscript"/>
              </w:rPr>
              <w:t xml:space="preserve">X </w:t>
            </w:r>
            <w:r w:rsidRPr="00DD0D1F">
              <w:rPr>
                <w:szCs w:val="24"/>
              </w:rPr>
              <w:t>bileşik</w:t>
            </w:r>
          </w:p>
          <w:p w14:paraId="781A6DA8" w14:textId="77777777" w:rsidR="00A508A2" w:rsidRPr="00DD0D1F" w:rsidRDefault="00A508A2" w:rsidP="00A508A2">
            <w:pPr>
              <w:pStyle w:val="TableParagraph"/>
              <w:tabs>
                <w:tab w:val="left" w:pos="588"/>
                <w:tab w:val="left" w:pos="1533"/>
              </w:tabs>
              <w:ind w:left="588" w:right="100" w:hanging="577"/>
              <w:rPr>
                <w:szCs w:val="24"/>
              </w:rPr>
            </w:pPr>
            <w:r w:rsidRPr="00DD0D1F">
              <w:rPr>
                <w:szCs w:val="24"/>
              </w:rPr>
              <w:t xml:space="preserve">            tekniği</w:t>
            </w:r>
          </w:p>
        </w:tc>
        <w:tc>
          <w:tcPr>
            <w:tcW w:w="3159" w:type="dxa"/>
          </w:tcPr>
          <w:p w14:paraId="28EDC7E2" w14:textId="77777777" w:rsidR="00A508A2" w:rsidRPr="00DD0D1F" w:rsidRDefault="00A508A2" w:rsidP="00A508A2">
            <w:pPr>
              <w:pStyle w:val="TableParagraph"/>
              <w:spacing w:before="2"/>
              <w:rPr>
                <w:szCs w:val="24"/>
              </w:rPr>
            </w:pPr>
          </w:p>
          <w:p w14:paraId="4519FAB3" w14:textId="6E2FC122" w:rsidR="00A508A2" w:rsidRPr="00DD0D1F" w:rsidRDefault="00FC13C1" w:rsidP="00A508A2">
            <w:pPr>
              <w:pStyle w:val="TableParagraph"/>
              <w:spacing w:before="1"/>
              <w:ind w:left="95"/>
              <w:rPr>
                <w:szCs w:val="24"/>
              </w:rPr>
            </w:pPr>
            <w:r w:rsidRPr="00DD0D1F">
              <w:rPr>
                <w:szCs w:val="24"/>
              </w:rPr>
              <w:t>Bölüm 1.20.4  bakınız.</w:t>
            </w:r>
          </w:p>
        </w:tc>
        <w:tc>
          <w:tcPr>
            <w:tcW w:w="2914" w:type="dxa"/>
          </w:tcPr>
          <w:p w14:paraId="10B37774" w14:textId="59076FF5" w:rsidR="00A508A2" w:rsidRPr="00DD0D1F" w:rsidRDefault="00A508A2" w:rsidP="00A508A2">
            <w:pPr>
              <w:pStyle w:val="TableParagraph"/>
              <w:ind w:left="108" w:right="90"/>
              <w:rPr>
                <w:szCs w:val="24"/>
              </w:rPr>
            </w:pPr>
            <w:r w:rsidRPr="00DD0D1F">
              <w:rPr>
                <w:szCs w:val="24"/>
              </w:rPr>
              <w:t xml:space="preserve">Yalnızca yüksek </w:t>
            </w:r>
            <w:r w:rsidR="00E00B0A" w:rsidRPr="00DD0D1F">
              <w:rPr>
                <w:szCs w:val="24"/>
              </w:rPr>
              <w:t>baca</w:t>
            </w:r>
            <w:r w:rsidRPr="00DD0D1F">
              <w:rPr>
                <w:szCs w:val="24"/>
              </w:rPr>
              <w:t xml:space="preserve"> gazı (ör. &gt; 800 000 Nm</w:t>
            </w:r>
            <w:r w:rsidRPr="00DD0D1F">
              <w:rPr>
                <w:szCs w:val="24"/>
                <w:vertAlign w:val="superscript"/>
              </w:rPr>
              <w:t>3</w:t>
            </w:r>
            <w:r w:rsidRPr="00DD0D1F">
              <w:rPr>
                <w:szCs w:val="24"/>
              </w:rPr>
              <w:t>/h) debisi için ve bileşik NO</w:t>
            </w:r>
            <w:r w:rsidRPr="00DD0D1F">
              <w:rPr>
                <w:szCs w:val="24"/>
                <w:vertAlign w:val="subscript"/>
              </w:rPr>
              <w:t xml:space="preserve">X  </w:t>
            </w:r>
            <w:r w:rsidRPr="00DD0D1F">
              <w:rPr>
                <w:szCs w:val="24"/>
              </w:rPr>
              <w:t>ve SO</w:t>
            </w:r>
            <w:r w:rsidRPr="00DD0D1F">
              <w:rPr>
                <w:szCs w:val="24"/>
                <w:vertAlign w:val="subscript"/>
              </w:rPr>
              <w:t xml:space="preserve">X  </w:t>
            </w:r>
            <w:r w:rsidRPr="00DD0D1F">
              <w:rPr>
                <w:szCs w:val="24"/>
              </w:rPr>
              <w:t>azaltımı gerektiğinde uygulanabilir.</w:t>
            </w:r>
          </w:p>
        </w:tc>
      </w:tr>
    </w:tbl>
    <w:p w14:paraId="4FD41C01" w14:textId="77777777" w:rsidR="00A508A2" w:rsidRPr="00DD0D1F" w:rsidRDefault="00A508A2" w:rsidP="00A508A2">
      <w:pPr>
        <w:tabs>
          <w:tab w:val="left" w:pos="1173"/>
          <w:tab w:val="left" w:pos="1174"/>
        </w:tabs>
        <w:ind w:left="629"/>
        <w:rPr>
          <w:rFonts w:cs="Times New Roman"/>
          <w:szCs w:val="24"/>
          <w:lang w:val="tr-TR"/>
        </w:rPr>
      </w:pPr>
    </w:p>
    <w:p w14:paraId="174321DD"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Gaz türbinleri hariç, rafineri yakıt gazı (RFG) yakan yanma biriminden havaya SO</w:t>
      </w:r>
      <w:r w:rsidRPr="00DD0D1F">
        <w:rPr>
          <w:rFonts w:cs="Times New Roman"/>
          <w:bCs/>
          <w:color w:val="auto"/>
          <w:szCs w:val="24"/>
          <w:vertAlign w:val="subscript"/>
          <w:lang w:val="tr-TR"/>
        </w:rPr>
        <w:t>2</w:t>
      </w:r>
      <w:r w:rsidRPr="00DD0D1F">
        <w:rPr>
          <w:rFonts w:cs="Times New Roman"/>
          <w:bCs/>
          <w:color w:val="auto"/>
          <w:szCs w:val="24"/>
          <w:lang w:val="tr-TR"/>
        </w:rPr>
        <w:t xml:space="preserve"> bakımından MET ile ilişkili emisyon düzeyleri</w:t>
      </w:r>
    </w:p>
    <w:p w14:paraId="0576EA6A"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6062"/>
      </w:tblGrid>
      <w:tr w:rsidR="00A508A2" w:rsidRPr="00DD0D1F" w14:paraId="74A3A25B" w14:textId="77777777" w:rsidTr="00A508A2">
        <w:trPr>
          <w:trHeight w:val="690"/>
        </w:trPr>
        <w:tc>
          <w:tcPr>
            <w:tcW w:w="1661" w:type="pct"/>
          </w:tcPr>
          <w:p w14:paraId="3E0B90CA" w14:textId="77777777" w:rsidR="00A508A2" w:rsidRPr="00DD0D1F" w:rsidRDefault="00A508A2" w:rsidP="00A508A2">
            <w:pPr>
              <w:pStyle w:val="TableParagraph"/>
              <w:spacing w:before="9"/>
              <w:rPr>
                <w:b/>
                <w:szCs w:val="24"/>
              </w:rPr>
            </w:pPr>
          </w:p>
          <w:p w14:paraId="5CBE7CA2" w14:textId="77777777" w:rsidR="00A508A2" w:rsidRPr="00DD0D1F" w:rsidRDefault="00A508A2" w:rsidP="00A508A2">
            <w:pPr>
              <w:pStyle w:val="TableParagraph"/>
              <w:spacing w:before="1"/>
              <w:ind w:left="112" w:right="104"/>
              <w:jc w:val="center"/>
              <w:rPr>
                <w:b/>
                <w:szCs w:val="24"/>
              </w:rPr>
            </w:pPr>
            <w:r w:rsidRPr="00DD0D1F">
              <w:rPr>
                <w:b/>
                <w:bCs/>
                <w:szCs w:val="24"/>
              </w:rPr>
              <w:t>Parametre</w:t>
            </w:r>
          </w:p>
        </w:tc>
        <w:tc>
          <w:tcPr>
            <w:tcW w:w="3339" w:type="pct"/>
          </w:tcPr>
          <w:p w14:paraId="12C0383C" w14:textId="5E8C0FE7" w:rsidR="00A508A2" w:rsidRPr="00DD0D1F" w:rsidRDefault="007D7613" w:rsidP="00A508A2">
            <w:pPr>
              <w:pStyle w:val="TableParagraph"/>
              <w:spacing w:line="228" w:lineRule="exact"/>
              <w:ind w:left="2040" w:right="2029"/>
              <w:jc w:val="center"/>
              <w:rPr>
                <w:b/>
                <w:szCs w:val="24"/>
              </w:rPr>
            </w:pPr>
            <w:r w:rsidRPr="00DD0D1F">
              <w:rPr>
                <w:b/>
                <w:bCs/>
                <w:szCs w:val="24"/>
              </w:rPr>
              <w:t>MET_İES</w:t>
            </w:r>
          </w:p>
          <w:p w14:paraId="733A000E" w14:textId="77777777" w:rsidR="00A508A2" w:rsidRPr="00DD0D1F" w:rsidRDefault="00A508A2" w:rsidP="00A508A2">
            <w:pPr>
              <w:pStyle w:val="TableParagraph"/>
              <w:spacing w:line="228" w:lineRule="exact"/>
              <w:ind w:left="2040" w:right="2033"/>
              <w:jc w:val="center"/>
              <w:rPr>
                <w:b/>
                <w:szCs w:val="24"/>
              </w:rPr>
            </w:pPr>
            <w:r w:rsidRPr="00DD0D1F">
              <w:rPr>
                <w:b/>
                <w:bCs/>
                <w:szCs w:val="24"/>
              </w:rPr>
              <w:t>(aylık ortalama)</w:t>
            </w:r>
          </w:p>
          <w:p w14:paraId="13210403" w14:textId="77777777" w:rsidR="00A508A2" w:rsidRPr="00DD0D1F" w:rsidRDefault="00A508A2" w:rsidP="00A508A2">
            <w:pPr>
              <w:pStyle w:val="TableParagraph"/>
              <w:spacing w:line="215" w:lineRule="exact"/>
              <w:ind w:left="2039" w:right="2033"/>
              <w:jc w:val="center"/>
              <w:rPr>
                <w:szCs w:val="24"/>
              </w:rPr>
            </w:pPr>
            <w:r w:rsidRPr="00DD0D1F">
              <w:rPr>
                <w:szCs w:val="24"/>
              </w:rPr>
              <w:t>mg/Nm</w:t>
            </w:r>
            <w:r w:rsidRPr="00DD0D1F">
              <w:rPr>
                <w:szCs w:val="24"/>
                <w:vertAlign w:val="superscript"/>
              </w:rPr>
              <w:t>3</w:t>
            </w:r>
          </w:p>
        </w:tc>
      </w:tr>
      <w:tr w:rsidR="00A508A2" w:rsidRPr="00DD0D1F" w14:paraId="76A9DD42" w14:textId="77777777" w:rsidTr="00A508A2">
        <w:trPr>
          <w:trHeight w:val="282"/>
        </w:trPr>
        <w:tc>
          <w:tcPr>
            <w:tcW w:w="1661" w:type="pct"/>
          </w:tcPr>
          <w:p w14:paraId="449870E6" w14:textId="77777777" w:rsidR="00A508A2" w:rsidRPr="00DD0D1F" w:rsidRDefault="00A508A2" w:rsidP="00A508A2">
            <w:pPr>
              <w:pStyle w:val="TableParagraph"/>
              <w:spacing w:before="19"/>
              <w:ind w:left="108" w:right="104"/>
              <w:jc w:val="center"/>
              <w:rPr>
                <w:szCs w:val="24"/>
              </w:rPr>
            </w:pPr>
            <w:r w:rsidRPr="00DD0D1F">
              <w:rPr>
                <w:szCs w:val="24"/>
              </w:rPr>
              <w:t>SO</w:t>
            </w:r>
            <w:r w:rsidRPr="00DD0D1F">
              <w:rPr>
                <w:szCs w:val="24"/>
                <w:vertAlign w:val="subscript"/>
              </w:rPr>
              <w:t>2</w:t>
            </w:r>
          </w:p>
        </w:tc>
        <w:tc>
          <w:tcPr>
            <w:tcW w:w="3339" w:type="pct"/>
          </w:tcPr>
          <w:p w14:paraId="272FFA81" w14:textId="77777777" w:rsidR="00A508A2" w:rsidRPr="00DD0D1F" w:rsidRDefault="00A508A2" w:rsidP="00A508A2">
            <w:pPr>
              <w:pStyle w:val="TableParagraph"/>
              <w:spacing w:before="19"/>
              <w:ind w:left="2040" w:right="2030"/>
              <w:jc w:val="center"/>
              <w:rPr>
                <w:szCs w:val="24"/>
              </w:rPr>
            </w:pPr>
            <w:r w:rsidRPr="00DD0D1F">
              <w:rPr>
                <w:szCs w:val="24"/>
              </w:rPr>
              <w:t>5 – 35 (</w:t>
            </w:r>
            <w:r w:rsidRPr="00DD0D1F">
              <w:rPr>
                <w:szCs w:val="24"/>
                <w:vertAlign w:val="superscript"/>
              </w:rPr>
              <w:t>1</w:t>
            </w:r>
            <w:r w:rsidRPr="00DD0D1F">
              <w:rPr>
                <w:szCs w:val="24"/>
              </w:rPr>
              <w:t>)</w:t>
            </w:r>
          </w:p>
        </w:tc>
      </w:tr>
      <w:tr w:rsidR="00A508A2" w:rsidRPr="00DD0D1F" w14:paraId="646A8F27" w14:textId="77777777" w:rsidTr="00A508A2">
        <w:trPr>
          <w:trHeight w:val="414"/>
        </w:trPr>
        <w:tc>
          <w:tcPr>
            <w:tcW w:w="5000" w:type="pct"/>
            <w:gridSpan w:val="2"/>
          </w:tcPr>
          <w:p w14:paraId="6D9A283B" w14:textId="46A41BDF" w:rsidR="00A508A2" w:rsidRPr="00DD0D1F" w:rsidRDefault="00A508A2" w:rsidP="00A508A2">
            <w:pPr>
              <w:pStyle w:val="TableParagraph"/>
              <w:spacing w:line="202" w:lineRule="exact"/>
              <w:ind w:left="107"/>
              <w:rPr>
                <w:szCs w:val="24"/>
              </w:rPr>
            </w:pPr>
            <w:r w:rsidRPr="00DD0D1F">
              <w:rPr>
                <w:szCs w:val="24"/>
              </w:rPr>
              <w:t xml:space="preserve">(1) Düşük gaz yıkama kulesi işletme basıncına ile ve molar oranı 5'in üzerindeki H/C içeren rafineri yakıt gazı ile RFG artımı özel konfigürasyonunda </w:t>
            </w:r>
            <w:r w:rsidR="007D7613" w:rsidRPr="00DD0D1F">
              <w:rPr>
                <w:szCs w:val="24"/>
              </w:rPr>
              <w:t>MET_İES</w:t>
            </w:r>
            <w:r w:rsidRPr="00DD0D1F">
              <w:rPr>
                <w:szCs w:val="24"/>
              </w:rPr>
              <w:t xml:space="preserve"> aralığının üst </w:t>
            </w:r>
            <w:r w:rsidR="00A504E5" w:rsidRPr="00DD0D1F">
              <w:rPr>
                <w:szCs w:val="24"/>
              </w:rPr>
              <w:t>sınırı</w:t>
            </w:r>
            <w:r w:rsidRPr="00DD0D1F">
              <w:rPr>
                <w:szCs w:val="24"/>
              </w:rPr>
              <w:t xml:space="preserve"> 45 mg/Nm</w:t>
            </w:r>
            <w:r w:rsidRPr="00DD0D1F">
              <w:rPr>
                <w:szCs w:val="24"/>
                <w:vertAlign w:val="superscript"/>
              </w:rPr>
              <w:t>3</w:t>
            </w:r>
            <w:r w:rsidRPr="00DD0D1F">
              <w:rPr>
                <w:szCs w:val="24"/>
              </w:rPr>
              <w:t xml:space="preserve"> kadar yüksek olabilmektedir.</w:t>
            </w:r>
          </w:p>
          <w:p w14:paraId="4E0657FE" w14:textId="77777777" w:rsidR="00A508A2" w:rsidRPr="00DD0D1F" w:rsidRDefault="00A508A2" w:rsidP="00A508A2">
            <w:pPr>
              <w:pStyle w:val="TableParagraph"/>
              <w:spacing w:before="2" w:line="191" w:lineRule="exact"/>
              <w:ind w:left="335"/>
              <w:rPr>
                <w:szCs w:val="24"/>
              </w:rPr>
            </w:pPr>
          </w:p>
        </w:tc>
      </w:tr>
    </w:tbl>
    <w:p w14:paraId="6702A9E0" w14:textId="77777777" w:rsidR="00A508A2" w:rsidRPr="00DD0D1F" w:rsidRDefault="00A508A2" w:rsidP="00A508A2">
      <w:pPr>
        <w:pStyle w:val="GvdeMetni"/>
        <w:spacing w:before="4"/>
        <w:rPr>
          <w:b/>
          <w:sz w:val="24"/>
          <w:szCs w:val="24"/>
        </w:rPr>
      </w:pPr>
    </w:p>
    <w:p w14:paraId="6C3BE6FD" w14:textId="77777777" w:rsidR="00A508A2" w:rsidRPr="00DD0D1F" w:rsidRDefault="00A508A2" w:rsidP="00A508A2">
      <w:pPr>
        <w:pStyle w:val="GvdeMetni"/>
        <w:jc w:val="both"/>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51197856" w14:textId="77777777" w:rsidR="00A508A2" w:rsidRPr="00DD0D1F" w:rsidRDefault="00A508A2" w:rsidP="00A508A2">
      <w:pPr>
        <w:pStyle w:val="GvdeMetni"/>
        <w:rPr>
          <w:sz w:val="24"/>
          <w:szCs w:val="24"/>
        </w:rPr>
      </w:pPr>
    </w:p>
    <w:p w14:paraId="13DC008F" w14:textId="77777777" w:rsidR="00A508A2" w:rsidRPr="00DD0D1F" w:rsidRDefault="00A508A2" w:rsidP="00A508A2">
      <w:pPr>
        <w:pStyle w:val="ResimYazs"/>
        <w:jc w:val="left"/>
        <w:rPr>
          <w:rFonts w:cs="Times New Roman"/>
          <w:color w:val="auto"/>
          <w:szCs w:val="24"/>
        </w:rPr>
      </w:pPr>
      <w:bookmarkStart w:id="235" w:name="_bookmark903"/>
      <w:bookmarkEnd w:id="235"/>
      <w:r w:rsidRPr="00DD0D1F">
        <w:rPr>
          <w:rFonts w:cs="Times New Roman"/>
          <w:bCs/>
          <w:color w:val="auto"/>
          <w:szCs w:val="24"/>
          <w:lang w:val="tr-TR"/>
        </w:rPr>
        <w:t>Gaz türbinleri ve sabit gaz motorları hariç, farklı yakıtları yakan yanma birimlerinden havaya yayılan SO</w:t>
      </w:r>
      <w:r w:rsidRPr="00DD0D1F">
        <w:rPr>
          <w:rFonts w:cs="Times New Roman"/>
          <w:bCs/>
          <w:color w:val="auto"/>
          <w:szCs w:val="24"/>
          <w:vertAlign w:val="subscript"/>
          <w:lang w:val="tr-TR"/>
        </w:rPr>
        <w:t xml:space="preserve">2 </w:t>
      </w:r>
      <w:r w:rsidRPr="00DD0D1F">
        <w:rPr>
          <w:rFonts w:cs="Times New Roman"/>
          <w:bCs/>
          <w:color w:val="auto"/>
          <w:szCs w:val="24"/>
          <w:lang w:val="tr-TR"/>
        </w:rPr>
        <w:t>emisyonları bakımından MET ile ilişkili emisyon düzeyleri</w:t>
      </w:r>
    </w:p>
    <w:p w14:paraId="7A0E2FE2" w14:textId="77777777" w:rsidR="00A508A2" w:rsidRPr="00DD0D1F" w:rsidRDefault="00A508A2" w:rsidP="00A508A2">
      <w:pPr>
        <w:pStyle w:val="GvdeMetni"/>
        <w:spacing w:before="1"/>
        <w:rPr>
          <w:b/>
          <w:sz w:val="24"/>
          <w:szCs w:val="24"/>
        </w:rPr>
      </w:pPr>
    </w:p>
    <w:p w14:paraId="0D4FEB50" w14:textId="7D0EC521" w:rsidR="00A508A2" w:rsidRPr="00DD0D1F" w:rsidRDefault="00A508A2" w:rsidP="00A508A2">
      <w:pPr>
        <w:pStyle w:val="GvdeMetni"/>
        <w:spacing w:line="360" w:lineRule="auto"/>
        <w:ind w:right="487"/>
        <w:jc w:val="both"/>
        <w:rPr>
          <w:sz w:val="24"/>
          <w:szCs w:val="24"/>
        </w:rPr>
      </w:pPr>
      <w:r w:rsidRPr="00DD0D1F">
        <w:rPr>
          <w:sz w:val="24"/>
          <w:szCs w:val="24"/>
        </w:rPr>
        <w:t xml:space="preserve">Bu </w:t>
      </w:r>
      <w:r w:rsidR="007D7613" w:rsidRPr="00DD0D1F">
        <w:rPr>
          <w:sz w:val="24"/>
          <w:szCs w:val="24"/>
        </w:rPr>
        <w:t>MET_İES</w:t>
      </w:r>
      <w:r w:rsidRPr="00DD0D1F">
        <w:rPr>
          <w:sz w:val="24"/>
          <w:szCs w:val="24"/>
        </w:rPr>
        <w:t>; gaz türbinleri ve sabit gaz motorları hariç, rafineri bünyesindeki farklı yakıtları yakan yanma birimlerinden kaynaklanan ağırlıklı ortalama emisyonlara atıf yapmaktadır.</w:t>
      </w:r>
    </w:p>
    <w:p w14:paraId="4E03196E" w14:textId="77777777" w:rsidR="00A508A2" w:rsidRPr="00DD0D1F" w:rsidRDefault="00A508A2" w:rsidP="00A508A2">
      <w:pPr>
        <w:pStyle w:val="GvdeMetni"/>
        <w:spacing w:before="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4"/>
        <w:gridCol w:w="6753"/>
      </w:tblGrid>
      <w:tr w:rsidR="00A508A2" w:rsidRPr="00DD0D1F" w14:paraId="4824C11C" w14:textId="77777777" w:rsidTr="00A508A2">
        <w:trPr>
          <w:trHeight w:val="690"/>
        </w:trPr>
        <w:tc>
          <w:tcPr>
            <w:tcW w:w="1280" w:type="pct"/>
          </w:tcPr>
          <w:p w14:paraId="67F361BB" w14:textId="77777777" w:rsidR="00A508A2" w:rsidRPr="00DD0D1F" w:rsidRDefault="00A508A2" w:rsidP="00A508A2">
            <w:pPr>
              <w:pStyle w:val="TableParagraph"/>
              <w:spacing w:before="9"/>
              <w:rPr>
                <w:szCs w:val="24"/>
              </w:rPr>
            </w:pPr>
          </w:p>
          <w:p w14:paraId="7EF93BCA" w14:textId="77777777" w:rsidR="00A508A2" w:rsidRPr="00DD0D1F" w:rsidRDefault="00A508A2" w:rsidP="00A508A2">
            <w:pPr>
              <w:pStyle w:val="TableParagraph"/>
              <w:ind w:left="611" w:right="604"/>
              <w:jc w:val="center"/>
              <w:rPr>
                <w:b/>
                <w:szCs w:val="24"/>
              </w:rPr>
            </w:pPr>
            <w:r w:rsidRPr="00DD0D1F">
              <w:rPr>
                <w:b/>
                <w:bCs/>
                <w:szCs w:val="24"/>
              </w:rPr>
              <w:t>Parametre</w:t>
            </w:r>
          </w:p>
        </w:tc>
        <w:tc>
          <w:tcPr>
            <w:tcW w:w="3720" w:type="pct"/>
          </w:tcPr>
          <w:p w14:paraId="3A77B410" w14:textId="2BF3B2F8" w:rsidR="00A508A2" w:rsidRPr="00DD0D1F" w:rsidRDefault="007D7613" w:rsidP="00A508A2">
            <w:pPr>
              <w:pStyle w:val="TableParagraph"/>
              <w:spacing w:line="229" w:lineRule="exact"/>
              <w:ind w:left="2364" w:right="2353"/>
              <w:jc w:val="center"/>
              <w:rPr>
                <w:b/>
                <w:szCs w:val="24"/>
              </w:rPr>
            </w:pPr>
            <w:r w:rsidRPr="00DD0D1F">
              <w:rPr>
                <w:b/>
                <w:bCs/>
                <w:szCs w:val="24"/>
              </w:rPr>
              <w:t>MET_İES</w:t>
            </w:r>
          </w:p>
          <w:p w14:paraId="1D439112" w14:textId="77777777" w:rsidR="00A508A2" w:rsidRPr="00DD0D1F" w:rsidRDefault="00A508A2" w:rsidP="00A508A2">
            <w:pPr>
              <w:pStyle w:val="TableParagraph"/>
              <w:spacing w:line="227" w:lineRule="exact"/>
              <w:ind w:left="2364" w:right="2357"/>
              <w:jc w:val="center"/>
              <w:rPr>
                <w:b/>
                <w:szCs w:val="24"/>
              </w:rPr>
            </w:pPr>
            <w:r w:rsidRPr="00DD0D1F">
              <w:rPr>
                <w:b/>
                <w:bCs/>
                <w:szCs w:val="24"/>
              </w:rPr>
              <w:t>(aylık ortalama)</w:t>
            </w:r>
          </w:p>
          <w:p w14:paraId="44212F6A" w14:textId="77777777" w:rsidR="00A508A2" w:rsidRPr="00DD0D1F" w:rsidRDefault="00A508A2" w:rsidP="00A508A2">
            <w:pPr>
              <w:pStyle w:val="TableParagraph"/>
              <w:spacing w:line="215" w:lineRule="exact"/>
              <w:ind w:left="2363" w:right="2357"/>
              <w:jc w:val="center"/>
              <w:rPr>
                <w:szCs w:val="24"/>
              </w:rPr>
            </w:pPr>
            <w:r w:rsidRPr="00DD0D1F">
              <w:rPr>
                <w:szCs w:val="24"/>
              </w:rPr>
              <w:t>mg/Nm</w:t>
            </w:r>
            <w:r w:rsidRPr="00DD0D1F">
              <w:rPr>
                <w:szCs w:val="24"/>
                <w:vertAlign w:val="superscript"/>
              </w:rPr>
              <w:t>3</w:t>
            </w:r>
          </w:p>
        </w:tc>
      </w:tr>
      <w:tr w:rsidR="00A508A2" w:rsidRPr="00DD0D1F" w14:paraId="209A49D1" w14:textId="77777777" w:rsidTr="00A508A2">
        <w:trPr>
          <w:trHeight w:val="285"/>
        </w:trPr>
        <w:tc>
          <w:tcPr>
            <w:tcW w:w="1280" w:type="pct"/>
          </w:tcPr>
          <w:p w14:paraId="45113393" w14:textId="77777777" w:rsidR="00A508A2" w:rsidRPr="00DD0D1F" w:rsidRDefault="00A508A2" w:rsidP="00A508A2">
            <w:pPr>
              <w:pStyle w:val="TableParagraph"/>
              <w:spacing w:before="19"/>
              <w:ind w:left="608" w:right="604"/>
              <w:jc w:val="center"/>
              <w:rPr>
                <w:szCs w:val="24"/>
              </w:rPr>
            </w:pPr>
            <w:r w:rsidRPr="00DD0D1F">
              <w:rPr>
                <w:szCs w:val="24"/>
              </w:rPr>
              <w:t>SO</w:t>
            </w:r>
            <w:r w:rsidRPr="00DD0D1F">
              <w:rPr>
                <w:szCs w:val="24"/>
                <w:vertAlign w:val="subscript"/>
              </w:rPr>
              <w:t>2</w:t>
            </w:r>
          </w:p>
        </w:tc>
        <w:tc>
          <w:tcPr>
            <w:tcW w:w="3720" w:type="pct"/>
          </w:tcPr>
          <w:p w14:paraId="3FF47787" w14:textId="77777777" w:rsidR="00A508A2" w:rsidRPr="00DD0D1F" w:rsidRDefault="00A508A2" w:rsidP="00A508A2">
            <w:pPr>
              <w:pStyle w:val="TableParagraph"/>
              <w:spacing w:before="19"/>
              <w:ind w:left="2364" w:right="2353"/>
              <w:jc w:val="center"/>
              <w:rPr>
                <w:szCs w:val="24"/>
              </w:rPr>
            </w:pPr>
            <w:r w:rsidRPr="00DD0D1F">
              <w:rPr>
                <w:szCs w:val="24"/>
              </w:rPr>
              <w:t>35 – 600</w:t>
            </w:r>
          </w:p>
        </w:tc>
      </w:tr>
    </w:tbl>
    <w:p w14:paraId="5A0E8D3F" w14:textId="77777777" w:rsidR="00A508A2" w:rsidRPr="00DD0D1F" w:rsidRDefault="00A508A2" w:rsidP="00A508A2">
      <w:pPr>
        <w:pStyle w:val="GvdeMetni"/>
        <w:spacing w:before="4"/>
        <w:rPr>
          <w:sz w:val="24"/>
          <w:szCs w:val="24"/>
        </w:rPr>
      </w:pPr>
    </w:p>
    <w:p w14:paraId="7B4D9E2C" w14:textId="77777777" w:rsidR="00A508A2" w:rsidRPr="00DD0D1F" w:rsidRDefault="00A508A2" w:rsidP="00A508A2">
      <w:pPr>
        <w:pStyle w:val="GvdeMetni"/>
        <w:jc w:val="both"/>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6BB9FA96" w14:textId="77777777" w:rsidR="00A508A2" w:rsidRPr="00DD0D1F" w:rsidRDefault="00A508A2" w:rsidP="00A508A2">
      <w:pPr>
        <w:pStyle w:val="GvdeMetni"/>
        <w:spacing w:before="8" w:line="360" w:lineRule="auto"/>
        <w:jc w:val="both"/>
        <w:rPr>
          <w:sz w:val="24"/>
          <w:szCs w:val="24"/>
        </w:rPr>
      </w:pPr>
    </w:p>
    <w:p w14:paraId="58CF4F64"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37: </w:t>
      </w:r>
      <w:r w:rsidRPr="00DD0D1F">
        <w:rPr>
          <w:rFonts w:cs="Times New Roman"/>
          <w:bCs/>
          <w:szCs w:val="24"/>
          <w:lang w:val="tr-TR"/>
        </w:rPr>
        <w:t>Yanma birimlerinden havaya yayılan karbonmonoksit (CO) emisyonlarının azaltılması için yanma işletimi kontrolü kullanılır.</w:t>
      </w:r>
    </w:p>
    <w:p w14:paraId="242595C2" w14:textId="017AA504" w:rsidR="00A508A2" w:rsidRPr="00DD0D1F" w:rsidRDefault="004E28C3" w:rsidP="00A508A2">
      <w:pPr>
        <w:pStyle w:val="GvdeMetni"/>
        <w:spacing w:line="360" w:lineRule="auto"/>
        <w:jc w:val="both"/>
        <w:rPr>
          <w:sz w:val="24"/>
          <w:szCs w:val="24"/>
        </w:rPr>
      </w:pPr>
      <w:r w:rsidRPr="00DD0D1F">
        <w:rPr>
          <w:sz w:val="24"/>
          <w:szCs w:val="24"/>
        </w:rPr>
        <w:t>Bölüm 1.20.5 bakınız.</w:t>
      </w:r>
    </w:p>
    <w:p w14:paraId="50EEF291" w14:textId="77777777" w:rsidR="00A508A2" w:rsidRPr="00DD0D1F" w:rsidRDefault="00A508A2" w:rsidP="00A508A2">
      <w:pPr>
        <w:pStyle w:val="ResimYazs"/>
        <w:rPr>
          <w:rFonts w:cs="Times New Roman"/>
          <w:color w:val="auto"/>
          <w:szCs w:val="24"/>
        </w:rPr>
      </w:pPr>
      <w:r w:rsidRPr="00DD0D1F">
        <w:rPr>
          <w:rFonts w:cs="Times New Roman"/>
          <w:bCs/>
          <w:color w:val="auto"/>
          <w:szCs w:val="24"/>
          <w:lang w:val="tr-TR"/>
        </w:rPr>
        <w:t>Yanma biriminden havaya yayılan karbon monoksit</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79DC7C44"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2"/>
        <w:gridCol w:w="4595"/>
      </w:tblGrid>
      <w:tr w:rsidR="00A508A2" w:rsidRPr="00DD0D1F" w14:paraId="374C1E81" w14:textId="77777777" w:rsidTr="00A508A2">
        <w:trPr>
          <w:trHeight w:val="688"/>
        </w:trPr>
        <w:tc>
          <w:tcPr>
            <w:tcW w:w="2469" w:type="pct"/>
          </w:tcPr>
          <w:p w14:paraId="1A982382" w14:textId="77777777" w:rsidR="00A508A2" w:rsidRPr="00DD0D1F" w:rsidRDefault="00A508A2" w:rsidP="00A508A2">
            <w:pPr>
              <w:pStyle w:val="TableParagraph"/>
              <w:spacing w:before="9"/>
              <w:rPr>
                <w:b/>
                <w:szCs w:val="24"/>
              </w:rPr>
            </w:pPr>
          </w:p>
          <w:p w14:paraId="5996EDCB" w14:textId="77777777" w:rsidR="00A508A2" w:rsidRPr="00DD0D1F" w:rsidRDefault="00A508A2" w:rsidP="00A508A2">
            <w:pPr>
              <w:pStyle w:val="TableParagraph"/>
              <w:ind w:left="1622" w:right="1618"/>
              <w:jc w:val="center"/>
              <w:rPr>
                <w:b/>
                <w:szCs w:val="24"/>
              </w:rPr>
            </w:pPr>
            <w:r w:rsidRPr="00DD0D1F">
              <w:rPr>
                <w:b/>
                <w:bCs/>
                <w:szCs w:val="24"/>
              </w:rPr>
              <w:t>Parametre</w:t>
            </w:r>
          </w:p>
        </w:tc>
        <w:tc>
          <w:tcPr>
            <w:tcW w:w="2531" w:type="pct"/>
          </w:tcPr>
          <w:p w14:paraId="0E2D6E19" w14:textId="1FD14690" w:rsidR="00A508A2" w:rsidRPr="00DD0D1F" w:rsidRDefault="007D7613" w:rsidP="00A508A2">
            <w:pPr>
              <w:pStyle w:val="TableParagraph"/>
              <w:spacing w:line="228" w:lineRule="exact"/>
              <w:ind w:left="1352" w:right="1346"/>
              <w:jc w:val="center"/>
              <w:rPr>
                <w:b/>
                <w:szCs w:val="24"/>
              </w:rPr>
            </w:pPr>
            <w:r w:rsidRPr="00DD0D1F">
              <w:rPr>
                <w:b/>
                <w:bCs/>
                <w:szCs w:val="24"/>
              </w:rPr>
              <w:t>MET_İES</w:t>
            </w:r>
          </w:p>
          <w:p w14:paraId="7FE57764" w14:textId="77777777" w:rsidR="00A508A2" w:rsidRPr="00DD0D1F" w:rsidRDefault="00A508A2" w:rsidP="00A508A2">
            <w:pPr>
              <w:pStyle w:val="TableParagraph"/>
              <w:spacing w:line="227" w:lineRule="exact"/>
              <w:ind w:left="1353" w:right="1346"/>
              <w:jc w:val="center"/>
              <w:rPr>
                <w:b/>
                <w:szCs w:val="24"/>
              </w:rPr>
            </w:pPr>
            <w:r w:rsidRPr="00DD0D1F">
              <w:rPr>
                <w:b/>
                <w:bCs/>
                <w:szCs w:val="24"/>
              </w:rPr>
              <w:t>(aylık ortalama)</w:t>
            </w:r>
          </w:p>
          <w:p w14:paraId="21222E04" w14:textId="77777777" w:rsidR="00A508A2" w:rsidRPr="00DD0D1F" w:rsidRDefault="00A508A2" w:rsidP="00A508A2">
            <w:pPr>
              <w:pStyle w:val="TableParagraph"/>
              <w:spacing w:line="214" w:lineRule="exact"/>
              <w:ind w:left="1351" w:right="1346"/>
              <w:jc w:val="center"/>
              <w:rPr>
                <w:szCs w:val="24"/>
              </w:rPr>
            </w:pPr>
            <w:r w:rsidRPr="00DD0D1F">
              <w:rPr>
                <w:szCs w:val="24"/>
              </w:rPr>
              <w:t>mg/Nm</w:t>
            </w:r>
            <w:r w:rsidRPr="00DD0D1F">
              <w:rPr>
                <w:szCs w:val="24"/>
                <w:vertAlign w:val="superscript"/>
              </w:rPr>
              <w:t>3</w:t>
            </w:r>
          </w:p>
        </w:tc>
      </w:tr>
      <w:tr w:rsidR="00A508A2" w:rsidRPr="00DD0D1F" w14:paraId="1CD084F2" w14:textId="77777777" w:rsidTr="00A508A2">
        <w:trPr>
          <w:trHeight w:val="285"/>
        </w:trPr>
        <w:tc>
          <w:tcPr>
            <w:tcW w:w="2469" w:type="pct"/>
          </w:tcPr>
          <w:p w14:paraId="7E3B068A" w14:textId="77777777" w:rsidR="00A508A2" w:rsidRPr="00DD0D1F" w:rsidRDefault="00A508A2" w:rsidP="00A508A2">
            <w:pPr>
              <w:pStyle w:val="TableParagraph"/>
              <w:spacing w:before="22"/>
              <w:ind w:left="107"/>
              <w:rPr>
                <w:szCs w:val="24"/>
              </w:rPr>
            </w:pPr>
            <w:r w:rsidRPr="00DD0D1F">
              <w:rPr>
                <w:szCs w:val="24"/>
              </w:rPr>
              <w:t>CO olarak ifade edilen karbonmonoksit</w:t>
            </w:r>
          </w:p>
        </w:tc>
        <w:tc>
          <w:tcPr>
            <w:tcW w:w="2531" w:type="pct"/>
          </w:tcPr>
          <w:p w14:paraId="3976C781" w14:textId="77777777" w:rsidR="00A508A2" w:rsidRPr="00DD0D1F" w:rsidRDefault="00A508A2" w:rsidP="00A508A2">
            <w:pPr>
              <w:pStyle w:val="TableParagraph"/>
              <w:spacing w:before="22"/>
              <w:ind w:left="1353" w:right="1299"/>
              <w:jc w:val="center"/>
              <w:rPr>
                <w:szCs w:val="24"/>
              </w:rPr>
            </w:pPr>
            <w:r w:rsidRPr="00DD0D1F">
              <w:rPr>
                <w:szCs w:val="24"/>
              </w:rPr>
              <w:t>≤ 100</w:t>
            </w:r>
          </w:p>
        </w:tc>
      </w:tr>
    </w:tbl>
    <w:p w14:paraId="0688ECAB" w14:textId="77777777" w:rsidR="00A508A2" w:rsidRPr="00DD0D1F" w:rsidRDefault="00A508A2" w:rsidP="00A508A2">
      <w:pPr>
        <w:pStyle w:val="GvdeMetni"/>
        <w:spacing w:before="4"/>
        <w:rPr>
          <w:b/>
          <w:sz w:val="24"/>
          <w:szCs w:val="24"/>
        </w:rPr>
      </w:pPr>
    </w:p>
    <w:p w14:paraId="4DEC0ACD" w14:textId="77777777" w:rsidR="00A508A2" w:rsidRPr="00DD0D1F" w:rsidRDefault="00A508A2" w:rsidP="00A508A2">
      <w:pPr>
        <w:pStyle w:val="GvdeMetni"/>
        <w:jc w:val="both"/>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7C0004AF" w14:textId="58D8066C"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rPr>
      </w:pPr>
      <w:bookmarkStart w:id="236" w:name="_bookmark905"/>
      <w:bookmarkStart w:id="237" w:name="5.10_BAT_conclusions_for_the_etherificat"/>
      <w:bookmarkEnd w:id="236"/>
      <w:bookmarkEnd w:id="237"/>
      <w:r w:rsidRPr="00DD0D1F">
        <w:rPr>
          <w:rFonts w:cs="Times New Roman"/>
          <w:szCs w:val="24"/>
        </w:rPr>
        <w:t xml:space="preserve">ETERLEŞME PROSESİNE İLİŞKİN </w:t>
      </w:r>
      <w:r w:rsidR="00EB7491" w:rsidRPr="00DD0D1F">
        <w:rPr>
          <w:rFonts w:cs="Times New Roman"/>
          <w:szCs w:val="24"/>
        </w:rPr>
        <w:t>MET</w:t>
      </w:r>
    </w:p>
    <w:p w14:paraId="27C0A1DD" w14:textId="77777777" w:rsidR="00A508A2" w:rsidRPr="00DD0D1F" w:rsidRDefault="00A508A2" w:rsidP="00A508A2">
      <w:pPr>
        <w:pStyle w:val="GvdeMetni"/>
        <w:spacing w:before="8"/>
        <w:rPr>
          <w:b/>
          <w:sz w:val="24"/>
          <w:szCs w:val="24"/>
        </w:rPr>
      </w:pPr>
    </w:p>
    <w:p w14:paraId="240E7188" w14:textId="47B143FA" w:rsidR="00A508A2" w:rsidRPr="00DD0D1F" w:rsidRDefault="00A508A2" w:rsidP="00A508A2">
      <w:pPr>
        <w:rPr>
          <w:rFonts w:cs="Times New Roman"/>
          <w:bCs/>
          <w:szCs w:val="24"/>
          <w:lang w:val="tr-TR"/>
        </w:rPr>
      </w:pPr>
      <w:r w:rsidRPr="00DD0D1F">
        <w:rPr>
          <w:rFonts w:cs="Times New Roman"/>
          <w:b/>
          <w:bCs/>
          <w:szCs w:val="24"/>
          <w:lang w:val="tr-TR"/>
        </w:rPr>
        <w:t xml:space="preserve">MET 38: </w:t>
      </w:r>
      <w:r w:rsidRPr="00DD0D1F">
        <w:rPr>
          <w:rFonts w:cs="Times New Roman"/>
          <w:bCs/>
          <w:szCs w:val="24"/>
          <w:lang w:val="tr-TR"/>
        </w:rPr>
        <w:t>Eterleşme prosesinden havaya yayılan emisyonların azaltılması için, çıkış gazlarının rafineri yakıt gazı sistemine yönlendirilmesi yoluyla uygun arıtma sağlanması hedeflen</w:t>
      </w:r>
      <w:r w:rsidR="00FC13C1" w:rsidRPr="00DD0D1F">
        <w:rPr>
          <w:rFonts w:cs="Times New Roman"/>
          <w:bCs/>
          <w:szCs w:val="24"/>
          <w:lang w:val="tr-TR"/>
        </w:rPr>
        <w:t>ir.</w:t>
      </w:r>
      <w:r w:rsidRPr="00DD0D1F">
        <w:rPr>
          <w:rFonts w:cs="Times New Roman"/>
          <w:bCs/>
          <w:szCs w:val="24"/>
          <w:lang w:val="tr-TR"/>
        </w:rPr>
        <w:t xml:space="preserve"> </w:t>
      </w:r>
    </w:p>
    <w:p w14:paraId="59262481" w14:textId="77777777" w:rsidR="00A508A2" w:rsidRPr="00DD0D1F" w:rsidRDefault="00A508A2" w:rsidP="00A508A2">
      <w:pPr>
        <w:pStyle w:val="GvdeMetni"/>
        <w:rPr>
          <w:b/>
          <w:sz w:val="24"/>
          <w:szCs w:val="24"/>
        </w:rPr>
      </w:pPr>
    </w:p>
    <w:p w14:paraId="27534840" w14:textId="77777777" w:rsidR="00A508A2" w:rsidRPr="00DD0D1F" w:rsidRDefault="00A508A2" w:rsidP="00A508A2">
      <w:pPr>
        <w:pStyle w:val="GvdeMetni"/>
        <w:spacing w:before="10"/>
        <w:rPr>
          <w:b/>
          <w:sz w:val="24"/>
          <w:szCs w:val="24"/>
        </w:rPr>
      </w:pPr>
    </w:p>
    <w:p w14:paraId="41077B7E" w14:textId="77777777" w:rsidR="00A508A2" w:rsidRPr="00DD0D1F" w:rsidRDefault="00A508A2" w:rsidP="00A508A2">
      <w:pPr>
        <w:rPr>
          <w:rFonts w:cs="Times New Roman"/>
          <w:b/>
          <w:szCs w:val="24"/>
          <w:lang w:val="tr-TR"/>
        </w:rPr>
      </w:pPr>
      <w:r w:rsidRPr="00DD0D1F">
        <w:rPr>
          <w:rFonts w:cs="Times New Roman"/>
          <w:b/>
          <w:bCs/>
          <w:szCs w:val="24"/>
          <w:lang w:val="tr-TR"/>
        </w:rPr>
        <w:t xml:space="preserve">MET 39: </w:t>
      </w:r>
      <w:r w:rsidRPr="00DD0D1F">
        <w:rPr>
          <w:rFonts w:cs="Times New Roman"/>
          <w:bCs/>
          <w:szCs w:val="24"/>
          <w:lang w:val="tr-TR"/>
        </w:rPr>
        <w:t>Biyoarıtmadaki aksamasının önlenmesi amacıyla, son arıtmadan önce atık su akışının çözünmüş toksik bileşenlerini (ör. metanol, formik asit, eterler) kontrol etmek için bir depolama tankı ve uygun bir birim üretim planı yönetiminden yararlanılır.</w:t>
      </w:r>
    </w:p>
    <w:p w14:paraId="362270F5" w14:textId="4024D640" w:rsidR="00A508A2" w:rsidRDefault="00A508A2" w:rsidP="00A508A2">
      <w:pPr>
        <w:rPr>
          <w:rFonts w:cs="Times New Roman"/>
          <w:szCs w:val="24"/>
          <w:lang w:val="tr-TR"/>
        </w:rPr>
      </w:pPr>
    </w:p>
    <w:p w14:paraId="603C1DC7" w14:textId="7D4F54E6" w:rsidR="00695881" w:rsidRDefault="00695881" w:rsidP="00A508A2">
      <w:pPr>
        <w:rPr>
          <w:rFonts w:cs="Times New Roman"/>
          <w:szCs w:val="24"/>
          <w:lang w:val="tr-TR"/>
        </w:rPr>
      </w:pPr>
    </w:p>
    <w:p w14:paraId="6778F430" w14:textId="77777777" w:rsidR="00695881" w:rsidRPr="00DD0D1F" w:rsidRDefault="00695881" w:rsidP="00A508A2">
      <w:pPr>
        <w:rPr>
          <w:rFonts w:cs="Times New Roman"/>
          <w:szCs w:val="24"/>
          <w:lang w:val="tr-TR"/>
        </w:rPr>
      </w:pPr>
    </w:p>
    <w:p w14:paraId="62543CB8" w14:textId="599025C5"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tr-TR"/>
        </w:rPr>
      </w:pPr>
      <w:r w:rsidRPr="00DD0D1F">
        <w:rPr>
          <w:rFonts w:cs="Times New Roman"/>
          <w:szCs w:val="24"/>
          <w:lang w:val="tr-TR"/>
        </w:rPr>
        <w:t xml:space="preserve">İZOMERLEŞTIRME PROSESINE ILIŞKIN </w:t>
      </w:r>
      <w:r w:rsidR="00EB7491" w:rsidRPr="00DD0D1F">
        <w:rPr>
          <w:rFonts w:cs="Times New Roman"/>
          <w:szCs w:val="24"/>
          <w:lang w:val="tr-TR"/>
        </w:rPr>
        <w:t>MET</w:t>
      </w:r>
    </w:p>
    <w:p w14:paraId="54AA5741" w14:textId="77777777" w:rsidR="00A508A2" w:rsidRPr="00DD0D1F" w:rsidRDefault="00A508A2" w:rsidP="00A508A2">
      <w:pPr>
        <w:pStyle w:val="GvdeMetni"/>
        <w:spacing w:before="8"/>
        <w:rPr>
          <w:b/>
          <w:sz w:val="24"/>
          <w:szCs w:val="24"/>
        </w:rPr>
      </w:pPr>
    </w:p>
    <w:p w14:paraId="25E22E7C"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40: </w:t>
      </w:r>
      <w:r w:rsidRPr="00DD0D1F">
        <w:rPr>
          <w:rFonts w:cs="Times New Roman"/>
          <w:bCs/>
          <w:szCs w:val="24"/>
          <w:lang w:val="tr-TR"/>
        </w:rPr>
        <w:t>Klorlu bileşiklerin havaya yayılan emisyonlarını azaltmak amacıyla, bu tür bir prosesin mevcut olması durumunda katalizör faaliyetini sürdürmek için klorlu organik bileşiklerin kullanımı optimize edilir ya da klorsuz katalitik sistemler kullanılır.</w:t>
      </w:r>
    </w:p>
    <w:p w14:paraId="711E04AA" w14:textId="77777777" w:rsidR="00A508A2" w:rsidRPr="00DD0D1F" w:rsidRDefault="00A508A2" w:rsidP="00A508A2">
      <w:pPr>
        <w:ind w:right="1628"/>
        <w:rPr>
          <w:rFonts w:cs="Times New Roman"/>
          <w:b/>
          <w:bCs/>
          <w:szCs w:val="24"/>
          <w:lang w:val="tr-TR"/>
        </w:rPr>
      </w:pPr>
    </w:p>
    <w:p w14:paraId="27A5E1C0" w14:textId="779FE250" w:rsidR="00A508A2" w:rsidRPr="00DD0D1F" w:rsidRDefault="009C41A6" w:rsidP="00EB7491">
      <w:pPr>
        <w:pStyle w:val="Balk1"/>
        <w:keepNext w:val="0"/>
        <w:keepLines w:val="0"/>
        <w:widowControl w:val="0"/>
        <w:numPr>
          <w:ilvl w:val="0"/>
          <w:numId w:val="0"/>
        </w:numPr>
        <w:autoSpaceDE w:val="0"/>
        <w:autoSpaceDN w:val="0"/>
        <w:spacing w:before="159"/>
        <w:ind w:left="432" w:hanging="432"/>
        <w:rPr>
          <w:rFonts w:cs="Times New Roman"/>
          <w:szCs w:val="24"/>
          <w:lang w:val="tr-TR"/>
        </w:rPr>
      </w:pPr>
      <w:r w:rsidRPr="00DD0D1F">
        <w:rPr>
          <w:rFonts w:cs="Times New Roman"/>
          <w:szCs w:val="24"/>
          <w:lang w:val="tr-TR"/>
        </w:rPr>
        <w:t>DOĞALGAZ RAFİNERİSİ</w:t>
      </w:r>
      <w:r w:rsidR="00A508A2" w:rsidRPr="00DD0D1F">
        <w:rPr>
          <w:rFonts w:cs="Times New Roman"/>
          <w:szCs w:val="24"/>
          <w:lang w:val="tr-TR"/>
        </w:rPr>
        <w:t xml:space="preserve">NE </w:t>
      </w:r>
      <w:r w:rsidRPr="00DD0D1F">
        <w:rPr>
          <w:rFonts w:cs="Times New Roman"/>
          <w:szCs w:val="24"/>
          <w:lang w:val="tr-TR"/>
        </w:rPr>
        <w:t>İLİŞKİ</w:t>
      </w:r>
      <w:r w:rsidR="00A508A2" w:rsidRPr="00DD0D1F">
        <w:rPr>
          <w:rFonts w:cs="Times New Roman"/>
          <w:szCs w:val="24"/>
          <w:lang w:val="tr-TR"/>
        </w:rPr>
        <w:t xml:space="preserve">N </w:t>
      </w:r>
      <w:r w:rsidR="00EB7491" w:rsidRPr="00DD0D1F">
        <w:rPr>
          <w:rFonts w:cs="Times New Roman"/>
          <w:szCs w:val="24"/>
          <w:lang w:val="tr-TR"/>
        </w:rPr>
        <w:t>MET</w:t>
      </w:r>
    </w:p>
    <w:p w14:paraId="21D23D1F" w14:textId="77777777" w:rsidR="00A508A2" w:rsidRPr="00DD0D1F" w:rsidRDefault="00A508A2" w:rsidP="00A508A2">
      <w:pPr>
        <w:pStyle w:val="GvdeMetni"/>
        <w:spacing w:before="8" w:line="360" w:lineRule="auto"/>
        <w:jc w:val="both"/>
        <w:rPr>
          <w:b/>
          <w:sz w:val="24"/>
          <w:szCs w:val="24"/>
        </w:rPr>
      </w:pPr>
    </w:p>
    <w:p w14:paraId="197F94D9" w14:textId="77777777" w:rsidR="00A508A2" w:rsidRPr="00DD0D1F" w:rsidRDefault="00A508A2" w:rsidP="00A508A2">
      <w:pPr>
        <w:ind w:right="493"/>
        <w:rPr>
          <w:rFonts w:cs="Times New Roman"/>
          <w:b/>
          <w:bCs/>
          <w:szCs w:val="24"/>
          <w:lang w:val="tr-TR"/>
        </w:rPr>
      </w:pPr>
      <w:r w:rsidRPr="00DD0D1F">
        <w:rPr>
          <w:rFonts w:cs="Times New Roman"/>
          <w:b/>
          <w:bCs/>
          <w:szCs w:val="24"/>
          <w:lang w:val="tr-TR"/>
        </w:rPr>
        <w:t xml:space="preserve">MET 41: </w:t>
      </w:r>
      <w:r w:rsidRPr="00DD0D1F">
        <w:rPr>
          <w:rFonts w:cs="Times New Roman"/>
          <w:bCs/>
          <w:szCs w:val="24"/>
          <w:lang w:val="tr-TR"/>
        </w:rPr>
        <w:t xml:space="preserve">Doğalgaz tesisinden havaya yayılan kükürt dioksit emisyonlarının azaltılması için </w:t>
      </w:r>
      <w:r w:rsidRPr="00DD0D1F">
        <w:rPr>
          <w:rFonts w:cs="Times New Roman"/>
          <w:szCs w:val="24"/>
          <w:lang w:val="tr-TR"/>
        </w:rPr>
        <w:t xml:space="preserve">MET kapsamında </w:t>
      </w:r>
      <w:hyperlink w:anchor="_bookmark914" w:history="1">
        <w:r w:rsidRPr="00DD0D1F">
          <w:rPr>
            <w:rFonts w:cs="Times New Roman"/>
            <w:szCs w:val="24"/>
            <w:lang w:val="tr-TR"/>
          </w:rPr>
          <w:t>MET 54</w:t>
        </w:r>
      </w:hyperlink>
      <w:r w:rsidRPr="00DD0D1F">
        <w:rPr>
          <w:rFonts w:cs="Times New Roman"/>
          <w:szCs w:val="24"/>
          <w:lang w:val="tr-TR"/>
        </w:rPr>
        <w:t xml:space="preserve"> kullanılır</w:t>
      </w:r>
      <w:r w:rsidRPr="00DD0D1F">
        <w:rPr>
          <w:rFonts w:cs="Times New Roman"/>
          <w:bCs/>
          <w:szCs w:val="24"/>
          <w:lang w:val="tr-TR"/>
        </w:rPr>
        <w:t>.</w:t>
      </w:r>
    </w:p>
    <w:p w14:paraId="4E7E005A" w14:textId="77777777" w:rsidR="00A508A2" w:rsidRPr="00DD0D1F" w:rsidRDefault="00A508A2" w:rsidP="00A508A2">
      <w:pPr>
        <w:pStyle w:val="GvdeMetni"/>
        <w:spacing w:before="11"/>
        <w:rPr>
          <w:b/>
          <w:sz w:val="24"/>
          <w:szCs w:val="24"/>
        </w:rPr>
      </w:pPr>
    </w:p>
    <w:p w14:paraId="52E06D63" w14:textId="1821B862" w:rsidR="00A508A2" w:rsidRPr="00DD0D1F" w:rsidRDefault="00A508A2" w:rsidP="00A508A2">
      <w:pPr>
        <w:rPr>
          <w:rFonts w:cs="Times New Roman"/>
          <w:b/>
          <w:szCs w:val="24"/>
          <w:lang w:val="tr-TR"/>
        </w:rPr>
      </w:pPr>
      <w:r w:rsidRPr="00DD0D1F">
        <w:rPr>
          <w:rFonts w:cs="Times New Roman"/>
          <w:b/>
          <w:bCs/>
          <w:szCs w:val="24"/>
          <w:lang w:val="tr-TR"/>
        </w:rPr>
        <w:t xml:space="preserve">MET 42: </w:t>
      </w:r>
      <w:r w:rsidRPr="00DD0D1F">
        <w:rPr>
          <w:rFonts w:cs="Times New Roman"/>
          <w:bCs/>
          <w:szCs w:val="24"/>
          <w:lang w:val="tr-TR"/>
        </w:rPr>
        <w:t>Doğalgaz tesisinden havaya yayılan azot oksit (NO</w:t>
      </w:r>
      <w:r w:rsidRPr="00DD0D1F">
        <w:rPr>
          <w:rFonts w:cs="Times New Roman"/>
          <w:bCs/>
          <w:szCs w:val="24"/>
          <w:vertAlign w:val="subscript"/>
          <w:lang w:val="tr-TR"/>
        </w:rPr>
        <w:t>X</w:t>
      </w:r>
      <w:r w:rsidRPr="00DD0D1F">
        <w:rPr>
          <w:rFonts w:cs="Times New Roman"/>
          <w:bCs/>
          <w:szCs w:val="24"/>
          <w:lang w:val="tr-TR"/>
        </w:rPr>
        <w:t xml:space="preserve">) emisyonlarının azaltılması için </w:t>
      </w:r>
      <w:hyperlink w:anchor="_bookmark895" w:history="1">
        <w:r w:rsidRPr="00DD0D1F">
          <w:rPr>
            <w:rFonts w:cs="Times New Roman"/>
            <w:bCs/>
            <w:szCs w:val="24"/>
            <w:lang w:val="tr-TR"/>
          </w:rPr>
          <w:t>MET 34</w:t>
        </w:r>
      </w:hyperlink>
      <w:r w:rsidR="008818C3" w:rsidRPr="00DD0D1F">
        <w:rPr>
          <w:rFonts w:cs="Times New Roman"/>
          <w:bCs/>
          <w:szCs w:val="24"/>
          <w:lang w:val="tr-TR"/>
        </w:rPr>
        <w:t xml:space="preserve"> gerekleri</w:t>
      </w:r>
      <w:r w:rsidRPr="00DD0D1F">
        <w:rPr>
          <w:rFonts w:cs="Times New Roman"/>
          <w:bCs/>
          <w:szCs w:val="24"/>
          <w:lang w:val="tr-TR"/>
        </w:rPr>
        <w:t xml:space="preserve"> uygulanır.</w:t>
      </w:r>
    </w:p>
    <w:p w14:paraId="06D15000" w14:textId="77777777" w:rsidR="00A508A2" w:rsidRPr="00DD0D1F" w:rsidRDefault="00A508A2" w:rsidP="00A508A2">
      <w:pPr>
        <w:pStyle w:val="GvdeMetni"/>
        <w:spacing w:before="11" w:line="360" w:lineRule="auto"/>
        <w:jc w:val="both"/>
        <w:rPr>
          <w:b/>
          <w:sz w:val="24"/>
          <w:szCs w:val="24"/>
        </w:rPr>
      </w:pPr>
    </w:p>
    <w:p w14:paraId="26F6CC18"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43: </w:t>
      </w:r>
      <w:r w:rsidRPr="00DD0D1F">
        <w:rPr>
          <w:rFonts w:cs="Times New Roman"/>
          <w:bCs/>
          <w:szCs w:val="24"/>
          <w:lang w:val="tr-TR"/>
        </w:rPr>
        <w:t>Ham doğalgazda mevcut olması durumunda cıva emisyonlarının yayılmasını önlemek için, cıva giderimi ve cıva içeren çamur atık bertarafı  için geri kazanımı yapılır.</w:t>
      </w:r>
      <w:r w:rsidRPr="00DD0D1F">
        <w:rPr>
          <w:rFonts w:cs="Times New Roman"/>
          <w:b/>
          <w:bCs/>
          <w:szCs w:val="24"/>
          <w:lang w:val="tr-TR"/>
        </w:rPr>
        <w:t xml:space="preserve"> </w:t>
      </w:r>
    </w:p>
    <w:p w14:paraId="6500821E" w14:textId="77777777" w:rsidR="00A508A2" w:rsidRPr="00DD0D1F" w:rsidRDefault="00A508A2" w:rsidP="00A508A2">
      <w:pPr>
        <w:rPr>
          <w:rFonts w:cs="Times New Roman"/>
          <w:b/>
          <w:bCs/>
          <w:szCs w:val="24"/>
          <w:lang w:val="tr-TR"/>
        </w:rPr>
      </w:pPr>
    </w:p>
    <w:p w14:paraId="5F8CAB16" w14:textId="4C2D9CFD"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tr-TR"/>
        </w:rPr>
      </w:pPr>
      <w:bookmarkStart w:id="238" w:name="_bookmark908"/>
      <w:bookmarkStart w:id="239" w:name="5.13_BAT_conclusions_for_the_distillatio"/>
      <w:bookmarkEnd w:id="238"/>
      <w:bookmarkEnd w:id="239"/>
      <w:r w:rsidRPr="00DD0D1F">
        <w:rPr>
          <w:rFonts w:cs="Times New Roman"/>
          <w:szCs w:val="24"/>
          <w:lang w:val="tr-TR"/>
        </w:rPr>
        <w:t xml:space="preserve">DAMITMA PROSESİNE İLİŞKİN </w:t>
      </w:r>
      <w:r w:rsidR="00EB7491" w:rsidRPr="00DD0D1F">
        <w:rPr>
          <w:rFonts w:cs="Times New Roman"/>
          <w:szCs w:val="24"/>
          <w:lang w:val="tr-TR"/>
        </w:rPr>
        <w:t>MET</w:t>
      </w:r>
    </w:p>
    <w:p w14:paraId="328C644D" w14:textId="77777777" w:rsidR="00A508A2" w:rsidRPr="00DD0D1F" w:rsidRDefault="00A508A2" w:rsidP="009C41A6">
      <w:pPr>
        <w:pStyle w:val="Balk1"/>
        <w:numPr>
          <w:ilvl w:val="0"/>
          <w:numId w:val="0"/>
        </w:numPr>
        <w:ind w:left="432"/>
        <w:rPr>
          <w:rFonts w:cs="Times New Roman"/>
          <w:szCs w:val="24"/>
          <w:lang w:val="tr-TR"/>
        </w:rPr>
      </w:pPr>
    </w:p>
    <w:p w14:paraId="4EF0BABC" w14:textId="25F3769F" w:rsidR="00A508A2" w:rsidRPr="00DD0D1F" w:rsidRDefault="00A508A2" w:rsidP="00A508A2">
      <w:pPr>
        <w:rPr>
          <w:rFonts w:cs="Times New Roman"/>
          <w:bCs/>
          <w:szCs w:val="24"/>
          <w:lang w:val="tr-TR"/>
        </w:rPr>
      </w:pPr>
      <w:r w:rsidRPr="00DD0D1F">
        <w:rPr>
          <w:rFonts w:cs="Times New Roman"/>
          <w:b/>
          <w:bCs/>
          <w:szCs w:val="24"/>
          <w:lang w:val="tr-TR"/>
        </w:rPr>
        <w:t>MET 44:</w:t>
      </w:r>
      <w:r w:rsidRPr="00DD0D1F">
        <w:rPr>
          <w:rFonts w:cs="Times New Roman"/>
          <w:bCs/>
          <w:szCs w:val="24"/>
          <w:lang w:val="tr-TR"/>
        </w:rPr>
        <w:t xml:space="preserve"> Damıtma prosesinden kaynaklanan atık su akışını ortadan kaldırmak veya azaltmak amacıyla, sıvı halkalı vakum pompaları veya yüzey kondenserleri kullanılır.</w:t>
      </w:r>
    </w:p>
    <w:p w14:paraId="081A7653" w14:textId="3E8B779A" w:rsidR="004E28C3" w:rsidRPr="00DD0D1F" w:rsidRDefault="004E28C3" w:rsidP="00A508A2">
      <w:pPr>
        <w:rPr>
          <w:rFonts w:cs="Times New Roman"/>
          <w:b/>
          <w:bCs/>
          <w:szCs w:val="24"/>
          <w:lang w:val="tr-TR"/>
        </w:rPr>
      </w:pPr>
      <w:r w:rsidRPr="00DD0D1F">
        <w:rPr>
          <w:rFonts w:cs="Times New Roman"/>
          <w:b/>
          <w:bCs/>
          <w:szCs w:val="24"/>
          <w:lang w:val="tr-TR"/>
        </w:rPr>
        <w:t>Uygulanabilirlik</w:t>
      </w:r>
    </w:p>
    <w:p w14:paraId="04389332" w14:textId="3B209A34" w:rsidR="00A508A2" w:rsidRPr="00DD0D1F" w:rsidRDefault="004E28C3" w:rsidP="00A508A2">
      <w:pPr>
        <w:rPr>
          <w:rFonts w:cs="Times New Roman"/>
          <w:b/>
          <w:bCs/>
          <w:szCs w:val="24"/>
          <w:lang w:val="tr-TR"/>
        </w:rPr>
      </w:pPr>
      <w:r w:rsidRPr="00DD0D1F">
        <w:rPr>
          <w:rFonts w:cs="Times New Roman"/>
          <w:bCs/>
          <w:szCs w:val="24"/>
          <w:lang w:val="tr-TR"/>
        </w:rPr>
        <w:t>Bazı yenileme durumlarında uygulanabilir olmayabilir. Yeni üniteler için, buhar ejektörleriyle birlikte veya birlikte olmayan vakum pompaları, yüksek bir vakum (10 mm Hg) elde etmek için gerekli olabilir. Ayrıca, vakum pompası arızalanırsa bir yedek bulunmalıdır</w:t>
      </w:r>
      <w:r w:rsidRPr="00DD0D1F">
        <w:rPr>
          <w:rFonts w:cs="Times New Roman"/>
          <w:b/>
          <w:bCs/>
          <w:szCs w:val="24"/>
          <w:lang w:val="tr-TR"/>
        </w:rPr>
        <w:t>.</w:t>
      </w:r>
    </w:p>
    <w:p w14:paraId="2776BC0E" w14:textId="77777777" w:rsidR="004E28C3" w:rsidRPr="00DD0D1F" w:rsidRDefault="004E28C3" w:rsidP="00A508A2">
      <w:pPr>
        <w:rPr>
          <w:rFonts w:cs="Times New Roman"/>
          <w:b/>
          <w:bCs/>
          <w:szCs w:val="24"/>
          <w:lang w:val="tr-TR"/>
        </w:rPr>
      </w:pPr>
    </w:p>
    <w:p w14:paraId="097390ED"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45: </w:t>
      </w:r>
      <w:r w:rsidRPr="00DD0D1F">
        <w:rPr>
          <w:rFonts w:cs="Times New Roman"/>
          <w:bCs/>
          <w:szCs w:val="24"/>
          <w:lang w:val="tr-TR"/>
        </w:rPr>
        <w:t>Damıtma prosesinden kaynaklanan su kirliliğini ortadan kaldırmak veya azaltmak amacıyla acı su sıyırma birimine yönlendirilir.</w:t>
      </w:r>
    </w:p>
    <w:p w14:paraId="318B8A92" w14:textId="77777777" w:rsidR="00A508A2" w:rsidRPr="00DD0D1F" w:rsidRDefault="00A508A2" w:rsidP="00A508A2">
      <w:pPr>
        <w:pStyle w:val="GvdeMetni"/>
        <w:spacing w:line="360" w:lineRule="auto"/>
        <w:jc w:val="both"/>
        <w:rPr>
          <w:b/>
          <w:sz w:val="24"/>
          <w:szCs w:val="24"/>
        </w:rPr>
      </w:pPr>
    </w:p>
    <w:p w14:paraId="514FDEE7" w14:textId="49C448F7" w:rsidR="00A508A2" w:rsidRPr="00DD0D1F" w:rsidRDefault="00A508A2" w:rsidP="00A508A2">
      <w:pPr>
        <w:rPr>
          <w:rFonts w:cs="Times New Roman"/>
          <w:bCs/>
          <w:szCs w:val="24"/>
          <w:lang w:val="tr-TR"/>
        </w:rPr>
      </w:pPr>
      <w:r w:rsidRPr="00DD0D1F">
        <w:rPr>
          <w:rFonts w:cs="Times New Roman"/>
          <w:b/>
          <w:bCs/>
          <w:szCs w:val="24"/>
          <w:lang w:val="tr-TR"/>
        </w:rPr>
        <w:t xml:space="preserve">MET 46: </w:t>
      </w:r>
      <w:r w:rsidRPr="00DD0D1F">
        <w:rPr>
          <w:rFonts w:cs="Times New Roman"/>
          <w:bCs/>
          <w:szCs w:val="24"/>
          <w:lang w:val="tr-TR"/>
        </w:rPr>
        <w:t xml:space="preserve">Damıtma birimlerinden havaya yayılan emisyonların engellenmesi veya azaltılması için çıkış gazları ve özellikle de yoğunlaştırılamayan çıkış gazları </w:t>
      </w:r>
      <w:r w:rsidR="00353734" w:rsidRPr="00DD0D1F">
        <w:rPr>
          <w:rFonts w:cs="Times New Roman"/>
          <w:bCs/>
          <w:szCs w:val="24"/>
          <w:lang w:val="tr-TR"/>
        </w:rPr>
        <w:t xml:space="preserve">bir sonraki </w:t>
      </w:r>
      <w:r w:rsidRPr="00DD0D1F">
        <w:rPr>
          <w:rFonts w:cs="Times New Roman"/>
          <w:bCs/>
          <w:szCs w:val="24"/>
          <w:lang w:val="tr-TR"/>
        </w:rPr>
        <w:t>kullanım öncesinde asit gazı giderimi yoluyla uygun biçimde arıtılır.</w:t>
      </w:r>
    </w:p>
    <w:p w14:paraId="60DF2E61" w14:textId="6D03176D" w:rsidR="00B2532D" w:rsidRPr="00DD0D1F" w:rsidRDefault="00B2532D" w:rsidP="00A508A2">
      <w:pPr>
        <w:rPr>
          <w:rFonts w:cs="Times New Roman"/>
          <w:b/>
          <w:bCs/>
          <w:szCs w:val="24"/>
          <w:lang w:val="tr-TR"/>
        </w:rPr>
      </w:pPr>
      <w:r w:rsidRPr="00DD0D1F">
        <w:rPr>
          <w:rFonts w:cs="Times New Roman"/>
          <w:b/>
          <w:bCs/>
          <w:szCs w:val="24"/>
          <w:lang w:val="tr-TR"/>
        </w:rPr>
        <w:t>Uygulanabilirlik</w:t>
      </w:r>
    </w:p>
    <w:p w14:paraId="2BCABF77" w14:textId="2AA6A8C9" w:rsidR="00B2532D" w:rsidRPr="00DD0D1F" w:rsidRDefault="00B2532D" w:rsidP="00A508A2">
      <w:pPr>
        <w:rPr>
          <w:rFonts w:cs="Times New Roman"/>
          <w:bCs/>
          <w:szCs w:val="24"/>
          <w:lang w:val="tr-TR"/>
        </w:rPr>
      </w:pPr>
      <w:r w:rsidRPr="00DD0D1F">
        <w:rPr>
          <w:rFonts w:cs="Times New Roman"/>
          <w:bCs/>
          <w:szCs w:val="24"/>
          <w:lang w:val="tr-TR"/>
        </w:rPr>
        <w:t>Genel olarak ham petrol ve vakum damıtma üniteleri için geçerlidir. 1 t/d'den az kükürt bileşiği emisyonuna sahip bağımsız yağlayıcı ve bitüm rafinerileri için geçerli olmayabilir. Belirli rafineri yapılandırmalarında, örneğin büyük borulama, kompresörler veya ek amin işleme kapasitesine ihtiyaç duyulması nedeniyle uygulanabilirlik kısıtlanabilir.</w:t>
      </w:r>
    </w:p>
    <w:p w14:paraId="75E74194" w14:textId="4220AD35" w:rsidR="00A508A2" w:rsidRPr="00DD0D1F" w:rsidRDefault="00A508A2" w:rsidP="00A508A2">
      <w:pPr>
        <w:pStyle w:val="GvdeMetni"/>
        <w:spacing w:before="8"/>
        <w:rPr>
          <w:b/>
          <w:sz w:val="24"/>
          <w:szCs w:val="24"/>
        </w:rPr>
      </w:pPr>
      <w:bookmarkStart w:id="240" w:name="_bookmark909"/>
      <w:bookmarkStart w:id="241" w:name="5.14_BAT_conclusions_for_the_products_tr"/>
      <w:bookmarkEnd w:id="240"/>
      <w:bookmarkEnd w:id="241"/>
    </w:p>
    <w:p w14:paraId="2EE22FC8" w14:textId="364FDB4E" w:rsidR="00B2532D" w:rsidRPr="00DD0D1F" w:rsidRDefault="00A508A2" w:rsidP="00B2532D">
      <w:pPr>
        <w:rPr>
          <w:rFonts w:cs="Times New Roman"/>
          <w:bCs/>
          <w:szCs w:val="24"/>
          <w:lang w:val="tr-TR"/>
        </w:rPr>
      </w:pPr>
      <w:r w:rsidRPr="00DD0D1F">
        <w:rPr>
          <w:rFonts w:cs="Times New Roman"/>
          <w:b/>
          <w:bCs/>
          <w:szCs w:val="24"/>
          <w:lang w:val="tr-TR"/>
        </w:rPr>
        <w:t xml:space="preserve">MET 47: </w:t>
      </w:r>
      <w:r w:rsidRPr="00DD0D1F">
        <w:rPr>
          <w:rFonts w:cs="Times New Roman"/>
          <w:bCs/>
          <w:szCs w:val="24"/>
          <w:lang w:val="tr-TR"/>
        </w:rPr>
        <w:t>Ürün arıtma prosesinden havaya yayılan emisyonların azaltılması için, çıkış gazlarının ve özellikle tatlandırma birimlerinden kaynaklanan kokulu kullanılmış havanın örneğin yakma yoluyla imha amacıyla yönlendirilir.</w:t>
      </w:r>
    </w:p>
    <w:p w14:paraId="309D1C66" w14:textId="77777777" w:rsidR="00B2532D" w:rsidRPr="00DD0D1F" w:rsidRDefault="00B2532D" w:rsidP="00B2532D">
      <w:pPr>
        <w:rPr>
          <w:rFonts w:cs="Times New Roman"/>
          <w:bCs/>
          <w:szCs w:val="24"/>
          <w:lang w:val="tr-TR"/>
        </w:rPr>
      </w:pPr>
    </w:p>
    <w:p w14:paraId="31F94DF1" w14:textId="7996F281" w:rsidR="00B2532D" w:rsidRPr="00DD0D1F" w:rsidRDefault="00B2532D" w:rsidP="00B2532D">
      <w:pPr>
        <w:rPr>
          <w:rFonts w:cs="Times New Roman"/>
          <w:b/>
          <w:bCs/>
          <w:szCs w:val="24"/>
          <w:lang w:val="tr-TR"/>
        </w:rPr>
      </w:pPr>
      <w:r w:rsidRPr="00DD0D1F">
        <w:rPr>
          <w:rFonts w:cs="Times New Roman"/>
          <w:b/>
          <w:bCs/>
          <w:szCs w:val="24"/>
          <w:lang w:val="tr-TR"/>
        </w:rPr>
        <w:t>Uygulanabilirlik</w:t>
      </w:r>
    </w:p>
    <w:p w14:paraId="391C37CD" w14:textId="6FC44ADF" w:rsidR="00B2532D" w:rsidRPr="00DD0D1F" w:rsidRDefault="00B2532D" w:rsidP="00A508A2">
      <w:pPr>
        <w:rPr>
          <w:rFonts w:cs="Times New Roman"/>
          <w:bCs/>
          <w:szCs w:val="24"/>
          <w:lang w:val="tr-TR"/>
        </w:rPr>
      </w:pPr>
      <w:r w:rsidRPr="00DD0D1F">
        <w:rPr>
          <w:rFonts w:cs="Times New Roman"/>
          <w:bCs/>
          <w:szCs w:val="24"/>
          <w:lang w:val="tr-TR"/>
        </w:rPr>
        <w:t>Genellikle gaz akımlarının imha ünitelerine güvenli bir şekilde işlenebildiği ürün işleme proseslerine uygulanabilir. Güvenlik nedenlerinden dolayı tatlandırma ünitelerine uygulanamayabilir.</w:t>
      </w:r>
    </w:p>
    <w:p w14:paraId="7BFCEECF" w14:textId="77777777" w:rsidR="00A508A2" w:rsidRPr="00DD0D1F" w:rsidRDefault="00A508A2" w:rsidP="00A508A2">
      <w:pPr>
        <w:pStyle w:val="GvdeMetni"/>
        <w:spacing w:before="7" w:line="360" w:lineRule="auto"/>
        <w:jc w:val="both"/>
        <w:rPr>
          <w:sz w:val="24"/>
          <w:szCs w:val="24"/>
        </w:rPr>
      </w:pPr>
    </w:p>
    <w:p w14:paraId="316282D2" w14:textId="77777777" w:rsidR="00A508A2" w:rsidRPr="00DD0D1F" w:rsidRDefault="00A508A2" w:rsidP="00A508A2">
      <w:pPr>
        <w:rPr>
          <w:rFonts w:cs="Times New Roman"/>
          <w:b/>
          <w:szCs w:val="24"/>
          <w:lang w:val="tr-TR"/>
        </w:rPr>
      </w:pPr>
      <w:r w:rsidRPr="00DD0D1F">
        <w:rPr>
          <w:rFonts w:cs="Times New Roman"/>
          <w:b/>
          <w:bCs/>
          <w:szCs w:val="24"/>
          <w:lang w:val="tr-TR"/>
        </w:rPr>
        <w:t xml:space="preserve">MET 48: </w:t>
      </w:r>
      <w:r w:rsidRPr="00DD0D1F">
        <w:rPr>
          <w:rFonts w:cs="Times New Roman"/>
          <w:bCs/>
          <w:szCs w:val="24"/>
          <w:lang w:val="tr-TR"/>
        </w:rPr>
        <w:t>Kostik kullanılan ürün arıtma prosesinin devrede olduğu durumda atık ve atık su oluşumunu azaltmak amacıyla, kademeli kostik çözeltisinden ve örneğin sıyırma yoluyla yapılacak olan uygun arıtma işlemi sonrasında geri dönüşüm de dahil olmak üzere kullanılan kostiğin global yönetiminden yararlanılır.</w:t>
      </w:r>
    </w:p>
    <w:p w14:paraId="6A76F477" w14:textId="3200A2A1" w:rsidR="00A508A2" w:rsidRPr="00DD0D1F" w:rsidRDefault="00A508A2" w:rsidP="00A508A2">
      <w:pPr>
        <w:pStyle w:val="GvdeMetni"/>
        <w:spacing w:before="8"/>
        <w:ind w:right="525"/>
        <w:rPr>
          <w:b/>
          <w:sz w:val="24"/>
          <w:szCs w:val="24"/>
        </w:rPr>
      </w:pPr>
      <w:bookmarkStart w:id="242" w:name="_bookmark910"/>
      <w:bookmarkStart w:id="243" w:name="5.15_BAT_conclusions_for_storage_and_han"/>
      <w:bookmarkEnd w:id="242"/>
      <w:bookmarkEnd w:id="243"/>
    </w:p>
    <w:p w14:paraId="708D68B9"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49:  </w:t>
      </w:r>
      <w:r w:rsidRPr="00DD0D1F">
        <w:rPr>
          <w:rFonts w:cs="Times New Roman"/>
          <w:bCs/>
          <w:szCs w:val="24"/>
          <w:lang w:val="tr-TR"/>
        </w:rPr>
        <w:t>Uçucu sıvı hidrokarbon bileşiklerinden havaya VOC emisyonlarının azaltılması amacıyla, yüksek verimli mühürleri olan yüzer tavanlı depolama tankları veya buhar geri kazanımı sistemi ile bağlantılı sabit tavanlı tanklar kullanılır.</w:t>
      </w:r>
    </w:p>
    <w:p w14:paraId="7BF765D5" w14:textId="77777777" w:rsidR="00A508A2" w:rsidRPr="00DD0D1F" w:rsidRDefault="00A508A2" w:rsidP="00A508A2">
      <w:pPr>
        <w:rPr>
          <w:rFonts w:cs="Times New Roman"/>
          <w:b/>
          <w:bCs/>
          <w:szCs w:val="24"/>
          <w:lang w:val="tr-TR"/>
        </w:rPr>
      </w:pPr>
    </w:p>
    <w:p w14:paraId="5D0A9A7B" w14:textId="77777777" w:rsidR="00A508A2" w:rsidRPr="00DD0D1F" w:rsidRDefault="00A508A2" w:rsidP="00A508A2">
      <w:pPr>
        <w:rPr>
          <w:rFonts w:cs="Times New Roman"/>
          <w:b/>
          <w:szCs w:val="24"/>
          <w:lang w:val="tr-TR"/>
        </w:rPr>
      </w:pPr>
      <w:r w:rsidRPr="00DD0D1F">
        <w:rPr>
          <w:rFonts w:cs="Times New Roman"/>
          <w:b/>
          <w:bCs/>
          <w:szCs w:val="24"/>
          <w:lang w:val="tr-TR"/>
        </w:rPr>
        <w:t>Açıklama</w:t>
      </w:r>
    </w:p>
    <w:p w14:paraId="1B3A7A88" w14:textId="7275F338" w:rsidR="00B2532D" w:rsidRPr="00DD0D1F" w:rsidRDefault="00A508A2" w:rsidP="00A508A2">
      <w:pPr>
        <w:pStyle w:val="GvdeMetni"/>
        <w:spacing w:line="360" w:lineRule="auto"/>
        <w:jc w:val="both"/>
        <w:rPr>
          <w:sz w:val="24"/>
          <w:szCs w:val="24"/>
        </w:rPr>
      </w:pPr>
      <w:r w:rsidRPr="00DD0D1F">
        <w:rPr>
          <w:sz w:val="24"/>
          <w:szCs w:val="24"/>
        </w:rPr>
        <w:t>Yüksek verimli mühürler, buhar kaybını sınırlandıran cihazlardır; ör. iyileştirilmiş birincil mühürler, ilave çoklu (ikincil veya üçüncül) m</w:t>
      </w:r>
      <w:r w:rsidR="00EB7491" w:rsidRPr="00DD0D1F">
        <w:rPr>
          <w:sz w:val="24"/>
          <w:szCs w:val="24"/>
        </w:rPr>
        <w:t>ühürler (yayılan miktara göre).</w:t>
      </w:r>
    </w:p>
    <w:p w14:paraId="16DB244E" w14:textId="609060CD" w:rsidR="00B2532D" w:rsidRPr="00DD0D1F" w:rsidRDefault="00B2532D" w:rsidP="00A508A2">
      <w:pPr>
        <w:pStyle w:val="GvdeMetni"/>
        <w:spacing w:line="360" w:lineRule="auto"/>
        <w:jc w:val="both"/>
        <w:rPr>
          <w:b/>
          <w:sz w:val="24"/>
          <w:szCs w:val="24"/>
        </w:rPr>
      </w:pPr>
      <w:r w:rsidRPr="00DD0D1F">
        <w:rPr>
          <w:b/>
          <w:sz w:val="24"/>
          <w:szCs w:val="24"/>
        </w:rPr>
        <w:t>Uygulanabilirlik</w:t>
      </w:r>
    </w:p>
    <w:p w14:paraId="1DDE8FB0" w14:textId="396382D4" w:rsidR="00B2532D" w:rsidRPr="00DD0D1F" w:rsidRDefault="00B2532D" w:rsidP="00A508A2">
      <w:pPr>
        <w:pStyle w:val="GvdeMetni"/>
        <w:spacing w:line="360" w:lineRule="auto"/>
        <w:jc w:val="both"/>
        <w:rPr>
          <w:sz w:val="24"/>
          <w:szCs w:val="24"/>
        </w:rPr>
      </w:pPr>
      <w:r w:rsidRPr="00DD0D1F">
        <w:rPr>
          <w:sz w:val="24"/>
          <w:szCs w:val="24"/>
        </w:rPr>
        <w:t>Mevcut tanklardaki üçüncül contaların yeniden donatılmasında yüksek verimli contaların uygulanabilirliği kısıtlanabilir.</w:t>
      </w:r>
    </w:p>
    <w:p w14:paraId="43AD0B1E" w14:textId="77777777" w:rsidR="00B2532D" w:rsidRPr="00DD0D1F" w:rsidRDefault="00B2532D" w:rsidP="00A508A2">
      <w:pPr>
        <w:pStyle w:val="GvdeMetni"/>
        <w:spacing w:line="360" w:lineRule="auto"/>
        <w:jc w:val="both"/>
        <w:rPr>
          <w:sz w:val="24"/>
          <w:szCs w:val="24"/>
        </w:rPr>
      </w:pPr>
    </w:p>
    <w:p w14:paraId="0E7356E0"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50: </w:t>
      </w:r>
      <w:r w:rsidRPr="00DD0D1F">
        <w:rPr>
          <w:rFonts w:cs="Times New Roman"/>
          <w:bCs/>
          <w:szCs w:val="24"/>
          <w:lang w:val="tr-TR"/>
        </w:rPr>
        <w:t>Uçucu sıvı hidrokarbon bileşiklerin depolamasından havaya yayılan VOC emisyonlarının azaltılması için, aşağıdaki tekniklerden biri veya daha fazlasının kombinasyonu kullanılır.</w:t>
      </w:r>
    </w:p>
    <w:p w14:paraId="79D898F4"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3852"/>
        <w:gridCol w:w="2286"/>
      </w:tblGrid>
      <w:tr w:rsidR="00A508A2" w:rsidRPr="00DD0D1F" w14:paraId="009B706C" w14:textId="77777777" w:rsidTr="00A508A2">
        <w:trPr>
          <w:trHeight w:val="282"/>
        </w:trPr>
        <w:tc>
          <w:tcPr>
            <w:tcW w:w="1539" w:type="pct"/>
          </w:tcPr>
          <w:p w14:paraId="0570B0B8" w14:textId="77777777" w:rsidR="00A508A2" w:rsidRPr="00DD0D1F" w:rsidRDefault="00A508A2" w:rsidP="00A508A2">
            <w:pPr>
              <w:pStyle w:val="TableParagraph"/>
              <w:spacing w:line="228" w:lineRule="exact"/>
              <w:ind w:left="1100" w:right="1095"/>
              <w:jc w:val="center"/>
              <w:rPr>
                <w:b/>
                <w:szCs w:val="24"/>
              </w:rPr>
            </w:pPr>
            <w:r w:rsidRPr="00DD0D1F">
              <w:rPr>
                <w:b/>
                <w:bCs/>
                <w:szCs w:val="24"/>
              </w:rPr>
              <w:t>Teknik</w:t>
            </w:r>
          </w:p>
        </w:tc>
        <w:tc>
          <w:tcPr>
            <w:tcW w:w="2162" w:type="pct"/>
          </w:tcPr>
          <w:p w14:paraId="4F3841DC" w14:textId="77777777" w:rsidR="00A508A2" w:rsidRPr="00DD0D1F" w:rsidRDefault="00A508A2" w:rsidP="00A508A2">
            <w:pPr>
              <w:pStyle w:val="TableParagraph"/>
              <w:spacing w:before="24"/>
              <w:ind w:left="1055" w:right="1054"/>
              <w:jc w:val="center"/>
              <w:rPr>
                <w:b/>
                <w:szCs w:val="24"/>
              </w:rPr>
            </w:pPr>
            <w:r w:rsidRPr="00DD0D1F">
              <w:rPr>
                <w:b/>
                <w:bCs/>
                <w:szCs w:val="24"/>
              </w:rPr>
              <w:t>Açıklama</w:t>
            </w:r>
          </w:p>
        </w:tc>
        <w:tc>
          <w:tcPr>
            <w:tcW w:w="1299" w:type="pct"/>
          </w:tcPr>
          <w:p w14:paraId="3C43658C" w14:textId="77777777" w:rsidR="00A508A2" w:rsidRPr="00DD0D1F" w:rsidRDefault="00A508A2" w:rsidP="00A508A2">
            <w:pPr>
              <w:pStyle w:val="TableParagraph"/>
              <w:spacing w:before="24"/>
              <w:ind w:left="547" w:hanging="385"/>
              <w:jc w:val="center"/>
              <w:rPr>
                <w:b/>
                <w:szCs w:val="24"/>
              </w:rPr>
            </w:pPr>
            <w:r w:rsidRPr="00DD0D1F">
              <w:rPr>
                <w:b/>
                <w:bCs/>
                <w:szCs w:val="24"/>
              </w:rPr>
              <w:t>Uygulanabilirlik</w:t>
            </w:r>
          </w:p>
        </w:tc>
      </w:tr>
      <w:tr w:rsidR="00A508A2" w:rsidRPr="00DD0D1F" w14:paraId="1A314363" w14:textId="77777777" w:rsidTr="00A508A2">
        <w:trPr>
          <w:trHeight w:val="690"/>
        </w:trPr>
        <w:tc>
          <w:tcPr>
            <w:tcW w:w="1539" w:type="pct"/>
          </w:tcPr>
          <w:p w14:paraId="66349A6D" w14:textId="77777777" w:rsidR="00A508A2" w:rsidRPr="00DD0D1F" w:rsidRDefault="00A508A2" w:rsidP="00A508A2">
            <w:pPr>
              <w:pStyle w:val="TableParagraph"/>
              <w:spacing w:before="5"/>
              <w:rPr>
                <w:b/>
                <w:szCs w:val="24"/>
              </w:rPr>
            </w:pPr>
          </w:p>
          <w:p w14:paraId="0B153479" w14:textId="77777777" w:rsidR="00A508A2" w:rsidRPr="00DD0D1F" w:rsidRDefault="00A508A2" w:rsidP="00A508A2">
            <w:pPr>
              <w:pStyle w:val="TableParagraph"/>
              <w:tabs>
                <w:tab w:val="left" w:pos="363"/>
              </w:tabs>
              <w:ind w:left="647" w:hanging="426"/>
              <w:rPr>
                <w:szCs w:val="24"/>
              </w:rPr>
            </w:pPr>
            <w:r w:rsidRPr="00DD0D1F">
              <w:rPr>
                <w:szCs w:val="24"/>
              </w:rPr>
              <w:t>i.</w:t>
            </w:r>
            <w:r w:rsidRPr="00DD0D1F">
              <w:rPr>
                <w:szCs w:val="24"/>
              </w:rPr>
              <w:tab/>
              <w:t>Manüel ham petrol tankı temizliği</w:t>
            </w:r>
          </w:p>
        </w:tc>
        <w:tc>
          <w:tcPr>
            <w:tcW w:w="2162" w:type="pct"/>
          </w:tcPr>
          <w:p w14:paraId="478AC1F9" w14:textId="77777777" w:rsidR="00A508A2" w:rsidRPr="00DD0D1F" w:rsidRDefault="00A508A2" w:rsidP="00A508A2">
            <w:pPr>
              <w:pStyle w:val="TableParagraph"/>
              <w:spacing w:line="237" w:lineRule="auto"/>
              <w:ind w:left="71"/>
              <w:rPr>
                <w:szCs w:val="24"/>
              </w:rPr>
            </w:pPr>
            <w:r w:rsidRPr="00DD0D1F">
              <w:rPr>
                <w:szCs w:val="24"/>
              </w:rPr>
              <w:t>İşçiler, petrol tankını tankın içine girerek ve çamuru manüel olarak gidererek temizler</w:t>
            </w:r>
          </w:p>
          <w:p w14:paraId="31405A41" w14:textId="77777777" w:rsidR="00A508A2" w:rsidRPr="00DD0D1F" w:rsidRDefault="00A508A2" w:rsidP="00A508A2">
            <w:pPr>
              <w:pStyle w:val="TableParagraph"/>
              <w:spacing w:line="217" w:lineRule="exact"/>
              <w:ind w:left="71"/>
              <w:rPr>
                <w:szCs w:val="24"/>
              </w:rPr>
            </w:pPr>
          </w:p>
        </w:tc>
        <w:tc>
          <w:tcPr>
            <w:tcW w:w="1299" w:type="pct"/>
          </w:tcPr>
          <w:p w14:paraId="0CD33F91" w14:textId="77777777" w:rsidR="00A508A2" w:rsidRPr="00DD0D1F" w:rsidRDefault="00A508A2" w:rsidP="00A508A2">
            <w:pPr>
              <w:pStyle w:val="TableParagraph"/>
              <w:spacing w:before="5"/>
              <w:rPr>
                <w:b/>
                <w:szCs w:val="24"/>
              </w:rPr>
            </w:pPr>
          </w:p>
          <w:p w14:paraId="1F3A49E3" w14:textId="77777777" w:rsidR="00A508A2" w:rsidRPr="00DD0D1F" w:rsidRDefault="00A508A2" w:rsidP="00A508A2">
            <w:pPr>
              <w:pStyle w:val="TableParagraph"/>
              <w:ind w:left="141"/>
              <w:rPr>
                <w:szCs w:val="24"/>
              </w:rPr>
            </w:pPr>
            <w:r w:rsidRPr="00DD0D1F">
              <w:rPr>
                <w:szCs w:val="24"/>
              </w:rPr>
              <w:t>Genel olarak uygulanabilir</w:t>
            </w:r>
          </w:p>
        </w:tc>
      </w:tr>
      <w:tr w:rsidR="00A508A2" w:rsidRPr="00DD0D1F" w14:paraId="52BF0D15" w14:textId="77777777" w:rsidTr="00A508A2">
        <w:trPr>
          <w:trHeight w:val="1840"/>
        </w:trPr>
        <w:tc>
          <w:tcPr>
            <w:tcW w:w="1539" w:type="pct"/>
          </w:tcPr>
          <w:p w14:paraId="6EF2F019" w14:textId="77777777" w:rsidR="00A508A2" w:rsidRPr="00DD0D1F" w:rsidRDefault="00A508A2" w:rsidP="00A508A2">
            <w:pPr>
              <w:pStyle w:val="TableParagraph"/>
              <w:rPr>
                <w:b/>
                <w:szCs w:val="24"/>
              </w:rPr>
            </w:pPr>
          </w:p>
          <w:p w14:paraId="78F1E5B1" w14:textId="77777777" w:rsidR="00A508A2" w:rsidRPr="00DD0D1F" w:rsidRDefault="00A508A2" w:rsidP="00A508A2">
            <w:pPr>
              <w:pStyle w:val="TableParagraph"/>
              <w:rPr>
                <w:b/>
                <w:szCs w:val="24"/>
              </w:rPr>
            </w:pPr>
          </w:p>
          <w:p w14:paraId="7305A5D1" w14:textId="77777777" w:rsidR="00A508A2" w:rsidRPr="00DD0D1F" w:rsidRDefault="00A508A2" w:rsidP="00A508A2">
            <w:pPr>
              <w:pStyle w:val="TableParagraph"/>
              <w:spacing w:before="6"/>
              <w:rPr>
                <w:b/>
                <w:szCs w:val="24"/>
              </w:rPr>
            </w:pPr>
          </w:p>
          <w:p w14:paraId="3AB74022" w14:textId="77777777" w:rsidR="00A508A2" w:rsidRPr="00DD0D1F" w:rsidRDefault="00A508A2" w:rsidP="00A508A2">
            <w:pPr>
              <w:pStyle w:val="TableParagraph"/>
              <w:tabs>
                <w:tab w:val="left" w:pos="546"/>
              </w:tabs>
              <w:ind w:left="167"/>
              <w:rPr>
                <w:szCs w:val="24"/>
              </w:rPr>
            </w:pPr>
            <w:r w:rsidRPr="00DD0D1F">
              <w:rPr>
                <w:szCs w:val="24"/>
              </w:rPr>
              <w:t>ii.</w:t>
            </w:r>
            <w:r w:rsidRPr="00DD0D1F">
              <w:rPr>
                <w:szCs w:val="24"/>
              </w:rPr>
              <w:tab/>
              <w:t>Kapalı döngü sistemi kullanımı</w:t>
            </w:r>
          </w:p>
        </w:tc>
        <w:tc>
          <w:tcPr>
            <w:tcW w:w="2162" w:type="pct"/>
          </w:tcPr>
          <w:p w14:paraId="23241FE9" w14:textId="77777777" w:rsidR="00A508A2" w:rsidRPr="00DD0D1F" w:rsidRDefault="00A508A2" w:rsidP="00A508A2">
            <w:pPr>
              <w:pStyle w:val="TableParagraph"/>
              <w:ind w:left="71" w:right="96"/>
              <w:jc w:val="both"/>
              <w:rPr>
                <w:szCs w:val="24"/>
              </w:rPr>
            </w:pPr>
            <w:r w:rsidRPr="00DD0D1F">
              <w:rPr>
                <w:szCs w:val="24"/>
              </w:rPr>
              <w:t>Dahili muayeneler için tanklar periyodik olarak boşaltılır, temizlenir ve gazsız hale getirilir. Bu temizliğin kapsamında tank dibinin çözündürülmesi de yer alır. Boru çıkışı mobil azaltım teknikleri ile kombine edilebilen kapalı döngü sistemleri VOC emisyonlarını engeller veya azaltır</w:t>
            </w:r>
          </w:p>
        </w:tc>
        <w:tc>
          <w:tcPr>
            <w:tcW w:w="1299" w:type="pct"/>
          </w:tcPr>
          <w:p w14:paraId="3BE8F307" w14:textId="77777777" w:rsidR="00A508A2" w:rsidRPr="00DD0D1F" w:rsidRDefault="00A508A2" w:rsidP="00A508A2">
            <w:pPr>
              <w:pStyle w:val="TableParagraph"/>
              <w:spacing w:before="5"/>
              <w:rPr>
                <w:b/>
                <w:szCs w:val="24"/>
              </w:rPr>
            </w:pPr>
          </w:p>
          <w:p w14:paraId="72C03506" w14:textId="77777777" w:rsidR="00A508A2" w:rsidRPr="00DD0D1F" w:rsidRDefault="00A508A2" w:rsidP="00A508A2">
            <w:pPr>
              <w:pStyle w:val="TableParagraph"/>
              <w:ind w:left="141" w:right="99"/>
              <w:jc w:val="both"/>
              <w:rPr>
                <w:szCs w:val="24"/>
              </w:rPr>
            </w:pPr>
            <w:r w:rsidRPr="00DD0D1F">
              <w:rPr>
                <w:szCs w:val="24"/>
              </w:rPr>
              <w:t>Uygulanabilirlik, örneğin tank çatısının konstrüksiyonu veya tank materyalleri ile sınırlandırılmaktadır</w:t>
            </w:r>
          </w:p>
        </w:tc>
      </w:tr>
    </w:tbl>
    <w:p w14:paraId="0665B9AC" w14:textId="77777777" w:rsidR="00A508A2" w:rsidRPr="00DD0D1F" w:rsidRDefault="00A508A2" w:rsidP="00A508A2">
      <w:pPr>
        <w:rPr>
          <w:rFonts w:cs="Times New Roman"/>
          <w:szCs w:val="24"/>
          <w:lang w:val="tr-TR"/>
        </w:rPr>
        <w:sectPr w:rsidR="00A508A2" w:rsidRPr="00DD0D1F" w:rsidSect="00A508A2">
          <w:headerReference w:type="even" r:id="rId16"/>
          <w:headerReference w:type="default" r:id="rId17"/>
          <w:footerReference w:type="even" r:id="rId18"/>
          <w:footerReference w:type="default" r:id="rId19"/>
          <w:pgSz w:w="11909" w:h="16850"/>
          <w:pgMar w:top="1411" w:right="1411" w:bottom="1411" w:left="1411" w:header="706" w:footer="706" w:gutter="0"/>
          <w:cols w:space="708"/>
        </w:sectPr>
      </w:pPr>
    </w:p>
    <w:p w14:paraId="0790A333" w14:textId="77777777" w:rsidR="00A508A2" w:rsidRPr="00DD0D1F" w:rsidRDefault="00A508A2" w:rsidP="00A508A2">
      <w:pPr>
        <w:pStyle w:val="GvdeMetni"/>
        <w:spacing w:before="7"/>
        <w:rPr>
          <w:b/>
          <w:sz w:val="24"/>
          <w:szCs w:val="24"/>
        </w:rPr>
      </w:pPr>
    </w:p>
    <w:p w14:paraId="52D19958" w14:textId="77777777" w:rsidR="00A508A2" w:rsidRPr="00DD0D1F" w:rsidRDefault="00A508A2" w:rsidP="00A508A2">
      <w:pPr>
        <w:pStyle w:val="GvdeMetni"/>
        <w:spacing w:before="5"/>
        <w:rPr>
          <w:b/>
          <w:sz w:val="24"/>
          <w:szCs w:val="24"/>
        </w:rPr>
      </w:pPr>
    </w:p>
    <w:p w14:paraId="4DF49930" w14:textId="77777777" w:rsidR="00A508A2" w:rsidRPr="00DD0D1F" w:rsidRDefault="00A508A2" w:rsidP="00A508A2">
      <w:pPr>
        <w:spacing w:before="91"/>
        <w:rPr>
          <w:rFonts w:cs="Times New Roman"/>
          <w:b/>
          <w:bCs/>
          <w:szCs w:val="24"/>
          <w:lang w:val="tr-TR"/>
        </w:rPr>
      </w:pPr>
      <w:r w:rsidRPr="00DD0D1F">
        <w:rPr>
          <w:rFonts w:cs="Times New Roman"/>
          <w:b/>
          <w:bCs/>
          <w:szCs w:val="24"/>
          <w:lang w:val="tr-TR"/>
        </w:rPr>
        <w:t xml:space="preserve">MET 51: </w:t>
      </w:r>
      <w:r w:rsidRPr="00DD0D1F">
        <w:rPr>
          <w:rFonts w:cs="Times New Roman"/>
          <w:bCs/>
          <w:szCs w:val="24"/>
          <w:lang w:val="tr-TR"/>
        </w:rPr>
        <w:t>Sıvı sıvı hidrokarbon bileşiklerin depolamasından toprağa ve yeraltı suyuna yayılan emisyonların önlenmesi veya azaltılması için, aşağıdaki tekniklerden biri veya daha fazlasının kombinasyonu kullanılır.</w:t>
      </w:r>
    </w:p>
    <w:p w14:paraId="3BA5A692" w14:textId="77777777" w:rsidR="00A508A2" w:rsidRPr="00DD0D1F" w:rsidRDefault="00A508A2" w:rsidP="00A508A2">
      <w:pPr>
        <w:pStyle w:val="GvdeMetni"/>
        <w:spacing w:before="11"/>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2885"/>
        <w:gridCol w:w="2885"/>
      </w:tblGrid>
      <w:tr w:rsidR="00A508A2" w:rsidRPr="00DD0D1F" w14:paraId="772F64A8" w14:textId="77777777" w:rsidTr="00A508A2">
        <w:trPr>
          <w:trHeight w:val="282"/>
          <w:jc w:val="center"/>
        </w:trPr>
        <w:tc>
          <w:tcPr>
            <w:tcW w:w="2736" w:type="dxa"/>
          </w:tcPr>
          <w:p w14:paraId="5CF40A9A" w14:textId="77777777" w:rsidR="00A508A2" w:rsidRPr="00DD0D1F" w:rsidRDefault="00A508A2" w:rsidP="00A508A2">
            <w:pPr>
              <w:pStyle w:val="TableParagraph"/>
              <w:spacing w:before="24"/>
              <w:ind w:left="894" w:right="890"/>
              <w:jc w:val="center"/>
              <w:rPr>
                <w:b/>
                <w:szCs w:val="24"/>
              </w:rPr>
            </w:pPr>
            <w:r w:rsidRPr="00DD0D1F">
              <w:rPr>
                <w:b/>
                <w:bCs/>
                <w:szCs w:val="24"/>
              </w:rPr>
              <w:t>Teknik</w:t>
            </w:r>
          </w:p>
        </w:tc>
        <w:tc>
          <w:tcPr>
            <w:tcW w:w="2885" w:type="dxa"/>
          </w:tcPr>
          <w:p w14:paraId="19478E70" w14:textId="77777777" w:rsidR="00A508A2" w:rsidRPr="00DD0D1F" w:rsidRDefault="00A508A2" w:rsidP="00A508A2">
            <w:pPr>
              <w:pStyle w:val="TableParagraph"/>
              <w:spacing w:before="24"/>
              <w:ind w:left="948"/>
              <w:rPr>
                <w:b/>
                <w:szCs w:val="24"/>
              </w:rPr>
            </w:pPr>
            <w:r w:rsidRPr="00DD0D1F">
              <w:rPr>
                <w:b/>
                <w:bCs/>
                <w:szCs w:val="24"/>
              </w:rPr>
              <w:t>Açıklama</w:t>
            </w:r>
          </w:p>
        </w:tc>
        <w:tc>
          <w:tcPr>
            <w:tcW w:w="2885" w:type="dxa"/>
          </w:tcPr>
          <w:p w14:paraId="69302604" w14:textId="77777777" w:rsidR="00A508A2" w:rsidRPr="00DD0D1F" w:rsidRDefault="00A508A2" w:rsidP="00A508A2">
            <w:pPr>
              <w:pStyle w:val="TableParagraph"/>
              <w:spacing w:before="24"/>
              <w:ind w:left="164"/>
              <w:jc w:val="center"/>
              <w:rPr>
                <w:b/>
                <w:szCs w:val="24"/>
              </w:rPr>
            </w:pPr>
            <w:r w:rsidRPr="00DD0D1F">
              <w:rPr>
                <w:b/>
                <w:bCs/>
                <w:szCs w:val="24"/>
              </w:rPr>
              <w:t>Uygulanabilirlik</w:t>
            </w:r>
          </w:p>
        </w:tc>
      </w:tr>
      <w:tr w:rsidR="00A508A2" w:rsidRPr="00DD0D1F" w14:paraId="51823A81" w14:textId="77777777" w:rsidTr="00A508A2">
        <w:trPr>
          <w:trHeight w:val="3220"/>
          <w:jc w:val="center"/>
        </w:trPr>
        <w:tc>
          <w:tcPr>
            <w:tcW w:w="2736" w:type="dxa"/>
          </w:tcPr>
          <w:p w14:paraId="70356EE0" w14:textId="77777777" w:rsidR="00A508A2" w:rsidRPr="00DD0D1F" w:rsidRDefault="00A508A2" w:rsidP="00A508A2">
            <w:pPr>
              <w:pStyle w:val="TableParagraph"/>
              <w:rPr>
                <w:b/>
                <w:szCs w:val="24"/>
              </w:rPr>
            </w:pPr>
          </w:p>
          <w:p w14:paraId="4CEB6C4E" w14:textId="77777777" w:rsidR="00A508A2" w:rsidRPr="00DD0D1F" w:rsidRDefault="00A508A2" w:rsidP="00A508A2">
            <w:pPr>
              <w:pStyle w:val="TableParagraph"/>
              <w:rPr>
                <w:b/>
                <w:szCs w:val="24"/>
              </w:rPr>
            </w:pPr>
          </w:p>
          <w:p w14:paraId="7EA6B995" w14:textId="77777777" w:rsidR="00A508A2" w:rsidRPr="00DD0D1F" w:rsidRDefault="00A508A2" w:rsidP="00A508A2">
            <w:pPr>
              <w:pStyle w:val="TableParagraph"/>
              <w:rPr>
                <w:b/>
                <w:szCs w:val="24"/>
              </w:rPr>
            </w:pPr>
          </w:p>
          <w:p w14:paraId="5D2A93BF" w14:textId="77777777" w:rsidR="00A508A2" w:rsidRPr="00DD0D1F" w:rsidRDefault="00A508A2" w:rsidP="00A508A2">
            <w:pPr>
              <w:pStyle w:val="TableParagraph"/>
              <w:rPr>
                <w:b/>
                <w:szCs w:val="24"/>
              </w:rPr>
            </w:pPr>
          </w:p>
          <w:p w14:paraId="4572E1B9" w14:textId="77777777" w:rsidR="00A508A2" w:rsidRPr="00DD0D1F" w:rsidRDefault="00A508A2" w:rsidP="00A508A2">
            <w:pPr>
              <w:pStyle w:val="TableParagraph"/>
              <w:tabs>
                <w:tab w:val="left" w:pos="588"/>
              </w:tabs>
              <w:spacing w:before="130"/>
              <w:ind w:left="588" w:right="136" w:hanging="365"/>
              <w:rPr>
                <w:szCs w:val="24"/>
              </w:rPr>
            </w:pPr>
            <w:r w:rsidRPr="00DD0D1F">
              <w:rPr>
                <w:szCs w:val="24"/>
              </w:rPr>
              <w:t>i.</w:t>
            </w:r>
            <w:r w:rsidRPr="00DD0D1F">
              <w:rPr>
                <w:szCs w:val="24"/>
              </w:rPr>
              <w:tab/>
              <w:t>Korozyonun izlenmesini, önlenmesini ve kontrolünü de içeren bakım programı</w:t>
            </w:r>
          </w:p>
        </w:tc>
        <w:tc>
          <w:tcPr>
            <w:tcW w:w="2885" w:type="dxa"/>
          </w:tcPr>
          <w:p w14:paraId="634A6027" w14:textId="77777777" w:rsidR="00A508A2" w:rsidRPr="00DD0D1F" w:rsidRDefault="00A508A2" w:rsidP="00A508A2">
            <w:pPr>
              <w:pStyle w:val="TableParagraph"/>
              <w:ind w:left="144" w:right="95"/>
              <w:jc w:val="both"/>
              <w:rPr>
                <w:szCs w:val="24"/>
              </w:rPr>
            </w:pPr>
            <w:r w:rsidRPr="00DD0D1F">
              <w:rPr>
                <w:szCs w:val="24"/>
              </w:rPr>
              <w:t>Kaçak tespitini ve taşmayı önleyici operasyonel kontrolleri, stok kontrolünü ve tank bütünlüğünü kanıtlamak için aralıklı olarak tanklar üzerinde yapılan risk esaslı muayene prosedürlerini ve tankın muhafaza kabiliyetini iyileştirici bakımı içeren bir yönetim sistemi. Bu kapsamda, sızıntının sonuçlarına sızıntı yeraltı suyuna ulaşmadan önce müdahale edildiği bir sistem de yer alır. Bakım periyodları esnasında özellikle güçlendirilmelidir.</w:t>
            </w:r>
          </w:p>
        </w:tc>
        <w:tc>
          <w:tcPr>
            <w:tcW w:w="2885" w:type="dxa"/>
          </w:tcPr>
          <w:p w14:paraId="3757B23A" w14:textId="77777777" w:rsidR="00A508A2" w:rsidRPr="00DD0D1F" w:rsidRDefault="00A508A2" w:rsidP="00A508A2">
            <w:pPr>
              <w:pStyle w:val="TableParagraph"/>
              <w:rPr>
                <w:b/>
                <w:szCs w:val="24"/>
              </w:rPr>
            </w:pPr>
          </w:p>
          <w:p w14:paraId="3A5D30CA" w14:textId="77777777" w:rsidR="00A508A2" w:rsidRPr="00DD0D1F" w:rsidRDefault="00A508A2" w:rsidP="00A508A2">
            <w:pPr>
              <w:pStyle w:val="TableParagraph"/>
              <w:rPr>
                <w:b/>
                <w:szCs w:val="24"/>
              </w:rPr>
            </w:pPr>
          </w:p>
          <w:p w14:paraId="2425876E" w14:textId="77777777" w:rsidR="00A508A2" w:rsidRPr="00DD0D1F" w:rsidRDefault="00A508A2" w:rsidP="00A508A2">
            <w:pPr>
              <w:pStyle w:val="TableParagraph"/>
              <w:rPr>
                <w:b/>
                <w:szCs w:val="24"/>
              </w:rPr>
            </w:pPr>
          </w:p>
          <w:p w14:paraId="4EC95CD4" w14:textId="77777777" w:rsidR="00A508A2" w:rsidRPr="00DD0D1F" w:rsidRDefault="00A508A2" w:rsidP="00A508A2">
            <w:pPr>
              <w:pStyle w:val="TableParagraph"/>
              <w:rPr>
                <w:b/>
                <w:szCs w:val="24"/>
              </w:rPr>
            </w:pPr>
          </w:p>
          <w:p w14:paraId="1DFB1100" w14:textId="77777777" w:rsidR="00A508A2" w:rsidRPr="00DD0D1F" w:rsidRDefault="00A508A2" w:rsidP="00A508A2">
            <w:pPr>
              <w:pStyle w:val="TableParagraph"/>
              <w:rPr>
                <w:b/>
                <w:szCs w:val="24"/>
              </w:rPr>
            </w:pPr>
          </w:p>
          <w:p w14:paraId="43C7FAA0" w14:textId="77777777" w:rsidR="00A508A2" w:rsidRPr="00DD0D1F" w:rsidRDefault="00A508A2" w:rsidP="00A508A2">
            <w:pPr>
              <w:pStyle w:val="TableParagraph"/>
              <w:spacing w:before="4"/>
              <w:rPr>
                <w:b/>
                <w:szCs w:val="24"/>
              </w:rPr>
            </w:pPr>
          </w:p>
          <w:p w14:paraId="69E6ACDB" w14:textId="77777777" w:rsidR="00A508A2" w:rsidRPr="00DD0D1F" w:rsidRDefault="00A508A2" w:rsidP="00A508A2">
            <w:pPr>
              <w:pStyle w:val="TableParagraph"/>
              <w:spacing w:before="1"/>
              <w:ind w:left="144"/>
              <w:rPr>
                <w:szCs w:val="24"/>
              </w:rPr>
            </w:pPr>
            <w:r w:rsidRPr="00DD0D1F">
              <w:rPr>
                <w:szCs w:val="24"/>
              </w:rPr>
              <w:t>Genel olarak uygulanabilir</w:t>
            </w:r>
          </w:p>
        </w:tc>
      </w:tr>
      <w:tr w:rsidR="00A508A2" w:rsidRPr="00DD0D1F" w14:paraId="3B352898" w14:textId="77777777" w:rsidTr="00A508A2">
        <w:trPr>
          <w:trHeight w:val="918"/>
          <w:jc w:val="center"/>
        </w:trPr>
        <w:tc>
          <w:tcPr>
            <w:tcW w:w="2736" w:type="dxa"/>
          </w:tcPr>
          <w:p w14:paraId="0C0B44C0" w14:textId="77777777" w:rsidR="00A508A2" w:rsidRPr="00DD0D1F" w:rsidRDefault="00A508A2" w:rsidP="00A508A2">
            <w:pPr>
              <w:pStyle w:val="TableParagraph"/>
              <w:spacing w:before="5"/>
              <w:rPr>
                <w:b/>
                <w:szCs w:val="24"/>
              </w:rPr>
            </w:pPr>
          </w:p>
          <w:p w14:paraId="27594415" w14:textId="77777777" w:rsidR="00A508A2" w:rsidRPr="00DD0D1F" w:rsidRDefault="00A508A2" w:rsidP="00A508A2">
            <w:pPr>
              <w:pStyle w:val="TableParagraph"/>
              <w:tabs>
                <w:tab w:val="left" w:pos="588"/>
              </w:tabs>
              <w:ind w:left="167"/>
              <w:rPr>
                <w:szCs w:val="24"/>
              </w:rPr>
            </w:pPr>
            <w:r w:rsidRPr="00DD0D1F">
              <w:rPr>
                <w:szCs w:val="24"/>
              </w:rPr>
              <w:t>ii.</w:t>
            </w:r>
            <w:r w:rsidRPr="00DD0D1F">
              <w:rPr>
                <w:szCs w:val="24"/>
              </w:rPr>
              <w:tab/>
              <w:t>Çift dipli tanklar</w:t>
            </w:r>
          </w:p>
        </w:tc>
        <w:tc>
          <w:tcPr>
            <w:tcW w:w="2885" w:type="dxa"/>
          </w:tcPr>
          <w:p w14:paraId="2695944D" w14:textId="77777777" w:rsidR="00A508A2" w:rsidRPr="00DD0D1F" w:rsidRDefault="00A508A2" w:rsidP="00A508A2">
            <w:pPr>
              <w:pStyle w:val="TableParagraph"/>
              <w:ind w:left="144" w:right="87"/>
              <w:rPr>
                <w:szCs w:val="24"/>
              </w:rPr>
            </w:pPr>
            <w:r w:rsidRPr="00DD0D1F">
              <w:rPr>
                <w:szCs w:val="24"/>
              </w:rPr>
              <w:t>İlk materyalden kaynaklanan salımlara karşı koruma sağlayan ikinci bir geçirimsiz diptir.</w:t>
            </w:r>
          </w:p>
          <w:p w14:paraId="53670A10" w14:textId="77777777" w:rsidR="00A508A2" w:rsidRPr="00DD0D1F" w:rsidRDefault="00A508A2" w:rsidP="00A508A2">
            <w:pPr>
              <w:pStyle w:val="TableParagraph"/>
              <w:spacing w:line="228" w:lineRule="exact"/>
              <w:ind w:left="144" w:right="87"/>
              <w:rPr>
                <w:szCs w:val="24"/>
              </w:rPr>
            </w:pPr>
          </w:p>
        </w:tc>
        <w:tc>
          <w:tcPr>
            <w:tcW w:w="2885" w:type="dxa"/>
          </w:tcPr>
          <w:p w14:paraId="32F9FB94" w14:textId="77777777" w:rsidR="00A508A2" w:rsidRPr="00DD0D1F" w:rsidRDefault="00A508A2" w:rsidP="00A508A2">
            <w:pPr>
              <w:pStyle w:val="TableParagraph"/>
              <w:spacing w:before="108"/>
              <w:ind w:left="144" w:right="94"/>
              <w:jc w:val="both"/>
              <w:rPr>
                <w:szCs w:val="24"/>
              </w:rPr>
            </w:pPr>
            <w:r w:rsidRPr="00DD0D1F">
              <w:rPr>
                <w:szCs w:val="24"/>
              </w:rPr>
              <w:t>Genel olarak yeni tanklar için ve kapsamlı revizyondan geçirilen mevcut tanklar için uygulanabilir(</w:t>
            </w:r>
            <w:r w:rsidRPr="00DD0D1F">
              <w:rPr>
                <w:szCs w:val="24"/>
                <w:vertAlign w:val="superscript"/>
              </w:rPr>
              <w:t>1</w:t>
            </w:r>
            <w:r w:rsidRPr="00DD0D1F">
              <w:rPr>
                <w:szCs w:val="24"/>
              </w:rPr>
              <w:t>)</w:t>
            </w:r>
          </w:p>
        </w:tc>
      </w:tr>
      <w:tr w:rsidR="00A508A2" w:rsidRPr="00DD0D1F" w14:paraId="3120F9B4" w14:textId="77777777" w:rsidTr="00A508A2">
        <w:trPr>
          <w:trHeight w:val="690"/>
          <w:jc w:val="center"/>
        </w:trPr>
        <w:tc>
          <w:tcPr>
            <w:tcW w:w="2736" w:type="dxa"/>
          </w:tcPr>
          <w:p w14:paraId="0163222B" w14:textId="77777777" w:rsidR="00A508A2" w:rsidRPr="00DD0D1F" w:rsidRDefault="00A508A2" w:rsidP="00A508A2">
            <w:pPr>
              <w:pStyle w:val="TableParagraph"/>
              <w:tabs>
                <w:tab w:val="left" w:pos="588"/>
              </w:tabs>
              <w:spacing w:before="108"/>
              <w:ind w:left="588" w:right="335" w:hanging="479"/>
              <w:rPr>
                <w:szCs w:val="24"/>
              </w:rPr>
            </w:pPr>
            <w:r w:rsidRPr="00DD0D1F">
              <w:rPr>
                <w:szCs w:val="24"/>
              </w:rPr>
              <w:t>iii.</w:t>
            </w:r>
            <w:r w:rsidRPr="00DD0D1F">
              <w:rPr>
                <w:szCs w:val="24"/>
              </w:rPr>
              <w:tab/>
              <w:t>Geçirimsiz membranlı astarlar</w:t>
            </w:r>
          </w:p>
        </w:tc>
        <w:tc>
          <w:tcPr>
            <w:tcW w:w="2885" w:type="dxa"/>
          </w:tcPr>
          <w:p w14:paraId="53228205" w14:textId="77777777" w:rsidR="00A508A2" w:rsidRPr="00DD0D1F" w:rsidRDefault="00A508A2" w:rsidP="00A508A2">
            <w:pPr>
              <w:pStyle w:val="TableParagraph"/>
              <w:spacing w:line="223" w:lineRule="exact"/>
              <w:ind w:left="144"/>
              <w:rPr>
                <w:szCs w:val="24"/>
              </w:rPr>
            </w:pPr>
            <w:r w:rsidRPr="00DD0D1F">
              <w:rPr>
                <w:szCs w:val="24"/>
              </w:rPr>
              <w:t>Tankın dip yüzeyinin tamamını kapsayan kesintisiz kaçak bariyeri</w:t>
            </w:r>
          </w:p>
        </w:tc>
        <w:tc>
          <w:tcPr>
            <w:tcW w:w="2885" w:type="dxa"/>
          </w:tcPr>
          <w:p w14:paraId="6DE2CEB5" w14:textId="77777777" w:rsidR="00A508A2" w:rsidRPr="00DD0D1F" w:rsidRDefault="00A508A2" w:rsidP="00A508A2">
            <w:pPr>
              <w:pStyle w:val="TableParagraph"/>
              <w:spacing w:line="223" w:lineRule="exact"/>
              <w:ind w:left="144"/>
              <w:rPr>
                <w:szCs w:val="24"/>
              </w:rPr>
            </w:pPr>
            <w:r w:rsidRPr="00DD0D1F">
              <w:rPr>
                <w:szCs w:val="24"/>
              </w:rPr>
              <w:t>Genel olarak yeni tanklar için ve kapsamlı revizyondan geçirilen mevcut tanklar için uygulanabilir(</w:t>
            </w:r>
            <w:r w:rsidRPr="00DD0D1F">
              <w:rPr>
                <w:szCs w:val="24"/>
                <w:vertAlign w:val="superscript"/>
              </w:rPr>
              <w:t>1</w:t>
            </w:r>
            <w:r w:rsidRPr="00DD0D1F">
              <w:rPr>
                <w:szCs w:val="24"/>
              </w:rPr>
              <w:t>)</w:t>
            </w:r>
          </w:p>
        </w:tc>
      </w:tr>
      <w:tr w:rsidR="00A508A2" w:rsidRPr="00DD0D1F" w14:paraId="701E0B13" w14:textId="77777777" w:rsidTr="00A508A2">
        <w:trPr>
          <w:trHeight w:val="1840"/>
          <w:jc w:val="center"/>
        </w:trPr>
        <w:tc>
          <w:tcPr>
            <w:tcW w:w="2736" w:type="dxa"/>
          </w:tcPr>
          <w:p w14:paraId="59184348" w14:textId="77777777" w:rsidR="00A508A2" w:rsidRPr="00DD0D1F" w:rsidRDefault="00A508A2" w:rsidP="00A508A2">
            <w:pPr>
              <w:pStyle w:val="TableParagraph"/>
              <w:rPr>
                <w:b/>
                <w:szCs w:val="24"/>
              </w:rPr>
            </w:pPr>
          </w:p>
          <w:p w14:paraId="12DA19A5" w14:textId="77777777" w:rsidR="00A508A2" w:rsidRPr="00DD0D1F" w:rsidRDefault="00A508A2" w:rsidP="00A508A2">
            <w:pPr>
              <w:pStyle w:val="TableParagraph"/>
              <w:rPr>
                <w:b/>
                <w:szCs w:val="24"/>
              </w:rPr>
            </w:pPr>
          </w:p>
          <w:p w14:paraId="5416856A" w14:textId="77777777" w:rsidR="00A508A2" w:rsidRPr="00DD0D1F" w:rsidRDefault="00A508A2" w:rsidP="00A508A2">
            <w:pPr>
              <w:pStyle w:val="TableParagraph"/>
              <w:tabs>
                <w:tab w:val="left" w:pos="588"/>
                <w:tab w:val="left" w:pos="1638"/>
                <w:tab w:val="left" w:pos="2247"/>
              </w:tabs>
              <w:spacing w:before="178"/>
              <w:ind w:left="588" w:right="96" w:hanging="467"/>
              <w:rPr>
                <w:szCs w:val="24"/>
              </w:rPr>
            </w:pPr>
            <w:r w:rsidRPr="00DD0D1F">
              <w:rPr>
                <w:szCs w:val="24"/>
              </w:rPr>
              <w:t>iv.</w:t>
            </w:r>
            <w:r w:rsidRPr="00DD0D1F">
              <w:rPr>
                <w:szCs w:val="24"/>
              </w:rPr>
              <w:tab/>
              <w:t xml:space="preserve">Yeterli tank sahası seddi </w:t>
            </w:r>
          </w:p>
        </w:tc>
        <w:tc>
          <w:tcPr>
            <w:tcW w:w="2885" w:type="dxa"/>
          </w:tcPr>
          <w:p w14:paraId="7F090F5E" w14:textId="77777777" w:rsidR="00A508A2" w:rsidRPr="00DD0D1F" w:rsidRDefault="00A508A2" w:rsidP="00A508A2">
            <w:pPr>
              <w:pStyle w:val="TableParagraph"/>
              <w:tabs>
                <w:tab w:val="left" w:pos="1553"/>
                <w:tab w:val="left" w:pos="2418"/>
              </w:tabs>
              <w:ind w:left="144" w:right="95" w:firstLine="50"/>
              <w:jc w:val="both"/>
              <w:rPr>
                <w:szCs w:val="24"/>
              </w:rPr>
            </w:pPr>
            <w:r w:rsidRPr="00DD0D1F">
              <w:rPr>
                <w:szCs w:val="24"/>
              </w:rPr>
              <w:t>Tank sahası seddi, kabuktaki yırtılmanın veya taşmanın yol açtığı potansiyel olarak yoğun taşmaların önlenmesini amaçlar (hem çevresel hem de güvenlik nedenleriyle). Boyut ve ilişkili yapım kuralları genellikle yerel yönetmeliklerle tanımlanır</w:t>
            </w:r>
          </w:p>
        </w:tc>
        <w:tc>
          <w:tcPr>
            <w:tcW w:w="2885" w:type="dxa"/>
          </w:tcPr>
          <w:p w14:paraId="199F7D84" w14:textId="77777777" w:rsidR="00A508A2" w:rsidRPr="00DD0D1F" w:rsidRDefault="00A508A2" w:rsidP="00A508A2">
            <w:pPr>
              <w:pStyle w:val="TableParagraph"/>
              <w:rPr>
                <w:b/>
                <w:szCs w:val="24"/>
              </w:rPr>
            </w:pPr>
          </w:p>
          <w:p w14:paraId="169EE7E1" w14:textId="77777777" w:rsidR="00A508A2" w:rsidRPr="00DD0D1F" w:rsidRDefault="00A508A2" w:rsidP="00A508A2">
            <w:pPr>
              <w:pStyle w:val="TableParagraph"/>
              <w:rPr>
                <w:b/>
                <w:szCs w:val="24"/>
              </w:rPr>
            </w:pPr>
          </w:p>
          <w:p w14:paraId="69325BAE" w14:textId="77777777" w:rsidR="00A508A2" w:rsidRPr="00DD0D1F" w:rsidRDefault="00A508A2" w:rsidP="00A508A2">
            <w:pPr>
              <w:pStyle w:val="TableParagraph"/>
              <w:spacing w:before="6"/>
              <w:rPr>
                <w:b/>
                <w:szCs w:val="24"/>
              </w:rPr>
            </w:pPr>
          </w:p>
          <w:p w14:paraId="4BF42436" w14:textId="77777777" w:rsidR="00A508A2" w:rsidRPr="00DD0D1F" w:rsidRDefault="00A508A2" w:rsidP="00A508A2">
            <w:pPr>
              <w:pStyle w:val="TableParagraph"/>
              <w:ind w:left="144"/>
              <w:rPr>
                <w:szCs w:val="24"/>
              </w:rPr>
            </w:pPr>
            <w:r w:rsidRPr="00DD0D1F">
              <w:rPr>
                <w:szCs w:val="24"/>
              </w:rPr>
              <w:t>Genel olarak uygulanabilir</w:t>
            </w:r>
          </w:p>
        </w:tc>
      </w:tr>
      <w:tr w:rsidR="00A508A2" w:rsidRPr="00DD0D1F" w14:paraId="315A3C9D" w14:textId="77777777" w:rsidTr="00A508A2">
        <w:trPr>
          <w:trHeight w:val="414"/>
          <w:jc w:val="center"/>
        </w:trPr>
        <w:tc>
          <w:tcPr>
            <w:tcW w:w="8506" w:type="dxa"/>
            <w:gridSpan w:val="3"/>
          </w:tcPr>
          <w:p w14:paraId="4B9BC17A" w14:textId="77777777" w:rsidR="00A508A2" w:rsidRPr="00DD0D1F" w:rsidRDefault="00A508A2" w:rsidP="00A508A2">
            <w:pPr>
              <w:pStyle w:val="TableParagraph"/>
              <w:spacing w:line="202" w:lineRule="exact"/>
              <w:ind w:left="143"/>
              <w:rPr>
                <w:szCs w:val="24"/>
              </w:rPr>
            </w:pPr>
            <w:r w:rsidRPr="00DD0D1F">
              <w:rPr>
                <w:szCs w:val="24"/>
              </w:rPr>
              <w:t>(1) Teknik ii ve iii, tankların sıvı elleçlemesi için (ör. bitüm) ısıya gerek duydukları ve katılaştırma nedeniyle kaçak olasılığının bulunmadığı ürünlere ayrılmış tanklar için geçerlidir.</w:t>
            </w:r>
          </w:p>
        </w:tc>
      </w:tr>
    </w:tbl>
    <w:p w14:paraId="6DD41DF6" w14:textId="77777777" w:rsidR="00A508A2" w:rsidRPr="00DD0D1F" w:rsidRDefault="00A508A2" w:rsidP="00A508A2">
      <w:pPr>
        <w:spacing w:before="91"/>
        <w:ind w:right="1632"/>
        <w:rPr>
          <w:rFonts w:cs="Times New Roman"/>
          <w:b/>
          <w:bCs/>
          <w:szCs w:val="24"/>
          <w:lang w:val="tr-TR"/>
        </w:rPr>
      </w:pPr>
    </w:p>
    <w:p w14:paraId="7D8E58C7" w14:textId="77777777" w:rsidR="00A508A2" w:rsidRPr="00DD0D1F" w:rsidRDefault="00A508A2" w:rsidP="00A508A2">
      <w:pPr>
        <w:pStyle w:val="GvdeMetni"/>
        <w:rPr>
          <w:b/>
          <w:sz w:val="24"/>
          <w:szCs w:val="24"/>
        </w:rPr>
      </w:pPr>
    </w:p>
    <w:p w14:paraId="58F0D895"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52: </w:t>
      </w:r>
      <w:r w:rsidRPr="00DD0D1F">
        <w:rPr>
          <w:rFonts w:cs="Times New Roman"/>
          <w:bCs/>
          <w:szCs w:val="24"/>
          <w:lang w:val="tr-TR"/>
        </w:rPr>
        <w:t>Uçucu sıvı hidrokarbon bileşiklerin yükleme ve boşaltma operasyonlarından havaya yayılan VOC emisyonlarının engellenmesi veya azaltılması için, en az %95 geri kazanım oranı elde edilmesini teminen aşağıdaki tekniklerden biri veya daha fazlasının kombinasyonu kullanılır.</w:t>
      </w:r>
    </w:p>
    <w:p w14:paraId="772D3307" w14:textId="77777777" w:rsidR="00A508A2" w:rsidRPr="00DD0D1F" w:rsidRDefault="00A508A2" w:rsidP="00A508A2">
      <w:pPr>
        <w:rPr>
          <w:rFonts w:cs="Times New Roman"/>
          <w:b/>
          <w:bCs/>
          <w:szCs w:val="24"/>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4"/>
        <w:gridCol w:w="3590"/>
        <w:gridCol w:w="3593"/>
      </w:tblGrid>
      <w:tr w:rsidR="001F6E8C" w:rsidRPr="00DD0D1F" w14:paraId="289208BA" w14:textId="77777777" w:rsidTr="001F6E8C">
        <w:trPr>
          <w:trHeight w:val="230"/>
        </w:trPr>
        <w:tc>
          <w:tcPr>
            <w:tcW w:w="969" w:type="pct"/>
          </w:tcPr>
          <w:p w14:paraId="1C0B8A3B" w14:textId="77777777" w:rsidR="001F6E8C" w:rsidRPr="00DD0D1F" w:rsidRDefault="001F6E8C" w:rsidP="00A508A2">
            <w:pPr>
              <w:pStyle w:val="TableParagraph"/>
              <w:spacing w:line="210" w:lineRule="exact"/>
              <w:ind w:left="902"/>
              <w:rPr>
                <w:b/>
                <w:szCs w:val="24"/>
              </w:rPr>
            </w:pPr>
            <w:r w:rsidRPr="00DD0D1F">
              <w:rPr>
                <w:b/>
                <w:bCs/>
                <w:szCs w:val="24"/>
              </w:rPr>
              <w:t>Teknik</w:t>
            </w:r>
          </w:p>
        </w:tc>
        <w:tc>
          <w:tcPr>
            <w:tcW w:w="2015" w:type="pct"/>
          </w:tcPr>
          <w:p w14:paraId="31EE5606" w14:textId="77777777" w:rsidR="001F6E8C" w:rsidRPr="00DD0D1F" w:rsidRDefault="001F6E8C" w:rsidP="00A508A2">
            <w:pPr>
              <w:pStyle w:val="TableParagraph"/>
              <w:spacing w:line="210" w:lineRule="exact"/>
              <w:ind w:left="769"/>
              <w:rPr>
                <w:b/>
                <w:bCs/>
                <w:szCs w:val="24"/>
              </w:rPr>
            </w:pPr>
          </w:p>
        </w:tc>
        <w:tc>
          <w:tcPr>
            <w:tcW w:w="2016" w:type="pct"/>
          </w:tcPr>
          <w:p w14:paraId="01C2C87D" w14:textId="54614058" w:rsidR="001F6E8C" w:rsidRPr="00DD0D1F" w:rsidRDefault="001F6E8C" w:rsidP="00A508A2">
            <w:pPr>
              <w:pStyle w:val="TableParagraph"/>
              <w:spacing w:line="210" w:lineRule="exact"/>
              <w:ind w:left="769"/>
              <w:rPr>
                <w:b/>
                <w:szCs w:val="24"/>
              </w:rPr>
            </w:pPr>
            <w:r w:rsidRPr="00DD0D1F">
              <w:rPr>
                <w:b/>
                <w:bCs/>
                <w:szCs w:val="24"/>
              </w:rPr>
              <w:t>Uygulanabilirlik (</w:t>
            </w:r>
            <w:r w:rsidRPr="00DD0D1F">
              <w:rPr>
                <w:b/>
                <w:bCs/>
                <w:szCs w:val="24"/>
                <w:vertAlign w:val="superscript"/>
              </w:rPr>
              <w:t>1</w:t>
            </w:r>
            <w:r w:rsidRPr="00DD0D1F">
              <w:rPr>
                <w:b/>
                <w:bCs/>
                <w:szCs w:val="24"/>
              </w:rPr>
              <w:t>)</w:t>
            </w:r>
          </w:p>
        </w:tc>
      </w:tr>
      <w:tr w:rsidR="001F6E8C" w:rsidRPr="00DD0D1F" w14:paraId="7691B321" w14:textId="77777777" w:rsidTr="001F6E8C">
        <w:trPr>
          <w:trHeight w:val="1610"/>
        </w:trPr>
        <w:tc>
          <w:tcPr>
            <w:tcW w:w="969" w:type="pct"/>
          </w:tcPr>
          <w:p w14:paraId="05658C96" w14:textId="77777777" w:rsidR="001F6E8C" w:rsidRPr="00DD0D1F" w:rsidRDefault="001F6E8C" w:rsidP="00A508A2">
            <w:pPr>
              <w:pStyle w:val="TableParagraph"/>
              <w:spacing w:before="110" w:line="229" w:lineRule="exact"/>
              <w:ind w:left="107"/>
              <w:rPr>
                <w:szCs w:val="24"/>
              </w:rPr>
            </w:pPr>
            <w:r w:rsidRPr="00DD0D1F">
              <w:rPr>
                <w:szCs w:val="24"/>
              </w:rPr>
              <w:t>Aşağıdaki yöntemlerle buhar geri kazanımı:</w:t>
            </w:r>
          </w:p>
          <w:p w14:paraId="23CF05C6" w14:textId="77777777" w:rsidR="001F6E8C" w:rsidRPr="00DD0D1F" w:rsidRDefault="001F6E8C" w:rsidP="00FF111D">
            <w:pPr>
              <w:pStyle w:val="TableParagraph"/>
              <w:numPr>
                <w:ilvl w:val="0"/>
                <w:numId w:val="89"/>
              </w:numPr>
              <w:tabs>
                <w:tab w:val="left" w:pos="657"/>
                <w:tab w:val="left" w:pos="658"/>
              </w:tabs>
              <w:spacing w:line="229" w:lineRule="exact"/>
              <w:jc w:val="left"/>
              <w:rPr>
                <w:szCs w:val="24"/>
              </w:rPr>
            </w:pPr>
            <w:r w:rsidRPr="00DD0D1F">
              <w:rPr>
                <w:szCs w:val="24"/>
              </w:rPr>
              <w:t>Yoğuşturma</w:t>
            </w:r>
          </w:p>
          <w:p w14:paraId="581D4802" w14:textId="77777777" w:rsidR="001F6E8C" w:rsidRPr="00DD0D1F" w:rsidRDefault="001F6E8C" w:rsidP="00FF111D">
            <w:pPr>
              <w:pStyle w:val="TableParagraph"/>
              <w:numPr>
                <w:ilvl w:val="0"/>
                <w:numId w:val="89"/>
              </w:numPr>
              <w:tabs>
                <w:tab w:val="left" w:pos="657"/>
                <w:tab w:val="left" w:pos="658"/>
              </w:tabs>
              <w:spacing w:before="1"/>
              <w:ind w:hanging="421"/>
              <w:jc w:val="left"/>
              <w:rPr>
                <w:szCs w:val="24"/>
              </w:rPr>
            </w:pPr>
            <w:r w:rsidRPr="00DD0D1F">
              <w:rPr>
                <w:szCs w:val="24"/>
              </w:rPr>
              <w:t>Absorpsiyon</w:t>
            </w:r>
          </w:p>
          <w:p w14:paraId="76604EB6" w14:textId="77777777" w:rsidR="001F6E8C" w:rsidRPr="00DD0D1F" w:rsidRDefault="001F6E8C" w:rsidP="00FF111D">
            <w:pPr>
              <w:pStyle w:val="TableParagraph"/>
              <w:numPr>
                <w:ilvl w:val="0"/>
                <w:numId w:val="89"/>
              </w:numPr>
              <w:tabs>
                <w:tab w:val="left" w:pos="657"/>
                <w:tab w:val="left" w:pos="658"/>
              </w:tabs>
              <w:ind w:hanging="476"/>
              <w:jc w:val="left"/>
              <w:rPr>
                <w:szCs w:val="24"/>
              </w:rPr>
            </w:pPr>
            <w:r w:rsidRPr="00DD0D1F">
              <w:rPr>
                <w:szCs w:val="24"/>
              </w:rPr>
              <w:t>Adsorpsiyon</w:t>
            </w:r>
          </w:p>
          <w:p w14:paraId="67B8A216" w14:textId="77777777" w:rsidR="001F6E8C" w:rsidRPr="00DD0D1F" w:rsidRDefault="001F6E8C" w:rsidP="00FF111D">
            <w:pPr>
              <w:pStyle w:val="TableParagraph"/>
              <w:numPr>
                <w:ilvl w:val="0"/>
                <w:numId w:val="89"/>
              </w:numPr>
              <w:tabs>
                <w:tab w:val="left" w:pos="657"/>
                <w:tab w:val="left" w:pos="658"/>
              </w:tabs>
              <w:spacing w:before="1"/>
              <w:ind w:hanging="467"/>
              <w:jc w:val="left"/>
              <w:rPr>
                <w:szCs w:val="24"/>
              </w:rPr>
            </w:pPr>
            <w:r w:rsidRPr="00DD0D1F">
              <w:rPr>
                <w:szCs w:val="24"/>
              </w:rPr>
              <w:t>Membran ayırma</w:t>
            </w:r>
          </w:p>
          <w:p w14:paraId="312F1D81" w14:textId="77777777" w:rsidR="001F6E8C" w:rsidRPr="00DD0D1F" w:rsidRDefault="001F6E8C" w:rsidP="00FF111D">
            <w:pPr>
              <w:pStyle w:val="TableParagraph"/>
              <w:numPr>
                <w:ilvl w:val="0"/>
                <w:numId w:val="89"/>
              </w:numPr>
              <w:tabs>
                <w:tab w:val="left" w:pos="657"/>
                <w:tab w:val="left" w:pos="658"/>
              </w:tabs>
              <w:ind w:hanging="411"/>
              <w:jc w:val="left"/>
              <w:rPr>
                <w:szCs w:val="24"/>
              </w:rPr>
            </w:pPr>
            <w:r w:rsidRPr="00DD0D1F">
              <w:rPr>
                <w:szCs w:val="24"/>
              </w:rPr>
              <w:t>Hibrit sistemler</w:t>
            </w:r>
          </w:p>
        </w:tc>
        <w:tc>
          <w:tcPr>
            <w:tcW w:w="2015" w:type="pct"/>
          </w:tcPr>
          <w:p w14:paraId="4B688BCB" w14:textId="24207B3B" w:rsidR="001F6E8C" w:rsidRPr="00DD0D1F" w:rsidRDefault="001F6E8C" w:rsidP="00A508A2">
            <w:pPr>
              <w:pStyle w:val="TableParagraph"/>
              <w:ind w:left="107" w:right="98"/>
              <w:jc w:val="both"/>
              <w:rPr>
                <w:szCs w:val="24"/>
              </w:rPr>
            </w:pPr>
            <w:r w:rsidRPr="00DD0D1F">
              <w:rPr>
                <w:szCs w:val="24"/>
              </w:rPr>
              <w:t>Bölüm 1.20.6 bakınız.</w:t>
            </w:r>
          </w:p>
        </w:tc>
        <w:tc>
          <w:tcPr>
            <w:tcW w:w="2016" w:type="pct"/>
          </w:tcPr>
          <w:p w14:paraId="778BACD6" w14:textId="1F66F242" w:rsidR="001F6E8C" w:rsidRPr="00DD0D1F" w:rsidRDefault="001F6E8C" w:rsidP="00A508A2">
            <w:pPr>
              <w:pStyle w:val="TableParagraph"/>
              <w:ind w:left="107" w:right="98"/>
              <w:jc w:val="both"/>
              <w:rPr>
                <w:szCs w:val="24"/>
              </w:rPr>
            </w:pPr>
            <w:r w:rsidRPr="00DD0D1F">
              <w:rPr>
                <w:szCs w:val="24"/>
              </w:rPr>
              <w:t>Genel olarak, yıllık üretimin &gt;5 000 m</w:t>
            </w:r>
            <w:r w:rsidRPr="00DD0D1F">
              <w:rPr>
                <w:szCs w:val="24"/>
                <w:vertAlign w:val="superscript"/>
              </w:rPr>
              <w:t>3</w:t>
            </w:r>
            <w:r w:rsidRPr="00DD0D1F">
              <w:rPr>
                <w:szCs w:val="24"/>
              </w:rPr>
              <w:t>/yıl olduğu yükleme/boşaltma operasyonlarına uygundur.</w:t>
            </w:r>
          </w:p>
          <w:p w14:paraId="447278D1" w14:textId="77777777" w:rsidR="001F6E8C" w:rsidRPr="00DD0D1F" w:rsidRDefault="001F6E8C" w:rsidP="00A508A2">
            <w:pPr>
              <w:pStyle w:val="TableParagraph"/>
              <w:spacing w:line="230" w:lineRule="exact"/>
              <w:ind w:left="107" w:right="98"/>
              <w:jc w:val="both"/>
              <w:rPr>
                <w:szCs w:val="24"/>
              </w:rPr>
            </w:pPr>
            <w:r w:rsidRPr="00DD0D1F">
              <w:rPr>
                <w:szCs w:val="24"/>
              </w:rPr>
              <w:t>Yıllık iş hacminin &lt;1 milyon m</w:t>
            </w:r>
            <w:r w:rsidRPr="00DD0D1F">
              <w:rPr>
                <w:szCs w:val="24"/>
                <w:vertAlign w:val="superscript"/>
              </w:rPr>
              <w:t>3</w:t>
            </w:r>
            <w:r w:rsidRPr="00DD0D1F">
              <w:rPr>
                <w:szCs w:val="24"/>
              </w:rPr>
              <w:t>/yıl olduğu gemilere ilişkin yükleme/boşaltma operasyonlarına uygun değildir.</w:t>
            </w:r>
          </w:p>
        </w:tc>
      </w:tr>
      <w:tr w:rsidR="001F6E8C" w:rsidRPr="00DD0D1F" w14:paraId="4DFB2209" w14:textId="77777777" w:rsidTr="001F6E8C">
        <w:trPr>
          <w:trHeight w:val="414"/>
        </w:trPr>
        <w:tc>
          <w:tcPr>
            <w:tcW w:w="5000" w:type="pct"/>
            <w:gridSpan w:val="3"/>
          </w:tcPr>
          <w:p w14:paraId="4E91E496" w14:textId="04C7BEF8" w:rsidR="001F6E8C" w:rsidRPr="00DD0D1F" w:rsidRDefault="001F6E8C" w:rsidP="00A508A2">
            <w:pPr>
              <w:pStyle w:val="TableParagraph"/>
              <w:spacing w:line="206" w:lineRule="exact"/>
              <w:ind w:left="365" w:hanging="224"/>
              <w:rPr>
                <w:szCs w:val="24"/>
              </w:rPr>
            </w:pPr>
            <w:r w:rsidRPr="00DD0D1F">
              <w:rPr>
                <w:szCs w:val="24"/>
              </w:rPr>
              <w:t>(1) Buhar geri kazanımının, dönüş buharının hacmi nedeniyle güvenli veya teknik açıdan mümkün olmadığı durumlarda buhar geri kazanımı biriminin yerini buhar imhası (ör. yakma yoluyla) alabilir.</w:t>
            </w:r>
          </w:p>
        </w:tc>
      </w:tr>
    </w:tbl>
    <w:p w14:paraId="3655A16A" w14:textId="77777777" w:rsidR="00A508A2" w:rsidRPr="00DD0D1F" w:rsidRDefault="00A508A2" w:rsidP="00A508A2">
      <w:pPr>
        <w:rPr>
          <w:rFonts w:cs="Times New Roman"/>
          <w:b/>
          <w:bCs/>
          <w:szCs w:val="24"/>
          <w:lang w:val="tr-TR"/>
        </w:rPr>
      </w:pPr>
    </w:p>
    <w:p w14:paraId="0E1E39CD" w14:textId="77777777" w:rsidR="00A508A2" w:rsidRPr="00DD0D1F" w:rsidRDefault="00A508A2" w:rsidP="00A508A2">
      <w:pPr>
        <w:pStyle w:val="ResimYazs"/>
        <w:rPr>
          <w:rFonts w:cs="Times New Roman"/>
          <w:color w:val="auto"/>
          <w:szCs w:val="24"/>
          <w:lang w:val="tr-TR"/>
        </w:rPr>
      </w:pPr>
      <w:r w:rsidRPr="00DD0D1F">
        <w:rPr>
          <w:rFonts w:cs="Times New Roman"/>
          <w:bCs/>
          <w:color w:val="auto"/>
          <w:szCs w:val="24"/>
          <w:lang w:val="tr-TR"/>
        </w:rPr>
        <w:t>Uçucu sıvı hidrokarbon bileşiklerinin yükleme ve boşaltma operasyonlarından havaya yayılan metan dışı VOC ve benzen emisyonlarının MET ile ilişkili emisyon düzeyleri</w:t>
      </w:r>
    </w:p>
    <w:p w14:paraId="389C1C3B" w14:textId="77777777" w:rsidR="00A508A2" w:rsidRPr="00DD0D1F" w:rsidRDefault="00A508A2" w:rsidP="00A508A2">
      <w:pPr>
        <w:pStyle w:val="GvdeMetni"/>
        <w:spacing w:before="8"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3"/>
        <w:gridCol w:w="3614"/>
      </w:tblGrid>
      <w:tr w:rsidR="00A508A2" w:rsidRPr="00DD0D1F" w14:paraId="6757F9D6" w14:textId="77777777" w:rsidTr="00A508A2">
        <w:trPr>
          <w:trHeight w:val="460"/>
        </w:trPr>
        <w:tc>
          <w:tcPr>
            <w:tcW w:w="3009" w:type="pct"/>
          </w:tcPr>
          <w:p w14:paraId="57F3C418" w14:textId="77777777" w:rsidR="00A508A2" w:rsidRPr="00DD0D1F" w:rsidRDefault="00A508A2" w:rsidP="00A508A2">
            <w:pPr>
              <w:pStyle w:val="TableParagraph"/>
              <w:spacing w:before="113"/>
              <w:ind w:left="2083" w:right="2075"/>
              <w:jc w:val="center"/>
              <w:rPr>
                <w:b/>
                <w:szCs w:val="24"/>
              </w:rPr>
            </w:pPr>
            <w:r w:rsidRPr="00DD0D1F">
              <w:rPr>
                <w:b/>
                <w:bCs/>
                <w:szCs w:val="24"/>
              </w:rPr>
              <w:t>Parametre</w:t>
            </w:r>
          </w:p>
        </w:tc>
        <w:tc>
          <w:tcPr>
            <w:tcW w:w="1991" w:type="pct"/>
          </w:tcPr>
          <w:p w14:paraId="3DB6C38E" w14:textId="478505BF" w:rsidR="00A508A2" w:rsidRPr="00DD0D1F" w:rsidRDefault="007D7613" w:rsidP="00A508A2">
            <w:pPr>
              <w:pStyle w:val="TableParagraph"/>
              <w:spacing w:line="226" w:lineRule="exact"/>
              <w:ind w:left="633" w:right="627"/>
              <w:jc w:val="center"/>
              <w:rPr>
                <w:b/>
                <w:szCs w:val="24"/>
              </w:rPr>
            </w:pPr>
            <w:r w:rsidRPr="00DD0D1F">
              <w:rPr>
                <w:b/>
                <w:bCs/>
                <w:szCs w:val="24"/>
              </w:rPr>
              <w:t>MET_İES</w:t>
            </w:r>
          </w:p>
          <w:p w14:paraId="2778FB93" w14:textId="77777777" w:rsidR="00A508A2" w:rsidRPr="00DD0D1F" w:rsidRDefault="00A508A2" w:rsidP="00A508A2">
            <w:pPr>
              <w:pStyle w:val="TableParagraph"/>
              <w:spacing w:line="215" w:lineRule="exact"/>
              <w:ind w:left="636" w:right="627"/>
              <w:jc w:val="center"/>
              <w:rPr>
                <w:szCs w:val="24"/>
              </w:rPr>
            </w:pPr>
            <w:r w:rsidRPr="00DD0D1F">
              <w:rPr>
                <w:b/>
                <w:bCs/>
                <w:szCs w:val="24"/>
              </w:rPr>
              <w:t xml:space="preserve">(saatlik ortalama) </w:t>
            </w:r>
            <w:r w:rsidRPr="00DD0D1F">
              <w:rPr>
                <w:szCs w:val="24"/>
              </w:rPr>
              <w:t>(</w:t>
            </w:r>
            <w:r w:rsidRPr="00DD0D1F">
              <w:rPr>
                <w:szCs w:val="24"/>
                <w:vertAlign w:val="superscript"/>
              </w:rPr>
              <w:t>1</w:t>
            </w:r>
            <w:r w:rsidRPr="00DD0D1F">
              <w:rPr>
                <w:szCs w:val="24"/>
              </w:rPr>
              <w:t>)</w:t>
            </w:r>
          </w:p>
        </w:tc>
      </w:tr>
      <w:tr w:rsidR="00A508A2" w:rsidRPr="00DD0D1F" w14:paraId="188E5030" w14:textId="77777777" w:rsidTr="00A508A2">
        <w:trPr>
          <w:trHeight w:val="282"/>
        </w:trPr>
        <w:tc>
          <w:tcPr>
            <w:tcW w:w="3009" w:type="pct"/>
          </w:tcPr>
          <w:p w14:paraId="351872DD" w14:textId="77777777" w:rsidR="00A508A2" w:rsidRPr="00DD0D1F" w:rsidRDefault="00A508A2" w:rsidP="00A508A2">
            <w:pPr>
              <w:pStyle w:val="TableParagraph"/>
              <w:spacing w:before="19"/>
              <w:ind w:left="107"/>
              <w:rPr>
                <w:szCs w:val="24"/>
              </w:rPr>
            </w:pPr>
            <w:r w:rsidRPr="00DD0D1F">
              <w:rPr>
                <w:szCs w:val="24"/>
              </w:rPr>
              <w:t>NMVOC</w:t>
            </w:r>
          </w:p>
        </w:tc>
        <w:tc>
          <w:tcPr>
            <w:tcW w:w="1991" w:type="pct"/>
          </w:tcPr>
          <w:p w14:paraId="05FB6640" w14:textId="77777777" w:rsidR="00A508A2" w:rsidRPr="00DD0D1F" w:rsidRDefault="00A508A2" w:rsidP="00A508A2">
            <w:pPr>
              <w:pStyle w:val="TableParagraph"/>
              <w:spacing w:before="19"/>
              <w:ind w:left="634" w:right="627"/>
              <w:jc w:val="center"/>
              <w:rPr>
                <w:szCs w:val="24"/>
              </w:rPr>
            </w:pPr>
            <w:r w:rsidRPr="00DD0D1F">
              <w:rPr>
                <w:szCs w:val="24"/>
              </w:rPr>
              <w:t>0,15 – 10 g/Nm</w:t>
            </w:r>
            <w:r w:rsidRPr="00DD0D1F">
              <w:rPr>
                <w:szCs w:val="24"/>
                <w:vertAlign w:val="superscript"/>
              </w:rPr>
              <w:t xml:space="preserve">3 </w:t>
            </w:r>
            <w:r w:rsidRPr="00DD0D1F">
              <w:rPr>
                <w:szCs w:val="24"/>
              </w:rPr>
              <w:t>(</w:t>
            </w:r>
            <w:r w:rsidRPr="00DD0D1F">
              <w:rPr>
                <w:szCs w:val="24"/>
                <w:vertAlign w:val="superscript"/>
              </w:rPr>
              <w:t>2</w:t>
            </w:r>
            <w:r w:rsidRPr="00DD0D1F">
              <w:rPr>
                <w:szCs w:val="24"/>
              </w:rPr>
              <w:t>) (</w:t>
            </w:r>
            <w:r w:rsidRPr="00DD0D1F">
              <w:rPr>
                <w:szCs w:val="24"/>
                <w:vertAlign w:val="superscript"/>
              </w:rPr>
              <w:t>3</w:t>
            </w:r>
            <w:r w:rsidRPr="00DD0D1F">
              <w:rPr>
                <w:szCs w:val="24"/>
              </w:rPr>
              <w:t>)</w:t>
            </w:r>
          </w:p>
        </w:tc>
      </w:tr>
      <w:tr w:rsidR="00A508A2" w:rsidRPr="00DD0D1F" w14:paraId="6798901E" w14:textId="77777777" w:rsidTr="00A508A2">
        <w:trPr>
          <w:trHeight w:val="285"/>
        </w:trPr>
        <w:tc>
          <w:tcPr>
            <w:tcW w:w="3009" w:type="pct"/>
          </w:tcPr>
          <w:p w14:paraId="26A6F7FD" w14:textId="77777777" w:rsidR="00A508A2" w:rsidRPr="00DD0D1F" w:rsidRDefault="00A508A2" w:rsidP="00A508A2">
            <w:pPr>
              <w:pStyle w:val="TableParagraph"/>
              <w:spacing w:before="22"/>
              <w:ind w:left="107"/>
              <w:rPr>
                <w:szCs w:val="24"/>
              </w:rPr>
            </w:pPr>
            <w:r w:rsidRPr="00DD0D1F">
              <w:rPr>
                <w:szCs w:val="24"/>
              </w:rPr>
              <w:t>Benzen (</w:t>
            </w:r>
            <w:r w:rsidRPr="00DD0D1F">
              <w:rPr>
                <w:szCs w:val="24"/>
                <w:vertAlign w:val="superscript"/>
              </w:rPr>
              <w:t>3</w:t>
            </w:r>
            <w:r w:rsidRPr="00DD0D1F">
              <w:rPr>
                <w:szCs w:val="24"/>
              </w:rPr>
              <w:t>)</w:t>
            </w:r>
          </w:p>
        </w:tc>
        <w:tc>
          <w:tcPr>
            <w:tcW w:w="1991" w:type="pct"/>
          </w:tcPr>
          <w:p w14:paraId="6E846160" w14:textId="77777777" w:rsidR="00A508A2" w:rsidRPr="00DD0D1F" w:rsidRDefault="00A508A2" w:rsidP="00A508A2">
            <w:pPr>
              <w:pStyle w:val="TableParagraph"/>
              <w:spacing w:before="22"/>
              <w:ind w:left="629" w:right="627"/>
              <w:jc w:val="center"/>
              <w:rPr>
                <w:szCs w:val="24"/>
              </w:rPr>
            </w:pPr>
            <w:r w:rsidRPr="00DD0D1F">
              <w:rPr>
                <w:szCs w:val="24"/>
              </w:rPr>
              <w:t>&lt;1 mg/Nm</w:t>
            </w:r>
            <w:r w:rsidRPr="00DD0D1F">
              <w:rPr>
                <w:szCs w:val="24"/>
                <w:vertAlign w:val="superscript"/>
              </w:rPr>
              <w:t>3</w:t>
            </w:r>
          </w:p>
        </w:tc>
      </w:tr>
      <w:tr w:rsidR="00A508A2" w:rsidRPr="00DD0D1F" w14:paraId="0B9C79EA" w14:textId="77777777" w:rsidTr="00A508A2">
        <w:trPr>
          <w:trHeight w:val="1033"/>
        </w:trPr>
        <w:tc>
          <w:tcPr>
            <w:tcW w:w="5000" w:type="pct"/>
            <w:gridSpan w:val="2"/>
          </w:tcPr>
          <w:p w14:paraId="62DDACA2" w14:textId="77777777" w:rsidR="00A508A2" w:rsidRPr="00DD0D1F" w:rsidRDefault="00A508A2" w:rsidP="00FF111D">
            <w:pPr>
              <w:pStyle w:val="TableParagraph"/>
              <w:numPr>
                <w:ilvl w:val="0"/>
                <w:numId w:val="88"/>
              </w:numPr>
              <w:tabs>
                <w:tab w:val="left" w:pos="338"/>
              </w:tabs>
              <w:spacing w:line="202" w:lineRule="exact"/>
              <w:rPr>
                <w:szCs w:val="24"/>
              </w:rPr>
            </w:pPr>
            <w:r w:rsidRPr="00DD0D1F">
              <w:rPr>
                <w:szCs w:val="24"/>
              </w:rPr>
              <w:t>Kesintisiz işletmedeki saatlik değerler, standartlara göre ölçülmelidir.</w:t>
            </w:r>
          </w:p>
          <w:p w14:paraId="6D34A59B" w14:textId="77777777" w:rsidR="00A508A2" w:rsidRPr="00DD0D1F" w:rsidRDefault="00A508A2" w:rsidP="00FF111D">
            <w:pPr>
              <w:pStyle w:val="TableParagraph"/>
              <w:numPr>
                <w:ilvl w:val="0"/>
                <w:numId w:val="88"/>
              </w:numPr>
              <w:tabs>
                <w:tab w:val="left" w:pos="336"/>
              </w:tabs>
              <w:spacing w:before="13" w:line="208" w:lineRule="exact"/>
              <w:ind w:left="350" w:right="95" w:hanging="243"/>
              <w:rPr>
                <w:szCs w:val="24"/>
              </w:rPr>
            </w:pPr>
            <w:r w:rsidRPr="00DD0D1F">
              <w:rPr>
                <w:szCs w:val="24"/>
              </w:rPr>
              <w:t>İki aşamalı hibrit sistemlerle elde edilebilen düşük değer. Tek aşamalı adsorpsiyon veya membran sistemi ile elde edilebilen üst değer.</w:t>
            </w:r>
          </w:p>
          <w:p w14:paraId="17C21496" w14:textId="5EF71C34" w:rsidR="00A508A2" w:rsidRPr="00DD0D1F" w:rsidRDefault="00A508A2" w:rsidP="00FF111D">
            <w:pPr>
              <w:pStyle w:val="TableParagraph"/>
              <w:numPr>
                <w:ilvl w:val="0"/>
                <w:numId w:val="88"/>
              </w:numPr>
              <w:tabs>
                <w:tab w:val="left" w:pos="334"/>
              </w:tabs>
              <w:spacing w:line="189" w:lineRule="exact"/>
              <w:ind w:left="333" w:hanging="227"/>
              <w:rPr>
                <w:szCs w:val="24"/>
              </w:rPr>
            </w:pPr>
            <w:r w:rsidRPr="00DD0D1F">
              <w:rPr>
                <w:szCs w:val="24"/>
              </w:rPr>
              <w:t xml:space="preserve">NMVOC emisyonlarının aralığın alt </w:t>
            </w:r>
            <w:r w:rsidR="00A504E5" w:rsidRPr="00DD0D1F">
              <w:rPr>
                <w:szCs w:val="24"/>
              </w:rPr>
              <w:t>sınırı</w:t>
            </w:r>
            <w:r w:rsidRPr="00DD0D1F">
              <w:rPr>
                <w:szCs w:val="24"/>
              </w:rPr>
              <w:t>nda olduğu durumda benzen izlemesi gerekmeyebilir.</w:t>
            </w:r>
          </w:p>
        </w:tc>
      </w:tr>
    </w:tbl>
    <w:p w14:paraId="0CFDBB0F" w14:textId="4A32511D" w:rsidR="00A508A2" w:rsidRPr="00DD0D1F" w:rsidRDefault="00A508A2" w:rsidP="00EB7491">
      <w:pPr>
        <w:pStyle w:val="Balk1"/>
        <w:keepNext w:val="0"/>
        <w:keepLines w:val="0"/>
        <w:widowControl w:val="0"/>
        <w:numPr>
          <w:ilvl w:val="0"/>
          <w:numId w:val="0"/>
        </w:numPr>
        <w:autoSpaceDE w:val="0"/>
        <w:autoSpaceDN w:val="0"/>
        <w:spacing w:before="159" w:line="240" w:lineRule="auto"/>
        <w:ind w:left="360"/>
        <w:jc w:val="left"/>
        <w:rPr>
          <w:rFonts w:cs="Times New Roman"/>
          <w:szCs w:val="24"/>
          <w:lang w:val="tr-TR"/>
        </w:rPr>
      </w:pPr>
      <w:bookmarkStart w:id="244" w:name="_bookmark912"/>
      <w:bookmarkStart w:id="245" w:name="5.16_BAT_conclusions_for_visbreaking_and"/>
      <w:bookmarkEnd w:id="244"/>
      <w:bookmarkEnd w:id="245"/>
    </w:p>
    <w:p w14:paraId="7CFDF900" w14:textId="77777777" w:rsidR="00A508A2" w:rsidRPr="00DD0D1F" w:rsidRDefault="00A508A2" w:rsidP="00A508A2">
      <w:pPr>
        <w:pStyle w:val="GvdeMetni"/>
        <w:spacing w:before="1"/>
        <w:rPr>
          <w:b/>
          <w:sz w:val="24"/>
          <w:szCs w:val="24"/>
        </w:rPr>
      </w:pPr>
    </w:p>
    <w:p w14:paraId="46814F6E" w14:textId="6EBD5000" w:rsidR="00A508A2" w:rsidRPr="00DD0D1F" w:rsidRDefault="00A508A2" w:rsidP="00A508A2">
      <w:pPr>
        <w:rPr>
          <w:rFonts w:cs="Times New Roman"/>
          <w:b/>
          <w:bCs/>
          <w:szCs w:val="24"/>
          <w:lang w:val="tr-TR"/>
        </w:rPr>
      </w:pPr>
      <w:r w:rsidRPr="00DD0D1F">
        <w:rPr>
          <w:rFonts w:cs="Times New Roman"/>
          <w:b/>
          <w:bCs/>
          <w:szCs w:val="24"/>
          <w:lang w:val="tr-TR"/>
        </w:rPr>
        <w:t xml:space="preserve">MET 53: </w:t>
      </w:r>
      <w:r w:rsidRPr="00DD0D1F">
        <w:rPr>
          <w:rFonts w:cs="Times New Roman"/>
          <w:bCs/>
          <w:szCs w:val="24"/>
          <w:lang w:val="tr-TR"/>
        </w:rPr>
        <w:t xml:space="preserve">Visbreyking ve diğer ısıl proseslerden suya yayılan emisyonların azaltılması için, atık su akışlarının </w:t>
      </w:r>
      <w:hyperlink w:anchor="_bookmark873" w:history="1">
        <w:r w:rsidRPr="00DD0D1F">
          <w:rPr>
            <w:rFonts w:cs="Times New Roman"/>
            <w:bCs/>
            <w:szCs w:val="24"/>
            <w:lang w:val="tr-TR"/>
          </w:rPr>
          <w:t>MET 11</w:t>
        </w:r>
      </w:hyperlink>
      <w:r w:rsidRPr="00DD0D1F">
        <w:rPr>
          <w:rFonts w:cs="Times New Roman"/>
          <w:bCs/>
          <w:szCs w:val="24"/>
          <w:lang w:val="tr-TR"/>
        </w:rPr>
        <w:t xml:space="preserve"> ile uygun arıtımının sağlanması hedeflenir.</w:t>
      </w:r>
    </w:p>
    <w:p w14:paraId="69D10B6C" w14:textId="3DE30B39" w:rsidR="00A508A2" w:rsidRPr="00DD0D1F" w:rsidRDefault="00A508A2" w:rsidP="00EB7491">
      <w:pPr>
        <w:pStyle w:val="Balk1"/>
        <w:keepNext w:val="0"/>
        <w:keepLines w:val="0"/>
        <w:widowControl w:val="0"/>
        <w:numPr>
          <w:ilvl w:val="0"/>
          <w:numId w:val="0"/>
        </w:numPr>
        <w:autoSpaceDE w:val="0"/>
        <w:autoSpaceDN w:val="0"/>
        <w:spacing w:before="159" w:line="240" w:lineRule="auto"/>
        <w:ind w:left="360"/>
        <w:jc w:val="left"/>
        <w:rPr>
          <w:rFonts w:cs="Times New Roman"/>
          <w:szCs w:val="24"/>
          <w:lang w:val="tr-TR"/>
        </w:rPr>
      </w:pPr>
      <w:bookmarkStart w:id="246" w:name="_bookmark913"/>
      <w:bookmarkStart w:id="247" w:name="5.17_BAT_conclusions_for_waste_gas_sulph"/>
      <w:bookmarkEnd w:id="246"/>
      <w:bookmarkEnd w:id="247"/>
    </w:p>
    <w:p w14:paraId="13B00D9F" w14:textId="77777777" w:rsidR="00A508A2" w:rsidRPr="00DD0D1F" w:rsidRDefault="00A508A2" w:rsidP="00A508A2">
      <w:pPr>
        <w:pStyle w:val="GvdeMetni"/>
        <w:spacing w:before="8"/>
        <w:rPr>
          <w:b/>
          <w:sz w:val="24"/>
          <w:szCs w:val="24"/>
        </w:rPr>
      </w:pPr>
    </w:p>
    <w:p w14:paraId="64074901" w14:textId="77777777" w:rsidR="00A508A2" w:rsidRPr="00DD0D1F" w:rsidRDefault="00A508A2" w:rsidP="00A508A2">
      <w:pPr>
        <w:rPr>
          <w:rFonts w:cs="Times New Roman"/>
          <w:b/>
          <w:bCs/>
          <w:szCs w:val="24"/>
          <w:lang w:val="tr-TR"/>
        </w:rPr>
      </w:pPr>
      <w:bookmarkStart w:id="248" w:name="_bookmark914"/>
      <w:bookmarkEnd w:id="248"/>
      <w:r w:rsidRPr="00DD0D1F">
        <w:rPr>
          <w:rFonts w:cs="Times New Roman"/>
          <w:b/>
          <w:bCs/>
          <w:szCs w:val="24"/>
          <w:lang w:val="tr-TR"/>
        </w:rPr>
        <w:t xml:space="preserve">MET 54: </w:t>
      </w:r>
      <w:r w:rsidRPr="00DD0D1F">
        <w:rPr>
          <w:rFonts w:cs="Times New Roman"/>
          <w:bCs/>
          <w:szCs w:val="24"/>
          <w:lang w:val="tr-TR"/>
        </w:rPr>
        <w:t>Hidrojen sülfürleri (H</w:t>
      </w:r>
      <w:r w:rsidRPr="00DD0D1F">
        <w:rPr>
          <w:rFonts w:cs="Times New Roman"/>
          <w:bCs/>
          <w:szCs w:val="24"/>
          <w:vertAlign w:val="subscript"/>
          <w:lang w:val="tr-TR"/>
        </w:rPr>
        <w:t>2</w:t>
      </w:r>
      <w:r w:rsidRPr="00DD0D1F">
        <w:rPr>
          <w:rFonts w:cs="Times New Roman"/>
          <w:bCs/>
          <w:szCs w:val="24"/>
          <w:lang w:val="tr-TR"/>
        </w:rPr>
        <w:t>S) içeren çıkış gazlarından havaya yayılan kükürt emisyonlarının azaltılması için aşağıdaki tekniklerin tamamı kullanılır.</w:t>
      </w:r>
    </w:p>
    <w:p w14:paraId="068886B4"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1"/>
        <w:gridCol w:w="2963"/>
        <w:gridCol w:w="3203"/>
      </w:tblGrid>
      <w:tr w:rsidR="001F6E8C" w:rsidRPr="00DD0D1F" w14:paraId="1ABAB9AC" w14:textId="77777777" w:rsidTr="001F6E8C">
        <w:trPr>
          <w:trHeight w:val="267"/>
        </w:trPr>
        <w:tc>
          <w:tcPr>
            <w:tcW w:w="1536" w:type="pct"/>
          </w:tcPr>
          <w:p w14:paraId="3EA46AFA" w14:textId="77777777" w:rsidR="001F6E8C" w:rsidRPr="00DD0D1F" w:rsidRDefault="001F6E8C" w:rsidP="00A508A2">
            <w:pPr>
              <w:pStyle w:val="TableParagraph"/>
              <w:spacing w:before="24"/>
              <w:ind w:left="1086" w:right="1081"/>
              <w:jc w:val="center"/>
              <w:rPr>
                <w:b/>
                <w:szCs w:val="24"/>
              </w:rPr>
            </w:pPr>
            <w:r w:rsidRPr="00DD0D1F">
              <w:rPr>
                <w:b/>
                <w:bCs/>
                <w:szCs w:val="24"/>
              </w:rPr>
              <w:t>Teknik</w:t>
            </w:r>
          </w:p>
        </w:tc>
        <w:tc>
          <w:tcPr>
            <w:tcW w:w="1666" w:type="pct"/>
          </w:tcPr>
          <w:p w14:paraId="239FE6B6" w14:textId="1718CC7D" w:rsidR="001F6E8C" w:rsidRPr="00DD0D1F" w:rsidRDefault="001F6E8C" w:rsidP="00A508A2">
            <w:pPr>
              <w:pStyle w:val="TableParagraph"/>
              <w:spacing w:before="24"/>
              <w:ind w:left="990"/>
              <w:rPr>
                <w:b/>
                <w:bCs/>
                <w:szCs w:val="24"/>
              </w:rPr>
            </w:pPr>
            <w:r w:rsidRPr="00DD0D1F">
              <w:rPr>
                <w:b/>
                <w:bCs/>
                <w:szCs w:val="24"/>
              </w:rPr>
              <w:t>Açıklama</w:t>
            </w:r>
          </w:p>
        </w:tc>
        <w:tc>
          <w:tcPr>
            <w:tcW w:w="1798" w:type="pct"/>
          </w:tcPr>
          <w:p w14:paraId="44A8CC84" w14:textId="07BAC839" w:rsidR="001F6E8C" w:rsidRPr="00DD0D1F" w:rsidRDefault="001F6E8C" w:rsidP="00A508A2">
            <w:pPr>
              <w:pStyle w:val="TableParagraph"/>
              <w:spacing w:before="24"/>
              <w:ind w:left="990"/>
              <w:rPr>
                <w:b/>
                <w:szCs w:val="24"/>
              </w:rPr>
            </w:pPr>
            <w:r w:rsidRPr="00DD0D1F">
              <w:rPr>
                <w:b/>
                <w:bCs/>
                <w:szCs w:val="24"/>
              </w:rPr>
              <w:t>Uygulanabilirlik (</w:t>
            </w:r>
            <w:r w:rsidRPr="00DD0D1F">
              <w:rPr>
                <w:b/>
                <w:bCs/>
                <w:szCs w:val="24"/>
                <w:vertAlign w:val="superscript"/>
              </w:rPr>
              <w:t>1</w:t>
            </w:r>
            <w:r w:rsidRPr="00DD0D1F">
              <w:rPr>
                <w:b/>
                <w:bCs/>
                <w:szCs w:val="24"/>
              </w:rPr>
              <w:t>)</w:t>
            </w:r>
          </w:p>
        </w:tc>
      </w:tr>
      <w:tr w:rsidR="001F6E8C" w:rsidRPr="00DD0D1F" w14:paraId="7D054D69" w14:textId="77777777" w:rsidTr="001F6E8C">
        <w:trPr>
          <w:trHeight w:val="435"/>
        </w:trPr>
        <w:tc>
          <w:tcPr>
            <w:tcW w:w="1536" w:type="pct"/>
          </w:tcPr>
          <w:p w14:paraId="619408FF" w14:textId="77777777" w:rsidR="001F6E8C" w:rsidRPr="00DD0D1F" w:rsidRDefault="001F6E8C" w:rsidP="001F6E8C">
            <w:pPr>
              <w:pStyle w:val="TableParagraph"/>
              <w:tabs>
                <w:tab w:val="left" w:pos="640"/>
              </w:tabs>
              <w:spacing w:line="228" w:lineRule="exact"/>
              <w:ind w:left="640" w:right="100" w:hanging="411"/>
              <w:rPr>
                <w:szCs w:val="24"/>
              </w:rPr>
            </w:pPr>
            <w:r w:rsidRPr="00DD0D1F">
              <w:rPr>
                <w:szCs w:val="24"/>
              </w:rPr>
              <w:t>i.</w:t>
            </w:r>
            <w:r w:rsidRPr="00DD0D1F">
              <w:rPr>
                <w:szCs w:val="24"/>
              </w:rPr>
              <w:tab/>
              <w:t>Örneğin amin arıtımı marifetiyle asit gazının giderilmesi.</w:t>
            </w:r>
          </w:p>
          <w:p w14:paraId="0871CD89" w14:textId="051A6B53" w:rsidR="001F6E8C" w:rsidRPr="00DD0D1F" w:rsidRDefault="001F6E8C" w:rsidP="001F6E8C">
            <w:pPr>
              <w:pStyle w:val="TableParagraph"/>
              <w:tabs>
                <w:tab w:val="left" w:pos="640"/>
              </w:tabs>
              <w:spacing w:line="228" w:lineRule="exact"/>
              <w:ind w:left="640" w:right="100" w:hanging="411"/>
              <w:rPr>
                <w:szCs w:val="24"/>
              </w:rPr>
            </w:pPr>
          </w:p>
        </w:tc>
        <w:tc>
          <w:tcPr>
            <w:tcW w:w="1666" w:type="pct"/>
          </w:tcPr>
          <w:p w14:paraId="074EE004" w14:textId="4FED5E20" w:rsidR="001F6E8C" w:rsidRPr="00DD0D1F" w:rsidRDefault="001F6E8C" w:rsidP="001F6E8C">
            <w:pPr>
              <w:pStyle w:val="TableParagraph"/>
              <w:spacing w:before="108"/>
              <w:ind w:left="107"/>
              <w:rPr>
                <w:szCs w:val="24"/>
              </w:rPr>
            </w:pPr>
            <w:r w:rsidRPr="00DD0D1F">
              <w:rPr>
                <w:szCs w:val="24"/>
              </w:rPr>
              <w:t>Bölüm 1.20.3bakınız.</w:t>
            </w:r>
          </w:p>
        </w:tc>
        <w:tc>
          <w:tcPr>
            <w:tcW w:w="1798" w:type="pct"/>
          </w:tcPr>
          <w:p w14:paraId="10E6B047" w14:textId="486289D7" w:rsidR="001F6E8C" w:rsidRPr="00DD0D1F" w:rsidRDefault="001F6E8C" w:rsidP="001F6E8C">
            <w:pPr>
              <w:pStyle w:val="TableParagraph"/>
              <w:spacing w:before="108"/>
              <w:ind w:left="107"/>
              <w:rPr>
                <w:szCs w:val="24"/>
              </w:rPr>
            </w:pPr>
            <w:r w:rsidRPr="00DD0D1F">
              <w:rPr>
                <w:szCs w:val="24"/>
              </w:rPr>
              <w:t>Genel olarak uygulanabilir</w:t>
            </w:r>
          </w:p>
        </w:tc>
      </w:tr>
      <w:tr w:rsidR="001F6E8C" w:rsidRPr="00DD0D1F" w14:paraId="73F53D49" w14:textId="77777777" w:rsidTr="001F6E8C">
        <w:trPr>
          <w:trHeight w:val="435"/>
        </w:trPr>
        <w:tc>
          <w:tcPr>
            <w:tcW w:w="1536" w:type="pct"/>
          </w:tcPr>
          <w:p w14:paraId="4F77A922" w14:textId="77777777" w:rsidR="001F6E8C" w:rsidRPr="00DD0D1F" w:rsidRDefault="001F6E8C" w:rsidP="001F6E8C">
            <w:pPr>
              <w:pStyle w:val="TableParagraph"/>
              <w:tabs>
                <w:tab w:val="left" w:pos="518"/>
                <w:tab w:val="left" w:pos="1446"/>
                <w:tab w:val="left" w:pos="2445"/>
              </w:tabs>
              <w:spacing w:line="223" w:lineRule="exact"/>
              <w:ind w:right="100"/>
              <w:jc w:val="right"/>
              <w:rPr>
                <w:szCs w:val="24"/>
              </w:rPr>
            </w:pPr>
            <w:r w:rsidRPr="00DD0D1F">
              <w:rPr>
                <w:szCs w:val="24"/>
              </w:rPr>
              <w:t>ii.</w:t>
            </w:r>
            <w:r w:rsidRPr="00DD0D1F">
              <w:rPr>
                <w:szCs w:val="24"/>
              </w:rPr>
              <w:tab/>
              <w:t>Kükürt geri kazanım birimleri (SRU), ör. Claus prosesi ile</w:t>
            </w:r>
          </w:p>
          <w:p w14:paraId="3CA05E16" w14:textId="77777777" w:rsidR="001F6E8C" w:rsidRPr="00DD0D1F" w:rsidRDefault="001F6E8C" w:rsidP="001F6E8C">
            <w:pPr>
              <w:pStyle w:val="TableParagraph"/>
              <w:spacing w:line="217" w:lineRule="exact"/>
              <w:ind w:right="153"/>
              <w:jc w:val="right"/>
              <w:rPr>
                <w:szCs w:val="24"/>
              </w:rPr>
            </w:pPr>
          </w:p>
        </w:tc>
        <w:tc>
          <w:tcPr>
            <w:tcW w:w="1666" w:type="pct"/>
          </w:tcPr>
          <w:p w14:paraId="7F4207A6" w14:textId="6E50C809" w:rsidR="001F6E8C" w:rsidRPr="00DD0D1F" w:rsidRDefault="001F6E8C" w:rsidP="001F6E8C">
            <w:pPr>
              <w:pStyle w:val="TableParagraph"/>
              <w:spacing w:before="108"/>
              <w:ind w:left="107"/>
              <w:rPr>
                <w:szCs w:val="24"/>
              </w:rPr>
            </w:pPr>
            <w:r w:rsidRPr="00DD0D1F">
              <w:rPr>
                <w:szCs w:val="24"/>
              </w:rPr>
              <w:t>Bölüm 1.20.3bakınız.</w:t>
            </w:r>
          </w:p>
        </w:tc>
        <w:tc>
          <w:tcPr>
            <w:tcW w:w="1798" w:type="pct"/>
          </w:tcPr>
          <w:p w14:paraId="6F463892" w14:textId="77F4A3EF" w:rsidR="001F6E8C" w:rsidRPr="00DD0D1F" w:rsidRDefault="001F6E8C" w:rsidP="001F6E8C">
            <w:pPr>
              <w:pStyle w:val="TableParagraph"/>
              <w:spacing w:before="108"/>
              <w:ind w:left="107"/>
              <w:rPr>
                <w:szCs w:val="24"/>
              </w:rPr>
            </w:pPr>
            <w:r w:rsidRPr="00DD0D1F">
              <w:rPr>
                <w:szCs w:val="24"/>
              </w:rPr>
              <w:t>Genel olarak uygulanabilir</w:t>
            </w:r>
          </w:p>
        </w:tc>
      </w:tr>
      <w:tr w:rsidR="001F6E8C" w:rsidRPr="00DD0D1F" w14:paraId="63D02455" w14:textId="77777777" w:rsidTr="001F6E8C">
        <w:trPr>
          <w:trHeight w:val="1088"/>
        </w:trPr>
        <w:tc>
          <w:tcPr>
            <w:tcW w:w="1536" w:type="pct"/>
          </w:tcPr>
          <w:p w14:paraId="223D0A4A" w14:textId="77777777" w:rsidR="001F6E8C" w:rsidRPr="00DD0D1F" w:rsidRDefault="001F6E8C" w:rsidP="001F6E8C">
            <w:pPr>
              <w:pStyle w:val="TableParagraph"/>
              <w:spacing w:before="5"/>
              <w:rPr>
                <w:b/>
                <w:szCs w:val="24"/>
              </w:rPr>
            </w:pPr>
          </w:p>
          <w:p w14:paraId="1AC07A99" w14:textId="77777777" w:rsidR="001F6E8C" w:rsidRPr="00DD0D1F" w:rsidRDefault="001F6E8C" w:rsidP="001F6E8C">
            <w:pPr>
              <w:pStyle w:val="TableParagraph"/>
              <w:tabs>
                <w:tab w:val="left" w:pos="690"/>
                <w:tab w:val="left" w:pos="1235"/>
                <w:tab w:val="left" w:pos="1719"/>
                <w:tab w:val="left" w:pos="2695"/>
              </w:tabs>
              <w:ind w:left="640" w:right="100" w:hanging="524"/>
              <w:rPr>
                <w:szCs w:val="24"/>
              </w:rPr>
            </w:pPr>
            <w:r w:rsidRPr="00DD0D1F">
              <w:rPr>
                <w:szCs w:val="24"/>
              </w:rPr>
              <w:t>iii.</w:t>
            </w:r>
            <w:r w:rsidRPr="00DD0D1F">
              <w:rPr>
                <w:szCs w:val="24"/>
              </w:rPr>
              <w:tab/>
            </w:r>
            <w:r w:rsidRPr="00DD0D1F">
              <w:rPr>
                <w:szCs w:val="24"/>
              </w:rPr>
              <w:tab/>
              <w:t>Artık gaz arıtma birimi (TGTU)</w:t>
            </w:r>
          </w:p>
        </w:tc>
        <w:tc>
          <w:tcPr>
            <w:tcW w:w="1666" w:type="pct"/>
          </w:tcPr>
          <w:p w14:paraId="7978B3BB" w14:textId="4D6957F1" w:rsidR="001F6E8C" w:rsidRPr="00DD0D1F" w:rsidRDefault="001F6E8C" w:rsidP="001F6E8C">
            <w:pPr>
              <w:pStyle w:val="TableParagraph"/>
              <w:ind w:left="107" w:right="99"/>
              <w:jc w:val="both"/>
              <w:rPr>
                <w:szCs w:val="24"/>
              </w:rPr>
            </w:pPr>
            <w:r w:rsidRPr="00DD0D1F">
              <w:rPr>
                <w:szCs w:val="24"/>
              </w:rPr>
              <w:t>Bölüm 1.20.3 bakınız.</w:t>
            </w:r>
          </w:p>
        </w:tc>
        <w:tc>
          <w:tcPr>
            <w:tcW w:w="1798" w:type="pct"/>
          </w:tcPr>
          <w:p w14:paraId="652BFE85" w14:textId="232C6703" w:rsidR="001F6E8C" w:rsidRPr="00DD0D1F" w:rsidRDefault="001F6E8C" w:rsidP="001F6E8C">
            <w:pPr>
              <w:pStyle w:val="TableParagraph"/>
              <w:ind w:left="107" w:right="99"/>
              <w:jc w:val="both"/>
              <w:rPr>
                <w:szCs w:val="24"/>
              </w:rPr>
            </w:pPr>
            <w:r w:rsidRPr="00DD0D1F">
              <w:rPr>
                <w:szCs w:val="24"/>
              </w:rPr>
              <w:t>Mevcut SRU'nun tadilatı bakımından uygulanabilirlik, birimlerin konfigürasyonu ve SRU ebadı ile ve zaten devrede olan kükürt geri kazanımı prosesinin türü ile sınırlı olabilir</w:t>
            </w:r>
          </w:p>
        </w:tc>
      </w:tr>
      <w:tr w:rsidR="001F6E8C" w:rsidRPr="00DD0D1F" w14:paraId="27E5A1EB" w14:textId="77777777" w:rsidTr="001F6E8C">
        <w:trPr>
          <w:trHeight w:val="392"/>
        </w:trPr>
        <w:tc>
          <w:tcPr>
            <w:tcW w:w="5000" w:type="pct"/>
            <w:gridSpan w:val="3"/>
          </w:tcPr>
          <w:p w14:paraId="430EBFEC" w14:textId="2693FE60" w:rsidR="001F6E8C" w:rsidRPr="00DD0D1F" w:rsidRDefault="001F6E8C" w:rsidP="00A508A2">
            <w:pPr>
              <w:pStyle w:val="TableParagraph"/>
              <w:spacing w:line="202" w:lineRule="exact"/>
              <w:ind w:left="153"/>
              <w:rPr>
                <w:szCs w:val="24"/>
              </w:rPr>
            </w:pPr>
            <w:r w:rsidRPr="00DD0D1F">
              <w:rPr>
                <w:szCs w:val="24"/>
              </w:rPr>
              <w:t>(</w:t>
            </w:r>
            <w:r w:rsidRPr="00DD0D1F">
              <w:rPr>
                <w:szCs w:val="24"/>
                <w:vertAlign w:val="superscript"/>
              </w:rPr>
              <w:t>1</w:t>
            </w:r>
            <w:r w:rsidRPr="00DD0D1F">
              <w:rPr>
                <w:szCs w:val="24"/>
              </w:rPr>
              <w:t>)1 t/d'nın altında kükürt bileşiklerinin salımını yapan ve bağımsız çalışan yağlama başlık si ve bitüm rafinerilerinde uygulanamayabilir</w:t>
            </w:r>
          </w:p>
        </w:tc>
      </w:tr>
    </w:tbl>
    <w:p w14:paraId="2F817E67" w14:textId="77777777" w:rsidR="00A508A2" w:rsidRPr="00DD0D1F" w:rsidRDefault="00A508A2" w:rsidP="00A508A2">
      <w:pPr>
        <w:spacing w:before="91"/>
        <w:ind w:right="1632"/>
        <w:rPr>
          <w:rFonts w:cs="Times New Roman"/>
          <w:szCs w:val="24"/>
          <w:lang w:val="tr-TR"/>
        </w:rPr>
      </w:pPr>
    </w:p>
    <w:p w14:paraId="047F9FEE" w14:textId="77777777" w:rsidR="00A508A2" w:rsidRPr="00DD0D1F" w:rsidRDefault="00A508A2" w:rsidP="00A508A2">
      <w:pPr>
        <w:pStyle w:val="GvdeMetni"/>
        <w:spacing w:before="5"/>
        <w:rPr>
          <w:b/>
          <w:sz w:val="24"/>
          <w:szCs w:val="24"/>
        </w:rPr>
      </w:pPr>
    </w:p>
    <w:p w14:paraId="2F271FBE"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Atık gaz kükürt (H</w:t>
      </w:r>
      <w:r w:rsidRPr="00DD0D1F">
        <w:rPr>
          <w:rFonts w:cs="Times New Roman"/>
          <w:bCs/>
          <w:color w:val="auto"/>
          <w:szCs w:val="24"/>
          <w:vertAlign w:val="subscript"/>
          <w:lang w:val="tr-TR"/>
        </w:rPr>
        <w:t>2</w:t>
      </w:r>
      <w:r w:rsidRPr="00DD0D1F">
        <w:rPr>
          <w:rFonts w:cs="Times New Roman"/>
          <w:bCs/>
          <w:color w:val="auto"/>
          <w:szCs w:val="24"/>
          <w:lang w:val="tr-TR"/>
        </w:rPr>
        <w:t>S) geri kazanımı sistemi için MET ile ilişkili çevresel performansı düzeyleri</w:t>
      </w:r>
    </w:p>
    <w:p w14:paraId="0AF9766E"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0"/>
        <w:gridCol w:w="5797"/>
      </w:tblGrid>
      <w:tr w:rsidR="00A508A2" w:rsidRPr="00DD0D1F" w14:paraId="46D96AFD" w14:textId="77777777" w:rsidTr="00A508A2">
        <w:trPr>
          <w:trHeight w:val="460"/>
        </w:trPr>
        <w:tc>
          <w:tcPr>
            <w:tcW w:w="1807" w:type="pct"/>
          </w:tcPr>
          <w:p w14:paraId="1F410935" w14:textId="77777777" w:rsidR="00A508A2" w:rsidRPr="00DD0D1F" w:rsidRDefault="00A508A2" w:rsidP="00A508A2">
            <w:pPr>
              <w:pStyle w:val="TableParagraph"/>
              <w:rPr>
                <w:szCs w:val="24"/>
              </w:rPr>
            </w:pPr>
          </w:p>
        </w:tc>
        <w:tc>
          <w:tcPr>
            <w:tcW w:w="3193" w:type="pct"/>
          </w:tcPr>
          <w:p w14:paraId="1D0AEAAB" w14:textId="77777777" w:rsidR="00A508A2" w:rsidRPr="00DD0D1F" w:rsidRDefault="00A508A2" w:rsidP="00A508A2">
            <w:pPr>
              <w:pStyle w:val="TableParagraph"/>
              <w:spacing w:line="226" w:lineRule="exact"/>
              <w:ind w:left="117" w:right="104" w:firstLine="254"/>
              <w:jc w:val="center"/>
              <w:rPr>
                <w:szCs w:val="24"/>
              </w:rPr>
            </w:pPr>
            <w:r w:rsidRPr="00DD0D1F">
              <w:rPr>
                <w:b/>
                <w:bCs/>
                <w:szCs w:val="24"/>
              </w:rPr>
              <w:t>MET ile ilişkili çevresel performansı düzeyi (aylık ortalama)</w:t>
            </w:r>
          </w:p>
        </w:tc>
      </w:tr>
      <w:tr w:rsidR="00A508A2" w:rsidRPr="00DD0D1F" w14:paraId="6E10BA82" w14:textId="77777777" w:rsidTr="00A508A2">
        <w:trPr>
          <w:trHeight w:val="688"/>
        </w:trPr>
        <w:tc>
          <w:tcPr>
            <w:tcW w:w="1807" w:type="pct"/>
          </w:tcPr>
          <w:p w14:paraId="1DEA4B55" w14:textId="77777777" w:rsidR="00A508A2" w:rsidRPr="00DD0D1F" w:rsidRDefault="00A508A2" w:rsidP="00A508A2">
            <w:pPr>
              <w:pStyle w:val="TableParagraph"/>
              <w:spacing w:before="5"/>
              <w:rPr>
                <w:b/>
                <w:szCs w:val="24"/>
              </w:rPr>
            </w:pPr>
          </w:p>
          <w:p w14:paraId="4058CEC0" w14:textId="77777777" w:rsidR="00A508A2" w:rsidRPr="00DD0D1F" w:rsidRDefault="00A508A2" w:rsidP="00A508A2">
            <w:pPr>
              <w:pStyle w:val="TableParagraph"/>
              <w:ind w:left="107"/>
              <w:rPr>
                <w:szCs w:val="24"/>
              </w:rPr>
            </w:pPr>
            <w:r w:rsidRPr="00DD0D1F">
              <w:rPr>
                <w:szCs w:val="24"/>
              </w:rPr>
              <w:t>Asit gazının giderilmesi</w:t>
            </w:r>
          </w:p>
        </w:tc>
        <w:tc>
          <w:tcPr>
            <w:tcW w:w="3193" w:type="pct"/>
          </w:tcPr>
          <w:p w14:paraId="2A00718B" w14:textId="3966776C" w:rsidR="00A508A2" w:rsidRPr="00DD0D1F" w:rsidRDefault="00F222C6" w:rsidP="00A508A2">
            <w:pPr>
              <w:pStyle w:val="TableParagraph"/>
              <w:spacing w:line="223" w:lineRule="exact"/>
              <w:ind w:left="107"/>
              <w:rPr>
                <w:szCs w:val="24"/>
              </w:rPr>
            </w:pPr>
            <w:hyperlink w:anchor="_bookmark901" w:history="1">
              <w:r w:rsidR="00A508A2" w:rsidRPr="00DD0D1F">
                <w:rPr>
                  <w:szCs w:val="24"/>
                </w:rPr>
                <w:t>MET 36</w:t>
              </w:r>
            </w:hyperlink>
            <w:r w:rsidR="00A508A2" w:rsidRPr="00DD0D1F">
              <w:rPr>
                <w:szCs w:val="24"/>
              </w:rPr>
              <w:t xml:space="preserve"> ile ilgili gaz yakan </w:t>
            </w:r>
            <w:r w:rsidR="007D7613" w:rsidRPr="00DD0D1F">
              <w:rPr>
                <w:szCs w:val="24"/>
              </w:rPr>
              <w:t>MET_İES</w:t>
            </w:r>
            <w:r w:rsidR="00A508A2" w:rsidRPr="00DD0D1F">
              <w:rPr>
                <w:szCs w:val="24"/>
              </w:rPr>
              <w:t>'in elde edilebilmesi için arıtılan RFG'deki hidrojen sülfürlerin (H</w:t>
            </w:r>
            <w:r w:rsidR="00A508A2" w:rsidRPr="00DD0D1F">
              <w:rPr>
                <w:b/>
                <w:bCs/>
                <w:szCs w:val="24"/>
                <w:vertAlign w:val="subscript"/>
              </w:rPr>
              <w:t>2</w:t>
            </w:r>
            <w:r w:rsidR="00A508A2" w:rsidRPr="00DD0D1F">
              <w:rPr>
                <w:szCs w:val="24"/>
              </w:rPr>
              <w:t>S) giderilmesi</w:t>
            </w:r>
          </w:p>
        </w:tc>
      </w:tr>
      <w:tr w:rsidR="00A508A2" w:rsidRPr="00DD0D1F" w14:paraId="5A7981EB" w14:textId="77777777" w:rsidTr="00A508A2">
        <w:trPr>
          <w:trHeight w:val="285"/>
        </w:trPr>
        <w:tc>
          <w:tcPr>
            <w:tcW w:w="1807" w:type="pct"/>
            <w:vMerge w:val="restart"/>
          </w:tcPr>
          <w:p w14:paraId="12D00557" w14:textId="77777777" w:rsidR="00A508A2" w:rsidRPr="00DD0D1F" w:rsidRDefault="00A508A2" w:rsidP="00A508A2">
            <w:pPr>
              <w:pStyle w:val="TableParagraph"/>
              <w:spacing w:before="168"/>
              <w:ind w:left="107"/>
              <w:rPr>
                <w:szCs w:val="24"/>
              </w:rPr>
            </w:pPr>
            <w:r w:rsidRPr="00DD0D1F">
              <w:rPr>
                <w:szCs w:val="24"/>
              </w:rPr>
              <w:t>Kükürt geri kazanımı verimi (</w:t>
            </w:r>
            <w:r w:rsidRPr="00DD0D1F">
              <w:rPr>
                <w:szCs w:val="24"/>
                <w:vertAlign w:val="superscript"/>
              </w:rPr>
              <w:t>1</w:t>
            </w:r>
            <w:r w:rsidRPr="00DD0D1F">
              <w:rPr>
                <w:szCs w:val="24"/>
              </w:rPr>
              <w:t>)</w:t>
            </w:r>
          </w:p>
        </w:tc>
        <w:tc>
          <w:tcPr>
            <w:tcW w:w="3193" w:type="pct"/>
          </w:tcPr>
          <w:p w14:paraId="516994AD" w14:textId="77777777" w:rsidR="00A508A2" w:rsidRPr="00DD0D1F" w:rsidRDefault="00A508A2" w:rsidP="00A508A2">
            <w:pPr>
              <w:pStyle w:val="TableParagraph"/>
              <w:spacing w:before="22"/>
              <w:ind w:right="172"/>
              <w:jc w:val="center"/>
              <w:rPr>
                <w:szCs w:val="24"/>
              </w:rPr>
            </w:pPr>
            <w:r w:rsidRPr="00DD0D1F">
              <w:rPr>
                <w:szCs w:val="24"/>
              </w:rPr>
              <w:t>Yeni birim: %99,5 – &gt;99,9</w:t>
            </w:r>
          </w:p>
        </w:tc>
      </w:tr>
      <w:tr w:rsidR="00A508A2" w:rsidRPr="00DD0D1F" w14:paraId="1C15C952" w14:textId="77777777" w:rsidTr="00A508A2">
        <w:trPr>
          <w:trHeight w:val="282"/>
        </w:trPr>
        <w:tc>
          <w:tcPr>
            <w:tcW w:w="1807" w:type="pct"/>
            <w:vMerge/>
            <w:tcBorders>
              <w:top w:val="nil"/>
            </w:tcBorders>
          </w:tcPr>
          <w:p w14:paraId="027A02BF" w14:textId="77777777" w:rsidR="00A508A2" w:rsidRPr="00DD0D1F" w:rsidRDefault="00A508A2" w:rsidP="00A508A2">
            <w:pPr>
              <w:rPr>
                <w:rFonts w:cs="Times New Roman"/>
                <w:szCs w:val="24"/>
                <w:lang w:val="tr-TR"/>
              </w:rPr>
            </w:pPr>
          </w:p>
        </w:tc>
        <w:tc>
          <w:tcPr>
            <w:tcW w:w="3193" w:type="pct"/>
          </w:tcPr>
          <w:p w14:paraId="1DC7FBDB" w14:textId="77777777" w:rsidR="00A508A2" w:rsidRPr="00DD0D1F" w:rsidRDefault="00A508A2" w:rsidP="00A508A2">
            <w:pPr>
              <w:pStyle w:val="TableParagraph"/>
              <w:spacing w:before="19"/>
              <w:ind w:left="632" w:right="627"/>
              <w:jc w:val="center"/>
              <w:rPr>
                <w:szCs w:val="24"/>
              </w:rPr>
            </w:pPr>
            <w:r w:rsidRPr="00DD0D1F">
              <w:rPr>
                <w:szCs w:val="24"/>
              </w:rPr>
              <w:t>Mevcut birim: %≥ 98,5</w:t>
            </w:r>
          </w:p>
        </w:tc>
      </w:tr>
      <w:tr w:rsidR="00A508A2" w:rsidRPr="00DD0D1F" w14:paraId="0DC5BDCC" w14:textId="77777777" w:rsidTr="00A508A2">
        <w:trPr>
          <w:trHeight w:val="830"/>
        </w:trPr>
        <w:tc>
          <w:tcPr>
            <w:tcW w:w="5000" w:type="pct"/>
            <w:gridSpan w:val="2"/>
          </w:tcPr>
          <w:p w14:paraId="0AD90138" w14:textId="77777777" w:rsidR="00A508A2" w:rsidRPr="00DD0D1F" w:rsidRDefault="00A508A2" w:rsidP="00A508A2">
            <w:pPr>
              <w:pStyle w:val="TableParagraph"/>
              <w:spacing w:line="202" w:lineRule="exact"/>
              <w:ind w:left="397" w:hanging="290"/>
              <w:rPr>
                <w:szCs w:val="24"/>
              </w:rPr>
            </w:pPr>
            <w:r w:rsidRPr="00DD0D1F">
              <w:rPr>
                <w:szCs w:val="24"/>
              </w:rPr>
              <w:t>(1) Kükürt geri kazanım verimi, hammaddedeki kükürdün toplama çukurlarına yönlendirilen kükürt akışında geri   kazanılan kükürtteki kesiri olarak tüm arıtma zinciri (SRU ve TGTU dahil) üzerinden hesaplanır.</w:t>
            </w:r>
          </w:p>
          <w:p w14:paraId="42107E30" w14:textId="77777777" w:rsidR="00A508A2" w:rsidRPr="00DD0D1F" w:rsidRDefault="00A508A2" w:rsidP="00A508A2">
            <w:pPr>
              <w:pStyle w:val="TableParagraph"/>
              <w:spacing w:line="206" w:lineRule="exact"/>
              <w:ind w:left="328"/>
              <w:rPr>
                <w:szCs w:val="24"/>
              </w:rPr>
            </w:pPr>
            <w:r w:rsidRPr="00DD0D1F">
              <w:rPr>
                <w:szCs w:val="24"/>
              </w:rPr>
              <w:t xml:space="preserve"> Uygulanan tekniğin kükürt geri kazanımını içermediği durumda (ör. tuzlu su yıkama), kükürt giderimi verimine  tüm arıtma zinciri ile giderilen kükürdün %'si olarak atıf yapar.</w:t>
            </w:r>
          </w:p>
        </w:tc>
      </w:tr>
    </w:tbl>
    <w:p w14:paraId="760F0416" w14:textId="77777777" w:rsidR="00A508A2" w:rsidRPr="00DD0D1F" w:rsidRDefault="00A508A2" w:rsidP="00A508A2">
      <w:pPr>
        <w:pStyle w:val="GvdeMetni"/>
        <w:spacing w:before="4"/>
        <w:rPr>
          <w:b/>
          <w:sz w:val="24"/>
          <w:szCs w:val="24"/>
        </w:rPr>
      </w:pPr>
    </w:p>
    <w:p w14:paraId="391CBD0C"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 açıklanmaktadır.</w:t>
      </w:r>
    </w:p>
    <w:p w14:paraId="0EDB4DF4" w14:textId="150A6A26" w:rsidR="00A508A2" w:rsidRPr="00DD0D1F" w:rsidRDefault="00A508A2" w:rsidP="00A508A2">
      <w:pPr>
        <w:pStyle w:val="GvdeMetni"/>
        <w:spacing w:before="8"/>
        <w:rPr>
          <w:b/>
          <w:sz w:val="24"/>
          <w:szCs w:val="24"/>
        </w:rPr>
      </w:pPr>
      <w:bookmarkStart w:id="249" w:name="_bookmark916"/>
      <w:bookmarkStart w:id="250" w:name="5.18_BAT_conclusions_for_flares"/>
      <w:bookmarkEnd w:id="249"/>
      <w:bookmarkEnd w:id="250"/>
    </w:p>
    <w:p w14:paraId="0E4A503A"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55: </w:t>
      </w:r>
      <w:r w:rsidRPr="00DD0D1F">
        <w:rPr>
          <w:rFonts w:cs="Times New Roman"/>
          <w:bCs/>
          <w:szCs w:val="24"/>
          <w:lang w:val="tr-TR"/>
        </w:rPr>
        <w:t>Alevlerden  havaya yayılan emisyonları engellemek için, alevlendirme sadece güvenlik nedenleriyle veya rutin olmayan operasyonel koşullarda (ör. ilk çalıştırma, kapatma) kullanılır.</w:t>
      </w:r>
    </w:p>
    <w:p w14:paraId="53F47897" w14:textId="1CAAAEC0" w:rsidR="00A508A2" w:rsidRPr="00DD0D1F" w:rsidRDefault="001F6E8C" w:rsidP="00A508A2">
      <w:pPr>
        <w:rPr>
          <w:rFonts w:cs="Times New Roman"/>
          <w:bCs/>
          <w:szCs w:val="24"/>
          <w:lang w:val="tr-TR"/>
        </w:rPr>
      </w:pPr>
      <w:r w:rsidRPr="00DD0D1F">
        <w:rPr>
          <w:rFonts w:cs="Times New Roman"/>
          <w:b/>
          <w:bCs/>
          <w:szCs w:val="24"/>
          <w:lang w:val="tr-TR"/>
        </w:rPr>
        <w:t xml:space="preserve">MET 56 : </w:t>
      </w:r>
      <w:r w:rsidRPr="00DD0D1F">
        <w:rPr>
          <w:rFonts w:cs="Times New Roman"/>
          <w:bCs/>
          <w:szCs w:val="24"/>
          <w:lang w:val="tr-TR"/>
        </w:rPr>
        <w:t>Alevlerden havaya yayılan emisyonların azaltılması için, aşağıdaki teknikler kullanılır.</w:t>
      </w:r>
    </w:p>
    <w:p w14:paraId="2E1DC0E5" w14:textId="77777777" w:rsidR="00A508A2" w:rsidRPr="00DD0D1F" w:rsidRDefault="00A508A2" w:rsidP="00A508A2">
      <w:pPr>
        <w:pStyle w:val="GvdeMetni"/>
        <w:spacing w:before="8"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9"/>
        <w:gridCol w:w="2849"/>
        <w:gridCol w:w="2849"/>
      </w:tblGrid>
      <w:tr w:rsidR="002437EE" w:rsidRPr="00DD0D1F" w14:paraId="24FCC790" w14:textId="77777777" w:rsidTr="002437EE">
        <w:trPr>
          <w:trHeight w:val="282"/>
        </w:trPr>
        <w:tc>
          <w:tcPr>
            <w:tcW w:w="1861" w:type="pct"/>
          </w:tcPr>
          <w:p w14:paraId="467DCD49" w14:textId="77777777" w:rsidR="002437EE" w:rsidRPr="00DD0D1F" w:rsidRDefault="002437EE" w:rsidP="00A508A2">
            <w:pPr>
              <w:pStyle w:val="TableParagraph"/>
              <w:spacing w:before="24"/>
              <w:ind w:left="1302" w:right="1294"/>
              <w:jc w:val="center"/>
              <w:rPr>
                <w:b/>
                <w:szCs w:val="24"/>
              </w:rPr>
            </w:pPr>
            <w:r w:rsidRPr="00DD0D1F">
              <w:rPr>
                <w:b/>
                <w:bCs/>
                <w:szCs w:val="24"/>
              </w:rPr>
              <w:t>Teknik</w:t>
            </w:r>
          </w:p>
        </w:tc>
        <w:tc>
          <w:tcPr>
            <w:tcW w:w="1569" w:type="pct"/>
          </w:tcPr>
          <w:p w14:paraId="158625F3" w14:textId="103E5D6E" w:rsidR="002437EE" w:rsidRPr="00DD0D1F" w:rsidRDefault="002437EE" w:rsidP="00A508A2">
            <w:pPr>
              <w:pStyle w:val="TableParagraph"/>
              <w:spacing w:before="24"/>
              <w:ind w:left="941"/>
              <w:rPr>
                <w:b/>
                <w:bCs/>
                <w:szCs w:val="24"/>
              </w:rPr>
            </w:pPr>
            <w:r w:rsidRPr="00DD0D1F">
              <w:rPr>
                <w:b/>
                <w:bCs/>
                <w:szCs w:val="24"/>
              </w:rPr>
              <w:t xml:space="preserve">Tanım </w:t>
            </w:r>
          </w:p>
        </w:tc>
        <w:tc>
          <w:tcPr>
            <w:tcW w:w="1569" w:type="pct"/>
          </w:tcPr>
          <w:p w14:paraId="633936EB" w14:textId="73F4E871" w:rsidR="002437EE" w:rsidRPr="00DD0D1F" w:rsidRDefault="002437EE" w:rsidP="00A508A2">
            <w:pPr>
              <w:pStyle w:val="TableParagraph"/>
              <w:spacing w:before="24"/>
              <w:ind w:left="941"/>
              <w:rPr>
                <w:b/>
                <w:szCs w:val="24"/>
              </w:rPr>
            </w:pPr>
            <w:r w:rsidRPr="00DD0D1F">
              <w:rPr>
                <w:b/>
                <w:bCs/>
                <w:szCs w:val="24"/>
              </w:rPr>
              <w:t>Uygulanabilirlik</w:t>
            </w:r>
          </w:p>
        </w:tc>
      </w:tr>
      <w:tr w:rsidR="002437EE" w:rsidRPr="00DD0D1F" w14:paraId="627CC297" w14:textId="77777777" w:rsidTr="002437EE">
        <w:trPr>
          <w:trHeight w:val="690"/>
        </w:trPr>
        <w:tc>
          <w:tcPr>
            <w:tcW w:w="1861" w:type="pct"/>
          </w:tcPr>
          <w:p w14:paraId="1080B243" w14:textId="77777777" w:rsidR="002437EE" w:rsidRPr="00DD0D1F" w:rsidRDefault="002437EE" w:rsidP="00A508A2">
            <w:pPr>
              <w:pStyle w:val="TableParagraph"/>
              <w:spacing w:before="5"/>
              <w:rPr>
                <w:b/>
                <w:szCs w:val="24"/>
              </w:rPr>
            </w:pPr>
          </w:p>
          <w:p w14:paraId="34436ABD" w14:textId="77777777" w:rsidR="002437EE" w:rsidRPr="00DD0D1F" w:rsidRDefault="002437EE" w:rsidP="00A508A2">
            <w:pPr>
              <w:pStyle w:val="TableParagraph"/>
              <w:tabs>
                <w:tab w:val="left" w:pos="588"/>
              </w:tabs>
              <w:ind w:left="201"/>
              <w:rPr>
                <w:szCs w:val="24"/>
              </w:rPr>
            </w:pPr>
            <w:r w:rsidRPr="00DD0D1F">
              <w:rPr>
                <w:szCs w:val="24"/>
              </w:rPr>
              <w:t>i.</w:t>
            </w:r>
            <w:r w:rsidRPr="00DD0D1F">
              <w:rPr>
                <w:szCs w:val="24"/>
              </w:rPr>
              <w:tab/>
              <w:t>Doğru tesis projesi</w:t>
            </w:r>
          </w:p>
        </w:tc>
        <w:tc>
          <w:tcPr>
            <w:tcW w:w="1569" w:type="pct"/>
          </w:tcPr>
          <w:p w14:paraId="4FF65F2A" w14:textId="76AD7F67" w:rsidR="002437EE" w:rsidRPr="00DD0D1F" w:rsidRDefault="002437EE" w:rsidP="00A508A2">
            <w:pPr>
              <w:pStyle w:val="TableParagraph"/>
              <w:spacing w:line="223" w:lineRule="exact"/>
              <w:ind w:left="110"/>
              <w:rPr>
                <w:szCs w:val="24"/>
              </w:rPr>
            </w:pPr>
            <w:r w:rsidRPr="00DD0D1F">
              <w:rPr>
                <w:szCs w:val="24"/>
              </w:rPr>
              <w:t>Bölüm 1.20.7 bakınız.</w:t>
            </w:r>
          </w:p>
        </w:tc>
        <w:tc>
          <w:tcPr>
            <w:tcW w:w="1569" w:type="pct"/>
          </w:tcPr>
          <w:p w14:paraId="1962A98E" w14:textId="566A8829" w:rsidR="002437EE" w:rsidRPr="00DD0D1F" w:rsidRDefault="002437EE" w:rsidP="00A508A2">
            <w:pPr>
              <w:pStyle w:val="TableParagraph"/>
              <w:spacing w:line="223" w:lineRule="exact"/>
              <w:ind w:left="110"/>
              <w:rPr>
                <w:szCs w:val="24"/>
              </w:rPr>
            </w:pPr>
            <w:r w:rsidRPr="00DD0D1F">
              <w:rPr>
                <w:szCs w:val="24"/>
              </w:rPr>
              <w:t>Yeni birimlere uygulanır.</w:t>
            </w:r>
          </w:p>
          <w:p w14:paraId="790F7EB4" w14:textId="77777777" w:rsidR="002437EE" w:rsidRPr="00DD0D1F" w:rsidRDefault="002437EE" w:rsidP="00A508A2">
            <w:pPr>
              <w:pStyle w:val="TableParagraph"/>
              <w:spacing w:line="230" w:lineRule="atLeast"/>
              <w:ind w:left="110" w:right="92"/>
              <w:rPr>
                <w:szCs w:val="24"/>
              </w:rPr>
            </w:pPr>
            <w:r w:rsidRPr="00DD0D1F">
              <w:rPr>
                <w:szCs w:val="24"/>
              </w:rPr>
              <w:t>Gaz geri kazanım sistemi mevcut birimlere takılabilir</w:t>
            </w:r>
          </w:p>
        </w:tc>
      </w:tr>
      <w:tr w:rsidR="002437EE" w:rsidRPr="00DD0D1F" w14:paraId="34C6AB92" w14:textId="77777777" w:rsidTr="002437EE">
        <w:trPr>
          <w:trHeight w:val="283"/>
        </w:trPr>
        <w:tc>
          <w:tcPr>
            <w:tcW w:w="1861" w:type="pct"/>
          </w:tcPr>
          <w:p w14:paraId="6741F6CA" w14:textId="77777777" w:rsidR="002437EE" w:rsidRPr="00DD0D1F" w:rsidRDefault="002437EE" w:rsidP="002437EE">
            <w:pPr>
              <w:pStyle w:val="TableParagraph"/>
              <w:tabs>
                <w:tab w:val="left" w:pos="588"/>
              </w:tabs>
              <w:spacing w:before="20"/>
              <w:ind w:left="146"/>
              <w:rPr>
                <w:szCs w:val="24"/>
              </w:rPr>
            </w:pPr>
            <w:r w:rsidRPr="00DD0D1F">
              <w:rPr>
                <w:szCs w:val="24"/>
              </w:rPr>
              <w:t>ii.</w:t>
            </w:r>
            <w:r w:rsidRPr="00DD0D1F">
              <w:rPr>
                <w:szCs w:val="24"/>
              </w:rPr>
              <w:tab/>
              <w:t>Tesis yönetimi</w:t>
            </w:r>
          </w:p>
        </w:tc>
        <w:tc>
          <w:tcPr>
            <w:tcW w:w="1569" w:type="pct"/>
          </w:tcPr>
          <w:p w14:paraId="58A03B86" w14:textId="0861676A" w:rsidR="002437EE" w:rsidRPr="00DD0D1F" w:rsidRDefault="002437EE" w:rsidP="002437EE">
            <w:pPr>
              <w:pStyle w:val="TableParagraph"/>
              <w:spacing w:before="20"/>
              <w:ind w:left="110"/>
              <w:rPr>
                <w:szCs w:val="24"/>
              </w:rPr>
            </w:pPr>
            <w:r w:rsidRPr="00DD0D1F">
              <w:rPr>
                <w:szCs w:val="24"/>
              </w:rPr>
              <w:t>Bölüm 1.20.7 bakınız.</w:t>
            </w:r>
          </w:p>
        </w:tc>
        <w:tc>
          <w:tcPr>
            <w:tcW w:w="1569" w:type="pct"/>
          </w:tcPr>
          <w:p w14:paraId="68A59EB6" w14:textId="39ADB908" w:rsidR="002437EE" w:rsidRPr="00DD0D1F" w:rsidRDefault="002437EE" w:rsidP="002437EE">
            <w:pPr>
              <w:pStyle w:val="TableParagraph"/>
              <w:spacing w:before="20"/>
              <w:ind w:left="110"/>
              <w:rPr>
                <w:szCs w:val="24"/>
              </w:rPr>
            </w:pPr>
            <w:r w:rsidRPr="00DD0D1F">
              <w:rPr>
                <w:szCs w:val="24"/>
              </w:rPr>
              <w:t>Genel olarak uygulanabilir</w:t>
            </w:r>
          </w:p>
        </w:tc>
      </w:tr>
      <w:tr w:rsidR="002437EE" w:rsidRPr="00DD0D1F" w14:paraId="5349872C" w14:textId="77777777" w:rsidTr="002437EE">
        <w:trPr>
          <w:trHeight w:val="285"/>
        </w:trPr>
        <w:tc>
          <w:tcPr>
            <w:tcW w:w="1861" w:type="pct"/>
          </w:tcPr>
          <w:p w14:paraId="44B0D8C1" w14:textId="77777777" w:rsidR="002437EE" w:rsidRPr="00DD0D1F" w:rsidRDefault="002437EE" w:rsidP="002437EE">
            <w:pPr>
              <w:pStyle w:val="TableParagraph"/>
              <w:tabs>
                <w:tab w:val="left" w:pos="588"/>
              </w:tabs>
              <w:spacing w:before="22"/>
              <w:ind w:left="541" w:hanging="451"/>
              <w:rPr>
                <w:szCs w:val="24"/>
              </w:rPr>
            </w:pPr>
            <w:r w:rsidRPr="00DD0D1F">
              <w:rPr>
                <w:szCs w:val="24"/>
              </w:rPr>
              <w:t>iii.</w:t>
            </w:r>
            <w:r w:rsidRPr="00DD0D1F">
              <w:rPr>
                <w:szCs w:val="24"/>
              </w:rPr>
              <w:tab/>
              <w:t>Doğru alevlendirme cihazları  tasarımı</w:t>
            </w:r>
          </w:p>
        </w:tc>
        <w:tc>
          <w:tcPr>
            <w:tcW w:w="1569" w:type="pct"/>
          </w:tcPr>
          <w:p w14:paraId="43DED9EA" w14:textId="1BC90362" w:rsidR="002437EE" w:rsidRPr="00DD0D1F" w:rsidRDefault="002437EE" w:rsidP="002437EE">
            <w:pPr>
              <w:pStyle w:val="TableParagraph"/>
              <w:spacing w:before="22"/>
              <w:ind w:left="110"/>
              <w:rPr>
                <w:szCs w:val="24"/>
              </w:rPr>
            </w:pPr>
            <w:r w:rsidRPr="00DD0D1F">
              <w:rPr>
                <w:szCs w:val="24"/>
              </w:rPr>
              <w:t>Bölüm 1.20.7 bakınız.</w:t>
            </w:r>
          </w:p>
        </w:tc>
        <w:tc>
          <w:tcPr>
            <w:tcW w:w="1569" w:type="pct"/>
          </w:tcPr>
          <w:p w14:paraId="4F784059" w14:textId="161878CC" w:rsidR="002437EE" w:rsidRPr="00DD0D1F" w:rsidRDefault="002437EE" w:rsidP="002437EE">
            <w:pPr>
              <w:pStyle w:val="TableParagraph"/>
              <w:spacing w:before="22"/>
              <w:ind w:left="110"/>
              <w:rPr>
                <w:szCs w:val="24"/>
              </w:rPr>
            </w:pPr>
            <w:r w:rsidRPr="00DD0D1F">
              <w:rPr>
                <w:szCs w:val="24"/>
              </w:rPr>
              <w:t>Yeni birimlere uygulanır</w:t>
            </w:r>
          </w:p>
        </w:tc>
      </w:tr>
      <w:tr w:rsidR="002437EE" w:rsidRPr="00DD0D1F" w14:paraId="4F06FAB5" w14:textId="77777777" w:rsidTr="002437EE">
        <w:trPr>
          <w:trHeight w:val="282"/>
        </w:trPr>
        <w:tc>
          <w:tcPr>
            <w:tcW w:w="1861" w:type="pct"/>
          </w:tcPr>
          <w:p w14:paraId="46D391F4" w14:textId="77777777" w:rsidR="002437EE" w:rsidRPr="00DD0D1F" w:rsidRDefault="002437EE" w:rsidP="002437EE">
            <w:pPr>
              <w:pStyle w:val="TableParagraph"/>
              <w:tabs>
                <w:tab w:val="left" w:pos="588"/>
              </w:tabs>
              <w:spacing w:before="19"/>
              <w:ind w:left="100"/>
              <w:rPr>
                <w:szCs w:val="24"/>
              </w:rPr>
            </w:pPr>
            <w:r w:rsidRPr="00DD0D1F">
              <w:rPr>
                <w:szCs w:val="24"/>
              </w:rPr>
              <w:t>iv.</w:t>
            </w:r>
            <w:r w:rsidRPr="00DD0D1F">
              <w:rPr>
                <w:szCs w:val="24"/>
              </w:rPr>
              <w:tab/>
              <w:t>İzleme ve raporlama</w:t>
            </w:r>
          </w:p>
        </w:tc>
        <w:tc>
          <w:tcPr>
            <w:tcW w:w="1569" w:type="pct"/>
          </w:tcPr>
          <w:p w14:paraId="4ED80101" w14:textId="09939115" w:rsidR="002437EE" w:rsidRPr="00DD0D1F" w:rsidRDefault="002437EE" w:rsidP="002437EE">
            <w:pPr>
              <w:pStyle w:val="TableParagraph"/>
              <w:spacing w:before="19"/>
              <w:ind w:left="110"/>
              <w:rPr>
                <w:szCs w:val="24"/>
              </w:rPr>
            </w:pPr>
            <w:r w:rsidRPr="00DD0D1F">
              <w:rPr>
                <w:szCs w:val="24"/>
              </w:rPr>
              <w:t>Bölüm 1.20.7 bakınız.</w:t>
            </w:r>
          </w:p>
        </w:tc>
        <w:tc>
          <w:tcPr>
            <w:tcW w:w="1569" w:type="pct"/>
          </w:tcPr>
          <w:p w14:paraId="3D9317DB" w14:textId="575ABB80" w:rsidR="002437EE" w:rsidRPr="00DD0D1F" w:rsidRDefault="002437EE" w:rsidP="002437EE">
            <w:pPr>
              <w:pStyle w:val="TableParagraph"/>
              <w:spacing w:before="19"/>
              <w:ind w:left="110"/>
              <w:rPr>
                <w:szCs w:val="24"/>
              </w:rPr>
            </w:pPr>
            <w:r w:rsidRPr="00DD0D1F">
              <w:rPr>
                <w:szCs w:val="24"/>
              </w:rPr>
              <w:t>Genel olarak uygulanabilir</w:t>
            </w:r>
          </w:p>
        </w:tc>
      </w:tr>
    </w:tbl>
    <w:p w14:paraId="59CCDCE6" w14:textId="77777777" w:rsidR="00A508A2" w:rsidRPr="00DD0D1F" w:rsidRDefault="00A508A2" w:rsidP="009C41A6">
      <w:pPr>
        <w:pStyle w:val="Balk1"/>
        <w:numPr>
          <w:ilvl w:val="0"/>
          <w:numId w:val="0"/>
        </w:numPr>
        <w:ind w:left="360"/>
        <w:rPr>
          <w:rFonts w:cs="Times New Roman"/>
          <w:szCs w:val="24"/>
        </w:rPr>
      </w:pPr>
      <w:bookmarkStart w:id="251" w:name="_bookmark917"/>
      <w:bookmarkStart w:id="252" w:name="5.19_BAT_conclusions_for_integrated_emis"/>
      <w:bookmarkEnd w:id="251"/>
      <w:bookmarkEnd w:id="252"/>
    </w:p>
    <w:p w14:paraId="69E12BF5" w14:textId="77777777" w:rsidR="00A508A2" w:rsidRPr="00DD0D1F" w:rsidRDefault="00A508A2" w:rsidP="00A508A2">
      <w:pPr>
        <w:pStyle w:val="GvdeMetni"/>
        <w:spacing w:before="8"/>
        <w:rPr>
          <w:b/>
          <w:sz w:val="24"/>
          <w:szCs w:val="24"/>
        </w:rPr>
      </w:pPr>
    </w:p>
    <w:p w14:paraId="7E605468" w14:textId="364CC6F2" w:rsidR="00A508A2" w:rsidRPr="00DD0D1F" w:rsidRDefault="00A508A2" w:rsidP="00A508A2">
      <w:pPr>
        <w:rPr>
          <w:rFonts w:cs="Times New Roman"/>
          <w:bCs/>
          <w:szCs w:val="24"/>
          <w:lang w:val="tr-TR"/>
        </w:rPr>
      </w:pPr>
      <w:bookmarkStart w:id="253" w:name="_bookmark918"/>
      <w:bookmarkEnd w:id="253"/>
      <w:r w:rsidRPr="00DD0D1F">
        <w:rPr>
          <w:rFonts w:cs="Times New Roman"/>
          <w:b/>
          <w:bCs/>
          <w:szCs w:val="24"/>
          <w:lang w:val="tr-TR"/>
        </w:rPr>
        <w:t xml:space="preserve">MET 57: </w:t>
      </w:r>
      <w:r w:rsidRPr="00DD0D1F">
        <w:rPr>
          <w:rFonts w:cs="Times New Roman"/>
          <w:bCs/>
          <w:szCs w:val="24"/>
          <w:lang w:val="tr-TR"/>
        </w:rPr>
        <w:t>Yanma birimlerinden ve sıvı katalitik  parçalama (FCC) birimlerinden havaya yayılan NO</w:t>
      </w:r>
      <w:r w:rsidRPr="00DD0D1F">
        <w:rPr>
          <w:rFonts w:cs="Times New Roman"/>
          <w:bCs/>
          <w:szCs w:val="24"/>
          <w:vertAlign w:val="subscript"/>
          <w:lang w:val="tr-TR"/>
        </w:rPr>
        <w:t xml:space="preserve">X </w:t>
      </w:r>
      <w:r w:rsidRPr="00DD0D1F">
        <w:rPr>
          <w:rFonts w:cs="Times New Roman"/>
          <w:bCs/>
          <w:szCs w:val="24"/>
          <w:lang w:val="tr-TR"/>
        </w:rPr>
        <w:t>emisyonla</w:t>
      </w:r>
      <w:r w:rsidR="001F6E8C" w:rsidRPr="00DD0D1F">
        <w:rPr>
          <w:rFonts w:cs="Times New Roman"/>
          <w:bCs/>
          <w:szCs w:val="24"/>
          <w:lang w:val="tr-TR"/>
        </w:rPr>
        <w:t>rının genel olarak azaltılması için,</w:t>
      </w:r>
      <w:r w:rsidRPr="00DD0D1F">
        <w:rPr>
          <w:rFonts w:cs="Times New Roman"/>
          <w:bCs/>
          <w:szCs w:val="24"/>
          <w:lang w:val="tr-TR"/>
        </w:rPr>
        <w:t xml:space="preserve"> </w:t>
      </w:r>
      <w:hyperlink w:anchor="_bookmark884" w:history="1">
        <w:r w:rsidRPr="00DD0D1F">
          <w:rPr>
            <w:rFonts w:cs="Times New Roman"/>
            <w:bCs/>
            <w:szCs w:val="24"/>
            <w:lang w:val="tr-TR"/>
          </w:rPr>
          <w:t xml:space="preserve">MET 24 </w:t>
        </w:r>
      </w:hyperlink>
      <w:r w:rsidRPr="00DD0D1F">
        <w:rPr>
          <w:rFonts w:cs="Times New Roman"/>
          <w:bCs/>
          <w:szCs w:val="24"/>
          <w:lang w:val="tr-TR"/>
        </w:rPr>
        <w:t xml:space="preserve">ve </w:t>
      </w:r>
      <w:hyperlink w:anchor="_bookmark895" w:history="1">
        <w:r w:rsidRPr="00DD0D1F">
          <w:rPr>
            <w:rFonts w:cs="Times New Roman"/>
            <w:bCs/>
            <w:szCs w:val="24"/>
            <w:lang w:val="tr-TR"/>
          </w:rPr>
          <w:t>MET 34</w:t>
        </w:r>
      </w:hyperlink>
      <w:r w:rsidRPr="00DD0D1F">
        <w:rPr>
          <w:rFonts w:cs="Times New Roman"/>
          <w:bCs/>
          <w:szCs w:val="24"/>
          <w:lang w:val="tr-TR"/>
        </w:rPr>
        <w:t>'ün alternatifi olarak entegre emisyon yönetimi tekniği kullanılır.</w:t>
      </w:r>
    </w:p>
    <w:p w14:paraId="3A79090E" w14:textId="77777777" w:rsidR="001F6E8C" w:rsidRPr="00DD0D1F" w:rsidRDefault="001F6E8C" w:rsidP="00A508A2">
      <w:pPr>
        <w:rPr>
          <w:rFonts w:cs="Times New Roman"/>
          <w:bCs/>
          <w:szCs w:val="24"/>
          <w:lang w:val="tr-TR"/>
        </w:rPr>
      </w:pPr>
    </w:p>
    <w:p w14:paraId="50930407" w14:textId="77777777" w:rsidR="00A508A2" w:rsidRPr="00DD0D1F" w:rsidRDefault="00A508A2" w:rsidP="00A508A2">
      <w:pPr>
        <w:rPr>
          <w:rFonts w:cs="Times New Roman"/>
          <w:bCs/>
          <w:szCs w:val="24"/>
          <w:lang w:val="tr-TR"/>
        </w:rPr>
      </w:pPr>
      <w:r w:rsidRPr="00DD0D1F">
        <w:rPr>
          <w:rFonts w:cs="Times New Roman"/>
          <w:bCs/>
          <w:szCs w:val="24"/>
          <w:lang w:val="tr-TR"/>
        </w:rPr>
        <w:t>Açıklama</w:t>
      </w:r>
    </w:p>
    <w:p w14:paraId="330E7043" w14:textId="43D0439E" w:rsidR="00A508A2" w:rsidRPr="00DD0D1F" w:rsidRDefault="00A508A2" w:rsidP="00A508A2">
      <w:pPr>
        <w:rPr>
          <w:rFonts w:cs="Times New Roman"/>
          <w:szCs w:val="24"/>
          <w:lang w:val="tr-TR"/>
        </w:rPr>
      </w:pPr>
      <w:r w:rsidRPr="00DD0D1F">
        <w:rPr>
          <w:rFonts w:cs="Times New Roman"/>
          <w:szCs w:val="24"/>
          <w:lang w:val="tr-TR"/>
        </w:rPr>
        <w:t xml:space="preserve">Bu teknik, rafineri sahasındaki yanma birimlerinin ve FCC birimlerinin bazılarından veya tamamından kaynaklanan NOX emisyonlarının, farklı birimlerde en uygun MET kombinasyonunun uygulanması ve işletilmesi ve bunun etkinliğinin izlenmesi yoluyla ve sonuçta ortaya çıkan toplam emisyonun MET 24 ve MET 34 kapsamında atıf yapılan </w:t>
      </w:r>
      <w:r w:rsidR="007D7613" w:rsidRPr="00DD0D1F">
        <w:rPr>
          <w:rFonts w:cs="Times New Roman"/>
          <w:szCs w:val="24"/>
          <w:lang w:val="tr-TR"/>
        </w:rPr>
        <w:t>MET_İES</w:t>
      </w:r>
      <w:r w:rsidRPr="00DD0D1F">
        <w:rPr>
          <w:rFonts w:cs="Times New Roman"/>
          <w:szCs w:val="24"/>
          <w:lang w:val="tr-TR"/>
        </w:rPr>
        <w:t>'lerin birim-birim uygulanması ile elde edilecek olanla eşdeğer veya daha düşük olmasını sağlayacak şekilde entegre bir yöntemle yönetilmesinden oluşmaktadır.</w:t>
      </w:r>
    </w:p>
    <w:p w14:paraId="4BF58D83" w14:textId="77777777" w:rsidR="00A508A2" w:rsidRPr="00DD0D1F" w:rsidRDefault="00A508A2" w:rsidP="00A508A2">
      <w:pPr>
        <w:rPr>
          <w:rFonts w:cs="Times New Roman"/>
          <w:szCs w:val="24"/>
          <w:lang w:val="tr-TR"/>
        </w:rPr>
      </w:pPr>
    </w:p>
    <w:p w14:paraId="2642A5E5" w14:textId="77777777" w:rsidR="00A508A2" w:rsidRPr="00DD0D1F" w:rsidRDefault="00A508A2" w:rsidP="00A508A2">
      <w:pPr>
        <w:rPr>
          <w:rFonts w:cs="Times New Roman"/>
          <w:szCs w:val="24"/>
          <w:lang w:val="tr-TR"/>
        </w:rPr>
      </w:pPr>
      <w:r w:rsidRPr="00DD0D1F">
        <w:rPr>
          <w:rFonts w:cs="Times New Roman"/>
          <w:szCs w:val="24"/>
          <w:lang w:val="tr-TR"/>
        </w:rPr>
        <w:t>Bu teknik aşağıdaki petrol rafinerisi sahalarına özellikle uygundur:</w:t>
      </w:r>
    </w:p>
    <w:p w14:paraId="65E30AB8" w14:textId="7D319B3B" w:rsidR="00A508A2" w:rsidRPr="00DD0D1F" w:rsidRDefault="002437EE" w:rsidP="00A508A2">
      <w:pPr>
        <w:rPr>
          <w:rFonts w:cs="Times New Roman"/>
          <w:szCs w:val="24"/>
          <w:lang w:val="tr-TR"/>
        </w:rPr>
      </w:pPr>
      <w:r w:rsidRPr="00DD0D1F">
        <w:rPr>
          <w:rFonts w:cs="Times New Roman"/>
          <w:szCs w:val="24"/>
          <w:lang w:val="tr-TR"/>
        </w:rPr>
        <w:t>-</w:t>
      </w:r>
      <w:r w:rsidR="00A508A2" w:rsidRPr="00DD0D1F">
        <w:rPr>
          <w:rFonts w:cs="Times New Roman"/>
          <w:szCs w:val="24"/>
          <w:lang w:val="tr-TR"/>
        </w:rPr>
        <w:t>hammadde ve enerji ikmali bakımından birbiriyle ilişkili olan yanma ve proses birimlerinin saha karmaşıklığı ve çokluğu kabul edilen,</w:t>
      </w:r>
    </w:p>
    <w:p w14:paraId="521F2E74" w14:textId="731D2702" w:rsidR="00A508A2" w:rsidRPr="00DD0D1F" w:rsidRDefault="002437EE" w:rsidP="00A508A2">
      <w:pPr>
        <w:rPr>
          <w:rFonts w:cs="Times New Roman"/>
          <w:szCs w:val="24"/>
          <w:lang w:val="tr-TR"/>
        </w:rPr>
      </w:pPr>
      <w:r w:rsidRPr="00DD0D1F">
        <w:rPr>
          <w:rFonts w:cs="Times New Roman"/>
          <w:szCs w:val="24"/>
          <w:lang w:val="tr-TR"/>
        </w:rPr>
        <w:t>-</w:t>
      </w:r>
      <w:r w:rsidR="00A508A2" w:rsidRPr="00DD0D1F">
        <w:rPr>
          <w:rFonts w:cs="Times New Roman"/>
          <w:szCs w:val="24"/>
          <w:lang w:val="tr-TR"/>
        </w:rPr>
        <w:t>teslim alınan ham petrolün kalitesi bağlamında sıklıkla proses ayarlamaları yapılan ve</w:t>
      </w:r>
    </w:p>
    <w:p w14:paraId="1145EA6A" w14:textId="406E6C3E" w:rsidR="00A508A2" w:rsidRPr="00DD0D1F" w:rsidRDefault="002437EE" w:rsidP="00A508A2">
      <w:pPr>
        <w:rPr>
          <w:rFonts w:cs="Times New Roman"/>
          <w:szCs w:val="24"/>
          <w:lang w:val="tr-TR"/>
        </w:rPr>
      </w:pPr>
      <w:r w:rsidRPr="00DD0D1F">
        <w:rPr>
          <w:rFonts w:cs="Times New Roman"/>
          <w:szCs w:val="24"/>
          <w:lang w:val="tr-TR"/>
        </w:rPr>
        <w:t>-</w:t>
      </w:r>
      <w:r w:rsidR="00A508A2" w:rsidRPr="00DD0D1F">
        <w:rPr>
          <w:rFonts w:cs="Times New Roman"/>
          <w:szCs w:val="24"/>
          <w:lang w:val="tr-TR"/>
        </w:rPr>
        <w:t>proses gereklilikleri uyarınca yakıt karışımının sıklıkla ayarlanmasına yol açacak şekilde proses artıklarının dahili yakıt olarak kullanılmasına teknik bakımdan ihtiyaç duyulan.</w:t>
      </w:r>
    </w:p>
    <w:p w14:paraId="423EA8EB" w14:textId="77777777" w:rsidR="00A508A2" w:rsidRPr="00DD0D1F" w:rsidRDefault="00A508A2" w:rsidP="00A508A2">
      <w:pPr>
        <w:pStyle w:val="GvdeMetni"/>
        <w:spacing w:line="360" w:lineRule="auto"/>
        <w:jc w:val="both"/>
        <w:rPr>
          <w:sz w:val="24"/>
          <w:szCs w:val="24"/>
        </w:rPr>
      </w:pPr>
    </w:p>
    <w:p w14:paraId="78E312FD" w14:textId="61663010" w:rsidR="00A508A2" w:rsidRPr="00DD0D1F" w:rsidRDefault="00A508A2" w:rsidP="00A508A2">
      <w:pPr>
        <w:pStyle w:val="GvdeMetni"/>
        <w:spacing w:line="360" w:lineRule="auto"/>
        <w:jc w:val="both"/>
        <w:rPr>
          <w:sz w:val="24"/>
          <w:szCs w:val="24"/>
        </w:rPr>
      </w:pPr>
      <w:r w:rsidRPr="00DD0D1F">
        <w:rPr>
          <w:sz w:val="24"/>
          <w:szCs w:val="24"/>
        </w:rPr>
        <w:t xml:space="preserve">Ayrıca, entegre emisyon yönetim sistemine dahil edilen her bir yeni yanma birimi veya yeni FCC birimi bakımından </w:t>
      </w:r>
      <w:hyperlink w:anchor="_bookmark884" w:history="1">
        <w:r w:rsidRPr="00DD0D1F">
          <w:rPr>
            <w:sz w:val="24"/>
            <w:szCs w:val="24"/>
          </w:rPr>
          <w:t xml:space="preserve">MET 24 </w:t>
        </w:r>
      </w:hyperlink>
      <w:r w:rsidRPr="00DD0D1F">
        <w:rPr>
          <w:sz w:val="24"/>
          <w:szCs w:val="24"/>
        </w:rPr>
        <w:t xml:space="preserve">ve </w:t>
      </w:r>
      <w:hyperlink w:anchor="_bookmark895" w:history="1">
        <w:r w:rsidRPr="00DD0D1F">
          <w:rPr>
            <w:sz w:val="24"/>
            <w:szCs w:val="24"/>
          </w:rPr>
          <w:t xml:space="preserve">MET 34 </w:t>
        </w:r>
      </w:hyperlink>
      <w:r w:rsidRPr="00DD0D1F">
        <w:rPr>
          <w:sz w:val="24"/>
          <w:szCs w:val="24"/>
        </w:rPr>
        <w:t xml:space="preserve">kapsamında belirtilen </w:t>
      </w:r>
      <w:r w:rsidR="007D7613" w:rsidRPr="00DD0D1F">
        <w:rPr>
          <w:sz w:val="24"/>
          <w:szCs w:val="24"/>
        </w:rPr>
        <w:t>MET_İES</w:t>
      </w:r>
      <w:r w:rsidRPr="00DD0D1F">
        <w:rPr>
          <w:sz w:val="24"/>
          <w:szCs w:val="24"/>
        </w:rPr>
        <w:t>'ler yürürlüktedir.</w:t>
      </w:r>
    </w:p>
    <w:p w14:paraId="3A5C6906" w14:textId="77777777" w:rsidR="00A508A2" w:rsidRPr="00DD0D1F" w:rsidRDefault="00A508A2" w:rsidP="00A508A2">
      <w:pPr>
        <w:keepNext/>
        <w:tabs>
          <w:tab w:val="left" w:pos="3006"/>
        </w:tabs>
        <w:spacing w:before="1"/>
        <w:ind w:left="1588"/>
        <w:rPr>
          <w:rFonts w:cs="Times New Roman"/>
          <w:szCs w:val="24"/>
        </w:rPr>
      </w:pPr>
      <w:bookmarkStart w:id="254" w:name="_bookmark919"/>
      <w:bookmarkEnd w:id="254"/>
      <w:r w:rsidRPr="00DD0D1F">
        <w:rPr>
          <w:rFonts w:cs="Times New Roman"/>
          <w:b/>
          <w:bCs/>
          <w:szCs w:val="24"/>
          <w:lang w:val="tr-TR"/>
        </w:rPr>
        <w:tab/>
      </w:r>
    </w:p>
    <w:p w14:paraId="0635E16D" w14:textId="77777777" w:rsidR="00A508A2" w:rsidRPr="00DD0D1F" w:rsidRDefault="00F222C6" w:rsidP="00A508A2">
      <w:pPr>
        <w:pStyle w:val="ResimYazs"/>
        <w:jc w:val="left"/>
        <w:rPr>
          <w:rFonts w:cs="Times New Roman"/>
          <w:color w:val="auto"/>
          <w:szCs w:val="24"/>
        </w:rPr>
      </w:pPr>
      <w:hyperlink w:anchor="_bookmark918" w:history="1">
        <w:r w:rsidR="00A508A2" w:rsidRPr="00DD0D1F">
          <w:rPr>
            <w:rFonts w:cs="Times New Roman"/>
            <w:bCs/>
            <w:color w:val="auto"/>
            <w:szCs w:val="24"/>
            <w:lang w:val="tr-TR"/>
          </w:rPr>
          <w:t>MET 57'nin</w:t>
        </w:r>
      </w:hyperlink>
      <w:r w:rsidR="00A508A2" w:rsidRPr="00DD0D1F">
        <w:rPr>
          <w:rFonts w:cs="Times New Roman"/>
          <w:color w:val="auto"/>
          <w:szCs w:val="24"/>
          <w:lang w:val="tr-TR"/>
        </w:rPr>
        <w:t xml:space="preserve"> </w:t>
      </w:r>
      <w:r w:rsidR="00A508A2" w:rsidRPr="00DD0D1F">
        <w:rPr>
          <w:rFonts w:cs="Times New Roman"/>
          <w:bCs/>
          <w:color w:val="auto"/>
          <w:szCs w:val="24"/>
          <w:lang w:val="tr-TR"/>
        </w:rPr>
        <w:t>uygulanması durumunda havaya yayılan NO</w:t>
      </w:r>
      <w:r w:rsidR="00A508A2" w:rsidRPr="00DD0D1F">
        <w:rPr>
          <w:rFonts w:cs="Times New Roman"/>
          <w:bCs/>
          <w:color w:val="auto"/>
          <w:szCs w:val="24"/>
          <w:vertAlign w:val="subscript"/>
          <w:lang w:val="tr-TR"/>
        </w:rPr>
        <w:t xml:space="preserve">X </w:t>
      </w:r>
      <w:r w:rsidR="00A508A2" w:rsidRPr="00DD0D1F">
        <w:rPr>
          <w:rFonts w:cs="Times New Roman"/>
          <w:bCs/>
          <w:color w:val="auto"/>
          <w:szCs w:val="24"/>
          <w:lang w:val="tr-TR"/>
        </w:rPr>
        <w:t>emisyonları bakımından MET ile ilişkili emisyon düzeyleri</w:t>
      </w:r>
    </w:p>
    <w:p w14:paraId="5C15C8B2"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7"/>
      </w:tblGrid>
      <w:tr w:rsidR="00A508A2" w:rsidRPr="00DD0D1F" w14:paraId="7ACA3E8C" w14:textId="77777777" w:rsidTr="00A508A2">
        <w:trPr>
          <w:trHeight w:val="2673"/>
        </w:trPr>
        <w:tc>
          <w:tcPr>
            <w:tcW w:w="5000" w:type="pct"/>
            <w:tcBorders>
              <w:bottom w:val="nil"/>
            </w:tcBorders>
          </w:tcPr>
          <w:p w14:paraId="4AC1340C" w14:textId="77777777" w:rsidR="00A508A2" w:rsidRPr="00DD0D1F" w:rsidRDefault="00A508A2" w:rsidP="00A508A2">
            <w:pPr>
              <w:pStyle w:val="TableParagraph"/>
              <w:spacing w:before="5"/>
              <w:rPr>
                <w:b/>
                <w:szCs w:val="24"/>
              </w:rPr>
            </w:pPr>
          </w:p>
          <w:p w14:paraId="70F692F6" w14:textId="6EEEBD3E" w:rsidR="00A508A2" w:rsidRPr="00DD0D1F" w:rsidRDefault="00F222C6" w:rsidP="00A508A2">
            <w:pPr>
              <w:pStyle w:val="TableParagraph"/>
              <w:ind w:left="107" w:right="96"/>
              <w:jc w:val="both"/>
              <w:rPr>
                <w:szCs w:val="24"/>
              </w:rPr>
            </w:pPr>
            <w:hyperlink w:anchor="_bookmark918" w:history="1">
              <w:r w:rsidR="00A508A2" w:rsidRPr="00DD0D1F">
                <w:rPr>
                  <w:szCs w:val="24"/>
                </w:rPr>
                <w:t xml:space="preserve">MET 57'yi </w:t>
              </w:r>
            </w:hyperlink>
            <w:r w:rsidR="00A508A2" w:rsidRPr="00DD0D1F">
              <w:rPr>
                <w:szCs w:val="24"/>
              </w:rPr>
              <w:t>ilgilendiren birimlerden kaynaklanan NO</w:t>
            </w:r>
            <w:r w:rsidR="00A508A2" w:rsidRPr="00DD0D1F">
              <w:rPr>
                <w:szCs w:val="24"/>
                <w:vertAlign w:val="subscript"/>
              </w:rPr>
              <w:t xml:space="preserve">X </w:t>
            </w:r>
            <w:r w:rsidR="00A508A2" w:rsidRPr="00DD0D1F">
              <w:rPr>
                <w:szCs w:val="24"/>
              </w:rPr>
              <w:t>emisyonları bağlamında aylık ortalama olarak mg/Nm</w:t>
            </w:r>
            <w:r w:rsidR="00A508A2" w:rsidRPr="00DD0D1F">
              <w:rPr>
                <w:szCs w:val="24"/>
                <w:vertAlign w:val="superscript"/>
              </w:rPr>
              <w:t xml:space="preserve">3 </w:t>
            </w:r>
            <w:r w:rsidR="00A508A2" w:rsidRPr="00DD0D1F">
              <w:rPr>
                <w:szCs w:val="24"/>
              </w:rPr>
              <w:t xml:space="preserve">cinsinden ifade edilen </w:t>
            </w:r>
            <w:r w:rsidR="007D7613" w:rsidRPr="00DD0D1F">
              <w:rPr>
                <w:szCs w:val="24"/>
              </w:rPr>
              <w:t>MET_İES</w:t>
            </w:r>
            <w:r w:rsidR="00A508A2" w:rsidRPr="00DD0D1F">
              <w:rPr>
                <w:szCs w:val="24"/>
              </w:rPr>
              <w:t>, ilgili birimlerin aşağıdakini karşılamasına olanak tanıyacak olan tekniklerin o birimlerin her birinde pratikte uygulanması halinde aşağıdakilerin elde edilecek olduğu NO</w:t>
            </w:r>
            <w:r w:rsidR="00A508A2" w:rsidRPr="00DD0D1F">
              <w:rPr>
                <w:szCs w:val="24"/>
                <w:vertAlign w:val="subscript"/>
              </w:rPr>
              <w:t xml:space="preserve">X </w:t>
            </w:r>
            <w:r w:rsidR="00A508A2" w:rsidRPr="00DD0D1F">
              <w:rPr>
                <w:szCs w:val="24"/>
              </w:rPr>
              <w:t>yoğunluklarının (aylık ortalama olarak mg/Nm</w:t>
            </w:r>
            <w:r w:rsidR="00A508A2" w:rsidRPr="00DD0D1F">
              <w:rPr>
                <w:szCs w:val="24"/>
                <w:vertAlign w:val="superscript"/>
              </w:rPr>
              <w:t xml:space="preserve">3 </w:t>
            </w:r>
            <w:r w:rsidR="00A508A2" w:rsidRPr="00DD0D1F">
              <w:rPr>
                <w:szCs w:val="24"/>
              </w:rPr>
              <w:t>cinsinden ifade edilen ) ağırlıklı ortalamasına eşit veya daha altındadır:</w:t>
            </w:r>
          </w:p>
          <w:p w14:paraId="3E70E912" w14:textId="1B14481E" w:rsidR="00A508A2" w:rsidRPr="00DD0D1F" w:rsidRDefault="00A508A2" w:rsidP="00FF111D">
            <w:pPr>
              <w:pStyle w:val="TableParagraph"/>
              <w:numPr>
                <w:ilvl w:val="0"/>
                <w:numId w:val="87"/>
              </w:numPr>
              <w:tabs>
                <w:tab w:val="left" w:pos="468"/>
              </w:tabs>
              <w:ind w:right="94"/>
              <w:jc w:val="both"/>
              <w:rPr>
                <w:szCs w:val="24"/>
              </w:rPr>
            </w:pPr>
            <w:r w:rsidRPr="00DD0D1F">
              <w:rPr>
                <w:szCs w:val="24"/>
              </w:rPr>
              <w:t xml:space="preserve">katalitik  parçalama prosesi (rejeneratör) birimleri bakımından: </w:t>
            </w:r>
            <w:hyperlink w:anchor="_bookmark885" w:history="1">
              <w:r w:rsidRPr="00DD0D1F">
                <w:rPr>
                  <w:szCs w:val="24"/>
                </w:rPr>
                <w:t>Tablo 4'te</w:t>
              </w:r>
            </w:hyperlink>
            <w:r w:rsidRPr="00DD0D1F">
              <w:rPr>
                <w:szCs w:val="24"/>
              </w:rPr>
              <w:t xml:space="preserve"> (</w:t>
            </w:r>
            <w:hyperlink w:anchor="_bookmark884" w:history="1">
              <w:r w:rsidRPr="00DD0D1F">
                <w:rPr>
                  <w:szCs w:val="24"/>
                </w:rPr>
                <w:t>MET 24</w:t>
              </w:r>
            </w:hyperlink>
            <w:r w:rsidRPr="00DD0D1F">
              <w:rPr>
                <w:szCs w:val="24"/>
              </w:rPr>
              <w:t xml:space="preserve">) belirtilen </w:t>
            </w:r>
            <w:r w:rsidR="007D7613" w:rsidRPr="00DD0D1F">
              <w:rPr>
                <w:szCs w:val="24"/>
              </w:rPr>
              <w:t>MET_İES</w:t>
            </w:r>
            <w:r w:rsidRPr="00DD0D1F">
              <w:rPr>
                <w:szCs w:val="24"/>
              </w:rPr>
              <w:t xml:space="preserve"> aralığı,</w:t>
            </w:r>
          </w:p>
          <w:p w14:paraId="0CAA1B34" w14:textId="71CC8731" w:rsidR="00A508A2" w:rsidRPr="00DD0D1F" w:rsidRDefault="00A508A2" w:rsidP="00FF111D">
            <w:pPr>
              <w:pStyle w:val="TableParagraph"/>
              <w:numPr>
                <w:ilvl w:val="0"/>
                <w:numId w:val="87"/>
              </w:numPr>
              <w:tabs>
                <w:tab w:val="left" w:pos="468"/>
              </w:tabs>
              <w:ind w:right="108"/>
              <w:jc w:val="both"/>
              <w:rPr>
                <w:szCs w:val="24"/>
              </w:rPr>
            </w:pPr>
            <w:r w:rsidRPr="00DD0D1F">
              <w:rPr>
                <w:szCs w:val="24"/>
              </w:rPr>
              <w:t xml:space="preserve">tek başına veya diğer yakıtlarla eşzamanlı olarak rafineri yakıtlarını yakan yanma birimleri bakımından: </w:t>
            </w:r>
            <w:hyperlink w:anchor="_bookmark896" w:history="1">
              <w:r w:rsidRPr="00DD0D1F">
                <w:rPr>
                  <w:szCs w:val="24"/>
                </w:rPr>
                <w:t xml:space="preserve">Tablo 9, </w:t>
              </w:r>
            </w:hyperlink>
            <w:hyperlink w:anchor="_bookmark897" w:history="1">
              <w:r w:rsidRPr="00DD0D1F">
                <w:rPr>
                  <w:szCs w:val="24"/>
                </w:rPr>
                <w:t xml:space="preserve">Tablo 10 </w:t>
              </w:r>
            </w:hyperlink>
            <w:r w:rsidRPr="00DD0D1F">
              <w:rPr>
                <w:szCs w:val="24"/>
              </w:rPr>
              <w:t xml:space="preserve">ve </w:t>
            </w:r>
            <w:hyperlink w:anchor="_bookmark898" w:history="1">
              <w:r w:rsidRPr="00DD0D1F">
                <w:rPr>
                  <w:szCs w:val="24"/>
                </w:rPr>
                <w:t xml:space="preserve">Tablo.11'de </w:t>
              </w:r>
            </w:hyperlink>
            <w:r w:rsidRPr="00DD0D1F">
              <w:rPr>
                <w:szCs w:val="24"/>
              </w:rPr>
              <w:t>(</w:t>
            </w:r>
            <w:hyperlink w:anchor="_bookmark895" w:history="1">
              <w:r w:rsidRPr="00DD0D1F">
                <w:rPr>
                  <w:szCs w:val="24"/>
                </w:rPr>
                <w:t>MET 34</w:t>
              </w:r>
            </w:hyperlink>
            <w:r w:rsidRPr="00DD0D1F">
              <w:rPr>
                <w:szCs w:val="24"/>
              </w:rPr>
              <w:t xml:space="preserve">) belirtilen </w:t>
            </w:r>
            <w:r w:rsidR="007D7613" w:rsidRPr="00DD0D1F">
              <w:rPr>
                <w:szCs w:val="24"/>
              </w:rPr>
              <w:t>MET_İES</w:t>
            </w:r>
            <w:r w:rsidRPr="00DD0D1F">
              <w:rPr>
                <w:szCs w:val="24"/>
              </w:rPr>
              <w:t xml:space="preserve"> aralığı,</w:t>
            </w:r>
          </w:p>
          <w:p w14:paraId="74E24E30" w14:textId="77777777" w:rsidR="00A508A2" w:rsidRPr="00DD0D1F" w:rsidRDefault="00A508A2" w:rsidP="00A508A2">
            <w:pPr>
              <w:pStyle w:val="TableParagraph"/>
              <w:spacing w:before="10"/>
              <w:rPr>
                <w:b/>
                <w:szCs w:val="24"/>
              </w:rPr>
            </w:pPr>
          </w:p>
          <w:p w14:paraId="28DE7F66" w14:textId="060A4E69" w:rsidR="00A508A2" w:rsidRPr="00DD0D1F" w:rsidRDefault="00A508A2" w:rsidP="00A508A2">
            <w:pPr>
              <w:pStyle w:val="TableParagraph"/>
              <w:ind w:left="107"/>
              <w:jc w:val="both"/>
              <w:rPr>
                <w:szCs w:val="24"/>
              </w:rPr>
            </w:pPr>
            <w:r w:rsidRPr="00DD0D1F">
              <w:rPr>
                <w:szCs w:val="24"/>
              </w:rPr>
              <w:t xml:space="preserve">Bu </w:t>
            </w:r>
            <w:r w:rsidR="007D7613" w:rsidRPr="00DD0D1F">
              <w:rPr>
                <w:szCs w:val="24"/>
              </w:rPr>
              <w:t>MET_İES</w:t>
            </w:r>
            <w:r w:rsidRPr="00DD0D1F">
              <w:rPr>
                <w:szCs w:val="24"/>
              </w:rPr>
              <w:t xml:space="preserve"> aşağıdaki formülle belirtilmektedir:</w:t>
            </w:r>
          </w:p>
        </w:tc>
      </w:tr>
      <w:tr w:rsidR="00A508A2" w:rsidRPr="00DD0D1F" w14:paraId="7C25F563" w14:textId="77777777" w:rsidTr="00A508A2">
        <w:trPr>
          <w:trHeight w:val="674"/>
        </w:trPr>
        <w:tc>
          <w:tcPr>
            <w:tcW w:w="5000" w:type="pct"/>
            <w:tcBorders>
              <w:top w:val="nil"/>
            </w:tcBorders>
          </w:tcPr>
          <w:p w14:paraId="3BCE808A" w14:textId="0C94046E" w:rsidR="00A508A2" w:rsidRPr="00DD0D1F" w:rsidRDefault="00A508A2" w:rsidP="00A508A2">
            <w:pPr>
              <w:pStyle w:val="TableParagraph"/>
              <w:spacing w:before="142"/>
              <w:ind w:left="3994" w:right="305" w:hanging="3668"/>
              <w:rPr>
                <w:szCs w:val="24"/>
              </w:rPr>
            </w:pPr>
            <w:r w:rsidRPr="00DD0D1F">
              <w:rPr>
                <w:szCs w:val="24"/>
              </w:rPr>
              <w:t xml:space="preserve">Σ[(ilgili birimin </w:t>
            </w:r>
            <w:r w:rsidR="00E00B0A" w:rsidRPr="00DD0D1F">
              <w:rPr>
                <w:szCs w:val="24"/>
              </w:rPr>
              <w:t>baca</w:t>
            </w:r>
            <w:r w:rsidRPr="00DD0D1F">
              <w:rPr>
                <w:szCs w:val="24"/>
              </w:rPr>
              <w:t xml:space="preserve"> gazı debisi) x (o birim için elde edilecek olan NO</w:t>
            </w:r>
            <w:r w:rsidRPr="00DD0D1F">
              <w:rPr>
                <w:szCs w:val="24"/>
                <w:vertAlign w:val="subscript"/>
              </w:rPr>
              <w:t>X</w:t>
            </w:r>
            <w:r w:rsidRPr="00DD0D1F">
              <w:rPr>
                <w:szCs w:val="24"/>
              </w:rPr>
              <w:t xml:space="preserve"> yoğunluğu)]</w:t>
            </w:r>
          </w:p>
        </w:tc>
      </w:tr>
      <w:tr w:rsidR="00A508A2" w:rsidRPr="00DD0D1F" w14:paraId="5F240FA4" w14:textId="77777777" w:rsidTr="00A508A2">
        <w:trPr>
          <w:trHeight w:val="489"/>
        </w:trPr>
        <w:tc>
          <w:tcPr>
            <w:tcW w:w="5000" w:type="pct"/>
          </w:tcPr>
          <w:p w14:paraId="5743CD33" w14:textId="6B530313" w:rsidR="00A508A2" w:rsidRPr="00DD0D1F" w:rsidRDefault="00A508A2" w:rsidP="00A508A2">
            <w:pPr>
              <w:pStyle w:val="TableParagraph"/>
              <w:spacing w:before="122"/>
              <w:ind w:left="2467" w:right="2459"/>
              <w:jc w:val="center"/>
              <w:rPr>
                <w:szCs w:val="24"/>
              </w:rPr>
            </w:pPr>
            <w:r w:rsidRPr="00DD0D1F">
              <w:rPr>
                <w:szCs w:val="24"/>
              </w:rPr>
              <w:t xml:space="preserve">Σ (ilgili tüm birimlerin </w:t>
            </w:r>
            <w:r w:rsidR="00E00B0A" w:rsidRPr="00DD0D1F">
              <w:rPr>
                <w:szCs w:val="24"/>
              </w:rPr>
              <w:t>baca</w:t>
            </w:r>
            <w:r w:rsidRPr="00DD0D1F">
              <w:rPr>
                <w:szCs w:val="24"/>
              </w:rPr>
              <w:t xml:space="preserve"> gazı debisi)</w:t>
            </w:r>
          </w:p>
        </w:tc>
      </w:tr>
    </w:tbl>
    <w:p w14:paraId="0578F8EC" w14:textId="77777777" w:rsidR="00A508A2" w:rsidRPr="00DD0D1F" w:rsidRDefault="00A508A2" w:rsidP="00A508A2">
      <w:pPr>
        <w:rPr>
          <w:rFonts w:cs="Times New Roman"/>
          <w:i/>
          <w:iCs/>
          <w:szCs w:val="24"/>
          <w:lang w:val="tr-TR"/>
        </w:rPr>
      </w:pPr>
    </w:p>
    <w:p w14:paraId="0CF23042" w14:textId="77777777" w:rsidR="00A508A2" w:rsidRPr="00DD0D1F" w:rsidRDefault="00A508A2" w:rsidP="00A508A2">
      <w:pPr>
        <w:rPr>
          <w:rFonts w:cs="Times New Roman"/>
          <w:szCs w:val="24"/>
          <w:lang w:val="tr-TR"/>
        </w:rPr>
      </w:pPr>
      <w:r w:rsidRPr="00DD0D1F">
        <w:rPr>
          <w:rFonts w:cs="Times New Roman"/>
          <w:szCs w:val="24"/>
          <w:lang w:val="tr-TR"/>
        </w:rPr>
        <w:t>Notlar:</w:t>
      </w:r>
    </w:p>
    <w:p w14:paraId="1388A7FF" w14:textId="77777777" w:rsidR="00A508A2" w:rsidRPr="00DD0D1F" w:rsidRDefault="00A508A2" w:rsidP="00FF111D">
      <w:pPr>
        <w:pStyle w:val="ListeParagraf"/>
        <w:widowControl w:val="0"/>
        <w:numPr>
          <w:ilvl w:val="0"/>
          <w:numId w:val="112"/>
        </w:numPr>
        <w:autoSpaceDE w:val="0"/>
        <w:autoSpaceDN w:val="0"/>
        <w:ind w:left="0"/>
        <w:contextualSpacing w:val="0"/>
        <w:rPr>
          <w:rFonts w:cs="Times New Roman"/>
          <w:szCs w:val="24"/>
          <w:lang w:val="tr-TR"/>
        </w:rPr>
      </w:pPr>
      <w:r w:rsidRPr="00DD0D1F">
        <w:rPr>
          <w:rFonts w:cs="Times New Roman"/>
          <w:szCs w:val="24"/>
          <w:lang w:val="tr-TR"/>
        </w:rPr>
        <w:t xml:space="preserve">Oksijenle ilgili olarak geçerli referans koşulları </w:t>
      </w:r>
      <w:hyperlink w:anchor="_bookmark858" w:history="1">
        <w:r w:rsidRPr="00DD0D1F">
          <w:rPr>
            <w:rFonts w:cs="Times New Roman"/>
            <w:szCs w:val="24"/>
            <w:lang w:val="tr-TR"/>
          </w:rPr>
          <w:t>Tablo 1'de</w:t>
        </w:r>
      </w:hyperlink>
      <w:r w:rsidRPr="00DD0D1F">
        <w:rPr>
          <w:rFonts w:cs="Times New Roman"/>
          <w:szCs w:val="24"/>
          <w:lang w:val="tr-TR"/>
        </w:rPr>
        <w:t xml:space="preserve"> belirtilmektedir.</w:t>
      </w:r>
    </w:p>
    <w:p w14:paraId="7CA1ACB6" w14:textId="12BB0103" w:rsidR="00A508A2" w:rsidRPr="00DD0D1F" w:rsidRDefault="00FF7A02" w:rsidP="00FF111D">
      <w:pPr>
        <w:pStyle w:val="ListeParagraf"/>
        <w:widowControl w:val="0"/>
        <w:numPr>
          <w:ilvl w:val="0"/>
          <w:numId w:val="112"/>
        </w:numPr>
        <w:autoSpaceDE w:val="0"/>
        <w:autoSpaceDN w:val="0"/>
        <w:ind w:left="0"/>
        <w:contextualSpacing w:val="0"/>
        <w:rPr>
          <w:rFonts w:cs="Times New Roman"/>
          <w:szCs w:val="24"/>
          <w:lang w:val="tr-TR"/>
        </w:rPr>
      </w:pPr>
      <w:r w:rsidRPr="00DD0D1F">
        <w:rPr>
          <w:rFonts w:cs="Times New Roman"/>
          <w:szCs w:val="24"/>
          <w:lang w:val="tr-TR"/>
        </w:rPr>
        <w:t>Ayrı</w:t>
      </w:r>
      <w:r w:rsidR="00A508A2" w:rsidRPr="00DD0D1F">
        <w:rPr>
          <w:rFonts w:cs="Times New Roman"/>
          <w:szCs w:val="24"/>
          <w:lang w:val="tr-TR"/>
        </w:rPr>
        <w:t xml:space="preserve"> birimlerin emisyon düzeylerinin ağırlıklandırılması, ilgili birimin, bu birimin rafineri tesisatı bünyesindeki normal işletimini temsil eden (Not 1'deki referans koşulları uygulanarak) aylık ortalama değer (Nm</w:t>
      </w:r>
      <w:r w:rsidR="00A508A2" w:rsidRPr="00DD0D1F">
        <w:rPr>
          <w:rFonts w:cs="Times New Roman"/>
          <w:szCs w:val="24"/>
          <w:vertAlign w:val="superscript"/>
          <w:lang w:val="tr-TR"/>
        </w:rPr>
        <w:t>3</w:t>
      </w:r>
      <w:r w:rsidR="00A508A2" w:rsidRPr="00DD0D1F">
        <w:rPr>
          <w:rFonts w:cs="Times New Roman"/>
          <w:szCs w:val="24"/>
          <w:lang w:val="tr-TR"/>
        </w:rPr>
        <w:t xml:space="preserve">/saat) cinsinden ifade edilen </w:t>
      </w:r>
      <w:r w:rsidR="00E00B0A" w:rsidRPr="00DD0D1F">
        <w:rPr>
          <w:rFonts w:cs="Times New Roman"/>
          <w:szCs w:val="24"/>
          <w:lang w:val="tr-TR"/>
        </w:rPr>
        <w:t>baca</w:t>
      </w:r>
      <w:r w:rsidR="00A508A2" w:rsidRPr="00DD0D1F">
        <w:rPr>
          <w:rFonts w:cs="Times New Roman"/>
          <w:szCs w:val="24"/>
          <w:lang w:val="tr-TR"/>
        </w:rPr>
        <w:t xml:space="preserve"> gazı debisi bazında yapılır.</w:t>
      </w:r>
    </w:p>
    <w:p w14:paraId="616BC278" w14:textId="751EF0F0" w:rsidR="00A508A2" w:rsidRPr="00DD0D1F" w:rsidRDefault="00A508A2" w:rsidP="00FF111D">
      <w:pPr>
        <w:pStyle w:val="ListeParagraf"/>
        <w:widowControl w:val="0"/>
        <w:numPr>
          <w:ilvl w:val="0"/>
          <w:numId w:val="112"/>
        </w:numPr>
        <w:autoSpaceDE w:val="0"/>
        <w:autoSpaceDN w:val="0"/>
        <w:ind w:left="0"/>
        <w:contextualSpacing w:val="0"/>
        <w:rPr>
          <w:rFonts w:cs="Times New Roman"/>
          <w:szCs w:val="24"/>
          <w:lang w:val="tr-TR"/>
        </w:rPr>
      </w:pPr>
      <w:r w:rsidRPr="00DD0D1F">
        <w:rPr>
          <w:rFonts w:cs="Times New Roman"/>
          <w:szCs w:val="24"/>
          <w:lang w:val="tr-TR"/>
        </w:rPr>
        <w:t xml:space="preserve">Bir birimim geçerli </w:t>
      </w:r>
      <w:r w:rsidR="007D7613" w:rsidRPr="00DD0D1F">
        <w:rPr>
          <w:rFonts w:cs="Times New Roman"/>
          <w:szCs w:val="24"/>
          <w:lang w:val="tr-TR"/>
        </w:rPr>
        <w:t>MET_İES</w:t>
      </w:r>
      <w:r w:rsidRPr="00DD0D1F">
        <w:rPr>
          <w:rFonts w:cs="Times New Roman"/>
          <w:szCs w:val="24"/>
          <w:lang w:val="tr-TR"/>
        </w:rPr>
        <w:t xml:space="preserve">'ini etkileyen anlamlı ve yapısal değişiklikler veya ilgili birimlerin nitelik veya işlevindeki diğer anlamlı ve yapısal değişiklikler durumunda veya bunların yenileri ile değiştirilmeleri veya yanma birimlerinin ya da FCC birimlerinin genişletilmeleri ya da ilave edilmesi halinde, </w:t>
      </w:r>
      <w:hyperlink w:anchor="_bookmark919" w:history="1">
        <w:r w:rsidRPr="00DD0D1F">
          <w:rPr>
            <w:rFonts w:cs="Times New Roman"/>
            <w:szCs w:val="24"/>
            <w:lang w:val="tr-TR"/>
          </w:rPr>
          <w:t xml:space="preserve">Tablo 18'de </w:t>
        </w:r>
      </w:hyperlink>
      <w:r w:rsidRPr="00DD0D1F">
        <w:rPr>
          <w:rFonts w:cs="Times New Roman"/>
          <w:szCs w:val="24"/>
          <w:lang w:val="tr-TR"/>
        </w:rPr>
        <w:t xml:space="preserve">tanımlanan </w:t>
      </w:r>
      <w:r w:rsidR="007D7613" w:rsidRPr="00DD0D1F">
        <w:rPr>
          <w:rFonts w:cs="Times New Roman"/>
          <w:szCs w:val="24"/>
          <w:lang w:val="tr-TR"/>
        </w:rPr>
        <w:t>MET_İES</w:t>
      </w:r>
      <w:r w:rsidRPr="00DD0D1F">
        <w:rPr>
          <w:rFonts w:cs="Times New Roman"/>
          <w:szCs w:val="24"/>
          <w:lang w:val="tr-TR"/>
        </w:rPr>
        <w:t xml:space="preserve"> buna göre ayarlanmalıdır.</w:t>
      </w:r>
    </w:p>
    <w:p w14:paraId="7E105546" w14:textId="77777777" w:rsidR="00A508A2" w:rsidRPr="00DD0D1F" w:rsidRDefault="00A508A2" w:rsidP="00A508A2">
      <w:pPr>
        <w:pStyle w:val="GvdeMetni"/>
        <w:spacing w:before="6" w:line="360" w:lineRule="auto"/>
        <w:jc w:val="both"/>
        <w:rPr>
          <w:sz w:val="24"/>
          <w:szCs w:val="24"/>
        </w:rPr>
      </w:pPr>
    </w:p>
    <w:p w14:paraId="53A45CE8" w14:textId="77777777" w:rsidR="00A508A2" w:rsidRPr="00DD0D1F" w:rsidRDefault="00F222C6" w:rsidP="00A508A2">
      <w:pPr>
        <w:rPr>
          <w:rFonts w:cs="Times New Roman"/>
          <w:b/>
          <w:bCs/>
          <w:szCs w:val="24"/>
          <w:lang w:val="tr-TR"/>
        </w:rPr>
      </w:pPr>
      <w:hyperlink w:anchor="_bookmark918" w:history="1">
        <w:r w:rsidR="00A508A2" w:rsidRPr="00DD0D1F">
          <w:rPr>
            <w:rFonts w:cs="Times New Roman"/>
            <w:b/>
            <w:bCs/>
            <w:szCs w:val="24"/>
            <w:lang w:val="tr-TR"/>
          </w:rPr>
          <w:t>MET 57</w:t>
        </w:r>
      </w:hyperlink>
      <w:r w:rsidR="00A508A2" w:rsidRPr="00DD0D1F">
        <w:rPr>
          <w:rFonts w:cs="Times New Roman"/>
          <w:b/>
          <w:bCs/>
          <w:szCs w:val="24"/>
          <w:lang w:val="tr-TR"/>
        </w:rPr>
        <w:t xml:space="preserve"> ile ilişkili izleme</w:t>
      </w:r>
    </w:p>
    <w:p w14:paraId="638D217F" w14:textId="77777777" w:rsidR="00A508A2" w:rsidRPr="00DD0D1F" w:rsidRDefault="00A508A2" w:rsidP="00A508A2">
      <w:pPr>
        <w:pStyle w:val="GvdeMetni"/>
        <w:spacing w:line="360" w:lineRule="auto"/>
        <w:jc w:val="both"/>
        <w:rPr>
          <w:sz w:val="24"/>
          <w:szCs w:val="24"/>
        </w:rPr>
      </w:pPr>
      <w:r w:rsidRPr="00DD0D1F">
        <w:rPr>
          <w:sz w:val="24"/>
          <w:szCs w:val="24"/>
        </w:rPr>
        <w:t>Entegre emisyon yönetimi tekniği kapsamında NO</w:t>
      </w:r>
      <w:r w:rsidRPr="00DD0D1F">
        <w:rPr>
          <w:sz w:val="24"/>
          <w:szCs w:val="24"/>
          <w:vertAlign w:val="subscript"/>
        </w:rPr>
        <w:t xml:space="preserve">X </w:t>
      </w:r>
      <w:r w:rsidRPr="00DD0D1F">
        <w:rPr>
          <w:sz w:val="24"/>
          <w:szCs w:val="24"/>
        </w:rPr>
        <w:t xml:space="preserve">emisyonlarının izlenmesine ilişkin MET, </w:t>
      </w:r>
      <w:hyperlink w:anchor="_bookmark868" w:history="1">
        <w:r w:rsidRPr="00DD0D1F">
          <w:rPr>
            <w:sz w:val="24"/>
            <w:szCs w:val="24"/>
          </w:rPr>
          <w:t xml:space="preserve">MET 4'te </w:t>
        </w:r>
      </w:hyperlink>
      <w:r w:rsidRPr="00DD0D1F">
        <w:rPr>
          <w:sz w:val="24"/>
          <w:szCs w:val="24"/>
        </w:rPr>
        <w:t>verildiği gibidir ve aşağıdakilerle ikmal edilmektedir:</w:t>
      </w:r>
    </w:p>
    <w:p w14:paraId="384AF096" w14:textId="673B4B61" w:rsidR="00A508A2" w:rsidRPr="00DD0D1F" w:rsidRDefault="002437EE" w:rsidP="00FF111D">
      <w:pPr>
        <w:pStyle w:val="ListeParagraf"/>
        <w:widowControl w:val="0"/>
        <w:numPr>
          <w:ilvl w:val="1"/>
          <w:numId w:val="106"/>
        </w:numPr>
        <w:tabs>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izlenen proseslerin tanımını, her proseste izlenen emisyon kaynaklarının ve kaynak akımlarının (ürünler, atık gazlar) listesini ve kullanılan metodoloji (hesaplar, ölçümler) ile temel varsayımların ve ilişkili güven düzeyinin tanımını içeren bir izleme planı,</w:t>
      </w:r>
    </w:p>
    <w:p w14:paraId="2DFC701A" w14:textId="6751B582" w:rsidR="00A508A2" w:rsidRPr="00DD0D1F" w:rsidRDefault="002437EE" w:rsidP="00FF111D">
      <w:pPr>
        <w:pStyle w:val="ListeParagraf"/>
        <w:widowControl w:val="0"/>
        <w:numPr>
          <w:ilvl w:val="1"/>
          <w:numId w:val="106"/>
        </w:numPr>
        <w:tabs>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 xml:space="preserve">ilgili birimlerin </w:t>
      </w:r>
      <w:r w:rsidR="00E00B0A" w:rsidRPr="00DD0D1F">
        <w:rPr>
          <w:rFonts w:cs="Times New Roman"/>
          <w:szCs w:val="24"/>
          <w:lang w:val="tr-TR"/>
        </w:rPr>
        <w:t>baca</w:t>
      </w:r>
      <w:r w:rsidR="00A508A2" w:rsidRPr="00DD0D1F">
        <w:rPr>
          <w:rFonts w:cs="Times New Roman"/>
          <w:szCs w:val="24"/>
          <w:lang w:val="tr-TR"/>
        </w:rPr>
        <w:t xml:space="preserve"> gazı debisinin, ya doğrudan ölçümle ya da eşdeğer bir yöntemle sürekli olarak izlenmesi ve</w:t>
      </w:r>
    </w:p>
    <w:p w14:paraId="48656578" w14:textId="52F70D82" w:rsidR="00A508A2" w:rsidRPr="00DD0D1F" w:rsidRDefault="002437EE" w:rsidP="00FF111D">
      <w:pPr>
        <w:pStyle w:val="ListeParagraf"/>
        <w:widowControl w:val="0"/>
        <w:numPr>
          <w:ilvl w:val="1"/>
          <w:numId w:val="106"/>
        </w:numPr>
        <w:tabs>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entegre emisyon yönetim sisteminin kapsamındaki kaynaklardan açığa çıkan emisyonların tayini amacıyla gereken tüm izleme verilerinin toplanması, işlenmesi ve raporlaması ile ilgili veri yönetim sistemi.</w:t>
      </w:r>
    </w:p>
    <w:p w14:paraId="74F28621" w14:textId="77777777" w:rsidR="00A508A2" w:rsidRPr="00DD0D1F" w:rsidRDefault="00A508A2" w:rsidP="00A508A2">
      <w:pPr>
        <w:pStyle w:val="GvdeMetni"/>
        <w:spacing w:before="5" w:line="360" w:lineRule="auto"/>
        <w:jc w:val="both"/>
        <w:rPr>
          <w:sz w:val="24"/>
          <w:szCs w:val="24"/>
        </w:rPr>
      </w:pPr>
    </w:p>
    <w:p w14:paraId="1710A284" w14:textId="59C702C6" w:rsidR="00A508A2" w:rsidRPr="00DD0D1F" w:rsidRDefault="00A508A2" w:rsidP="00A508A2">
      <w:pPr>
        <w:rPr>
          <w:rFonts w:cs="Times New Roman"/>
          <w:szCs w:val="24"/>
          <w:lang w:val="tr-TR"/>
        </w:rPr>
      </w:pPr>
      <w:bookmarkStart w:id="255" w:name="_bookmark920"/>
      <w:bookmarkEnd w:id="255"/>
      <w:r w:rsidRPr="00DD0D1F">
        <w:rPr>
          <w:rFonts w:cs="Times New Roman"/>
          <w:b/>
          <w:bCs/>
          <w:szCs w:val="24"/>
          <w:lang w:val="tr-TR"/>
        </w:rPr>
        <w:t xml:space="preserve">MET 58: </w:t>
      </w:r>
      <w:r w:rsidRPr="00DD0D1F">
        <w:rPr>
          <w:rFonts w:cs="Times New Roman"/>
          <w:bCs/>
          <w:szCs w:val="24"/>
          <w:lang w:val="tr-TR"/>
        </w:rPr>
        <w:t>Yanma birimlerinden, sıvı katalitik  parçalama (FCC) birimlerinden ve atık gaz kükürt geri kazanımı birimlerinden havaya yayılan SO</w:t>
      </w:r>
      <w:r w:rsidRPr="00DD0D1F">
        <w:rPr>
          <w:rFonts w:cs="Times New Roman"/>
          <w:bCs/>
          <w:szCs w:val="24"/>
          <w:vertAlign w:val="subscript"/>
          <w:lang w:val="tr-TR"/>
        </w:rPr>
        <w:t xml:space="preserve">2 </w:t>
      </w:r>
      <w:r w:rsidRPr="00DD0D1F">
        <w:rPr>
          <w:rFonts w:cs="Times New Roman"/>
          <w:bCs/>
          <w:szCs w:val="24"/>
          <w:lang w:val="tr-TR"/>
        </w:rPr>
        <w:t>emisyonlarının gen</w:t>
      </w:r>
      <w:r w:rsidR="00FF7A02" w:rsidRPr="00DD0D1F">
        <w:rPr>
          <w:rFonts w:cs="Times New Roman"/>
          <w:bCs/>
          <w:szCs w:val="24"/>
          <w:lang w:val="tr-TR"/>
        </w:rPr>
        <w:t>el olarak azaltılması için,</w:t>
      </w:r>
      <w:r w:rsidRPr="00DD0D1F">
        <w:rPr>
          <w:rFonts w:cs="Times New Roman"/>
          <w:bCs/>
          <w:szCs w:val="24"/>
          <w:lang w:val="tr-TR"/>
        </w:rPr>
        <w:t xml:space="preserve"> </w:t>
      </w:r>
      <w:hyperlink w:anchor="_bookmark887" w:history="1">
        <w:r w:rsidRPr="00DD0D1F">
          <w:rPr>
            <w:rFonts w:cs="Times New Roman"/>
            <w:bCs/>
            <w:szCs w:val="24"/>
            <w:lang w:val="tr-TR"/>
          </w:rPr>
          <w:t xml:space="preserve">MET 26, </w:t>
        </w:r>
      </w:hyperlink>
      <w:hyperlink w:anchor="_bookmark901" w:history="1">
        <w:r w:rsidRPr="00DD0D1F">
          <w:rPr>
            <w:rFonts w:cs="Times New Roman"/>
            <w:bCs/>
            <w:szCs w:val="24"/>
            <w:lang w:val="tr-TR"/>
          </w:rPr>
          <w:t xml:space="preserve">MET 36 </w:t>
        </w:r>
      </w:hyperlink>
      <w:r w:rsidRPr="00DD0D1F">
        <w:rPr>
          <w:rFonts w:cs="Times New Roman"/>
          <w:bCs/>
          <w:szCs w:val="24"/>
          <w:lang w:val="tr-TR"/>
        </w:rPr>
        <w:t xml:space="preserve">ve </w:t>
      </w:r>
      <w:hyperlink w:anchor="_bookmark914" w:history="1">
        <w:r w:rsidRPr="00DD0D1F">
          <w:rPr>
            <w:rFonts w:cs="Times New Roman"/>
            <w:bCs/>
            <w:szCs w:val="24"/>
            <w:lang w:val="tr-TR"/>
          </w:rPr>
          <w:t>MET 54</w:t>
        </w:r>
      </w:hyperlink>
      <w:r w:rsidRPr="00DD0D1F">
        <w:rPr>
          <w:rFonts w:cs="Times New Roman"/>
          <w:bCs/>
          <w:szCs w:val="24"/>
          <w:lang w:val="tr-TR"/>
        </w:rPr>
        <w:t>'ün alternatifi olarak entegre emisyon yönetimi tekniği kullanılır</w:t>
      </w:r>
      <w:r w:rsidRPr="00DD0D1F">
        <w:rPr>
          <w:rFonts w:cs="Times New Roman"/>
          <w:szCs w:val="24"/>
          <w:lang w:val="tr-TR"/>
        </w:rPr>
        <w:t>.</w:t>
      </w:r>
    </w:p>
    <w:p w14:paraId="7437659C" w14:textId="77777777" w:rsidR="00A508A2" w:rsidRPr="00DD0D1F" w:rsidRDefault="00A508A2" w:rsidP="00A508A2">
      <w:pPr>
        <w:pStyle w:val="GvdeMetni"/>
        <w:spacing w:before="5" w:line="360" w:lineRule="auto"/>
        <w:jc w:val="both"/>
        <w:rPr>
          <w:b/>
          <w:sz w:val="24"/>
          <w:szCs w:val="24"/>
        </w:rPr>
      </w:pPr>
    </w:p>
    <w:p w14:paraId="0C4212B4" w14:textId="77777777" w:rsidR="00A508A2" w:rsidRPr="00DD0D1F" w:rsidRDefault="00A508A2" w:rsidP="00A508A2">
      <w:pPr>
        <w:rPr>
          <w:rFonts w:cs="Times New Roman"/>
          <w:b/>
          <w:szCs w:val="24"/>
          <w:lang w:val="tr-TR"/>
        </w:rPr>
      </w:pPr>
      <w:r w:rsidRPr="00DD0D1F">
        <w:rPr>
          <w:rFonts w:cs="Times New Roman"/>
          <w:b/>
          <w:bCs/>
          <w:szCs w:val="24"/>
          <w:lang w:val="tr-TR"/>
        </w:rPr>
        <w:t>Açıklama</w:t>
      </w:r>
    </w:p>
    <w:p w14:paraId="5DD42EC6" w14:textId="1C0FE441" w:rsidR="00A508A2" w:rsidRPr="00DD0D1F" w:rsidRDefault="00A508A2" w:rsidP="00A508A2">
      <w:pPr>
        <w:pStyle w:val="GvdeMetni"/>
        <w:spacing w:line="360" w:lineRule="auto"/>
        <w:jc w:val="both"/>
        <w:rPr>
          <w:sz w:val="24"/>
          <w:szCs w:val="24"/>
        </w:rPr>
      </w:pPr>
      <w:r w:rsidRPr="00DD0D1F">
        <w:rPr>
          <w:sz w:val="24"/>
          <w:szCs w:val="24"/>
        </w:rPr>
        <w:t>Bu teknik, rafineri sahasındaki yanma birimlerinin, FCC birimlerinin ve atık gaz sülfürünün geri kazanım birimlerinin bazılarından veya tamamından kaynaklanan SO</w:t>
      </w:r>
      <w:r w:rsidRPr="00DD0D1F">
        <w:rPr>
          <w:sz w:val="24"/>
          <w:szCs w:val="24"/>
          <w:vertAlign w:val="subscript"/>
        </w:rPr>
        <w:t xml:space="preserve">2 </w:t>
      </w:r>
      <w:r w:rsidRPr="00DD0D1F">
        <w:rPr>
          <w:sz w:val="24"/>
          <w:szCs w:val="24"/>
        </w:rPr>
        <w:t xml:space="preserve">emisyonlarının, farklı birimlerde en uygun MET kombinasyonunun uygulanması ve işletilmesi ve bunun etkinliğinin izlenmesi yoluyla ve sonuçta ortaya çıkan toplam emisyonun </w:t>
      </w:r>
      <w:hyperlink w:anchor="_bookmark887" w:history="1">
        <w:r w:rsidRPr="00DD0D1F">
          <w:rPr>
            <w:sz w:val="24"/>
            <w:szCs w:val="24"/>
          </w:rPr>
          <w:t xml:space="preserve">MET 26 </w:t>
        </w:r>
      </w:hyperlink>
      <w:r w:rsidRPr="00DD0D1F">
        <w:rPr>
          <w:sz w:val="24"/>
          <w:szCs w:val="24"/>
        </w:rPr>
        <w:t xml:space="preserve">ve </w:t>
      </w:r>
      <w:hyperlink w:anchor="_bookmark901" w:history="1">
        <w:r w:rsidRPr="00DD0D1F">
          <w:rPr>
            <w:sz w:val="24"/>
            <w:szCs w:val="24"/>
          </w:rPr>
          <w:t>MET 36</w:t>
        </w:r>
      </w:hyperlink>
      <w:r w:rsidRPr="00DD0D1F">
        <w:rPr>
          <w:sz w:val="24"/>
          <w:szCs w:val="24"/>
        </w:rPr>
        <w:t xml:space="preserve"> kapsamında ve ayrıca </w:t>
      </w:r>
      <w:hyperlink w:anchor="_bookmark914" w:history="1">
        <w:r w:rsidRPr="00DD0D1F">
          <w:rPr>
            <w:sz w:val="24"/>
            <w:szCs w:val="24"/>
          </w:rPr>
          <w:t>MET 54'te</w:t>
        </w:r>
      </w:hyperlink>
      <w:r w:rsidRPr="00DD0D1F">
        <w:rPr>
          <w:sz w:val="24"/>
          <w:szCs w:val="24"/>
        </w:rPr>
        <w:t xml:space="preserve"> belirtilen MET-AEPL kapsamında atıf yapılan </w:t>
      </w:r>
      <w:r w:rsidR="007D7613" w:rsidRPr="00DD0D1F">
        <w:rPr>
          <w:sz w:val="24"/>
          <w:szCs w:val="24"/>
        </w:rPr>
        <w:t>MET_İES</w:t>
      </w:r>
      <w:r w:rsidRPr="00DD0D1F">
        <w:rPr>
          <w:sz w:val="24"/>
          <w:szCs w:val="24"/>
        </w:rPr>
        <w:t>'lerin birim-birim uygulanması ile elde edilecek olanla eşdeğer veya daha düşük olmasını sağlayacak şekilde entegre bir yöntemle yönetilmesinden oluşmaktadır.</w:t>
      </w:r>
    </w:p>
    <w:p w14:paraId="3013424A" w14:textId="77777777" w:rsidR="00A508A2" w:rsidRPr="00DD0D1F" w:rsidRDefault="00A508A2" w:rsidP="00A508A2">
      <w:pPr>
        <w:pStyle w:val="GvdeMetni"/>
        <w:spacing w:before="11" w:line="360" w:lineRule="auto"/>
        <w:jc w:val="both"/>
        <w:rPr>
          <w:sz w:val="24"/>
          <w:szCs w:val="24"/>
        </w:rPr>
      </w:pPr>
    </w:p>
    <w:p w14:paraId="6DE2DAFC" w14:textId="77777777" w:rsidR="00A508A2" w:rsidRPr="00DD0D1F" w:rsidRDefault="00A508A2" w:rsidP="00A508A2">
      <w:pPr>
        <w:pStyle w:val="GvdeMetni"/>
        <w:spacing w:line="360" w:lineRule="auto"/>
        <w:jc w:val="both"/>
        <w:rPr>
          <w:sz w:val="24"/>
          <w:szCs w:val="24"/>
        </w:rPr>
      </w:pPr>
      <w:r w:rsidRPr="00DD0D1F">
        <w:rPr>
          <w:sz w:val="24"/>
          <w:szCs w:val="24"/>
        </w:rPr>
        <w:t>Bu teknik aşağıdaki petrol rafinerisi sahalarına özellikle uygundur:</w:t>
      </w:r>
    </w:p>
    <w:p w14:paraId="32F7E80A" w14:textId="0300197D" w:rsidR="00A508A2" w:rsidRPr="00DD0D1F" w:rsidRDefault="002437EE" w:rsidP="00FF111D">
      <w:pPr>
        <w:pStyle w:val="ListeParagraf"/>
        <w:widowControl w:val="0"/>
        <w:numPr>
          <w:ilvl w:val="1"/>
          <w:numId w:val="106"/>
        </w:numPr>
        <w:tabs>
          <w:tab w:val="left" w:pos="1019"/>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hammadde ve enerji ikmali bakımından birbiriyle ilişkili olan yanma ve proses birimlerinin saha karmaşıklığı ve çokluğu kabul edilen,</w:t>
      </w:r>
    </w:p>
    <w:p w14:paraId="6B8D9016" w14:textId="35DE866F" w:rsidR="00A508A2" w:rsidRPr="00DD0D1F" w:rsidRDefault="002437EE" w:rsidP="00FF111D">
      <w:pPr>
        <w:pStyle w:val="ListeParagraf"/>
        <w:widowControl w:val="0"/>
        <w:numPr>
          <w:ilvl w:val="1"/>
          <w:numId w:val="106"/>
        </w:numPr>
        <w:tabs>
          <w:tab w:val="left" w:pos="1019"/>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teslim alınan ham petrolün kalitesi bağlamında sıklıkla proses ayarlamaları yapılan ve</w:t>
      </w:r>
    </w:p>
    <w:p w14:paraId="30DD8EA2" w14:textId="0C8CB607" w:rsidR="00A508A2" w:rsidRPr="00DD0D1F" w:rsidRDefault="002437EE" w:rsidP="00FF111D">
      <w:pPr>
        <w:pStyle w:val="ListeParagraf"/>
        <w:widowControl w:val="0"/>
        <w:numPr>
          <w:ilvl w:val="1"/>
          <w:numId w:val="106"/>
        </w:numPr>
        <w:tabs>
          <w:tab w:val="left" w:pos="1019"/>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proses gereklilikleri uyarınca yakıt karışımının sıklıkla ayarlanmasına yol açacak şekilde proses artıklarının dahili yakıt olarak kullanılmasına teknik bakımdan ihtiyaç duyulan.</w:t>
      </w:r>
    </w:p>
    <w:p w14:paraId="3EB5B365" w14:textId="77777777" w:rsidR="00A508A2" w:rsidRPr="00DD0D1F" w:rsidRDefault="00A508A2" w:rsidP="00A508A2">
      <w:pPr>
        <w:pStyle w:val="GvdeMetni"/>
        <w:spacing w:line="360" w:lineRule="auto"/>
        <w:jc w:val="both"/>
        <w:rPr>
          <w:sz w:val="24"/>
          <w:szCs w:val="24"/>
        </w:rPr>
      </w:pPr>
    </w:p>
    <w:p w14:paraId="5BAFFBA9" w14:textId="28B6DEEA" w:rsidR="00A508A2" w:rsidRPr="00DD0D1F" w:rsidRDefault="00A508A2" w:rsidP="00A508A2">
      <w:pPr>
        <w:pStyle w:val="GvdeMetni"/>
        <w:spacing w:before="1" w:line="360" w:lineRule="auto"/>
        <w:jc w:val="both"/>
        <w:rPr>
          <w:sz w:val="24"/>
          <w:szCs w:val="24"/>
        </w:rPr>
      </w:pPr>
      <w:r w:rsidRPr="00DD0D1F">
        <w:rPr>
          <w:sz w:val="24"/>
          <w:szCs w:val="24"/>
        </w:rPr>
        <w:t xml:space="preserve">Ayrıca, entegre emisyon yönetim sistemine dahil edilen her bir yeni yanma birimi, yeni FCC birimi veya yeni atık kükürt geri kazanım birimi bakımından </w:t>
      </w:r>
      <w:hyperlink w:anchor="_bookmark887" w:history="1">
        <w:r w:rsidRPr="00DD0D1F">
          <w:rPr>
            <w:sz w:val="24"/>
            <w:szCs w:val="24"/>
          </w:rPr>
          <w:t xml:space="preserve">MET 26 </w:t>
        </w:r>
      </w:hyperlink>
      <w:r w:rsidRPr="00DD0D1F">
        <w:rPr>
          <w:sz w:val="24"/>
          <w:szCs w:val="24"/>
        </w:rPr>
        <w:t xml:space="preserve">ve </w:t>
      </w:r>
      <w:hyperlink w:anchor="_bookmark914" w:history="1">
        <w:r w:rsidRPr="00DD0D1F">
          <w:rPr>
            <w:sz w:val="24"/>
            <w:szCs w:val="24"/>
          </w:rPr>
          <w:t xml:space="preserve">MET 36 </w:t>
        </w:r>
      </w:hyperlink>
      <w:r w:rsidRPr="00DD0D1F">
        <w:rPr>
          <w:sz w:val="24"/>
          <w:szCs w:val="24"/>
        </w:rPr>
        <w:t xml:space="preserve">kapsamında belirtilen </w:t>
      </w:r>
      <w:r w:rsidR="007D7613" w:rsidRPr="00DD0D1F">
        <w:rPr>
          <w:sz w:val="24"/>
          <w:szCs w:val="24"/>
        </w:rPr>
        <w:t>MET_İES</w:t>
      </w:r>
      <w:r w:rsidRPr="00DD0D1F">
        <w:rPr>
          <w:sz w:val="24"/>
          <w:szCs w:val="24"/>
        </w:rPr>
        <w:t xml:space="preserve">'ler ve </w:t>
      </w:r>
      <w:hyperlink w:anchor="_bookmark914" w:history="1">
        <w:r w:rsidRPr="00DD0D1F">
          <w:rPr>
            <w:sz w:val="24"/>
            <w:szCs w:val="24"/>
          </w:rPr>
          <w:t xml:space="preserve">MET 54 </w:t>
        </w:r>
      </w:hyperlink>
      <w:r w:rsidRPr="00DD0D1F">
        <w:rPr>
          <w:sz w:val="24"/>
          <w:szCs w:val="24"/>
        </w:rPr>
        <w:t xml:space="preserve"> kapsamında belirtilen MET-AEPL yürürlüktedir.</w:t>
      </w:r>
    </w:p>
    <w:p w14:paraId="095677A9" w14:textId="77777777" w:rsidR="00A508A2" w:rsidRPr="00DD0D1F" w:rsidRDefault="00A508A2" w:rsidP="00A508A2">
      <w:pPr>
        <w:pStyle w:val="ResimYazs"/>
        <w:jc w:val="left"/>
        <w:rPr>
          <w:rFonts w:cs="Times New Roman"/>
          <w:color w:val="auto"/>
          <w:szCs w:val="24"/>
        </w:rPr>
      </w:pPr>
      <w:bookmarkStart w:id="256" w:name="_bookmark921"/>
      <w:bookmarkEnd w:id="256"/>
    </w:p>
    <w:p w14:paraId="55394C22" w14:textId="77777777" w:rsidR="00A508A2" w:rsidRPr="00DD0D1F" w:rsidRDefault="00F222C6" w:rsidP="00A508A2">
      <w:pPr>
        <w:pStyle w:val="ResimYazs"/>
        <w:jc w:val="left"/>
        <w:rPr>
          <w:rFonts w:cs="Times New Roman"/>
          <w:color w:val="auto"/>
          <w:szCs w:val="24"/>
        </w:rPr>
      </w:pPr>
      <w:hyperlink w:anchor="_bookmark920" w:history="1">
        <w:r w:rsidR="00A508A2" w:rsidRPr="00DD0D1F">
          <w:rPr>
            <w:rFonts w:cs="Times New Roman"/>
            <w:bCs/>
            <w:color w:val="auto"/>
            <w:szCs w:val="24"/>
            <w:lang w:val="tr-TR"/>
          </w:rPr>
          <w:t>MET 58'in</w:t>
        </w:r>
      </w:hyperlink>
      <w:r w:rsidR="00A508A2" w:rsidRPr="00DD0D1F">
        <w:rPr>
          <w:rFonts w:cs="Times New Roman"/>
          <w:bCs/>
          <w:color w:val="auto"/>
          <w:szCs w:val="24"/>
          <w:lang w:val="tr-TR"/>
        </w:rPr>
        <w:t xml:space="preserve"> uygulanması durumunda havaya yayılan SO</w:t>
      </w:r>
      <w:r w:rsidR="00A508A2" w:rsidRPr="00DD0D1F">
        <w:rPr>
          <w:rFonts w:cs="Times New Roman"/>
          <w:bCs/>
          <w:color w:val="auto"/>
          <w:szCs w:val="24"/>
          <w:vertAlign w:val="subscript"/>
          <w:lang w:val="tr-TR"/>
        </w:rPr>
        <w:t xml:space="preserve">2 </w:t>
      </w:r>
      <w:r w:rsidR="00A508A2" w:rsidRPr="00DD0D1F">
        <w:rPr>
          <w:rFonts w:cs="Times New Roman"/>
          <w:bCs/>
          <w:color w:val="auto"/>
          <w:szCs w:val="24"/>
          <w:lang w:val="tr-TR"/>
        </w:rPr>
        <w:t>emisyonları bakımından MET ile ilişkili emisyon düzeyleri</w:t>
      </w:r>
    </w:p>
    <w:p w14:paraId="122AA7F8"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7"/>
      </w:tblGrid>
      <w:tr w:rsidR="00A508A2" w:rsidRPr="00DD0D1F" w14:paraId="3A32277A" w14:textId="77777777" w:rsidTr="00A508A2">
        <w:trPr>
          <w:trHeight w:val="2791"/>
        </w:trPr>
        <w:tc>
          <w:tcPr>
            <w:tcW w:w="5000" w:type="pct"/>
            <w:tcBorders>
              <w:bottom w:val="nil"/>
            </w:tcBorders>
          </w:tcPr>
          <w:p w14:paraId="097A92FD" w14:textId="77777777" w:rsidR="00A508A2" w:rsidRPr="00DD0D1F" w:rsidRDefault="00A508A2" w:rsidP="00A508A2">
            <w:pPr>
              <w:pStyle w:val="TableParagraph"/>
              <w:spacing w:before="5"/>
              <w:rPr>
                <w:b/>
                <w:szCs w:val="24"/>
              </w:rPr>
            </w:pPr>
          </w:p>
          <w:p w14:paraId="3E65A8BC" w14:textId="319B1FB9" w:rsidR="00A508A2" w:rsidRPr="00DD0D1F" w:rsidRDefault="00F222C6" w:rsidP="00A508A2">
            <w:pPr>
              <w:pStyle w:val="TableParagraph"/>
              <w:ind w:left="107" w:right="98"/>
              <w:jc w:val="both"/>
              <w:rPr>
                <w:szCs w:val="24"/>
              </w:rPr>
            </w:pPr>
            <w:hyperlink w:anchor="_bookmark920" w:history="1">
              <w:r w:rsidR="00A508A2" w:rsidRPr="00DD0D1F">
                <w:rPr>
                  <w:szCs w:val="24"/>
                </w:rPr>
                <w:t xml:space="preserve">MET 58'i </w:t>
              </w:r>
            </w:hyperlink>
            <w:r w:rsidR="00A508A2" w:rsidRPr="00DD0D1F">
              <w:rPr>
                <w:szCs w:val="24"/>
              </w:rPr>
              <w:t>ilgilendiren birimlerden kaynaklanan SO</w:t>
            </w:r>
            <w:r w:rsidR="00A508A2" w:rsidRPr="00DD0D1F">
              <w:rPr>
                <w:szCs w:val="24"/>
                <w:vertAlign w:val="subscript"/>
              </w:rPr>
              <w:t xml:space="preserve">2 </w:t>
            </w:r>
            <w:r w:rsidR="00A508A2" w:rsidRPr="00DD0D1F">
              <w:rPr>
                <w:szCs w:val="24"/>
              </w:rPr>
              <w:t>emisyonları bağlamında aylık ortalama olarak mg/Nm</w:t>
            </w:r>
            <w:r w:rsidR="00A508A2" w:rsidRPr="00DD0D1F">
              <w:rPr>
                <w:szCs w:val="24"/>
                <w:vertAlign w:val="superscript"/>
              </w:rPr>
              <w:t xml:space="preserve">3 </w:t>
            </w:r>
            <w:r w:rsidR="00A508A2" w:rsidRPr="00DD0D1F">
              <w:rPr>
                <w:szCs w:val="24"/>
              </w:rPr>
              <w:t xml:space="preserve">cinsinden ifade edilen </w:t>
            </w:r>
            <w:r w:rsidR="007D7613" w:rsidRPr="00DD0D1F">
              <w:rPr>
                <w:szCs w:val="24"/>
              </w:rPr>
              <w:t>MET_İES</w:t>
            </w:r>
            <w:r w:rsidR="00A508A2" w:rsidRPr="00DD0D1F">
              <w:rPr>
                <w:szCs w:val="24"/>
              </w:rPr>
              <w:t>, ilgili birimlerin aşağıdakini karşılamasına olanak tanıyacak olan tekniklerin o birimlerin her birinde pratikte uygulanması halinde aşağıdakilerin elde edilecek olduğu SO</w:t>
            </w:r>
            <w:r w:rsidR="00A508A2" w:rsidRPr="00DD0D1F">
              <w:rPr>
                <w:szCs w:val="24"/>
                <w:vertAlign w:val="subscript"/>
              </w:rPr>
              <w:t xml:space="preserve">2 </w:t>
            </w:r>
            <w:r w:rsidR="00A508A2" w:rsidRPr="00DD0D1F">
              <w:rPr>
                <w:szCs w:val="24"/>
              </w:rPr>
              <w:t>yoğunluklarının (aylık ortalama olarak mg/Nm</w:t>
            </w:r>
            <w:r w:rsidR="00A508A2" w:rsidRPr="00DD0D1F">
              <w:rPr>
                <w:szCs w:val="24"/>
                <w:vertAlign w:val="superscript"/>
              </w:rPr>
              <w:t xml:space="preserve">3 </w:t>
            </w:r>
            <w:r w:rsidR="00A508A2" w:rsidRPr="00DD0D1F">
              <w:rPr>
                <w:szCs w:val="24"/>
              </w:rPr>
              <w:t>cinsinden ifade edilen ) ağırlıklı ortalamasına eşit veya daha altındadır:</w:t>
            </w:r>
          </w:p>
          <w:p w14:paraId="5D07104F" w14:textId="17ED804D" w:rsidR="00A508A2" w:rsidRPr="00DD0D1F" w:rsidRDefault="00A508A2" w:rsidP="00FF111D">
            <w:pPr>
              <w:pStyle w:val="TableParagraph"/>
              <w:numPr>
                <w:ilvl w:val="0"/>
                <w:numId w:val="86"/>
              </w:numPr>
              <w:tabs>
                <w:tab w:val="left" w:pos="531"/>
              </w:tabs>
              <w:spacing w:before="2"/>
              <w:ind w:right="97"/>
              <w:jc w:val="both"/>
              <w:rPr>
                <w:szCs w:val="24"/>
              </w:rPr>
            </w:pPr>
            <w:r w:rsidRPr="00DD0D1F">
              <w:rPr>
                <w:szCs w:val="24"/>
              </w:rPr>
              <w:t xml:space="preserve">katalitik  parçalama prosesi (rejeneratör) birimleri bakımından: </w:t>
            </w:r>
            <w:hyperlink w:anchor="_bookmark888" w:history="1">
              <w:r w:rsidRPr="00DD0D1F">
                <w:rPr>
                  <w:szCs w:val="24"/>
                </w:rPr>
                <w:t>Tablo 6'da</w:t>
              </w:r>
            </w:hyperlink>
            <w:r w:rsidRPr="00DD0D1F">
              <w:rPr>
                <w:szCs w:val="24"/>
              </w:rPr>
              <w:t xml:space="preserve"> (</w:t>
            </w:r>
            <w:hyperlink w:anchor="_bookmark887" w:history="1">
              <w:r w:rsidRPr="00DD0D1F">
                <w:rPr>
                  <w:szCs w:val="24"/>
                </w:rPr>
                <w:t>MET 26</w:t>
              </w:r>
            </w:hyperlink>
            <w:r w:rsidRPr="00DD0D1F">
              <w:rPr>
                <w:szCs w:val="24"/>
              </w:rPr>
              <w:t xml:space="preserve">) belirtilen </w:t>
            </w:r>
            <w:r w:rsidR="007D7613" w:rsidRPr="00DD0D1F">
              <w:rPr>
                <w:szCs w:val="24"/>
              </w:rPr>
              <w:t>MET_İES</w:t>
            </w:r>
            <w:r w:rsidRPr="00DD0D1F">
              <w:rPr>
                <w:szCs w:val="24"/>
              </w:rPr>
              <w:t xml:space="preserve"> aralıkları,</w:t>
            </w:r>
          </w:p>
          <w:p w14:paraId="730982A2" w14:textId="30047325" w:rsidR="00A508A2" w:rsidRPr="00DD0D1F" w:rsidRDefault="00A508A2" w:rsidP="00FF111D">
            <w:pPr>
              <w:pStyle w:val="TableParagraph"/>
              <w:numPr>
                <w:ilvl w:val="0"/>
                <w:numId w:val="86"/>
              </w:numPr>
              <w:tabs>
                <w:tab w:val="left" w:pos="531"/>
              </w:tabs>
              <w:ind w:right="99"/>
              <w:jc w:val="both"/>
              <w:rPr>
                <w:szCs w:val="24"/>
              </w:rPr>
            </w:pPr>
            <w:r w:rsidRPr="00DD0D1F">
              <w:rPr>
                <w:szCs w:val="24"/>
              </w:rPr>
              <w:t xml:space="preserve">tek başına veya diğer yakıtlarla eşzamanlı olarak rafineri yakıtlarını yakan yanma birimleri bakımından: </w:t>
            </w:r>
            <w:hyperlink w:anchor="_bookmark902" w:history="1">
              <w:r w:rsidRPr="00DD0D1F">
                <w:rPr>
                  <w:szCs w:val="24"/>
                </w:rPr>
                <w:t xml:space="preserve">Tablo 13 </w:t>
              </w:r>
            </w:hyperlink>
            <w:r w:rsidRPr="00DD0D1F">
              <w:rPr>
                <w:szCs w:val="24"/>
              </w:rPr>
              <w:t xml:space="preserve">ve </w:t>
            </w:r>
            <w:hyperlink w:anchor="_bookmark903" w:history="1">
              <w:r w:rsidRPr="00DD0D1F">
                <w:rPr>
                  <w:szCs w:val="24"/>
                </w:rPr>
                <w:t xml:space="preserve">Tablo 14'te </w:t>
              </w:r>
            </w:hyperlink>
            <w:r w:rsidRPr="00DD0D1F">
              <w:rPr>
                <w:szCs w:val="24"/>
              </w:rPr>
              <w:t>(</w:t>
            </w:r>
            <w:hyperlink w:anchor="_bookmark901" w:history="1">
              <w:r w:rsidRPr="00DD0D1F">
                <w:rPr>
                  <w:szCs w:val="24"/>
                </w:rPr>
                <w:t>MET 36</w:t>
              </w:r>
            </w:hyperlink>
            <w:r w:rsidRPr="00DD0D1F">
              <w:rPr>
                <w:szCs w:val="24"/>
              </w:rPr>
              <w:t xml:space="preserve">) belirtilen </w:t>
            </w:r>
            <w:r w:rsidR="007D7613" w:rsidRPr="00DD0D1F">
              <w:rPr>
                <w:szCs w:val="24"/>
              </w:rPr>
              <w:t>MET_İES</w:t>
            </w:r>
            <w:r w:rsidRPr="00DD0D1F">
              <w:rPr>
                <w:szCs w:val="24"/>
              </w:rPr>
              <w:t xml:space="preserve"> aralıkları ve</w:t>
            </w:r>
          </w:p>
          <w:p w14:paraId="4EE57C2F" w14:textId="77777777" w:rsidR="00A508A2" w:rsidRPr="00DD0D1F" w:rsidRDefault="00A508A2" w:rsidP="00FF111D">
            <w:pPr>
              <w:pStyle w:val="TableParagraph"/>
              <w:numPr>
                <w:ilvl w:val="0"/>
                <w:numId w:val="86"/>
              </w:numPr>
              <w:tabs>
                <w:tab w:val="left" w:pos="530"/>
                <w:tab w:val="left" w:pos="531"/>
              </w:tabs>
              <w:ind w:hanging="426"/>
              <w:rPr>
                <w:szCs w:val="24"/>
              </w:rPr>
            </w:pPr>
            <w:r w:rsidRPr="00DD0D1F">
              <w:rPr>
                <w:szCs w:val="24"/>
              </w:rPr>
              <w:t xml:space="preserve">atık gazdaki kükürdün geri kazanım birimleri bakımından: </w:t>
            </w:r>
            <w:hyperlink w:anchor="_bookmark915" w:history="1">
              <w:r w:rsidRPr="00DD0D1F">
                <w:rPr>
                  <w:szCs w:val="24"/>
                </w:rPr>
                <w:t>Tablo 17'de</w:t>
              </w:r>
            </w:hyperlink>
            <w:r w:rsidRPr="00DD0D1F">
              <w:rPr>
                <w:szCs w:val="24"/>
              </w:rPr>
              <w:t xml:space="preserve"> (</w:t>
            </w:r>
            <w:hyperlink w:anchor="_bookmark914" w:history="1">
              <w:r w:rsidRPr="00DD0D1F">
                <w:rPr>
                  <w:szCs w:val="24"/>
                </w:rPr>
                <w:t>MET 54</w:t>
              </w:r>
            </w:hyperlink>
            <w:r w:rsidRPr="00DD0D1F">
              <w:rPr>
                <w:szCs w:val="24"/>
              </w:rPr>
              <w:t>) belirtilen MET-AEPL aralıkları.</w:t>
            </w:r>
          </w:p>
          <w:p w14:paraId="54D9F050" w14:textId="77777777" w:rsidR="00A508A2" w:rsidRPr="00DD0D1F" w:rsidRDefault="00A508A2" w:rsidP="00A508A2">
            <w:pPr>
              <w:pStyle w:val="TableParagraph"/>
              <w:rPr>
                <w:b/>
                <w:szCs w:val="24"/>
              </w:rPr>
            </w:pPr>
          </w:p>
          <w:p w14:paraId="47E513B7" w14:textId="73384E33" w:rsidR="00A508A2" w:rsidRPr="00DD0D1F" w:rsidRDefault="00A508A2" w:rsidP="00A508A2">
            <w:pPr>
              <w:pStyle w:val="TableParagraph"/>
              <w:ind w:left="107"/>
              <w:jc w:val="both"/>
              <w:rPr>
                <w:szCs w:val="24"/>
              </w:rPr>
            </w:pPr>
            <w:r w:rsidRPr="00DD0D1F">
              <w:rPr>
                <w:szCs w:val="24"/>
              </w:rPr>
              <w:t xml:space="preserve">Bu </w:t>
            </w:r>
            <w:r w:rsidR="007D7613" w:rsidRPr="00DD0D1F">
              <w:rPr>
                <w:szCs w:val="24"/>
              </w:rPr>
              <w:t>MET_İES</w:t>
            </w:r>
            <w:r w:rsidRPr="00DD0D1F">
              <w:rPr>
                <w:szCs w:val="24"/>
              </w:rPr>
              <w:t xml:space="preserve"> aşağıdaki formülle belirtilmektedir:</w:t>
            </w:r>
          </w:p>
        </w:tc>
      </w:tr>
      <w:tr w:rsidR="00A508A2" w:rsidRPr="00DD0D1F" w14:paraId="636968C8" w14:textId="77777777" w:rsidTr="00A508A2">
        <w:trPr>
          <w:trHeight w:val="556"/>
        </w:trPr>
        <w:tc>
          <w:tcPr>
            <w:tcW w:w="5000" w:type="pct"/>
            <w:tcBorders>
              <w:top w:val="nil"/>
            </w:tcBorders>
          </w:tcPr>
          <w:p w14:paraId="31213E8D" w14:textId="420B9B21" w:rsidR="00A508A2" w:rsidRPr="00DD0D1F" w:rsidRDefault="00A508A2" w:rsidP="00A508A2">
            <w:pPr>
              <w:pStyle w:val="TableParagraph"/>
              <w:spacing w:before="27"/>
              <w:ind w:left="3994" w:right="336" w:hanging="3637"/>
              <w:rPr>
                <w:szCs w:val="24"/>
              </w:rPr>
            </w:pPr>
            <w:r w:rsidRPr="00DD0D1F">
              <w:rPr>
                <w:szCs w:val="24"/>
              </w:rPr>
              <w:t xml:space="preserve">Σ[(ilgili birimin </w:t>
            </w:r>
            <w:r w:rsidR="00E00B0A" w:rsidRPr="00DD0D1F">
              <w:rPr>
                <w:szCs w:val="24"/>
              </w:rPr>
              <w:t>baca</w:t>
            </w:r>
            <w:r w:rsidRPr="00DD0D1F">
              <w:rPr>
                <w:szCs w:val="24"/>
              </w:rPr>
              <w:t xml:space="preserve"> gazı debisi) x (o birim için elde edilecek olan SO</w:t>
            </w:r>
            <w:r w:rsidRPr="00DD0D1F">
              <w:rPr>
                <w:szCs w:val="24"/>
                <w:vertAlign w:val="subscript"/>
              </w:rPr>
              <w:t>2</w:t>
            </w:r>
            <w:r w:rsidRPr="00DD0D1F">
              <w:rPr>
                <w:szCs w:val="24"/>
              </w:rPr>
              <w:t xml:space="preserve"> yoğunluğu)]</w:t>
            </w:r>
          </w:p>
        </w:tc>
      </w:tr>
      <w:tr w:rsidR="00A508A2" w:rsidRPr="00DD0D1F" w14:paraId="51C5ADDC" w14:textId="77777777" w:rsidTr="00A508A2">
        <w:trPr>
          <w:trHeight w:val="492"/>
        </w:trPr>
        <w:tc>
          <w:tcPr>
            <w:tcW w:w="5000" w:type="pct"/>
          </w:tcPr>
          <w:p w14:paraId="5DE5BE62" w14:textId="253A353C" w:rsidR="00A508A2" w:rsidRPr="00DD0D1F" w:rsidRDefault="00A508A2" w:rsidP="00A508A2">
            <w:pPr>
              <w:pStyle w:val="TableParagraph"/>
              <w:spacing w:before="125"/>
              <w:ind w:left="2466" w:right="2459"/>
              <w:jc w:val="center"/>
              <w:rPr>
                <w:szCs w:val="24"/>
              </w:rPr>
            </w:pPr>
            <w:r w:rsidRPr="00DD0D1F">
              <w:rPr>
                <w:szCs w:val="24"/>
              </w:rPr>
              <w:t xml:space="preserve">Σ (ilgili tüm birimlerin </w:t>
            </w:r>
            <w:r w:rsidR="00E00B0A" w:rsidRPr="00DD0D1F">
              <w:rPr>
                <w:szCs w:val="24"/>
              </w:rPr>
              <w:t>baca</w:t>
            </w:r>
            <w:r w:rsidRPr="00DD0D1F">
              <w:rPr>
                <w:szCs w:val="24"/>
              </w:rPr>
              <w:t xml:space="preserve"> gazı debisi)</w:t>
            </w:r>
          </w:p>
        </w:tc>
      </w:tr>
    </w:tbl>
    <w:p w14:paraId="27ABBF38" w14:textId="77777777" w:rsidR="00A508A2" w:rsidRPr="00DD0D1F" w:rsidRDefault="00A508A2" w:rsidP="00A508A2">
      <w:pPr>
        <w:pStyle w:val="GvdeMetni"/>
        <w:spacing w:before="4"/>
        <w:rPr>
          <w:b/>
          <w:sz w:val="24"/>
          <w:szCs w:val="24"/>
        </w:rPr>
      </w:pPr>
    </w:p>
    <w:p w14:paraId="08438322" w14:textId="67480B63" w:rsidR="00A508A2" w:rsidRPr="00DD0D1F" w:rsidRDefault="009C41A6" w:rsidP="009C41A6">
      <w:pPr>
        <w:pStyle w:val="ListeParagraf"/>
        <w:rPr>
          <w:rFonts w:cs="Times New Roman"/>
          <w:szCs w:val="24"/>
          <w:lang w:val="tr-TR"/>
        </w:rPr>
      </w:pPr>
      <w:r w:rsidRPr="00DD0D1F">
        <w:rPr>
          <w:rFonts w:cs="Times New Roman"/>
          <w:szCs w:val="24"/>
          <w:lang w:val="tr-TR"/>
        </w:rPr>
        <w:t>Notlar:</w:t>
      </w:r>
    </w:p>
    <w:p w14:paraId="210A70C5" w14:textId="77777777" w:rsidR="00A508A2" w:rsidRPr="00DD0D1F" w:rsidRDefault="00A508A2" w:rsidP="00FF111D">
      <w:pPr>
        <w:pStyle w:val="ListeParagraf"/>
        <w:widowControl w:val="0"/>
        <w:numPr>
          <w:ilvl w:val="0"/>
          <w:numId w:val="113"/>
        </w:numPr>
        <w:autoSpaceDE w:val="0"/>
        <w:autoSpaceDN w:val="0"/>
        <w:contextualSpacing w:val="0"/>
        <w:rPr>
          <w:rFonts w:cs="Times New Roman"/>
          <w:szCs w:val="24"/>
          <w:lang w:val="tr-TR"/>
        </w:rPr>
      </w:pPr>
      <w:r w:rsidRPr="00DD0D1F">
        <w:rPr>
          <w:rFonts w:cs="Times New Roman"/>
          <w:szCs w:val="24"/>
          <w:lang w:val="tr-TR"/>
        </w:rPr>
        <w:t xml:space="preserve">Oksijenle ilgili olarak geçerli referans koşulları </w:t>
      </w:r>
      <w:hyperlink w:anchor="_bookmark858" w:history="1">
        <w:r w:rsidRPr="00DD0D1F">
          <w:rPr>
            <w:rFonts w:cs="Times New Roman"/>
            <w:szCs w:val="24"/>
            <w:lang w:val="tr-TR"/>
          </w:rPr>
          <w:t>Tablo 1'de</w:t>
        </w:r>
      </w:hyperlink>
      <w:r w:rsidRPr="00DD0D1F">
        <w:rPr>
          <w:rFonts w:cs="Times New Roman"/>
          <w:szCs w:val="24"/>
          <w:lang w:val="tr-TR"/>
        </w:rPr>
        <w:t xml:space="preserve"> belirtilmektedir.</w:t>
      </w:r>
    </w:p>
    <w:p w14:paraId="2894EFA1" w14:textId="6B6BFE12" w:rsidR="00A508A2" w:rsidRPr="00DD0D1F" w:rsidRDefault="00FF7A02" w:rsidP="00FF111D">
      <w:pPr>
        <w:pStyle w:val="ListeParagraf"/>
        <w:widowControl w:val="0"/>
        <w:numPr>
          <w:ilvl w:val="0"/>
          <w:numId w:val="113"/>
        </w:numPr>
        <w:autoSpaceDE w:val="0"/>
        <w:autoSpaceDN w:val="0"/>
        <w:contextualSpacing w:val="0"/>
        <w:rPr>
          <w:rFonts w:cs="Times New Roman"/>
          <w:szCs w:val="24"/>
          <w:lang w:val="tr-TR"/>
        </w:rPr>
      </w:pPr>
      <w:r w:rsidRPr="00DD0D1F">
        <w:rPr>
          <w:rFonts w:cs="Times New Roman"/>
          <w:szCs w:val="24"/>
          <w:lang w:val="tr-TR"/>
        </w:rPr>
        <w:t>Ayrı</w:t>
      </w:r>
      <w:r w:rsidR="00A508A2" w:rsidRPr="00DD0D1F">
        <w:rPr>
          <w:rFonts w:cs="Times New Roman"/>
          <w:szCs w:val="24"/>
          <w:lang w:val="tr-TR"/>
        </w:rPr>
        <w:t xml:space="preserve"> birimlerin emisyon düzeylerinin ağırlıklandırılması, ilgili birimin, bu birimin rafineri tesisatı bünyesindeki normal işletimini temsil eden (Not 1'deki referans koşulları uygulanarak) aylık ortalama değer (Nm</w:t>
      </w:r>
      <w:r w:rsidR="00A508A2" w:rsidRPr="00DD0D1F">
        <w:rPr>
          <w:rFonts w:cs="Times New Roman"/>
          <w:szCs w:val="24"/>
          <w:vertAlign w:val="superscript"/>
          <w:lang w:val="tr-TR"/>
        </w:rPr>
        <w:t>3</w:t>
      </w:r>
      <w:r w:rsidR="00A508A2" w:rsidRPr="00DD0D1F">
        <w:rPr>
          <w:rFonts w:cs="Times New Roman"/>
          <w:szCs w:val="24"/>
          <w:lang w:val="tr-TR"/>
        </w:rPr>
        <w:t xml:space="preserve">/saat) cinsinden ifade edilen </w:t>
      </w:r>
      <w:r w:rsidR="00E00B0A" w:rsidRPr="00DD0D1F">
        <w:rPr>
          <w:rFonts w:cs="Times New Roman"/>
          <w:szCs w:val="24"/>
          <w:lang w:val="tr-TR"/>
        </w:rPr>
        <w:t>baca</w:t>
      </w:r>
      <w:r w:rsidR="00A508A2" w:rsidRPr="00DD0D1F">
        <w:rPr>
          <w:rFonts w:cs="Times New Roman"/>
          <w:szCs w:val="24"/>
          <w:lang w:val="tr-TR"/>
        </w:rPr>
        <w:t xml:space="preserve"> gazı debisi bazında yapılır.</w:t>
      </w:r>
    </w:p>
    <w:p w14:paraId="74B9B54F" w14:textId="2E789CD9" w:rsidR="00A508A2" w:rsidRPr="00DD0D1F" w:rsidRDefault="00A508A2" w:rsidP="00FF111D">
      <w:pPr>
        <w:pStyle w:val="ListeParagraf"/>
        <w:widowControl w:val="0"/>
        <w:numPr>
          <w:ilvl w:val="0"/>
          <w:numId w:val="113"/>
        </w:numPr>
        <w:autoSpaceDE w:val="0"/>
        <w:autoSpaceDN w:val="0"/>
        <w:contextualSpacing w:val="0"/>
        <w:rPr>
          <w:rFonts w:cs="Times New Roman"/>
          <w:szCs w:val="24"/>
          <w:lang w:val="tr-TR"/>
        </w:rPr>
      </w:pPr>
      <w:r w:rsidRPr="00DD0D1F">
        <w:rPr>
          <w:rFonts w:cs="Times New Roman"/>
          <w:szCs w:val="24"/>
          <w:lang w:val="tr-TR"/>
        </w:rPr>
        <w:t xml:space="preserve">Bir birimim geçerli </w:t>
      </w:r>
      <w:r w:rsidR="007D7613" w:rsidRPr="00DD0D1F">
        <w:rPr>
          <w:rFonts w:cs="Times New Roman"/>
          <w:szCs w:val="24"/>
          <w:lang w:val="tr-TR"/>
        </w:rPr>
        <w:t>MET_İES</w:t>
      </w:r>
      <w:r w:rsidRPr="00DD0D1F">
        <w:rPr>
          <w:rFonts w:cs="Times New Roman"/>
          <w:szCs w:val="24"/>
          <w:lang w:val="tr-TR"/>
        </w:rPr>
        <w:t xml:space="preserve">'ini etkileyen anlamlı ve yapısal değişiklikler veya ilgili birimlerin nitelik veya işlevindeki diğer anlamlı ve yapısal değişiklikler durumunda veya bunların yenileri ile değiştirilmeleri veya yanma, FCC veya atık gazdaki kükürdün geri kazanımı birimlerinin genişletilmesi ya da ilave edilmesi halinde, </w:t>
      </w:r>
      <w:hyperlink w:anchor="_bookmark921" w:history="1">
        <w:r w:rsidRPr="00DD0D1F">
          <w:rPr>
            <w:rFonts w:cs="Times New Roman"/>
            <w:szCs w:val="24"/>
            <w:lang w:val="tr-TR"/>
          </w:rPr>
          <w:t xml:space="preserve">Tablo 19'da </w:t>
        </w:r>
      </w:hyperlink>
      <w:r w:rsidRPr="00DD0D1F">
        <w:rPr>
          <w:rFonts w:cs="Times New Roman"/>
          <w:szCs w:val="24"/>
          <w:lang w:val="tr-TR"/>
        </w:rPr>
        <w:t xml:space="preserve">tanımlanan </w:t>
      </w:r>
      <w:r w:rsidR="007D7613" w:rsidRPr="00DD0D1F">
        <w:rPr>
          <w:rFonts w:cs="Times New Roman"/>
          <w:szCs w:val="24"/>
          <w:lang w:val="tr-TR"/>
        </w:rPr>
        <w:t>MET_İES</w:t>
      </w:r>
      <w:r w:rsidRPr="00DD0D1F">
        <w:rPr>
          <w:rFonts w:cs="Times New Roman"/>
          <w:szCs w:val="24"/>
          <w:lang w:val="tr-TR"/>
        </w:rPr>
        <w:t xml:space="preserve"> buna göre ayarlanmalıdır.</w:t>
      </w:r>
    </w:p>
    <w:p w14:paraId="136D9AA4" w14:textId="77777777" w:rsidR="00A508A2" w:rsidRPr="00DD0D1F" w:rsidRDefault="00A508A2" w:rsidP="00A508A2">
      <w:pPr>
        <w:pStyle w:val="GvdeMetni"/>
        <w:spacing w:before="5"/>
        <w:rPr>
          <w:sz w:val="24"/>
          <w:szCs w:val="24"/>
        </w:rPr>
      </w:pPr>
    </w:p>
    <w:tbl>
      <w:tblPr>
        <w:tblStyle w:val="TableNormal"/>
        <w:tblpPr w:leftFromText="141" w:rightFromText="141" w:vertAnchor="text" w:tblpY="5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1"/>
        <w:gridCol w:w="6276"/>
      </w:tblGrid>
      <w:tr w:rsidR="00A508A2" w:rsidRPr="00DD0D1F" w14:paraId="4CE74F75" w14:textId="77777777" w:rsidTr="00A508A2">
        <w:trPr>
          <w:trHeight w:val="285"/>
        </w:trPr>
        <w:tc>
          <w:tcPr>
            <w:tcW w:w="1543" w:type="pct"/>
          </w:tcPr>
          <w:p w14:paraId="6ED235E8" w14:textId="77777777" w:rsidR="00A508A2" w:rsidRPr="00DD0D1F" w:rsidRDefault="00A508A2" w:rsidP="00A508A2">
            <w:pPr>
              <w:pStyle w:val="TableParagraph"/>
              <w:spacing w:before="26"/>
              <w:ind w:left="881"/>
              <w:rPr>
                <w:b/>
                <w:szCs w:val="24"/>
              </w:rPr>
            </w:pPr>
            <w:r w:rsidRPr="00DD0D1F">
              <w:rPr>
                <w:b/>
                <w:bCs/>
                <w:szCs w:val="24"/>
              </w:rPr>
              <w:t>Teknik</w:t>
            </w:r>
          </w:p>
        </w:tc>
        <w:tc>
          <w:tcPr>
            <w:tcW w:w="3457" w:type="pct"/>
          </w:tcPr>
          <w:p w14:paraId="116AE531" w14:textId="77777777" w:rsidR="00A508A2" w:rsidRPr="00DD0D1F" w:rsidRDefault="00A508A2" w:rsidP="00A508A2">
            <w:pPr>
              <w:pStyle w:val="TableParagraph"/>
              <w:spacing w:before="26"/>
              <w:ind w:left="2513" w:right="2398"/>
              <w:jc w:val="center"/>
              <w:rPr>
                <w:b/>
                <w:szCs w:val="24"/>
              </w:rPr>
            </w:pPr>
            <w:r w:rsidRPr="00DD0D1F">
              <w:rPr>
                <w:b/>
                <w:bCs/>
                <w:szCs w:val="24"/>
              </w:rPr>
              <w:t>Tanım</w:t>
            </w:r>
          </w:p>
        </w:tc>
      </w:tr>
      <w:tr w:rsidR="00A508A2" w:rsidRPr="00DD0D1F" w14:paraId="50E86152" w14:textId="77777777" w:rsidTr="00A508A2">
        <w:trPr>
          <w:trHeight w:val="2529"/>
        </w:trPr>
        <w:tc>
          <w:tcPr>
            <w:tcW w:w="1543" w:type="pct"/>
          </w:tcPr>
          <w:p w14:paraId="60E0205B" w14:textId="77777777" w:rsidR="00A508A2" w:rsidRPr="00DD0D1F" w:rsidRDefault="00A508A2" w:rsidP="00A508A2">
            <w:pPr>
              <w:pStyle w:val="TableParagraph"/>
              <w:rPr>
                <w:b/>
                <w:szCs w:val="24"/>
              </w:rPr>
            </w:pPr>
          </w:p>
          <w:p w14:paraId="11462FA2" w14:textId="77777777" w:rsidR="00A508A2" w:rsidRPr="00DD0D1F" w:rsidRDefault="00A508A2" w:rsidP="00A508A2">
            <w:pPr>
              <w:pStyle w:val="TableParagraph"/>
              <w:rPr>
                <w:b/>
                <w:szCs w:val="24"/>
              </w:rPr>
            </w:pPr>
          </w:p>
          <w:p w14:paraId="4C9E14E5" w14:textId="77777777" w:rsidR="00A508A2" w:rsidRPr="00DD0D1F" w:rsidRDefault="00A508A2" w:rsidP="00A508A2">
            <w:pPr>
              <w:pStyle w:val="TableParagraph"/>
              <w:rPr>
                <w:b/>
                <w:szCs w:val="24"/>
              </w:rPr>
            </w:pPr>
          </w:p>
          <w:p w14:paraId="67947420" w14:textId="77777777" w:rsidR="00A508A2" w:rsidRPr="00DD0D1F" w:rsidRDefault="00A508A2" w:rsidP="00A508A2">
            <w:pPr>
              <w:pStyle w:val="TableParagraph"/>
              <w:spacing w:before="4"/>
              <w:rPr>
                <w:b/>
                <w:szCs w:val="24"/>
              </w:rPr>
            </w:pPr>
          </w:p>
          <w:p w14:paraId="4537CEC9" w14:textId="77777777" w:rsidR="00A508A2" w:rsidRPr="00DD0D1F" w:rsidRDefault="00A508A2" w:rsidP="00A508A2">
            <w:pPr>
              <w:pStyle w:val="TableParagraph"/>
              <w:tabs>
                <w:tab w:val="left" w:pos="1625"/>
              </w:tabs>
              <w:ind w:left="110" w:right="96"/>
              <w:rPr>
                <w:szCs w:val="24"/>
              </w:rPr>
            </w:pPr>
            <w:r w:rsidRPr="00DD0D1F">
              <w:rPr>
                <w:szCs w:val="24"/>
              </w:rPr>
              <w:t>Elektrostatik çöktürücü (ESP)</w:t>
            </w:r>
          </w:p>
        </w:tc>
        <w:tc>
          <w:tcPr>
            <w:tcW w:w="3457" w:type="pct"/>
          </w:tcPr>
          <w:p w14:paraId="0904C2B9" w14:textId="77777777" w:rsidR="00A508A2" w:rsidRPr="00DD0D1F" w:rsidRDefault="00A508A2" w:rsidP="00A508A2">
            <w:pPr>
              <w:pStyle w:val="TableParagraph"/>
              <w:ind w:left="107" w:right="101"/>
              <w:rPr>
                <w:szCs w:val="24"/>
              </w:rPr>
            </w:pPr>
            <w:r w:rsidRPr="00DD0D1F">
              <w:rPr>
                <w:szCs w:val="24"/>
              </w:rPr>
              <w:t>Elektrostatik çöktürücüler, partiküllerin elektrik alanının etkisi altında yüklendikleri ve ayrıştırıldıkları bir şekilde çalışır. Elektrostatik çöktürücüler çok çeşitli koşullarda çalışabilirler. Azaltım verimi; sahaların adedine, kalma süresine (büyüklüğüne), katalizör hususiyetlerine ve üretim yönündeki partikül giderme cihazlarına bağlı olabilmektedir. FCC birimlerinde 3 alanlı ESP'ler ile 4 alanlı ESP'ler yaygın olarak kullanılır. ESP'ler kuru kipte veya partikül toplanmasını iyileştirmeye dönük amonyak püskürtmesiyle çalışırlar.</w:t>
            </w:r>
          </w:p>
          <w:p w14:paraId="16AEF48C" w14:textId="77777777" w:rsidR="00A508A2" w:rsidRPr="00DD0D1F" w:rsidRDefault="00A508A2" w:rsidP="00A508A2">
            <w:pPr>
              <w:pStyle w:val="TableParagraph"/>
              <w:ind w:left="107" w:right="101"/>
              <w:rPr>
                <w:szCs w:val="24"/>
              </w:rPr>
            </w:pPr>
            <w:r w:rsidRPr="00DD0D1F">
              <w:rPr>
                <w:szCs w:val="24"/>
              </w:rPr>
              <w:t>Yeşil kokun kireçleştirmesi ile ilgili olarak ESP'nin yakalama verimi, kok partiküllerinin elektrikle yüklenmesindeki zorluk nedeniyle azalabilmektedir</w:t>
            </w:r>
          </w:p>
        </w:tc>
      </w:tr>
      <w:tr w:rsidR="00A508A2" w:rsidRPr="00DD0D1F" w14:paraId="2B8605CD" w14:textId="77777777" w:rsidTr="00A508A2">
        <w:trPr>
          <w:trHeight w:val="1379"/>
        </w:trPr>
        <w:tc>
          <w:tcPr>
            <w:tcW w:w="1543" w:type="pct"/>
          </w:tcPr>
          <w:p w14:paraId="7DEA650C" w14:textId="77777777" w:rsidR="00A508A2" w:rsidRPr="00DD0D1F" w:rsidRDefault="00A508A2" w:rsidP="00A508A2">
            <w:pPr>
              <w:pStyle w:val="TableParagraph"/>
              <w:rPr>
                <w:b/>
                <w:szCs w:val="24"/>
              </w:rPr>
            </w:pPr>
          </w:p>
          <w:p w14:paraId="24336A88" w14:textId="77777777" w:rsidR="00A508A2" w:rsidRPr="00DD0D1F" w:rsidRDefault="00A508A2" w:rsidP="00A508A2">
            <w:pPr>
              <w:pStyle w:val="TableParagraph"/>
              <w:spacing w:before="5"/>
              <w:rPr>
                <w:b/>
                <w:szCs w:val="24"/>
              </w:rPr>
            </w:pPr>
          </w:p>
          <w:p w14:paraId="638AAFE8" w14:textId="77777777" w:rsidR="00A508A2" w:rsidRPr="00DD0D1F" w:rsidRDefault="00A508A2" w:rsidP="00A508A2">
            <w:pPr>
              <w:pStyle w:val="TableParagraph"/>
              <w:ind w:left="110"/>
              <w:rPr>
                <w:szCs w:val="24"/>
              </w:rPr>
            </w:pPr>
            <w:r w:rsidRPr="00DD0D1F">
              <w:rPr>
                <w:szCs w:val="24"/>
              </w:rPr>
              <w:t>Çok kademeli siklon ayırıcılar</w:t>
            </w:r>
          </w:p>
        </w:tc>
        <w:tc>
          <w:tcPr>
            <w:tcW w:w="3457" w:type="pct"/>
          </w:tcPr>
          <w:p w14:paraId="5A8B4294" w14:textId="77777777" w:rsidR="00A508A2" w:rsidRPr="00DD0D1F" w:rsidRDefault="00A508A2" w:rsidP="00A508A2">
            <w:pPr>
              <w:pStyle w:val="TableParagraph"/>
              <w:ind w:left="107" w:right="101"/>
              <w:jc w:val="both"/>
              <w:rPr>
                <w:szCs w:val="24"/>
              </w:rPr>
            </w:pPr>
            <w:r w:rsidRPr="00DD0D1F">
              <w:rPr>
                <w:szCs w:val="24"/>
              </w:rPr>
              <w:t>İki siklon kademesinden sonra tesis edilen siklonik toplama cihazı veya sistemidir. Genellikle üçüncü kademe ayırıcı olarak bilinir, yaygın konfigürasyonda birden fazla konvansiyonel siklonları veya gelişmiş helezoni boruyu içeren tek bir kaptan meydana gelir. FCC ile ilgili olarak performans büyük oranda partikül yoğunluğuna ve ince katalizör tanelerinin rejeneratörün dahili siklonlarında boyuta göre dağılmasına bağlıdır</w:t>
            </w:r>
          </w:p>
        </w:tc>
      </w:tr>
      <w:tr w:rsidR="00A508A2" w:rsidRPr="00DD0D1F" w14:paraId="307EE6FC" w14:textId="77777777" w:rsidTr="00A508A2">
        <w:trPr>
          <w:trHeight w:val="460"/>
        </w:trPr>
        <w:tc>
          <w:tcPr>
            <w:tcW w:w="1543" w:type="pct"/>
          </w:tcPr>
          <w:p w14:paraId="4F9961BD" w14:textId="77777777" w:rsidR="00A508A2" w:rsidRPr="00DD0D1F" w:rsidRDefault="00A508A2" w:rsidP="00A508A2">
            <w:pPr>
              <w:pStyle w:val="TableParagraph"/>
              <w:spacing w:before="108"/>
              <w:ind w:left="110"/>
              <w:rPr>
                <w:szCs w:val="24"/>
              </w:rPr>
            </w:pPr>
            <w:r w:rsidRPr="00DD0D1F">
              <w:rPr>
                <w:szCs w:val="24"/>
              </w:rPr>
              <w:t>Santrifüjlü yıkayıcılar</w:t>
            </w:r>
          </w:p>
        </w:tc>
        <w:tc>
          <w:tcPr>
            <w:tcW w:w="3457" w:type="pct"/>
          </w:tcPr>
          <w:p w14:paraId="4A476873" w14:textId="77777777" w:rsidR="00A508A2" w:rsidRPr="00DD0D1F" w:rsidRDefault="00A508A2" w:rsidP="00A508A2">
            <w:pPr>
              <w:pStyle w:val="TableParagraph"/>
              <w:spacing w:line="223" w:lineRule="exact"/>
              <w:ind w:left="107"/>
              <w:rPr>
                <w:szCs w:val="24"/>
              </w:rPr>
            </w:pPr>
            <w:r w:rsidRPr="00DD0D1F">
              <w:rPr>
                <w:szCs w:val="24"/>
              </w:rPr>
              <w:t>Santrifüjlü yıkayıcılar; siklon ilkesini ve suyla yoğun teması bir araya getirirler, ör. venturi yıkayıcı</w:t>
            </w:r>
          </w:p>
        </w:tc>
      </w:tr>
      <w:tr w:rsidR="00A508A2" w:rsidRPr="00DD0D1F" w14:paraId="525AF7D0" w14:textId="77777777" w:rsidTr="00A508A2">
        <w:trPr>
          <w:trHeight w:val="921"/>
        </w:trPr>
        <w:tc>
          <w:tcPr>
            <w:tcW w:w="1543" w:type="pct"/>
          </w:tcPr>
          <w:p w14:paraId="0F7017E8" w14:textId="77777777" w:rsidR="00A508A2" w:rsidRPr="00DD0D1F" w:rsidRDefault="00A508A2" w:rsidP="00A508A2">
            <w:pPr>
              <w:pStyle w:val="TableParagraph"/>
              <w:spacing w:before="5"/>
              <w:rPr>
                <w:b/>
                <w:szCs w:val="24"/>
              </w:rPr>
            </w:pPr>
          </w:p>
          <w:p w14:paraId="5A51E843" w14:textId="77777777" w:rsidR="00A508A2" w:rsidRPr="00DD0D1F" w:rsidRDefault="00A508A2" w:rsidP="00A508A2">
            <w:pPr>
              <w:pStyle w:val="TableParagraph"/>
              <w:ind w:left="110"/>
              <w:rPr>
                <w:szCs w:val="24"/>
              </w:rPr>
            </w:pPr>
            <w:r w:rsidRPr="00DD0D1F">
              <w:rPr>
                <w:szCs w:val="24"/>
              </w:rPr>
              <w:t>Üçüncü kademe geri tepme filtresi</w:t>
            </w:r>
          </w:p>
        </w:tc>
        <w:tc>
          <w:tcPr>
            <w:tcW w:w="3457" w:type="pct"/>
          </w:tcPr>
          <w:p w14:paraId="13482909" w14:textId="77777777" w:rsidR="00A508A2" w:rsidRPr="00DD0D1F" w:rsidRDefault="00A508A2" w:rsidP="00A508A2">
            <w:pPr>
              <w:pStyle w:val="TableParagraph"/>
              <w:ind w:left="107" w:right="105"/>
              <w:jc w:val="both"/>
              <w:rPr>
                <w:szCs w:val="24"/>
              </w:rPr>
            </w:pPr>
            <w:r w:rsidRPr="00DD0D1F">
              <w:rPr>
                <w:szCs w:val="24"/>
              </w:rPr>
              <w:t>Yüzeyde kek olarak tutulan katıların ters akımın devreye alınması suretiyle yer değiştirdikleri geri akışlı seramik veya sinterli metal filtrelerdir. Yer değiştiren katılar daha sonra filtre sisteminden tahliye edilirler</w:t>
            </w:r>
          </w:p>
        </w:tc>
      </w:tr>
    </w:tbl>
    <w:p w14:paraId="06E1D396" w14:textId="77777777" w:rsidR="00A508A2" w:rsidRPr="00DD0D1F" w:rsidRDefault="00A508A2" w:rsidP="00A508A2">
      <w:pPr>
        <w:rPr>
          <w:rFonts w:cs="Times New Roman"/>
          <w:szCs w:val="24"/>
        </w:rPr>
      </w:pPr>
    </w:p>
    <w:p w14:paraId="207EDFFC" w14:textId="77777777" w:rsidR="00A508A2" w:rsidRPr="00DD0D1F" w:rsidRDefault="00F222C6" w:rsidP="00A508A2">
      <w:pPr>
        <w:rPr>
          <w:rFonts w:cs="Times New Roman"/>
          <w:b/>
          <w:bCs/>
          <w:szCs w:val="24"/>
          <w:lang w:val="tr-TR"/>
        </w:rPr>
      </w:pPr>
      <w:hyperlink w:anchor="_bookmark920" w:history="1">
        <w:r w:rsidR="00A508A2" w:rsidRPr="00DD0D1F">
          <w:rPr>
            <w:rFonts w:cs="Times New Roman"/>
            <w:b/>
            <w:bCs/>
            <w:szCs w:val="24"/>
            <w:lang w:val="tr-TR"/>
          </w:rPr>
          <w:t>MET 58</w:t>
        </w:r>
      </w:hyperlink>
      <w:r w:rsidR="00A508A2" w:rsidRPr="00DD0D1F">
        <w:rPr>
          <w:rFonts w:cs="Times New Roman"/>
          <w:b/>
          <w:bCs/>
          <w:szCs w:val="24"/>
          <w:lang w:val="tr-TR"/>
        </w:rPr>
        <w:t xml:space="preserve"> ile ilişkili izleme</w:t>
      </w:r>
    </w:p>
    <w:p w14:paraId="3E638CC1" w14:textId="77777777" w:rsidR="00A508A2" w:rsidRPr="00DD0D1F" w:rsidRDefault="00A508A2" w:rsidP="00A508A2">
      <w:pPr>
        <w:rPr>
          <w:rFonts w:cs="Times New Roman"/>
          <w:szCs w:val="24"/>
          <w:lang w:val="tr-TR"/>
        </w:rPr>
      </w:pPr>
      <w:r w:rsidRPr="00DD0D1F">
        <w:rPr>
          <w:rFonts w:cs="Times New Roman"/>
          <w:szCs w:val="24"/>
          <w:lang w:val="tr-TR"/>
        </w:rPr>
        <w:t>Entegre emisyon yönetimi tekniği kapsamında SO</w:t>
      </w:r>
      <w:r w:rsidRPr="00DD0D1F">
        <w:rPr>
          <w:rFonts w:cs="Times New Roman"/>
          <w:szCs w:val="24"/>
          <w:vertAlign w:val="subscript"/>
          <w:lang w:val="tr-TR"/>
        </w:rPr>
        <w:t xml:space="preserve">2 </w:t>
      </w:r>
      <w:r w:rsidRPr="00DD0D1F">
        <w:rPr>
          <w:rFonts w:cs="Times New Roman"/>
          <w:szCs w:val="24"/>
          <w:lang w:val="tr-TR"/>
        </w:rPr>
        <w:t xml:space="preserve">emisyonlarının izlenmesine ilişkin MET, </w:t>
      </w:r>
      <w:hyperlink w:anchor="_bookmark868" w:history="1">
        <w:r w:rsidRPr="00DD0D1F">
          <w:rPr>
            <w:rFonts w:cs="Times New Roman"/>
            <w:szCs w:val="24"/>
            <w:lang w:val="tr-TR"/>
          </w:rPr>
          <w:t xml:space="preserve">MET 4'te </w:t>
        </w:r>
      </w:hyperlink>
      <w:r w:rsidRPr="00DD0D1F">
        <w:rPr>
          <w:rFonts w:cs="Times New Roman"/>
          <w:szCs w:val="24"/>
          <w:lang w:val="tr-TR"/>
        </w:rPr>
        <w:t>verildiği gibidir ve aşağıdakilerle ikmal edilmektedir:</w:t>
      </w:r>
    </w:p>
    <w:p w14:paraId="0C1BA986" w14:textId="40CDE5BC" w:rsidR="00A508A2" w:rsidRPr="00DD0D1F" w:rsidRDefault="00A508A2" w:rsidP="00A508A2">
      <w:pPr>
        <w:rPr>
          <w:rFonts w:cs="Times New Roman"/>
          <w:szCs w:val="24"/>
          <w:lang w:val="tr-TR"/>
        </w:rPr>
      </w:pPr>
      <w:r w:rsidRPr="00DD0D1F">
        <w:rPr>
          <w:rFonts w:cs="Times New Roman"/>
          <w:szCs w:val="24"/>
          <w:lang w:val="tr-TR"/>
        </w:rPr>
        <w:t xml:space="preserve">izlenen proseslerin tanımını, her proseste izlenen emisyon kaynaklarının ve kaynak akımlarının (ürünler, atık gazlar) listesini ve kullanılan metodoloji (hesaplar, ölçümler) ile temel varsayımların ve ilişkili güven düzeyinin tanımını içeren bir izleme planı, ilgili birimlerin </w:t>
      </w:r>
      <w:r w:rsidR="00E00B0A" w:rsidRPr="00DD0D1F">
        <w:rPr>
          <w:rFonts w:cs="Times New Roman"/>
          <w:szCs w:val="24"/>
          <w:lang w:val="tr-TR"/>
        </w:rPr>
        <w:t>baca</w:t>
      </w:r>
      <w:r w:rsidRPr="00DD0D1F">
        <w:rPr>
          <w:rFonts w:cs="Times New Roman"/>
          <w:szCs w:val="24"/>
          <w:lang w:val="tr-TR"/>
        </w:rPr>
        <w:t xml:space="preserve"> gazı debisinin, ya doğrudan ölçümle ya da eşdeğer bir yöntemle sürekli olarak izlenmesi ve entegre emisyon yönetim sisteminin kapsamındaki kaynaklardan açığa çıkan emisyonların tayini amacıyla gereken tüm izleme verilerinin toplanması, işlenmesi ve raporlaması ile ilgili veri yönetim sistemi.</w:t>
      </w:r>
      <w:r w:rsidRPr="00DD0D1F">
        <w:rPr>
          <w:rFonts w:cs="Times New Roman"/>
          <w:szCs w:val="24"/>
          <w:lang w:val="tr-TR"/>
        </w:rPr>
        <w:br w:type="page"/>
      </w:r>
      <w:r w:rsidR="00695881">
        <w:rPr>
          <w:rFonts w:cs="Times New Roman"/>
          <w:b/>
          <w:bCs/>
          <w:szCs w:val="24"/>
          <w:lang w:val="tr-TR"/>
        </w:rPr>
        <w:t>Rafineri Sektöründe Yer alan Teknik Terimler</w:t>
      </w:r>
    </w:p>
    <w:p w14:paraId="1C433241" w14:textId="77777777" w:rsidR="00A508A2" w:rsidRPr="00DD0D1F" w:rsidRDefault="00A508A2" w:rsidP="00FF111D">
      <w:pPr>
        <w:pStyle w:val="Balk1"/>
        <w:keepNext w:val="0"/>
        <w:keepLines w:val="0"/>
        <w:widowControl w:val="0"/>
        <w:numPr>
          <w:ilvl w:val="0"/>
          <w:numId w:val="111"/>
        </w:numPr>
        <w:tabs>
          <w:tab w:val="left" w:pos="1305"/>
          <w:tab w:val="left" w:pos="1306"/>
        </w:tabs>
        <w:autoSpaceDE w:val="0"/>
        <w:autoSpaceDN w:val="0"/>
        <w:spacing w:before="255" w:line="240" w:lineRule="auto"/>
        <w:ind w:right="1784"/>
        <w:jc w:val="left"/>
        <w:rPr>
          <w:rFonts w:cs="Times New Roman"/>
          <w:szCs w:val="24"/>
          <w:lang w:val="tr-TR"/>
        </w:rPr>
      </w:pPr>
      <w:bookmarkStart w:id="257" w:name="_bookmark922"/>
      <w:bookmarkStart w:id="258" w:name="5.20_Description_of_techniques_for_the_p"/>
      <w:bookmarkEnd w:id="257"/>
      <w:bookmarkEnd w:id="258"/>
      <w:r w:rsidRPr="00DD0D1F">
        <w:rPr>
          <w:rFonts w:cs="Times New Roman"/>
          <w:szCs w:val="24"/>
          <w:lang w:val="tr-TR"/>
        </w:rPr>
        <w:t>Havaya yayılan emisyonların önlenmesi ve kontrolüne ilişkin tekniklerin tanımlanması</w:t>
      </w:r>
    </w:p>
    <w:p w14:paraId="58EBA068" w14:textId="77777777" w:rsidR="00A508A2" w:rsidRPr="00DD0D1F" w:rsidRDefault="00A508A2" w:rsidP="00FF111D">
      <w:pPr>
        <w:pStyle w:val="Balk3"/>
        <w:keepNext w:val="0"/>
        <w:keepLines w:val="0"/>
        <w:widowControl w:val="0"/>
        <w:numPr>
          <w:ilvl w:val="1"/>
          <w:numId w:val="114"/>
        </w:numPr>
        <w:tabs>
          <w:tab w:val="left" w:pos="1585"/>
          <w:tab w:val="left" w:pos="1586"/>
        </w:tabs>
        <w:autoSpaceDE w:val="0"/>
        <w:autoSpaceDN w:val="0"/>
        <w:spacing w:before="253" w:after="0" w:line="240" w:lineRule="auto"/>
        <w:jc w:val="left"/>
        <w:rPr>
          <w:rFonts w:cs="Times New Roman"/>
          <w:lang w:val="tr-TR"/>
        </w:rPr>
      </w:pPr>
      <w:r w:rsidRPr="00DD0D1F">
        <w:rPr>
          <w:rFonts w:cs="Times New Roman"/>
          <w:lang w:val="tr-TR"/>
        </w:rPr>
        <w:t>Toz</w:t>
      </w:r>
    </w:p>
    <w:p w14:paraId="6275A9D8" w14:textId="77777777" w:rsidR="00A508A2" w:rsidRPr="00DD0D1F" w:rsidRDefault="00A508A2" w:rsidP="00A508A2">
      <w:pPr>
        <w:pStyle w:val="Balk3"/>
        <w:tabs>
          <w:tab w:val="left" w:pos="1585"/>
          <w:tab w:val="left" w:pos="1586"/>
        </w:tabs>
        <w:spacing w:before="253"/>
        <w:ind w:left="420" w:firstLine="0"/>
        <w:rPr>
          <w:rFonts w:cs="Times New Roman"/>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1"/>
        <w:gridCol w:w="6276"/>
      </w:tblGrid>
      <w:tr w:rsidR="00A508A2" w:rsidRPr="00DD0D1F" w14:paraId="710FE8AC" w14:textId="77777777" w:rsidTr="00A508A2">
        <w:trPr>
          <w:trHeight w:val="285"/>
        </w:trPr>
        <w:tc>
          <w:tcPr>
            <w:tcW w:w="1543" w:type="pct"/>
          </w:tcPr>
          <w:p w14:paraId="5701AB2B" w14:textId="77777777" w:rsidR="00A508A2" w:rsidRPr="00DD0D1F" w:rsidRDefault="00A508A2" w:rsidP="00A508A2">
            <w:pPr>
              <w:pStyle w:val="TableParagraph"/>
              <w:spacing w:before="26"/>
              <w:ind w:left="881"/>
              <w:rPr>
                <w:b/>
                <w:szCs w:val="24"/>
              </w:rPr>
            </w:pPr>
            <w:r w:rsidRPr="00DD0D1F">
              <w:rPr>
                <w:b/>
                <w:bCs/>
                <w:szCs w:val="24"/>
              </w:rPr>
              <w:t>Teknik</w:t>
            </w:r>
          </w:p>
        </w:tc>
        <w:tc>
          <w:tcPr>
            <w:tcW w:w="3457" w:type="pct"/>
          </w:tcPr>
          <w:p w14:paraId="76107971" w14:textId="77777777" w:rsidR="00A508A2" w:rsidRPr="00DD0D1F" w:rsidRDefault="00A508A2" w:rsidP="00A508A2">
            <w:pPr>
              <w:pStyle w:val="TableParagraph"/>
              <w:spacing w:before="26"/>
              <w:ind w:left="2513" w:right="2398"/>
              <w:jc w:val="center"/>
              <w:rPr>
                <w:b/>
                <w:szCs w:val="24"/>
              </w:rPr>
            </w:pPr>
            <w:r w:rsidRPr="00DD0D1F">
              <w:rPr>
                <w:b/>
                <w:bCs/>
                <w:szCs w:val="24"/>
              </w:rPr>
              <w:t>Tanım</w:t>
            </w:r>
          </w:p>
        </w:tc>
      </w:tr>
      <w:tr w:rsidR="00A508A2" w:rsidRPr="00DD0D1F" w14:paraId="59D63986" w14:textId="77777777" w:rsidTr="00A508A2">
        <w:trPr>
          <w:trHeight w:val="2529"/>
        </w:trPr>
        <w:tc>
          <w:tcPr>
            <w:tcW w:w="1543" w:type="pct"/>
          </w:tcPr>
          <w:p w14:paraId="0A5DFBCF" w14:textId="77777777" w:rsidR="00A508A2" w:rsidRPr="00DD0D1F" w:rsidRDefault="00A508A2" w:rsidP="00A508A2">
            <w:pPr>
              <w:pStyle w:val="TableParagraph"/>
              <w:rPr>
                <w:b/>
                <w:szCs w:val="24"/>
              </w:rPr>
            </w:pPr>
          </w:p>
          <w:p w14:paraId="5291E846" w14:textId="77777777" w:rsidR="00A508A2" w:rsidRPr="00DD0D1F" w:rsidRDefault="00A508A2" w:rsidP="00A508A2">
            <w:pPr>
              <w:pStyle w:val="TableParagraph"/>
              <w:rPr>
                <w:b/>
                <w:szCs w:val="24"/>
              </w:rPr>
            </w:pPr>
          </w:p>
          <w:p w14:paraId="4288A87C" w14:textId="77777777" w:rsidR="00A508A2" w:rsidRPr="00DD0D1F" w:rsidRDefault="00A508A2" w:rsidP="00A508A2">
            <w:pPr>
              <w:pStyle w:val="TableParagraph"/>
              <w:rPr>
                <w:b/>
                <w:szCs w:val="24"/>
              </w:rPr>
            </w:pPr>
          </w:p>
          <w:p w14:paraId="0FB47BD6" w14:textId="77777777" w:rsidR="00A508A2" w:rsidRPr="00DD0D1F" w:rsidRDefault="00A508A2" w:rsidP="00A508A2">
            <w:pPr>
              <w:pStyle w:val="TableParagraph"/>
              <w:spacing w:before="4"/>
              <w:rPr>
                <w:b/>
                <w:szCs w:val="24"/>
              </w:rPr>
            </w:pPr>
          </w:p>
          <w:p w14:paraId="19FF6B9B" w14:textId="77777777" w:rsidR="00A508A2" w:rsidRPr="00DD0D1F" w:rsidRDefault="00A508A2" w:rsidP="00A508A2">
            <w:pPr>
              <w:pStyle w:val="TableParagraph"/>
              <w:tabs>
                <w:tab w:val="left" w:pos="1625"/>
              </w:tabs>
              <w:ind w:left="110" w:right="96"/>
              <w:rPr>
                <w:szCs w:val="24"/>
              </w:rPr>
            </w:pPr>
            <w:r w:rsidRPr="00DD0D1F">
              <w:rPr>
                <w:szCs w:val="24"/>
              </w:rPr>
              <w:t>Elektrostatik çöktürücü (ESP)</w:t>
            </w:r>
          </w:p>
        </w:tc>
        <w:tc>
          <w:tcPr>
            <w:tcW w:w="3457" w:type="pct"/>
          </w:tcPr>
          <w:p w14:paraId="76CFC8E3" w14:textId="77777777" w:rsidR="00A508A2" w:rsidRPr="00DD0D1F" w:rsidRDefault="00A508A2" w:rsidP="00A508A2">
            <w:pPr>
              <w:pStyle w:val="TableParagraph"/>
              <w:ind w:left="107" w:right="101"/>
              <w:rPr>
                <w:szCs w:val="24"/>
              </w:rPr>
            </w:pPr>
            <w:r w:rsidRPr="00DD0D1F">
              <w:rPr>
                <w:szCs w:val="24"/>
              </w:rPr>
              <w:t>Elektrostatik çöktürücüler, partiküllerin elektrik alanının etkisi altında yüklendikleri ve ayrıştırıldıkları bir şekilde çalışır. Elektrostatik çöktürücüler çok çeşitli koşullarda çalışabilirler. Azaltım verimi; sahaların adedine, kalma süresine (büyüklüğüne), katalizör hususiyetlerine ve üretim yönündeki partikül giderme cihazlarına bağlı olabilmektedir. FCC birimlerinde 3 alanlı ESP'ler ile 4 alanlı ESP'ler yaygın olarak kullanılır. ESP'ler kuru kipte veya partikül toplanmasını iyileştirmeye dönük amonyak püskürtmesiyle çalışırlar.</w:t>
            </w:r>
          </w:p>
          <w:p w14:paraId="1C5A936B" w14:textId="77777777" w:rsidR="00A508A2" w:rsidRPr="00DD0D1F" w:rsidRDefault="00A508A2" w:rsidP="00A508A2">
            <w:pPr>
              <w:pStyle w:val="TableParagraph"/>
              <w:ind w:left="107" w:right="101"/>
              <w:rPr>
                <w:szCs w:val="24"/>
              </w:rPr>
            </w:pPr>
            <w:r w:rsidRPr="00DD0D1F">
              <w:rPr>
                <w:szCs w:val="24"/>
              </w:rPr>
              <w:t>Yeşil kokun kireçleştirmesi ile ilgili olarak ESP'nin yakalama verimi, kok partiküllerinin elektrikle yüklenmesindeki zorluk nedeniyle azalabilmektedir</w:t>
            </w:r>
          </w:p>
        </w:tc>
      </w:tr>
      <w:tr w:rsidR="00A508A2" w:rsidRPr="00DD0D1F" w14:paraId="204B66B6" w14:textId="77777777" w:rsidTr="00A508A2">
        <w:trPr>
          <w:trHeight w:val="1379"/>
        </w:trPr>
        <w:tc>
          <w:tcPr>
            <w:tcW w:w="1543" w:type="pct"/>
          </w:tcPr>
          <w:p w14:paraId="0A69B8BA" w14:textId="77777777" w:rsidR="00A508A2" w:rsidRPr="00DD0D1F" w:rsidRDefault="00A508A2" w:rsidP="00A508A2">
            <w:pPr>
              <w:pStyle w:val="TableParagraph"/>
              <w:rPr>
                <w:b/>
                <w:szCs w:val="24"/>
              </w:rPr>
            </w:pPr>
          </w:p>
          <w:p w14:paraId="14E07264" w14:textId="77777777" w:rsidR="00A508A2" w:rsidRPr="00DD0D1F" w:rsidRDefault="00A508A2" w:rsidP="00A508A2">
            <w:pPr>
              <w:pStyle w:val="TableParagraph"/>
              <w:spacing w:before="5"/>
              <w:rPr>
                <w:b/>
                <w:szCs w:val="24"/>
              </w:rPr>
            </w:pPr>
          </w:p>
          <w:p w14:paraId="0191305D" w14:textId="77777777" w:rsidR="00A508A2" w:rsidRPr="00DD0D1F" w:rsidRDefault="00A508A2" w:rsidP="00A508A2">
            <w:pPr>
              <w:pStyle w:val="TableParagraph"/>
              <w:ind w:left="110"/>
              <w:rPr>
                <w:szCs w:val="24"/>
              </w:rPr>
            </w:pPr>
            <w:r w:rsidRPr="00DD0D1F">
              <w:rPr>
                <w:szCs w:val="24"/>
              </w:rPr>
              <w:t>Çok kademeli siklon ayırıcılar</w:t>
            </w:r>
          </w:p>
        </w:tc>
        <w:tc>
          <w:tcPr>
            <w:tcW w:w="3457" w:type="pct"/>
          </w:tcPr>
          <w:p w14:paraId="39F8FE95" w14:textId="77777777" w:rsidR="00A508A2" w:rsidRPr="00DD0D1F" w:rsidRDefault="00A508A2" w:rsidP="00A508A2">
            <w:pPr>
              <w:pStyle w:val="TableParagraph"/>
              <w:ind w:left="107" w:right="101"/>
              <w:jc w:val="both"/>
              <w:rPr>
                <w:szCs w:val="24"/>
              </w:rPr>
            </w:pPr>
            <w:r w:rsidRPr="00DD0D1F">
              <w:rPr>
                <w:szCs w:val="24"/>
              </w:rPr>
              <w:t>İki siklon kademesinden sonra tesis edilen siklonik toplama cihazı veya sistemidir. Genellikle üçüncü kademe ayırıcı olarak bilinir, yaygın konfigürasyonda birden fazla konvansiyonel siklonları veya gelişmiş helezoni boruyu içeren tek bir kaptan meydana gelir. FCC ile ilgili olarak performans büyük oranda partikül yoğunluğuna ve ince katalizör tanelerinin rejeneratörün dahili siklonlarında boyuta göre dağılmasına bağlıdır</w:t>
            </w:r>
          </w:p>
        </w:tc>
      </w:tr>
      <w:tr w:rsidR="00A508A2" w:rsidRPr="00DD0D1F" w14:paraId="3FFA14D3" w14:textId="77777777" w:rsidTr="00A508A2">
        <w:trPr>
          <w:trHeight w:val="460"/>
        </w:trPr>
        <w:tc>
          <w:tcPr>
            <w:tcW w:w="1543" w:type="pct"/>
          </w:tcPr>
          <w:p w14:paraId="07B00520" w14:textId="77777777" w:rsidR="00A508A2" w:rsidRPr="00DD0D1F" w:rsidRDefault="00A508A2" w:rsidP="00A508A2">
            <w:pPr>
              <w:pStyle w:val="TableParagraph"/>
              <w:spacing w:before="108"/>
              <w:ind w:left="110"/>
              <w:rPr>
                <w:szCs w:val="24"/>
              </w:rPr>
            </w:pPr>
            <w:r w:rsidRPr="00DD0D1F">
              <w:rPr>
                <w:szCs w:val="24"/>
              </w:rPr>
              <w:t>Santrifüjlü yıkayıcılar</w:t>
            </w:r>
          </w:p>
        </w:tc>
        <w:tc>
          <w:tcPr>
            <w:tcW w:w="3457" w:type="pct"/>
          </w:tcPr>
          <w:p w14:paraId="06C1482A" w14:textId="77777777" w:rsidR="00A508A2" w:rsidRPr="00DD0D1F" w:rsidRDefault="00A508A2" w:rsidP="00A508A2">
            <w:pPr>
              <w:pStyle w:val="TableParagraph"/>
              <w:spacing w:line="223" w:lineRule="exact"/>
              <w:ind w:left="107"/>
              <w:rPr>
                <w:szCs w:val="24"/>
              </w:rPr>
            </w:pPr>
            <w:r w:rsidRPr="00DD0D1F">
              <w:rPr>
                <w:szCs w:val="24"/>
              </w:rPr>
              <w:t>Santrifüjlü yıkayıcılar; siklon ilkesini ve suyla yoğun teması bir araya getirirler, ör. venturi yıkayıcı</w:t>
            </w:r>
          </w:p>
        </w:tc>
      </w:tr>
      <w:tr w:rsidR="00A508A2" w:rsidRPr="00DD0D1F" w14:paraId="268040BC" w14:textId="77777777" w:rsidTr="00A508A2">
        <w:trPr>
          <w:trHeight w:val="921"/>
        </w:trPr>
        <w:tc>
          <w:tcPr>
            <w:tcW w:w="1543" w:type="pct"/>
          </w:tcPr>
          <w:p w14:paraId="77FDCAE0" w14:textId="77777777" w:rsidR="00A508A2" w:rsidRPr="00DD0D1F" w:rsidRDefault="00A508A2" w:rsidP="00A508A2">
            <w:pPr>
              <w:pStyle w:val="TableParagraph"/>
              <w:spacing w:before="5"/>
              <w:rPr>
                <w:b/>
                <w:szCs w:val="24"/>
              </w:rPr>
            </w:pPr>
          </w:p>
          <w:p w14:paraId="5E5CE69D" w14:textId="77777777" w:rsidR="00A508A2" w:rsidRPr="00DD0D1F" w:rsidRDefault="00A508A2" w:rsidP="00A508A2">
            <w:pPr>
              <w:pStyle w:val="TableParagraph"/>
              <w:ind w:left="110"/>
              <w:rPr>
                <w:szCs w:val="24"/>
              </w:rPr>
            </w:pPr>
            <w:r w:rsidRPr="00DD0D1F">
              <w:rPr>
                <w:szCs w:val="24"/>
              </w:rPr>
              <w:t>Üçüncü kademe geri tepme filtresi</w:t>
            </w:r>
          </w:p>
        </w:tc>
        <w:tc>
          <w:tcPr>
            <w:tcW w:w="3457" w:type="pct"/>
          </w:tcPr>
          <w:p w14:paraId="2D07FCF6" w14:textId="77777777" w:rsidR="00A508A2" w:rsidRPr="00DD0D1F" w:rsidRDefault="00A508A2" w:rsidP="00A508A2">
            <w:pPr>
              <w:pStyle w:val="TableParagraph"/>
              <w:ind w:left="107" w:right="105"/>
              <w:jc w:val="both"/>
              <w:rPr>
                <w:szCs w:val="24"/>
              </w:rPr>
            </w:pPr>
            <w:r w:rsidRPr="00DD0D1F">
              <w:rPr>
                <w:szCs w:val="24"/>
              </w:rPr>
              <w:t>Yüzeyde kek olarak tutulan katıların ters akımın devreye alınması suretiyle yer değiştirdikleri geri akışlı seramik veya sinterli metal filtrelerdir. Yer değiştiren katılar daha sonra filtre sisteminden tahliye edilirler</w:t>
            </w:r>
          </w:p>
        </w:tc>
      </w:tr>
    </w:tbl>
    <w:p w14:paraId="21403E32" w14:textId="77777777" w:rsidR="00A508A2" w:rsidRPr="00DD0D1F" w:rsidRDefault="00A508A2" w:rsidP="00A508A2">
      <w:pPr>
        <w:pStyle w:val="Balk3"/>
        <w:tabs>
          <w:tab w:val="left" w:pos="1585"/>
          <w:tab w:val="left" w:pos="1586"/>
        </w:tabs>
        <w:spacing w:before="253"/>
        <w:rPr>
          <w:rFonts w:cs="Times New Roman"/>
          <w:lang w:val="tr-TR"/>
        </w:rPr>
      </w:pPr>
    </w:p>
    <w:p w14:paraId="389ECC19" w14:textId="77777777" w:rsidR="00A508A2" w:rsidRPr="00DD0D1F" w:rsidRDefault="00A508A2" w:rsidP="00FF111D">
      <w:pPr>
        <w:pStyle w:val="ListeParagraf"/>
        <w:widowControl w:val="0"/>
        <w:numPr>
          <w:ilvl w:val="1"/>
          <w:numId w:val="114"/>
        </w:numPr>
        <w:tabs>
          <w:tab w:val="left" w:pos="2721"/>
          <w:tab w:val="left" w:pos="2722"/>
        </w:tabs>
        <w:autoSpaceDE w:val="0"/>
        <w:autoSpaceDN w:val="0"/>
        <w:spacing w:before="159" w:line="240" w:lineRule="auto"/>
        <w:contextualSpacing w:val="0"/>
        <w:jc w:val="left"/>
        <w:rPr>
          <w:rFonts w:cs="Times New Roman"/>
          <w:b/>
          <w:szCs w:val="24"/>
          <w:lang w:val="tr-TR"/>
        </w:rPr>
      </w:pPr>
      <w:r w:rsidRPr="00DD0D1F">
        <w:rPr>
          <w:rFonts w:cs="Times New Roman"/>
          <w:b/>
          <w:bCs/>
          <w:szCs w:val="24"/>
          <w:lang w:val="tr-TR"/>
        </w:rPr>
        <w:t>Azot oksitler (NO</w:t>
      </w:r>
      <w:r w:rsidRPr="00DD0D1F">
        <w:rPr>
          <w:rFonts w:cs="Times New Roman"/>
          <w:b/>
          <w:bCs/>
          <w:szCs w:val="24"/>
          <w:vertAlign w:val="subscript"/>
          <w:lang w:val="tr-TR"/>
        </w:rPr>
        <w:t>X</w:t>
      </w:r>
      <w:r w:rsidRPr="00DD0D1F">
        <w:rPr>
          <w:rFonts w:cs="Times New Roman"/>
          <w:b/>
          <w:bCs/>
          <w:szCs w:val="24"/>
          <w:lang w:val="tr-TR"/>
        </w:rPr>
        <w:t>)</w:t>
      </w:r>
    </w:p>
    <w:p w14:paraId="3F089CF2" w14:textId="77777777" w:rsidR="00A508A2" w:rsidRPr="00DD0D1F" w:rsidRDefault="00A508A2" w:rsidP="00A508A2">
      <w:pPr>
        <w:pStyle w:val="GvdeMetni"/>
        <w:spacing w:before="5"/>
        <w:rPr>
          <w:b/>
          <w:sz w:val="24"/>
          <w:szCs w:val="24"/>
        </w:rPr>
      </w:pPr>
      <w:bookmarkStart w:id="259" w:name="_bookmark924"/>
      <w:bookmarkStart w:id="260" w:name="5.20.2_Nitrogen_oxides_(NOX)"/>
      <w:bookmarkEnd w:id="259"/>
      <w:bookmarkEnd w:id="260"/>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61"/>
        <w:gridCol w:w="6216"/>
      </w:tblGrid>
      <w:tr w:rsidR="00A508A2" w:rsidRPr="00DD0D1F" w14:paraId="6DD0E352" w14:textId="77777777" w:rsidTr="00A508A2">
        <w:trPr>
          <w:trHeight w:val="280"/>
        </w:trPr>
        <w:tc>
          <w:tcPr>
            <w:tcW w:w="1576" w:type="pct"/>
            <w:tcBorders>
              <w:left w:val="single" w:sz="4" w:space="0" w:color="000000"/>
              <w:bottom w:val="single" w:sz="4" w:space="0" w:color="000000"/>
              <w:right w:val="single" w:sz="4" w:space="0" w:color="000000"/>
            </w:tcBorders>
          </w:tcPr>
          <w:p w14:paraId="4879BCCA" w14:textId="77777777" w:rsidR="00A508A2" w:rsidRPr="00DD0D1F" w:rsidRDefault="00A508A2" w:rsidP="00A508A2">
            <w:pPr>
              <w:pStyle w:val="TableParagraph"/>
              <w:spacing w:before="22"/>
              <w:ind w:left="901" w:right="896"/>
              <w:jc w:val="center"/>
              <w:rPr>
                <w:b/>
                <w:szCs w:val="24"/>
              </w:rPr>
            </w:pPr>
            <w:r w:rsidRPr="00DD0D1F">
              <w:rPr>
                <w:b/>
                <w:bCs/>
                <w:szCs w:val="24"/>
              </w:rPr>
              <w:t>Teknik</w:t>
            </w:r>
          </w:p>
        </w:tc>
        <w:tc>
          <w:tcPr>
            <w:tcW w:w="3424" w:type="pct"/>
            <w:tcBorders>
              <w:left w:val="single" w:sz="4" w:space="0" w:color="000000"/>
              <w:bottom w:val="single" w:sz="4" w:space="0" w:color="000000"/>
              <w:right w:val="single" w:sz="4" w:space="0" w:color="000000"/>
            </w:tcBorders>
          </w:tcPr>
          <w:p w14:paraId="014C792A" w14:textId="77777777" w:rsidR="00A508A2" w:rsidRPr="00DD0D1F" w:rsidRDefault="00A508A2" w:rsidP="00A508A2">
            <w:pPr>
              <w:pStyle w:val="TableParagraph"/>
              <w:spacing w:before="22"/>
              <w:ind w:left="2340" w:right="2227"/>
              <w:jc w:val="center"/>
              <w:rPr>
                <w:b/>
                <w:szCs w:val="24"/>
              </w:rPr>
            </w:pPr>
            <w:r w:rsidRPr="00DD0D1F">
              <w:rPr>
                <w:b/>
                <w:bCs/>
                <w:szCs w:val="24"/>
              </w:rPr>
              <w:t>Tanım</w:t>
            </w:r>
          </w:p>
        </w:tc>
      </w:tr>
      <w:tr w:rsidR="00A508A2" w:rsidRPr="00DD0D1F" w14:paraId="01DD2D0C" w14:textId="77777777" w:rsidTr="00A508A2">
        <w:trPr>
          <w:trHeight w:val="285"/>
        </w:trPr>
        <w:tc>
          <w:tcPr>
            <w:tcW w:w="5000" w:type="pct"/>
            <w:gridSpan w:val="2"/>
            <w:tcBorders>
              <w:top w:val="single" w:sz="4" w:space="0" w:color="000000"/>
              <w:left w:val="single" w:sz="4" w:space="0" w:color="000000"/>
              <w:bottom w:val="single" w:sz="4" w:space="0" w:color="000000"/>
              <w:right w:val="single" w:sz="4" w:space="0" w:color="000000"/>
            </w:tcBorders>
          </w:tcPr>
          <w:p w14:paraId="01ADC14C" w14:textId="77777777" w:rsidR="00A508A2" w:rsidRPr="00DD0D1F" w:rsidRDefault="00A508A2" w:rsidP="00A508A2">
            <w:pPr>
              <w:pStyle w:val="TableParagraph"/>
              <w:spacing w:before="22"/>
              <w:ind w:left="107"/>
              <w:rPr>
                <w:szCs w:val="24"/>
              </w:rPr>
            </w:pPr>
            <w:r w:rsidRPr="00DD0D1F">
              <w:rPr>
                <w:szCs w:val="24"/>
              </w:rPr>
              <w:t>Yanma modifikasyonları</w:t>
            </w:r>
          </w:p>
        </w:tc>
      </w:tr>
      <w:tr w:rsidR="00A508A2" w:rsidRPr="00DD0D1F" w14:paraId="046E1967" w14:textId="77777777" w:rsidTr="00A508A2">
        <w:trPr>
          <w:trHeight w:val="1408"/>
        </w:trPr>
        <w:tc>
          <w:tcPr>
            <w:tcW w:w="1576" w:type="pct"/>
            <w:tcBorders>
              <w:top w:val="single" w:sz="4" w:space="0" w:color="000000"/>
              <w:left w:val="single" w:sz="4" w:space="0" w:color="000000"/>
              <w:bottom w:val="single" w:sz="4" w:space="0" w:color="000000"/>
              <w:right w:val="single" w:sz="4" w:space="0" w:color="000000"/>
            </w:tcBorders>
          </w:tcPr>
          <w:p w14:paraId="1D15CDD3" w14:textId="77777777" w:rsidR="00A508A2" w:rsidRPr="00DD0D1F" w:rsidRDefault="00A508A2" w:rsidP="00A508A2">
            <w:pPr>
              <w:pStyle w:val="TableParagraph"/>
              <w:rPr>
                <w:b/>
                <w:szCs w:val="24"/>
              </w:rPr>
            </w:pPr>
          </w:p>
          <w:p w14:paraId="6885E56C" w14:textId="77777777" w:rsidR="00A508A2" w:rsidRPr="00DD0D1F" w:rsidRDefault="00A508A2" w:rsidP="00A508A2">
            <w:pPr>
              <w:pStyle w:val="TableParagraph"/>
              <w:spacing w:before="8"/>
              <w:rPr>
                <w:b/>
                <w:szCs w:val="24"/>
              </w:rPr>
            </w:pPr>
          </w:p>
          <w:p w14:paraId="73BF4742" w14:textId="77777777" w:rsidR="00A508A2" w:rsidRPr="00DD0D1F" w:rsidRDefault="00A508A2" w:rsidP="00A508A2">
            <w:pPr>
              <w:pStyle w:val="TableParagraph"/>
              <w:ind w:left="218"/>
              <w:rPr>
                <w:szCs w:val="24"/>
              </w:rPr>
            </w:pPr>
            <w:r w:rsidRPr="00DD0D1F">
              <w:rPr>
                <w:szCs w:val="24"/>
              </w:rPr>
              <w:t>Kademeli yanma</w:t>
            </w:r>
          </w:p>
        </w:tc>
        <w:tc>
          <w:tcPr>
            <w:tcW w:w="3424" w:type="pct"/>
            <w:tcBorders>
              <w:top w:val="single" w:sz="4" w:space="0" w:color="000000"/>
              <w:left w:val="single" w:sz="4" w:space="0" w:color="000000"/>
              <w:bottom w:val="single" w:sz="4" w:space="0" w:color="000000"/>
              <w:right w:val="single" w:sz="4" w:space="0" w:color="000000"/>
            </w:tcBorders>
          </w:tcPr>
          <w:p w14:paraId="0C1DA5D1" w14:textId="77777777" w:rsidR="00A508A2" w:rsidRPr="00DD0D1F" w:rsidRDefault="00A508A2" w:rsidP="00FF111D">
            <w:pPr>
              <w:pStyle w:val="TableParagraph"/>
              <w:numPr>
                <w:ilvl w:val="0"/>
                <w:numId w:val="85"/>
              </w:numPr>
              <w:tabs>
                <w:tab w:val="left" w:pos="588"/>
              </w:tabs>
              <w:ind w:right="105"/>
              <w:jc w:val="both"/>
              <w:rPr>
                <w:szCs w:val="24"/>
              </w:rPr>
            </w:pPr>
            <w:r w:rsidRPr="00DD0D1F">
              <w:rPr>
                <w:szCs w:val="24"/>
              </w:rPr>
              <w:t>Hava kademelendirmesi - birinci adım olarak substokiyometrik yakmayı ve ardından yanmanın tamamlanması için fırına geri kalan havanın veya oksijenin verilmesini kapsar.</w:t>
            </w:r>
          </w:p>
          <w:p w14:paraId="686EF9B2" w14:textId="77777777" w:rsidR="00A508A2" w:rsidRPr="00DD0D1F" w:rsidRDefault="00A508A2" w:rsidP="00FF111D">
            <w:pPr>
              <w:pStyle w:val="TableParagraph"/>
              <w:numPr>
                <w:ilvl w:val="0"/>
                <w:numId w:val="85"/>
              </w:numPr>
              <w:tabs>
                <w:tab w:val="left" w:pos="588"/>
              </w:tabs>
              <w:spacing w:line="237" w:lineRule="auto"/>
              <w:ind w:right="105"/>
              <w:jc w:val="both"/>
              <w:rPr>
                <w:szCs w:val="24"/>
              </w:rPr>
            </w:pPr>
            <w:r w:rsidRPr="00DD0D1F">
              <w:rPr>
                <w:szCs w:val="24"/>
              </w:rPr>
              <w:t>Yakıt kademelendirmesi - port boynunda düşük darbeli birincil alev meydana getirilir; birincil alevin kökünü kaplayan ikincil alev, çekirdek sıcaklığını düşürür.</w:t>
            </w:r>
          </w:p>
        </w:tc>
      </w:tr>
      <w:tr w:rsidR="00A508A2" w:rsidRPr="00DD0D1F" w14:paraId="4245E579" w14:textId="77777777" w:rsidTr="00A508A2">
        <w:trPr>
          <w:trHeight w:val="1149"/>
        </w:trPr>
        <w:tc>
          <w:tcPr>
            <w:tcW w:w="1576" w:type="pct"/>
            <w:tcBorders>
              <w:top w:val="single" w:sz="4" w:space="0" w:color="000000"/>
              <w:left w:val="single" w:sz="4" w:space="0" w:color="000000"/>
              <w:bottom w:val="single" w:sz="4" w:space="0" w:color="000000"/>
              <w:right w:val="single" w:sz="4" w:space="0" w:color="000000"/>
            </w:tcBorders>
          </w:tcPr>
          <w:p w14:paraId="0ED141F0" w14:textId="77777777" w:rsidR="00A508A2" w:rsidRPr="00DD0D1F" w:rsidRDefault="00A508A2" w:rsidP="00A508A2">
            <w:pPr>
              <w:pStyle w:val="TableParagraph"/>
              <w:rPr>
                <w:b/>
                <w:szCs w:val="24"/>
              </w:rPr>
            </w:pPr>
          </w:p>
          <w:p w14:paraId="0CDB4C89" w14:textId="77777777" w:rsidR="00A508A2" w:rsidRPr="00DD0D1F" w:rsidRDefault="00A508A2" w:rsidP="00A508A2">
            <w:pPr>
              <w:pStyle w:val="TableParagraph"/>
              <w:spacing w:before="5"/>
              <w:rPr>
                <w:b/>
                <w:szCs w:val="24"/>
              </w:rPr>
            </w:pPr>
          </w:p>
          <w:p w14:paraId="5413EE06" w14:textId="10FD1B0A" w:rsidR="00A508A2" w:rsidRPr="00DD0D1F" w:rsidRDefault="00E00B0A" w:rsidP="00A508A2">
            <w:pPr>
              <w:pStyle w:val="TableParagraph"/>
              <w:ind w:left="218"/>
              <w:rPr>
                <w:szCs w:val="24"/>
              </w:rPr>
            </w:pPr>
            <w:r w:rsidRPr="00DD0D1F">
              <w:rPr>
                <w:szCs w:val="24"/>
              </w:rPr>
              <w:t>Baca</w:t>
            </w:r>
            <w:r w:rsidR="00A508A2" w:rsidRPr="00DD0D1F">
              <w:rPr>
                <w:szCs w:val="24"/>
              </w:rPr>
              <w:t xml:space="preserve"> gazı devridaimi</w:t>
            </w:r>
          </w:p>
        </w:tc>
        <w:tc>
          <w:tcPr>
            <w:tcW w:w="3424" w:type="pct"/>
            <w:tcBorders>
              <w:top w:val="single" w:sz="4" w:space="0" w:color="000000"/>
              <w:left w:val="single" w:sz="4" w:space="0" w:color="000000"/>
              <w:bottom w:val="single" w:sz="4" w:space="0" w:color="000000"/>
              <w:right w:val="single" w:sz="4" w:space="0" w:color="000000"/>
            </w:tcBorders>
          </w:tcPr>
          <w:p w14:paraId="1B9F363F" w14:textId="77777777" w:rsidR="00A508A2" w:rsidRPr="00DD0D1F" w:rsidRDefault="00A508A2" w:rsidP="00A508A2">
            <w:pPr>
              <w:pStyle w:val="TableParagraph"/>
              <w:ind w:left="107"/>
              <w:rPr>
                <w:szCs w:val="24"/>
              </w:rPr>
            </w:pPr>
            <w:r w:rsidRPr="00DD0D1F">
              <w:rPr>
                <w:szCs w:val="24"/>
              </w:rPr>
              <w:t>Atık gazın, oksijen içeriğini ve dolayısıyla alevin sıcaklığını azaltmak için fırından aleve yeniden püskürtülmesi.</w:t>
            </w:r>
          </w:p>
          <w:p w14:paraId="45F0CF1A" w14:textId="77777777" w:rsidR="00A508A2" w:rsidRPr="00DD0D1F" w:rsidRDefault="00A508A2" w:rsidP="00A508A2">
            <w:pPr>
              <w:pStyle w:val="TableParagraph"/>
              <w:ind w:left="107"/>
              <w:rPr>
                <w:szCs w:val="24"/>
              </w:rPr>
            </w:pPr>
            <w:r w:rsidRPr="00DD0D1F">
              <w:rPr>
                <w:szCs w:val="24"/>
              </w:rPr>
              <w:t>Alevlerin kökünü soğutmak ve alevlerin en sıcak noktasındaki oksijen içeriğini düşürmek için yanma gazlarının dahili devridaiminden yararlanan özel brülörler</w:t>
            </w:r>
          </w:p>
        </w:tc>
      </w:tr>
      <w:tr w:rsidR="00A508A2" w:rsidRPr="00DD0D1F" w14:paraId="705A2D95" w14:textId="77777777" w:rsidTr="00A508A2">
        <w:trPr>
          <w:trHeight w:val="1610"/>
        </w:trPr>
        <w:tc>
          <w:tcPr>
            <w:tcW w:w="1576" w:type="pct"/>
            <w:tcBorders>
              <w:top w:val="single" w:sz="4" w:space="0" w:color="000000"/>
              <w:left w:val="single" w:sz="4" w:space="0" w:color="000000"/>
              <w:bottom w:val="single" w:sz="4" w:space="0" w:color="000000"/>
              <w:right w:val="single" w:sz="4" w:space="0" w:color="000000"/>
            </w:tcBorders>
          </w:tcPr>
          <w:p w14:paraId="0E81224F" w14:textId="77777777" w:rsidR="00A508A2" w:rsidRPr="00DD0D1F" w:rsidRDefault="00A508A2" w:rsidP="00A508A2">
            <w:pPr>
              <w:pStyle w:val="TableParagraph"/>
              <w:rPr>
                <w:b/>
                <w:szCs w:val="24"/>
              </w:rPr>
            </w:pPr>
          </w:p>
          <w:p w14:paraId="0B0DF1E4" w14:textId="77777777" w:rsidR="00A508A2" w:rsidRPr="00DD0D1F" w:rsidRDefault="00A508A2" w:rsidP="00A508A2">
            <w:pPr>
              <w:pStyle w:val="TableParagraph"/>
              <w:spacing w:before="6"/>
              <w:rPr>
                <w:b/>
                <w:szCs w:val="24"/>
              </w:rPr>
            </w:pPr>
          </w:p>
          <w:p w14:paraId="31056C5B" w14:textId="77777777" w:rsidR="00A508A2" w:rsidRPr="00DD0D1F" w:rsidRDefault="00A508A2" w:rsidP="00A508A2">
            <w:pPr>
              <w:pStyle w:val="TableParagraph"/>
              <w:ind w:left="218"/>
              <w:rPr>
                <w:szCs w:val="24"/>
              </w:rPr>
            </w:pPr>
            <w:r w:rsidRPr="00DD0D1F">
              <w:rPr>
                <w:szCs w:val="24"/>
              </w:rPr>
              <w:t>Düşük NO</w:t>
            </w:r>
            <w:r w:rsidRPr="00DD0D1F">
              <w:rPr>
                <w:szCs w:val="24"/>
                <w:vertAlign w:val="subscript"/>
              </w:rPr>
              <w:t>X</w:t>
            </w:r>
            <w:r w:rsidRPr="00DD0D1F">
              <w:rPr>
                <w:szCs w:val="24"/>
              </w:rPr>
              <w:t xml:space="preserve"> brülörlerin (LNB) kullanımı</w:t>
            </w:r>
          </w:p>
        </w:tc>
        <w:tc>
          <w:tcPr>
            <w:tcW w:w="3424" w:type="pct"/>
            <w:tcBorders>
              <w:top w:val="single" w:sz="4" w:space="0" w:color="000000"/>
              <w:left w:val="single" w:sz="4" w:space="0" w:color="000000"/>
              <w:bottom w:val="single" w:sz="4" w:space="0" w:color="000000"/>
              <w:right w:val="single" w:sz="4" w:space="0" w:color="000000"/>
            </w:tcBorders>
          </w:tcPr>
          <w:p w14:paraId="381A9F33" w14:textId="65D062AF" w:rsidR="00A508A2" w:rsidRPr="00DD0D1F" w:rsidRDefault="00A508A2" w:rsidP="00A508A2">
            <w:pPr>
              <w:pStyle w:val="TableParagraph"/>
              <w:ind w:left="107" w:right="98"/>
              <w:jc w:val="both"/>
              <w:rPr>
                <w:szCs w:val="24"/>
              </w:rPr>
            </w:pPr>
            <w:r w:rsidRPr="00DD0D1F">
              <w:rPr>
                <w:szCs w:val="24"/>
              </w:rPr>
              <w:t>Bu teknik (ultra düşük NO</w:t>
            </w:r>
            <w:r w:rsidRPr="00DD0D1F">
              <w:rPr>
                <w:szCs w:val="24"/>
                <w:vertAlign w:val="subscript"/>
              </w:rPr>
              <w:t xml:space="preserve">X </w:t>
            </w:r>
            <w:r w:rsidRPr="00DD0D1F">
              <w:rPr>
                <w:szCs w:val="24"/>
              </w:rPr>
              <w:t>brülörleri dahil olmak üzere), tepe alev sıcaklıklarını indirgeme ilkelerine dayalıdır ve yanmayı geciktiriyorken tamamlar ve ısı transferini artırır (yüksek alev yayma oranı). Fırın yanma odasının değiştirilen tasarımıyla ilişkilendirilebilir. Ultra düşük NO</w:t>
            </w:r>
            <w:r w:rsidRPr="00DD0D1F">
              <w:rPr>
                <w:szCs w:val="24"/>
                <w:vertAlign w:val="subscript"/>
              </w:rPr>
              <w:t xml:space="preserve">X </w:t>
            </w:r>
            <w:r w:rsidRPr="00DD0D1F">
              <w:rPr>
                <w:szCs w:val="24"/>
              </w:rPr>
              <w:t xml:space="preserve">brülörlerinin tasarımı (ULNB) yanma kademelendirmesini (hava/yakıt) ve </w:t>
            </w:r>
            <w:r w:rsidR="00E00B0A" w:rsidRPr="00DD0D1F">
              <w:rPr>
                <w:szCs w:val="24"/>
              </w:rPr>
              <w:t>baca</w:t>
            </w:r>
            <w:r w:rsidRPr="00DD0D1F">
              <w:rPr>
                <w:szCs w:val="24"/>
              </w:rPr>
              <w:t xml:space="preserve"> gazı devridaimini içerir. Kuru düşük NO</w:t>
            </w:r>
            <w:r w:rsidRPr="00DD0D1F">
              <w:rPr>
                <w:szCs w:val="24"/>
                <w:vertAlign w:val="subscript"/>
              </w:rPr>
              <w:t xml:space="preserve">X </w:t>
            </w:r>
            <w:r w:rsidRPr="00DD0D1F">
              <w:rPr>
                <w:szCs w:val="24"/>
              </w:rPr>
              <w:t>brülörleri (DLNB) gaz türbinleri için kullanılır.</w:t>
            </w:r>
          </w:p>
        </w:tc>
      </w:tr>
      <w:tr w:rsidR="00A508A2" w:rsidRPr="00DD0D1F" w14:paraId="5BBF38CE" w14:textId="77777777" w:rsidTr="00A508A2">
        <w:trPr>
          <w:trHeight w:val="921"/>
        </w:trPr>
        <w:tc>
          <w:tcPr>
            <w:tcW w:w="1576" w:type="pct"/>
            <w:tcBorders>
              <w:top w:val="single" w:sz="4" w:space="0" w:color="000000"/>
              <w:left w:val="single" w:sz="4" w:space="0" w:color="000000"/>
              <w:bottom w:val="single" w:sz="4" w:space="0" w:color="000000"/>
              <w:right w:val="single" w:sz="4" w:space="0" w:color="000000"/>
            </w:tcBorders>
          </w:tcPr>
          <w:p w14:paraId="4E93A6F6" w14:textId="77777777" w:rsidR="00A508A2" w:rsidRPr="00DD0D1F" w:rsidRDefault="00A508A2" w:rsidP="00A508A2">
            <w:pPr>
              <w:pStyle w:val="TableParagraph"/>
              <w:spacing w:before="5"/>
              <w:rPr>
                <w:b/>
                <w:szCs w:val="24"/>
              </w:rPr>
            </w:pPr>
          </w:p>
          <w:p w14:paraId="117912B2" w14:textId="77777777" w:rsidR="00A508A2" w:rsidRPr="00DD0D1F" w:rsidRDefault="00A508A2" w:rsidP="00A508A2">
            <w:pPr>
              <w:pStyle w:val="TableParagraph"/>
              <w:ind w:left="218"/>
              <w:rPr>
                <w:szCs w:val="24"/>
              </w:rPr>
            </w:pPr>
            <w:r w:rsidRPr="00DD0D1F">
              <w:rPr>
                <w:szCs w:val="24"/>
              </w:rPr>
              <w:t>Yanma optimizasyonu</w:t>
            </w:r>
          </w:p>
        </w:tc>
        <w:tc>
          <w:tcPr>
            <w:tcW w:w="3424" w:type="pct"/>
            <w:tcBorders>
              <w:top w:val="single" w:sz="4" w:space="0" w:color="000000"/>
              <w:left w:val="single" w:sz="4" w:space="0" w:color="000000"/>
              <w:bottom w:val="single" w:sz="4" w:space="0" w:color="000000"/>
              <w:right w:val="single" w:sz="4" w:space="0" w:color="000000"/>
            </w:tcBorders>
          </w:tcPr>
          <w:p w14:paraId="6CCEFCA5" w14:textId="77777777" w:rsidR="00A508A2" w:rsidRPr="00DD0D1F" w:rsidRDefault="00A508A2" w:rsidP="00A508A2">
            <w:pPr>
              <w:pStyle w:val="TableParagraph"/>
              <w:ind w:left="107" w:right="98"/>
              <w:rPr>
                <w:szCs w:val="24"/>
              </w:rPr>
            </w:pPr>
            <w:r w:rsidRPr="00DD0D1F">
              <w:rPr>
                <w:szCs w:val="24"/>
              </w:rPr>
              <w:t>Uygun yanma parametrelerinin sürekli olarak izlenmesine (ör. O</w:t>
            </w:r>
            <w:r w:rsidRPr="00DD0D1F">
              <w:rPr>
                <w:szCs w:val="24"/>
                <w:vertAlign w:val="subscript"/>
              </w:rPr>
              <w:t>2</w:t>
            </w:r>
            <w:r w:rsidRPr="00DD0D1F">
              <w:rPr>
                <w:szCs w:val="24"/>
              </w:rPr>
              <w:t>, CO içeriği, yakıt - hava (veya oksijen) oranı, yanmamış bileşenler) dayalı olarak, bu teknikte en iyi yanma koşullarının elde edilmesi için kontrol teknolojisinden yararlanır.</w:t>
            </w:r>
          </w:p>
        </w:tc>
      </w:tr>
      <w:tr w:rsidR="00A508A2" w:rsidRPr="00DD0D1F" w14:paraId="334C0681" w14:textId="77777777" w:rsidTr="00A508A2">
        <w:trPr>
          <w:trHeight w:val="688"/>
        </w:trPr>
        <w:tc>
          <w:tcPr>
            <w:tcW w:w="1576" w:type="pct"/>
            <w:tcBorders>
              <w:top w:val="single" w:sz="4" w:space="0" w:color="000000"/>
              <w:left w:val="single" w:sz="4" w:space="0" w:color="000000"/>
              <w:bottom w:val="single" w:sz="4" w:space="0" w:color="000000"/>
              <w:right w:val="single" w:sz="4" w:space="0" w:color="000000"/>
            </w:tcBorders>
          </w:tcPr>
          <w:p w14:paraId="51F32235" w14:textId="77777777" w:rsidR="00A508A2" w:rsidRPr="00DD0D1F" w:rsidRDefault="00A508A2" w:rsidP="00A508A2">
            <w:pPr>
              <w:pStyle w:val="TableParagraph"/>
              <w:spacing w:before="5"/>
              <w:rPr>
                <w:b/>
                <w:szCs w:val="24"/>
              </w:rPr>
            </w:pPr>
          </w:p>
          <w:p w14:paraId="77743041" w14:textId="77777777" w:rsidR="00A508A2" w:rsidRPr="00DD0D1F" w:rsidRDefault="00A508A2" w:rsidP="00A508A2">
            <w:pPr>
              <w:pStyle w:val="TableParagraph"/>
              <w:ind w:left="218"/>
              <w:rPr>
                <w:szCs w:val="24"/>
              </w:rPr>
            </w:pPr>
            <w:r w:rsidRPr="00DD0D1F">
              <w:rPr>
                <w:szCs w:val="24"/>
              </w:rPr>
              <w:t>Seyreltici püskürtmesi</w:t>
            </w:r>
          </w:p>
        </w:tc>
        <w:tc>
          <w:tcPr>
            <w:tcW w:w="3424" w:type="pct"/>
            <w:tcBorders>
              <w:top w:val="single" w:sz="4" w:space="0" w:color="000000"/>
              <w:left w:val="single" w:sz="4" w:space="0" w:color="000000"/>
              <w:bottom w:val="single" w:sz="4" w:space="0" w:color="000000"/>
              <w:right w:val="single" w:sz="4" w:space="0" w:color="000000"/>
            </w:tcBorders>
          </w:tcPr>
          <w:p w14:paraId="3F6C281F" w14:textId="699C5B47" w:rsidR="00A508A2" w:rsidRPr="00DD0D1F" w:rsidRDefault="00A508A2" w:rsidP="00A508A2">
            <w:pPr>
              <w:pStyle w:val="TableParagraph"/>
              <w:spacing w:line="223" w:lineRule="exact"/>
              <w:ind w:left="107"/>
              <w:rPr>
                <w:szCs w:val="24"/>
              </w:rPr>
            </w:pPr>
            <w:r w:rsidRPr="00DD0D1F">
              <w:rPr>
                <w:szCs w:val="24"/>
              </w:rPr>
              <w:t xml:space="preserve">Yanma ekipmanlarına eklenen </w:t>
            </w:r>
            <w:r w:rsidR="00E00B0A" w:rsidRPr="00DD0D1F">
              <w:rPr>
                <w:szCs w:val="24"/>
              </w:rPr>
              <w:t>baca</w:t>
            </w:r>
            <w:r w:rsidRPr="00DD0D1F">
              <w:rPr>
                <w:szCs w:val="24"/>
              </w:rPr>
              <w:t xml:space="preserve"> gazı, akış, su ve azot gibi inert seyrelticiler alev sıcaklığını ve dolayısıyla </w:t>
            </w:r>
            <w:r w:rsidR="00E00B0A" w:rsidRPr="00DD0D1F">
              <w:rPr>
                <w:szCs w:val="24"/>
              </w:rPr>
              <w:t>baca</w:t>
            </w:r>
            <w:r w:rsidRPr="00DD0D1F">
              <w:rPr>
                <w:szCs w:val="24"/>
              </w:rPr>
              <w:t xml:space="preserve"> gazlarındaki NO</w:t>
            </w:r>
            <w:r w:rsidRPr="00DD0D1F">
              <w:rPr>
                <w:szCs w:val="24"/>
                <w:vertAlign w:val="subscript"/>
              </w:rPr>
              <w:t xml:space="preserve">X </w:t>
            </w:r>
            <w:r w:rsidRPr="00DD0D1F">
              <w:rPr>
                <w:szCs w:val="24"/>
              </w:rPr>
              <w:t>yoğunluğunu indirger.</w:t>
            </w:r>
          </w:p>
        </w:tc>
      </w:tr>
      <w:tr w:rsidR="00A508A2" w:rsidRPr="00DD0D1F" w14:paraId="5A6F88D2" w14:textId="77777777" w:rsidTr="00A508A2">
        <w:trPr>
          <w:trHeight w:val="1151"/>
        </w:trPr>
        <w:tc>
          <w:tcPr>
            <w:tcW w:w="1576" w:type="pct"/>
            <w:tcBorders>
              <w:top w:val="single" w:sz="4" w:space="0" w:color="000000"/>
              <w:left w:val="single" w:sz="4" w:space="0" w:color="000000"/>
              <w:bottom w:val="single" w:sz="4" w:space="0" w:color="000000"/>
              <w:right w:val="single" w:sz="4" w:space="0" w:color="000000"/>
            </w:tcBorders>
          </w:tcPr>
          <w:p w14:paraId="06A24328" w14:textId="77777777" w:rsidR="00A508A2" w:rsidRPr="00DD0D1F" w:rsidRDefault="00A508A2" w:rsidP="00A508A2">
            <w:pPr>
              <w:pStyle w:val="TableParagraph"/>
              <w:spacing w:before="5"/>
              <w:rPr>
                <w:b/>
                <w:szCs w:val="24"/>
              </w:rPr>
            </w:pPr>
          </w:p>
          <w:p w14:paraId="19F7032A" w14:textId="77777777" w:rsidR="00A508A2" w:rsidRPr="00DD0D1F" w:rsidRDefault="00A508A2" w:rsidP="00A508A2">
            <w:pPr>
              <w:pStyle w:val="TableParagraph"/>
              <w:ind w:left="218"/>
              <w:rPr>
                <w:szCs w:val="24"/>
              </w:rPr>
            </w:pPr>
            <w:r w:rsidRPr="00DD0D1F">
              <w:rPr>
                <w:szCs w:val="24"/>
              </w:rPr>
              <w:t>Seçkili katalitik indirgeme (SCR)</w:t>
            </w:r>
          </w:p>
        </w:tc>
        <w:tc>
          <w:tcPr>
            <w:tcW w:w="3424" w:type="pct"/>
            <w:tcBorders>
              <w:top w:val="single" w:sz="4" w:space="0" w:color="000000"/>
              <w:left w:val="single" w:sz="4" w:space="0" w:color="000000"/>
              <w:bottom w:val="single" w:sz="4" w:space="0" w:color="000000"/>
              <w:right w:val="single" w:sz="4" w:space="0" w:color="000000"/>
            </w:tcBorders>
          </w:tcPr>
          <w:p w14:paraId="34412D7D" w14:textId="18C25D13" w:rsidR="00A508A2" w:rsidRPr="00DD0D1F" w:rsidRDefault="005549D9" w:rsidP="00A508A2">
            <w:pPr>
              <w:pStyle w:val="TableParagraph"/>
              <w:ind w:left="107" w:right="99"/>
              <w:jc w:val="both"/>
              <w:rPr>
                <w:szCs w:val="24"/>
              </w:rPr>
            </w:pPr>
            <w:r w:rsidRPr="00DD0D1F">
              <w:rPr>
                <w:szCs w:val="24"/>
              </w:rPr>
              <w:t>Bu teknik, 300-</w:t>
            </w:r>
            <w:r w:rsidR="00A508A2" w:rsidRPr="00DD0D1F">
              <w:rPr>
                <w:szCs w:val="24"/>
              </w:rPr>
              <w:t>450 °C civarındaki optimum işletme sıcaklığında amonyakla oluşan tepkime (genellikle sulu çözeltide) sayesinde NO</w:t>
            </w:r>
            <w:r w:rsidR="00A508A2" w:rsidRPr="00DD0D1F">
              <w:rPr>
                <w:szCs w:val="24"/>
                <w:vertAlign w:val="subscript"/>
              </w:rPr>
              <w:t>X</w:t>
            </w:r>
            <w:r w:rsidR="00A508A2" w:rsidRPr="00DD0D1F">
              <w:rPr>
                <w:szCs w:val="24"/>
              </w:rPr>
              <w:t>'in katalitik yatakta azota indirgenmesine dayalıdır.</w:t>
            </w:r>
          </w:p>
          <w:p w14:paraId="437AD5F9" w14:textId="77777777" w:rsidR="00A508A2" w:rsidRPr="00DD0D1F" w:rsidRDefault="00A508A2" w:rsidP="00A508A2">
            <w:pPr>
              <w:pStyle w:val="TableParagraph"/>
              <w:spacing w:line="230" w:lineRule="atLeast"/>
              <w:ind w:left="107" w:right="96"/>
              <w:jc w:val="both"/>
              <w:rPr>
                <w:szCs w:val="24"/>
              </w:rPr>
            </w:pPr>
            <w:r w:rsidRPr="00DD0D1F">
              <w:rPr>
                <w:szCs w:val="24"/>
              </w:rPr>
              <w:t>Bir veya iki katalizör katmanı uygulanabilir. Yüksek miktarlarda katalizör kullanımı sayesinde daha yüksek NO</w:t>
            </w:r>
            <w:r w:rsidRPr="00DD0D1F">
              <w:rPr>
                <w:szCs w:val="24"/>
                <w:vertAlign w:val="subscript"/>
              </w:rPr>
              <w:t xml:space="preserve">X </w:t>
            </w:r>
            <w:r w:rsidRPr="00DD0D1F">
              <w:rPr>
                <w:szCs w:val="24"/>
              </w:rPr>
              <w:t>indirgemesi elde edilir (iki katmanlı).</w:t>
            </w:r>
          </w:p>
        </w:tc>
      </w:tr>
      <w:tr w:rsidR="00A508A2" w:rsidRPr="00DD0D1F" w14:paraId="25651A74" w14:textId="77777777" w:rsidTr="00A508A2">
        <w:trPr>
          <w:trHeight w:val="918"/>
        </w:trPr>
        <w:tc>
          <w:tcPr>
            <w:tcW w:w="1576" w:type="pct"/>
            <w:tcBorders>
              <w:top w:val="single" w:sz="4" w:space="0" w:color="000000"/>
              <w:left w:val="single" w:sz="4" w:space="0" w:color="000000"/>
              <w:bottom w:val="single" w:sz="4" w:space="0" w:color="000000"/>
              <w:right w:val="single" w:sz="4" w:space="0" w:color="000000"/>
            </w:tcBorders>
          </w:tcPr>
          <w:p w14:paraId="03E0D88E" w14:textId="77777777" w:rsidR="00A508A2" w:rsidRPr="00DD0D1F" w:rsidRDefault="00A508A2" w:rsidP="00A508A2">
            <w:pPr>
              <w:pStyle w:val="TableParagraph"/>
              <w:spacing w:before="5"/>
              <w:rPr>
                <w:b/>
                <w:szCs w:val="24"/>
              </w:rPr>
            </w:pPr>
          </w:p>
          <w:p w14:paraId="63E06127" w14:textId="77777777" w:rsidR="00A508A2" w:rsidRPr="00DD0D1F" w:rsidRDefault="00A508A2" w:rsidP="00A508A2">
            <w:pPr>
              <w:pStyle w:val="TableParagraph"/>
              <w:tabs>
                <w:tab w:val="left" w:pos="1595"/>
              </w:tabs>
              <w:ind w:left="218" w:right="99"/>
              <w:rPr>
                <w:szCs w:val="24"/>
              </w:rPr>
            </w:pPr>
            <w:r w:rsidRPr="00DD0D1F">
              <w:rPr>
                <w:szCs w:val="24"/>
              </w:rPr>
              <w:t>Seçkili katalitik olmayan indirgeme (SNCR)</w:t>
            </w:r>
          </w:p>
        </w:tc>
        <w:tc>
          <w:tcPr>
            <w:tcW w:w="3424" w:type="pct"/>
            <w:tcBorders>
              <w:top w:val="single" w:sz="4" w:space="0" w:color="000000"/>
              <w:left w:val="single" w:sz="4" w:space="0" w:color="000000"/>
              <w:bottom w:val="single" w:sz="4" w:space="0" w:color="000000"/>
              <w:right w:val="single" w:sz="4" w:space="0" w:color="000000"/>
            </w:tcBorders>
          </w:tcPr>
          <w:p w14:paraId="31FBFD65" w14:textId="77777777" w:rsidR="00A508A2" w:rsidRPr="00DD0D1F" w:rsidRDefault="00A508A2" w:rsidP="00A508A2">
            <w:pPr>
              <w:pStyle w:val="TableParagraph"/>
              <w:ind w:left="107" w:right="97"/>
              <w:rPr>
                <w:szCs w:val="24"/>
              </w:rPr>
            </w:pPr>
            <w:r w:rsidRPr="00DD0D1F">
              <w:rPr>
                <w:szCs w:val="24"/>
              </w:rPr>
              <w:t>Bu teknik, yüksek sıcaklıkta amonyakla veya üreyle oluşan tepkime sayesinde NO</w:t>
            </w:r>
            <w:r w:rsidRPr="00DD0D1F">
              <w:rPr>
                <w:szCs w:val="24"/>
                <w:vertAlign w:val="subscript"/>
              </w:rPr>
              <w:t>X</w:t>
            </w:r>
            <w:r w:rsidRPr="00DD0D1F">
              <w:rPr>
                <w:szCs w:val="24"/>
              </w:rPr>
              <w:t>'in azota indirgenmesine dayalıdır.</w:t>
            </w:r>
          </w:p>
          <w:p w14:paraId="2B34D892" w14:textId="4018CE08" w:rsidR="00A508A2" w:rsidRPr="00DD0D1F" w:rsidRDefault="00A508A2" w:rsidP="005549D9">
            <w:pPr>
              <w:pStyle w:val="TableParagraph"/>
              <w:spacing w:line="230" w:lineRule="exact"/>
              <w:ind w:left="107" w:right="98"/>
              <w:rPr>
                <w:szCs w:val="24"/>
              </w:rPr>
            </w:pPr>
            <w:r w:rsidRPr="00DD0D1F">
              <w:rPr>
                <w:szCs w:val="24"/>
              </w:rPr>
              <w:t>İşletme sıcaklığı aralığı, optimum tepkime için 900 °C ila 1050 °C arasında tutulmalıdır</w:t>
            </w:r>
          </w:p>
        </w:tc>
      </w:tr>
      <w:tr w:rsidR="00A508A2" w:rsidRPr="00DD0D1F" w14:paraId="511E17CE" w14:textId="77777777" w:rsidTr="00A508A2">
        <w:trPr>
          <w:trHeight w:val="1378"/>
        </w:trPr>
        <w:tc>
          <w:tcPr>
            <w:tcW w:w="1576" w:type="pct"/>
            <w:tcBorders>
              <w:top w:val="single" w:sz="4" w:space="0" w:color="000000"/>
              <w:left w:val="single" w:sz="4" w:space="0" w:color="000000"/>
              <w:bottom w:val="single" w:sz="4" w:space="0" w:color="000000"/>
              <w:right w:val="single" w:sz="4" w:space="0" w:color="000000"/>
            </w:tcBorders>
          </w:tcPr>
          <w:p w14:paraId="32B49D92" w14:textId="77777777" w:rsidR="00A508A2" w:rsidRPr="00DD0D1F" w:rsidRDefault="00A508A2" w:rsidP="00A508A2">
            <w:pPr>
              <w:pStyle w:val="TableParagraph"/>
              <w:rPr>
                <w:b/>
                <w:szCs w:val="24"/>
              </w:rPr>
            </w:pPr>
          </w:p>
          <w:p w14:paraId="560DC42D" w14:textId="77777777" w:rsidR="00A508A2" w:rsidRPr="00DD0D1F" w:rsidRDefault="00A508A2" w:rsidP="00A508A2">
            <w:pPr>
              <w:pStyle w:val="TableParagraph"/>
              <w:spacing w:before="4"/>
              <w:rPr>
                <w:b/>
                <w:szCs w:val="24"/>
              </w:rPr>
            </w:pPr>
          </w:p>
          <w:p w14:paraId="692BDFE4" w14:textId="77777777" w:rsidR="00A508A2" w:rsidRPr="00DD0D1F" w:rsidRDefault="00A508A2" w:rsidP="00A508A2">
            <w:pPr>
              <w:pStyle w:val="TableParagraph"/>
              <w:tabs>
                <w:tab w:val="left" w:pos="939"/>
                <w:tab w:val="left" w:pos="2254"/>
              </w:tabs>
              <w:ind w:left="218" w:right="99"/>
              <w:rPr>
                <w:szCs w:val="24"/>
              </w:rPr>
            </w:pPr>
            <w:r w:rsidRPr="00DD0D1F">
              <w:rPr>
                <w:szCs w:val="24"/>
              </w:rPr>
              <w:t>Düşük sıcaklıkta NO</w:t>
            </w:r>
            <w:r w:rsidRPr="00DD0D1F">
              <w:rPr>
                <w:szCs w:val="24"/>
                <w:vertAlign w:val="subscript"/>
              </w:rPr>
              <w:t>X</w:t>
            </w:r>
            <w:r w:rsidRPr="00DD0D1F">
              <w:rPr>
                <w:szCs w:val="24"/>
              </w:rPr>
              <w:t xml:space="preserve"> oksitlemesi</w:t>
            </w:r>
          </w:p>
        </w:tc>
        <w:tc>
          <w:tcPr>
            <w:tcW w:w="3424" w:type="pct"/>
            <w:tcBorders>
              <w:top w:val="single" w:sz="4" w:space="0" w:color="000000"/>
              <w:left w:val="single" w:sz="4" w:space="0" w:color="000000"/>
              <w:bottom w:val="single" w:sz="4" w:space="0" w:color="000000"/>
              <w:right w:val="single" w:sz="4" w:space="0" w:color="000000"/>
            </w:tcBorders>
          </w:tcPr>
          <w:p w14:paraId="53391D19" w14:textId="31B1D78E" w:rsidR="00A508A2" w:rsidRPr="00DD0D1F" w:rsidRDefault="00A508A2" w:rsidP="00A508A2">
            <w:pPr>
              <w:pStyle w:val="TableParagraph"/>
              <w:ind w:left="107" w:right="97"/>
              <w:jc w:val="both"/>
              <w:rPr>
                <w:szCs w:val="24"/>
              </w:rPr>
            </w:pPr>
            <w:r w:rsidRPr="00DD0D1F">
              <w:rPr>
                <w:szCs w:val="24"/>
              </w:rPr>
              <w:t>Düşük sıcaklıkta oksitleme prosesinde çözünmez NO'nun NO</w:t>
            </w:r>
            <w:r w:rsidRPr="00DD0D1F">
              <w:rPr>
                <w:szCs w:val="24"/>
                <w:vertAlign w:val="subscript"/>
              </w:rPr>
              <w:t>2</w:t>
            </w:r>
            <w:r w:rsidRPr="00DD0D1F">
              <w:rPr>
                <w:szCs w:val="24"/>
              </w:rPr>
              <w:t>'ye ve oldukça çözünebilir olan N</w:t>
            </w:r>
            <w:r w:rsidRPr="00DD0D1F">
              <w:rPr>
                <w:szCs w:val="24"/>
                <w:vertAlign w:val="subscript"/>
              </w:rPr>
              <w:t>2</w:t>
            </w:r>
            <w:r w:rsidRPr="00DD0D1F">
              <w:rPr>
                <w:szCs w:val="24"/>
              </w:rPr>
              <w:t>O</w:t>
            </w:r>
            <w:r w:rsidRPr="00DD0D1F">
              <w:rPr>
                <w:szCs w:val="24"/>
                <w:vertAlign w:val="subscript"/>
              </w:rPr>
              <w:t>5</w:t>
            </w:r>
            <w:r w:rsidRPr="00DD0D1F">
              <w:rPr>
                <w:szCs w:val="24"/>
              </w:rPr>
              <w:t xml:space="preserve">'e dönüştürülmesi amacıyla 150 ºC'nin altındaki optimum sıcaklıklarda </w:t>
            </w:r>
            <w:r w:rsidR="00E00B0A" w:rsidRPr="00DD0D1F">
              <w:rPr>
                <w:szCs w:val="24"/>
              </w:rPr>
              <w:t>baca</w:t>
            </w:r>
            <w:r w:rsidRPr="00DD0D1F">
              <w:rPr>
                <w:szCs w:val="24"/>
              </w:rPr>
              <w:t xml:space="preserve"> gazına ozon püskürtülür. N</w:t>
            </w:r>
            <w:r w:rsidRPr="00DD0D1F">
              <w:rPr>
                <w:szCs w:val="24"/>
                <w:vertAlign w:val="subscript"/>
              </w:rPr>
              <w:t>2</w:t>
            </w:r>
            <w:r w:rsidRPr="00DD0D1F">
              <w:rPr>
                <w:szCs w:val="24"/>
              </w:rPr>
              <w:t>O</w:t>
            </w:r>
            <w:r w:rsidRPr="00DD0D1F">
              <w:rPr>
                <w:szCs w:val="24"/>
                <w:vertAlign w:val="subscript"/>
              </w:rPr>
              <w:t>5</w:t>
            </w:r>
            <w:r w:rsidRPr="00DD0D1F">
              <w:rPr>
                <w:szCs w:val="24"/>
              </w:rPr>
              <w:t>, tesis proseslerinde kullanılabilen veya salınmak üzere nötralize edilebilen ve ilave azot giderimini gerektirebilen seyreltik nitrik asitli atık suyu oluşturmak amacıyla yaş gaz yıkama kulesinde giderilir</w:t>
            </w:r>
          </w:p>
        </w:tc>
      </w:tr>
    </w:tbl>
    <w:p w14:paraId="0A841DDE" w14:textId="77777777" w:rsidR="00A508A2" w:rsidRPr="00DD0D1F" w:rsidRDefault="00A508A2" w:rsidP="00A508A2">
      <w:pPr>
        <w:spacing w:line="228" w:lineRule="exact"/>
        <w:rPr>
          <w:rFonts w:cs="Times New Roman"/>
          <w:szCs w:val="24"/>
          <w:lang w:val="tr-TR"/>
        </w:rPr>
        <w:sectPr w:rsidR="00A508A2" w:rsidRPr="00DD0D1F" w:rsidSect="00A508A2">
          <w:pgSz w:w="11909" w:h="16850"/>
          <w:pgMar w:top="1411" w:right="1411" w:bottom="1411" w:left="1411" w:header="706" w:footer="706" w:gutter="0"/>
          <w:cols w:space="708"/>
        </w:sectPr>
      </w:pPr>
    </w:p>
    <w:p w14:paraId="097A93EF" w14:textId="77777777" w:rsidR="00A508A2" w:rsidRPr="00DD0D1F" w:rsidRDefault="00A508A2" w:rsidP="00FF111D">
      <w:pPr>
        <w:pStyle w:val="Balk3"/>
        <w:keepNext w:val="0"/>
        <w:keepLines w:val="0"/>
        <w:widowControl w:val="0"/>
        <w:numPr>
          <w:ilvl w:val="1"/>
          <w:numId w:val="114"/>
        </w:numPr>
        <w:tabs>
          <w:tab w:val="left" w:pos="1585"/>
          <w:tab w:val="left" w:pos="1586"/>
        </w:tabs>
        <w:autoSpaceDE w:val="0"/>
        <w:autoSpaceDN w:val="0"/>
        <w:spacing w:before="159" w:after="0" w:line="240" w:lineRule="auto"/>
        <w:jc w:val="left"/>
        <w:rPr>
          <w:rFonts w:cs="Times New Roman"/>
          <w:lang w:val="tr-TR"/>
        </w:rPr>
      </w:pPr>
      <w:bookmarkStart w:id="261" w:name="_bookmark925"/>
      <w:bookmarkStart w:id="262" w:name="5.20.3_Sulphur_oxides_(SOX)"/>
      <w:bookmarkEnd w:id="261"/>
      <w:bookmarkEnd w:id="262"/>
      <w:r w:rsidRPr="00DD0D1F">
        <w:rPr>
          <w:rFonts w:cs="Times New Roman"/>
          <w:lang w:val="tr-TR"/>
        </w:rPr>
        <w:t>Kükürt oksitler (SO</w:t>
      </w:r>
      <w:r w:rsidRPr="00DD0D1F">
        <w:rPr>
          <w:rFonts w:cs="Times New Roman"/>
          <w:vertAlign w:val="subscript"/>
          <w:lang w:val="tr-TR"/>
        </w:rPr>
        <w:t>X</w:t>
      </w:r>
      <w:r w:rsidRPr="00DD0D1F">
        <w:rPr>
          <w:rFonts w:cs="Times New Roman"/>
          <w:lang w:val="tr-TR"/>
        </w:rPr>
        <w:t>)</w:t>
      </w:r>
    </w:p>
    <w:p w14:paraId="3E89F9D6" w14:textId="77777777" w:rsidR="00A508A2" w:rsidRPr="00DD0D1F" w:rsidRDefault="00A508A2" w:rsidP="00A508A2">
      <w:pPr>
        <w:pStyle w:val="GvdeMetni"/>
        <w:spacing w:before="5"/>
        <w:rPr>
          <w:b/>
          <w:sz w:val="24"/>
          <w:szCs w:val="24"/>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8"/>
        <w:gridCol w:w="5975"/>
      </w:tblGrid>
      <w:tr w:rsidR="00A508A2" w:rsidRPr="00DD0D1F" w14:paraId="5AFEC370" w14:textId="77777777" w:rsidTr="00A508A2">
        <w:trPr>
          <w:trHeight w:val="280"/>
        </w:trPr>
        <w:tc>
          <w:tcPr>
            <w:tcW w:w="2748" w:type="dxa"/>
            <w:tcBorders>
              <w:left w:val="single" w:sz="4" w:space="0" w:color="000000"/>
              <w:bottom w:val="single" w:sz="4" w:space="0" w:color="000000"/>
              <w:right w:val="single" w:sz="4" w:space="0" w:color="000000"/>
            </w:tcBorders>
          </w:tcPr>
          <w:p w14:paraId="4E42618E" w14:textId="77777777" w:rsidR="00A508A2" w:rsidRPr="00DD0D1F" w:rsidRDefault="00A508A2" w:rsidP="00A508A2">
            <w:pPr>
              <w:pStyle w:val="TableParagraph"/>
              <w:spacing w:before="22"/>
              <w:ind w:left="902" w:right="895"/>
              <w:jc w:val="center"/>
              <w:rPr>
                <w:b/>
                <w:szCs w:val="24"/>
              </w:rPr>
            </w:pPr>
            <w:r w:rsidRPr="00DD0D1F">
              <w:rPr>
                <w:b/>
                <w:bCs/>
                <w:szCs w:val="24"/>
              </w:rPr>
              <w:t>Teknik</w:t>
            </w:r>
          </w:p>
        </w:tc>
        <w:tc>
          <w:tcPr>
            <w:tcW w:w="5975" w:type="dxa"/>
            <w:tcBorders>
              <w:left w:val="single" w:sz="4" w:space="0" w:color="000000"/>
              <w:bottom w:val="single" w:sz="4" w:space="0" w:color="000000"/>
              <w:right w:val="single" w:sz="4" w:space="0" w:color="000000"/>
            </w:tcBorders>
          </w:tcPr>
          <w:p w14:paraId="63A5641E" w14:textId="77777777" w:rsidR="00A508A2" w:rsidRPr="00DD0D1F" w:rsidRDefault="00A508A2" w:rsidP="00A508A2">
            <w:pPr>
              <w:pStyle w:val="TableParagraph"/>
              <w:spacing w:before="22"/>
              <w:ind w:left="2340" w:right="2225"/>
              <w:jc w:val="center"/>
              <w:rPr>
                <w:b/>
                <w:szCs w:val="24"/>
              </w:rPr>
            </w:pPr>
            <w:r w:rsidRPr="00DD0D1F">
              <w:rPr>
                <w:b/>
                <w:bCs/>
                <w:szCs w:val="24"/>
              </w:rPr>
              <w:t>Tanım</w:t>
            </w:r>
          </w:p>
        </w:tc>
      </w:tr>
      <w:tr w:rsidR="00A508A2" w:rsidRPr="00DD0D1F" w14:paraId="387BDCA1" w14:textId="77777777" w:rsidTr="00A508A2">
        <w:trPr>
          <w:trHeight w:val="1610"/>
        </w:trPr>
        <w:tc>
          <w:tcPr>
            <w:tcW w:w="2748" w:type="dxa"/>
            <w:tcBorders>
              <w:top w:val="single" w:sz="4" w:space="0" w:color="000000"/>
              <w:left w:val="single" w:sz="4" w:space="0" w:color="000000"/>
              <w:bottom w:val="single" w:sz="4" w:space="0" w:color="000000"/>
              <w:right w:val="single" w:sz="4" w:space="0" w:color="000000"/>
            </w:tcBorders>
          </w:tcPr>
          <w:p w14:paraId="7A9C9925" w14:textId="77777777" w:rsidR="00A508A2" w:rsidRPr="00DD0D1F" w:rsidRDefault="00A508A2" w:rsidP="00A508A2">
            <w:pPr>
              <w:pStyle w:val="TableParagraph"/>
              <w:rPr>
                <w:b/>
                <w:szCs w:val="24"/>
              </w:rPr>
            </w:pPr>
          </w:p>
          <w:p w14:paraId="64AC0B23" w14:textId="77777777" w:rsidR="00A508A2" w:rsidRPr="00DD0D1F" w:rsidRDefault="00A508A2" w:rsidP="00A508A2">
            <w:pPr>
              <w:pStyle w:val="TableParagraph"/>
              <w:spacing w:before="5"/>
              <w:rPr>
                <w:b/>
                <w:szCs w:val="24"/>
              </w:rPr>
            </w:pPr>
          </w:p>
          <w:p w14:paraId="373430BB" w14:textId="77777777" w:rsidR="00A508A2" w:rsidRPr="00DD0D1F" w:rsidRDefault="00A508A2" w:rsidP="00A508A2">
            <w:pPr>
              <w:pStyle w:val="TableParagraph"/>
              <w:ind w:left="107" w:right="90"/>
              <w:rPr>
                <w:szCs w:val="24"/>
              </w:rPr>
            </w:pPr>
            <w:r w:rsidRPr="00DD0D1F">
              <w:rPr>
                <w:szCs w:val="24"/>
              </w:rPr>
              <w:t>Rafineri yakıt gazının (RFG) arıtılması</w:t>
            </w:r>
          </w:p>
        </w:tc>
        <w:tc>
          <w:tcPr>
            <w:tcW w:w="5975" w:type="dxa"/>
            <w:tcBorders>
              <w:top w:val="single" w:sz="4" w:space="0" w:color="000000"/>
              <w:left w:val="single" w:sz="4" w:space="0" w:color="000000"/>
              <w:bottom w:val="single" w:sz="4" w:space="0" w:color="000000"/>
              <w:right w:val="single" w:sz="4" w:space="0" w:color="000000"/>
            </w:tcBorders>
          </w:tcPr>
          <w:p w14:paraId="683E48CD" w14:textId="7BE8B7C5" w:rsidR="00A508A2" w:rsidRPr="00DD0D1F" w:rsidRDefault="00A508A2" w:rsidP="0098277B">
            <w:pPr>
              <w:pStyle w:val="TableParagraph"/>
              <w:ind w:left="108" w:right="97"/>
              <w:jc w:val="both"/>
              <w:rPr>
                <w:szCs w:val="24"/>
              </w:rPr>
            </w:pPr>
            <w:r w:rsidRPr="00DD0D1F">
              <w:rPr>
                <w:szCs w:val="24"/>
              </w:rPr>
              <w:t>Bazı rafineri yakıtı gazları kayna</w:t>
            </w:r>
            <w:r w:rsidR="0098277B" w:rsidRPr="00DD0D1F">
              <w:rPr>
                <w:szCs w:val="24"/>
              </w:rPr>
              <w:t>kta kükürtsüz olabilmekte (ör. katalitik</w:t>
            </w:r>
            <w:r w:rsidRPr="00DD0D1F">
              <w:rPr>
                <w:szCs w:val="24"/>
              </w:rPr>
              <w:t xml:space="preserve"> reformasyon ve izomerleştirme proseslerinden), ancak diğer proseslerin çoğunda kükürt içeren gazlar (ör. visbreykırdan, hidr</w:t>
            </w:r>
            <w:r w:rsidR="0098277B" w:rsidRPr="00DD0D1F">
              <w:rPr>
                <w:szCs w:val="24"/>
              </w:rPr>
              <w:t>ojenle işleyiciden veya katalitik</w:t>
            </w:r>
            <w:r w:rsidRPr="00DD0D1F">
              <w:rPr>
                <w:szCs w:val="24"/>
              </w:rPr>
              <w:t xml:space="preserve"> parçalama birimlerinden gelen çıkış gazları) açığa çıkabilmektedir. Bu gaz akışları, rafineri yakıt gazı sistemine bırakılmadan önce gaz kükürtsüzleştirmesi (ör. H</w:t>
            </w:r>
            <w:r w:rsidRPr="00DD0D1F">
              <w:rPr>
                <w:szCs w:val="24"/>
                <w:vertAlign w:val="subscript"/>
              </w:rPr>
              <w:t>2</w:t>
            </w:r>
            <w:r w:rsidRPr="00DD0D1F">
              <w:rPr>
                <w:szCs w:val="24"/>
              </w:rPr>
              <w:t>S'nin giderilmesi amacıyla asit gazının giderimi - aşağıya bkz.) için uygun işlemden geçirilmelidir</w:t>
            </w:r>
          </w:p>
        </w:tc>
      </w:tr>
      <w:tr w:rsidR="00A508A2" w:rsidRPr="00DD0D1F" w14:paraId="509DDC08" w14:textId="77777777" w:rsidTr="00A508A2">
        <w:trPr>
          <w:trHeight w:val="921"/>
        </w:trPr>
        <w:tc>
          <w:tcPr>
            <w:tcW w:w="2748" w:type="dxa"/>
            <w:tcBorders>
              <w:top w:val="single" w:sz="4" w:space="0" w:color="000000"/>
              <w:left w:val="single" w:sz="4" w:space="0" w:color="000000"/>
              <w:bottom w:val="single" w:sz="4" w:space="0" w:color="000000"/>
              <w:right w:val="single" w:sz="4" w:space="0" w:color="000000"/>
            </w:tcBorders>
          </w:tcPr>
          <w:p w14:paraId="02CBE582" w14:textId="77777777" w:rsidR="00A508A2" w:rsidRPr="00DD0D1F" w:rsidRDefault="00A508A2" w:rsidP="00A508A2">
            <w:pPr>
              <w:pStyle w:val="TableParagraph"/>
              <w:tabs>
                <w:tab w:val="left" w:pos="2436"/>
              </w:tabs>
              <w:spacing w:before="108"/>
              <w:ind w:left="107" w:right="99"/>
              <w:jc w:val="both"/>
              <w:rPr>
                <w:szCs w:val="24"/>
              </w:rPr>
            </w:pPr>
            <w:r w:rsidRPr="00DD0D1F">
              <w:rPr>
                <w:szCs w:val="24"/>
              </w:rPr>
              <w:t>Rafineri akaryakıtının (RFO) hydrotreatment marifetiyle kükürtsüzleştirmesi</w:t>
            </w:r>
          </w:p>
        </w:tc>
        <w:tc>
          <w:tcPr>
            <w:tcW w:w="5975" w:type="dxa"/>
            <w:tcBorders>
              <w:top w:val="single" w:sz="4" w:space="0" w:color="000000"/>
              <w:left w:val="single" w:sz="4" w:space="0" w:color="000000"/>
              <w:bottom w:val="single" w:sz="4" w:space="0" w:color="000000"/>
              <w:right w:val="single" w:sz="4" w:space="0" w:color="000000"/>
            </w:tcBorders>
          </w:tcPr>
          <w:p w14:paraId="6330579C" w14:textId="77777777" w:rsidR="00A508A2" w:rsidRPr="00DD0D1F" w:rsidRDefault="00A508A2" w:rsidP="00A508A2">
            <w:pPr>
              <w:pStyle w:val="TableParagraph"/>
              <w:ind w:left="108" w:right="102"/>
              <w:jc w:val="both"/>
              <w:rPr>
                <w:szCs w:val="24"/>
              </w:rPr>
            </w:pPr>
            <w:r w:rsidRPr="00DD0D1F">
              <w:rPr>
                <w:szCs w:val="24"/>
              </w:rPr>
              <w:t>Düşük sülfürlü hammadde seçimine ek olarak, yakıtın kükürtsüzleştirmesi, hidrojenleme tepkimelerinin meydana geldiği ve kükürt içeriğini azalttığı hydrotreatment prosesi (aşağıya bkz.) ile gerçekleştirilebilmektedir</w:t>
            </w:r>
          </w:p>
        </w:tc>
      </w:tr>
      <w:tr w:rsidR="00A508A2" w:rsidRPr="00DD0D1F" w14:paraId="57F3E1ED" w14:textId="77777777" w:rsidTr="00A508A2">
        <w:trPr>
          <w:trHeight w:val="1610"/>
        </w:trPr>
        <w:tc>
          <w:tcPr>
            <w:tcW w:w="2748" w:type="dxa"/>
            <w:tcBorders>
              <w:top w:val="single" w:sz="4" w:space="0" w:color="000000"/>
              <w:left w:val="single" w:sz="4" w:space="0" w:color="000000"/>
              <w:bottom w:val="single" w:sz="4" w:space="0" w:color="000000"/>
              <w:right w:val="single" w:sz="4" w:space="0" w:color="000000"/>
            </w:tcBorders>
          </w:tcPr>
          <w:p w14:paraId="530F0003" w14:textId="77777777" w:rsidR="00A508A2" w:rsidRPr="00DD0D1F" w:rsidRDefault="00A508A2" w:rsidP="00A508A2">
            <w:pPr>
              <w:pStyle w:val="TableParagraph"/>
              <w:rPr>
                <w:b/>
                <w:szCs w:val="24"/>
              </w:rPr>
            </w:pPr>
          </w:p>
          <w:p w14:paraId="01805C85" w14:textId="77777777" w:rsidR="00A508A2" w:rsidRPr="00DD0D1F" w:rsidRDefault="00A508A2" w:rsidP="00A508A2">
            <w:pPr>
              <w:pStyle w:val="TableParagraph"/>
              <w:spacing w:before="6"/>
              <w:rPr>
                <w:b/>
                <w:szCs w:val="24"/>
              </w:rPr>
            </w:pPr>
          </w:p>
          <w:p w14:paraId="3469FD3C" w14:textId="77777777" w:rsidR="00A508A2" w:rsidRPr="00DD0D1F" w:rsidRDefault="00A508A2" w:rsidP="00A508A2">
            <w:pPr>
              <w:pStyle w:val="TableParagraph"/>
              <w:ind w:left="107" w:right="90"/>
              <w:rPr>
                <w:szCs w:val="24"/>
              </w:rPr>
            </w:pPr>
            <w:r w:rsidRPr="00DD0D1F">
              <w:rPr>
                <w:szCs w:val="24"/>
              </w:rPr>
              <w:t>Akaryakıt yerine gaz kullanımı</w:t>
            </w:r>
          </w:p>
        </w:tc>
        <w:tc>
          <w:tcPr>
            <w:tcW w:w="5975" w:type="dxa"/>
            <w:tcBorders>
              <w:top w:val="single" w:sz="4" w:space="0" w:color="000000"/>
              <w:left w:val="single" w:sz="4" w:space="0" w:color="000000"/>
              <w:bottom w:val="single" w:sz="4" w:space="0" w:color="000000"/>
              <w:right w:val="single" w:sz="4" w:space="0" w:color="000000"/>
            </w:tcBorders>
          </w:tcPr>
          <w:p w14:paraId="6124B300" w14:textId="064D1EBB" w:rsidR="00A508A2" w:rsidRPr="00DD0D1F" w:rsidRDefault="00CA4F2C" w:rsidP="00DD5924">
            <w:pPr>
              <w:pStyle w:val="TableParagraph"/>
              <w:ind w:left="108" w:right="97"/>
              <w:jc w:val="both"/>
              <w:rPr>
                <w:szCs w:val="24"/>
              </w:rPr>
            </w:pPr>
            <w:r w:rsidRPr="00DD0D1F">
              <w:rPr>
                <w:szCs w:val="24"/>
              </w:rPr>
              <w:t xml:space="preserve">Kükürt </w:t>
            </w:r>
            <w:r w:rsidR="00DD5924" w:rsidRPr="00DD0D1F">
              <w:rPr>
                <w:szCs w:val="24"/>
              </w:rPr>
              <w:t>muhtevası</w:t>
            </w:r>
            <w:r w:rsidR="00A508A2" w:rsidRPr="00DD0D1F">
              <w:rPr>
                <w:szCs w:val="24"/>
              </w:rPr>
              <w:t xml:space="preserve"> ve diğer istenmeyen maddelerin içeriği düşük olan sahadaki Sıvılaştırılmış Petrol Gazı (LPG) veya rafineri yakıt gazı (RFG) ile ya da haricen tedarik edilen gaz yakıt (ör. doğal gaz) ile değiştirilerek sıvı rafineri yakıtı (genellikle kükürt, azot, metaller, vs. içeren ağır akaryakıt) kullanımının azaltılması. </w:t>
            </w:r>
            <w:r w:rsidR="0098277B" w:rsidRPr="00DD0D1F">
              <w:rPr>
                <w:szCs w:val="24"/>
              </w:rPr>
              <w:t xml:space="preserve">Ayrı </w:t>
            </w:r>
            <w:r w:rsidR="00A508A2" w:rsidRPr="00DD0D1F">
              <w:rPr>
                <w:szCs w:val="24"/>
              </w:rPr>
              <w:t>yanma birimi düzeyinde ise, alev kararlılığının sağlanmasını teminen çok yakıtlı yakma kapsamında asgari yakıt yakması düzeyi gereklidir</w:t>
            </w:r>
          </w:p>
        </w:tc>
      </w:tr>
      <w:tr w:rsidR="00A508A2" w:rsidRPr="00DD0D1F" w14:paraId="617F6E07" w14:textId="77777777" w:rsidTr="00A508A2">
        <w:trPr>
          <w:trHeight w:val="1840"/>
        </w:trPr>
        <w:tc>
          <w:tcPr>
            <w:tcW w:w="2748" w:type="dxa"/>
            <w:tcBorders>
              <w:top w:val="single" w:sz="4" w:space="0" w:color="000000"/>
              <w:left w:val="single" w:sz="4" w:space="0" w:color="000000"/>
              <w:bottom w:val="single" w:sz="4" w:space="0" w:color="000000"/>
              <w:right w:val="single" w:sz="4" w:space="0" w:color="000000"/>
            </w:tcBorders>
          </w:tcPr>
          <w:p w14:paraId="422F17DD" w14:textId="77777777" w:rsidR="00A508A2" w:rsidRPr="00DD0D1F" w:rsidRDefault="00A508A2" w:rsidP="00A508A2">
            <w:pPr>
              <w:pStyle w:val="TableParagraph"/>
              <w:rPr>
                <w:b/>
                <w:szCs w:val="24"/>
              </w:rPr>
            </w:pPr>
          </w:p>
          <w:p w14:paraId="23B3602A" w14:textId="77777777" w:rsidR="00A508A2" w:rsidRPr="00DD0D1F" w:rsidRDefault="00A508A2" w:rsidP="00A508A2">
            <w:pPr>
              <w:pStyle w:val="TableParagraph"/>
              <w:rPr>
                <w:b/>
                <w:szCs w:val="24"/>
              </w:rPr>
            </w:pPr>
          </w:p>
          <w:p w14:paraId="337CEDCC" w14:textId="77777777" w:rsidR="00A508A2" w:rsidRPr="00DD0D1F" w:rsidRDefault="00A508A2" w:rsidP="00A508A2">
            <w:pPr>
              <w:pStyle w:val="TableParagraph"/>
              <w:spacing w:before="176"/>
              <w:ind w:left="107" w:right="87"/>
              <w:rPr>
                <w:szCs w:val="24"/>
              </w:rPr>
            </w:pPr>
            <w:r w:rsidRPr="00DD0D1F">
              <w:rPr>
                <w:szCs w:val="24"/>
              </w:rPr>
              <w:t>Katalizör katkı maddelerini indirgeyen SO</w:t>
            </w:r>
            <w:r w:rsidRPr="00DD0D1F">
              <w:rPr>
                <w:szCs w:val="24"/>
                <w:vertAlign w:val="subscript"/>
              </w:rPr>
              <w:t xml:space="preserve">X </w:t>
            </w:r>
            <w:r w:rsidRPr="00DD0D1F">
              <w:rPr>
                <w:szCs w:val="24"/>
              </w:rPr>
              <w:t>kullanımı</w:t>
            </w:r>
          </w:p>
        </w:tc>
        <w:tc>
          <w:tcPr>
            <w:tcW w:w="5975" w:type="dxa"/>
            <w:tcBorders>
              <w:top w:val="single" w:sz="4" w:space="0" w:color="000000"/>
              <w:left w:val="single" w:sz="4" w:space="0" w:color="000000"/>
              <w:bottom w:val="single" w:sz="4" w:space="0" w:color="000000"/>
              <w:right w:val="single" w:sz="4" w:space="0" w:color="000000"/>
            </w:tcBorders>
          </w:tcPr>
          <w:p w14:paraId="5ABB69F9" w14:textId="77777777" w:rsidR="00A508A2" w:rsidRPr="00DD0D1F" w:rsidRDefault="00A508A2" w:rsidP="00A508A2">
            <w:pPr>
              <w:pStyle w:val="TableParagraph"/>
              <w:ind w:left="108" w:right="97"/>
              <w:jc w:val="both"/>
              <w:rPr>
                <w:szCs w:val="24"/>
              </w:rPr>
            </w:pPr>
            <w:r w:rsidRPr="00DD0D1F">
              <w:rPr>
                <w:szCs w:val="24"/>
              </w:rPr>
              <w:t>Rejeneratörden gelen kok ile ilişkili olan kükürdü reaktöre geri gönderen maddenin (ör. metalik oksitlerin katalizörü) kullanılması. Derin kısmi yanma kipinden daha ziyade, tam yanma kipinde en verimli şekilde çalışır.</w:t>
            </w:r>
          </w:p>
          <w:p w14:paraId="62DD5E81" w14:textId="77777777" w:rsidR="00A508A2" w:rsidRPr="00DD0D1F" w:rsidRDefault="00A508A2" w:rsidP="00A508A2">
            <w:pPr>
              <w:pStyle w:val="TableParagraph"/>
              <w:spacing w:line="230" w:lineRule="exact"/>
              <w:ind w:left="108" w:right="96"/>
              <w:jc w:val="both"/>
              <w:rPr>
                <w:szCs w:val="24"/>
              </w:rPr>
            </w:pPr>
            <w:r w:rsidRPr="00DD0D1F">
              <w:rPr>
                <w:szCs w:val="24"/>
              </w:rPr>
              <w:t>NOT: SO</w:t>
            </w:r>
            <w:r w:rsidRPr="00DD0D1F">
              <w:rPr>
                <w:szCs w:val="24"/>
                <w:vertAlign w:val="subscript"/>
              </w:rPr>
              <w:t>X</w:t>
            </w:r>
            <w:r w:rsidRPr="00DD0D1F">
              <w:rPr>
                <w:szCs w:val="24"/>
              </w:rPr>
              <w:t>'i indirgeyen katalizör katkı maddelerinin sürtünme aşınması nedeniyle katalizör kayıplarını yükselterek toz emisyonları üzerinde ve SO</w:t>
            </w:r>
            <w:r w:rsidRPr="00DD0D1F">
              <w:rPr>
                <w:szCs w:val="24"/>
                <w:vertAlign w:val="subscript"/>
              </w:rPr>
              <w:t>2</w:t>
            </w:r>
            <w:r w:rsidRPr="00DD0D1F">
              <w:rPr>
                <w:szCs w:val="24"/>
              </w:rPr>
              <w:t>'nin SO</w:t>
            </w:r>
            <w:r w:rsidRPr="00DD0D1F">
              <w:rPr>
                <w:szCs w:val="24"/>
                <w:vertAlign w:val="subscript"/>
              </w:rPr>
              <w:t>3</w:t>
            </w:r>
            <w:r w:rsidRPr="00DD0D1F">
              <w:rPr>
                <w:szCs w:val="24"/>
              </w:rPr>
              <w:t xml:space="preserve"> olarak oksitlemesi ile birlikte CO artışına katılarak NO</w:t>
            </w:r>
            <w:r w:rsidRPr="00DD0D1F">
              <w:rPr>
                <w:szCs w:val="24"/>
                <w:vertAlign w:val="subscript"/>
              </w:rPr>
              <w:t xml:space="preserve">X </w:t>
            </w:r>
            <w:r w:rsidRPr="00DD0D1F">
              <w:rPr>
                <w:szCs w:val="24"/>
              </w:rPr>
              <w:t>emisyonları üzerinde bozucu etki yapabilmektedir.</w:t>
            </w:r>
          </w:p>
        </w:tc>
      </w:tr>
      <w:tr w:rsidR="00A508A2" w:rsidRPr="00DD0D1F" w14:paraId="1C4A923C" w14:textId="77777777" w:rsidTr="00A508A2">
        <w:trPr>
          <w:trHeight w:val="1838"/>
        </w:trPr>
        <w:tc>
          <w:tcPr>
            <w:tcW w:w="2748" w:type="dxa"/>
            <w:tcBorders>
              <w:top w:val="single" w:sz="4" w:space="0" w:color="000000"/>
              <w:left w:val="single" w:sz="4" w:space="0" w:color="000000"/>
              <w:bottom w:val="single" w:sz="4" w:space="0" w:color="000000"/>
              <w:right w:val="single" w:sz="4" w:space="0" w:color="000000"/>
            </w:tcBorders>
          </w:tcPr>
          <w:p w14:paraId="70ACE359" w14:textId="77777777" w:rsidR="00A508A2" w:rsidRPr="00DD0D1F" w:rsidRDefault="00A508A2" w:rsidP="00A508A2">
            <w:pPr>
              <w:pStyle w:val="TableParagraph"/>
              <w:rPr>
                <w:b/>
                <w:szCs w:val="24"/>
              </w:rPr>
            </w:pPr>
          </w:p>
          <w:p w14:paraId="339AC13F" w14:textId="77777777" w:rsidR="00A508A2" w:rsidRPr="00DD0D1F" w:rsidRDefault="00A508A2" w:rsidP="00A508A2">
            <w:pPr>
              <w:pStyle w:val="TableParagraph"/>
              <w:rPr>
                <w:b/>
                <w:szCs w:val="24"/>
              </w:rPr>
            </w:pPr>
          </w:p>
          <w:p w14:paraId="52F467BA" w14:textId="77777777" w:rsidR="00A508A2" w:rsidRPr="00DD0D1F" w:rsidRDefault="00A508A2" w:rsidP="00A508A2">
            <w:pPr>
              <w:pStyle w:val="TableParagraph"/>
              <w:spacing w:before="4"/>
              <w:rPr>
                <w:b/>
                <w:szCs w:val="24"/>
              </w:rPr>
            </w:pPr>
          </w:p>
          <w:p w14:paraId="053C1C3F" w14:textId="77777777" w:rsidR="00A508A2" w:rsidRPr="00DD0D1F" w:rsidRDefault="00A508A2" w:rsidP="00A508A2">
            <w:pPr>
              <w:pStyle w:val="TableParagraph"/>
              <w:ind w:left="107"/>
              <w:rPr>
                <w:szCs w:val="24"/>
              </w:rPr>
            </w:pPr>
            <w:r w:rsidRPr="00DD0D1F">
              <w:rPr>
                <w:szCs w:val="24"/>
              </w:rPr>
              <w:t>Hydrotreatment</w:t>
            </w:r>
          </w:p>
        </w:tc>
        <w:tc>
          <w:tcPr>
            <w:tcW w:w="5975" w:type="dxa"/>
            <w:tcBorders>
              <w:top w:val="single" w:sz="4" w:space="0" w:color="000000"/>
              <w:left w:val="single" w:sz="4" w:space="0" w:color="000000"/>
              <w:bottom w:val="single" w:sz="4" w:space="0" w:color="000000"/>
              <w:right w:val="single" w:sz="4" w:space="0" w:color="000000"/>
            </w:tcBorders>
          </w:tcPr>
          <w:p w14:paraId="6E144FE9" w14:textId="63E377CF" w:rsidR="00A508A2" w:rsidRPr="00DD0D1F" w:rsidRDefault="00A508A2" w:rsidP="00DD5924">
            <w:pPr>
              <w:pStyle w:val="TableParagraph"/>
              <w:ind w:left="108" w:right="98"/>
              <w:jc w:val="both"/>
              <w:rPr>
                <w:szCs w:val="24"/>
              </w:rPr>
            </w:pPr>
            <w:r w:rsidRPr="00DD0D1F">
              <w:rPr>
                <w:szCs w:val="24"/>
              </w:rPr>
              <w:t xml:space="preserve">Hidrojenleme tepkimelerine dayalı olarak hydrotreatment işlemi esasen düşük kükürtlü yakıtların üretimine (10 ppm benzin ve mazot) ve proses konfigürasyonunun optimizasyonuna (ağır artık dönüştürmesi ve orta distilat üretimi) odaklıdır. Hammaddenin kükürt, azot ve metal </w:t>
            </w:r>
            <w:r w:rsidR="00DD5924" w:rsidRPr="00DD0D1F">
              <w:rPr>
                <w:szCs w:val="24"/>
              </w:rPr>
              <w:t xml:space="preserve">muhtevasını  </w:t>
            </w:r>
            <w:r w:rsidRPr="00DD0D1F">
              <w:rPr>
                <w:szCs w:val="24"/>
              </w:rPr>
              <w:t>düşürür. Hidrojene gereksinim duyulması nedeniyle yeterli üretim kapasitesine ihtiyaç vardır. Bu teknikte hammaddede bulunan kükürdün proses gazındaki hidrojen sülfüre (H</w:t>
            </w:r>
            <w:r w:rsidRPr="00DD0D1F">
              <w:rPr>
                <w:szCs w:val="24"/>
                <w:vertAlign w:val="subscript"/>
              </w:rPr>
              <w:t>2</w:t>
            </w:r>
            <w:r w:rsidRPr="00DD0D1F">
              <w:rPr>
                <w:szCs w:val="24"/>
              </w:rPr>
              <w:t>S) aktarılması nedeniyle arıtma kapasitesi (ör. amin ve Claus birimleri) de olası bir darboğazdır.</w:t>
            </w:r>
          </w:p>
        </w:tc>
      </w:tr>
      <w:tr w:rsidR="00A508A2" w:rsidRPr="00DD0D1F" w14:paraId="3B04D568" w14:textId="77777777" w:rsidTr="00A508A2">
        <w:trPr>
          <w:trHeight w:val="921"/>
        </w:trPr>
        <w:tc>
          <w:tcPr>
            <w:tcW w:w="2748" w:type="dxa"/>
            <w:tcBorders>
              <w:top w:val="single" w:sz="4" w:space="0" w:color="000000"/>
              <w:left w:val="single" w:sz="4" w:space="0" w:color="000000"/>
              <w:bottom w:val="single" w:sz="4" w:space="0" w:color="000000"/>
              <w:right w:val="single" w:sz="4" w:space="0" w:color="000000"/>
            </w:tcBorders>
          </w:tcPr>
          <w:p w14:paraId="73D8D38C" w14:textId="77777777" w:rsidR="00A508A2" w:rsidRPr="00DD0D1F" w:rsidRDefault="00A508A2" w:rsidP="00A508A2">
            <w:pPr>
              <w:pStyle w:val="TableParagraph"/>
              <w:spacing w:before="5"/>
              <w:rPr>
                <w:b/>
                <w:szCs w:val="24"/>
              </w:rPr>
            </w:pPr>
          </w:p>
          <w:p w14:paraId="60389433" w14:textId="77777777" w:rsidR="00A508A2" w:rsidRPr="00DD0D1F" w:rsidRDefault="00A508A2" w:rsidP="00A508A2">
            <w:pPr>
              <w:pStyle w:val="TableParagraph"/>
              <w:ind w:left="107" w:right="90"/>
              <w:rPr>
                <w:szCs w:val="24"/>
              </w:rPr>
            </w:pPr>
            <w:r w:rsidRPr="00DD0D1F">
              <w:rPr>
                <w:szCs w:val="24"/>
              </w:rPr>
              <w:t>Örneğin amin arıtımı marifetiyle asit gazının giderilmesi</w:t>
            </w:r>
          </w:p>
        </w:tc>
        <w:tc>
          <w:tcPr>
            <w:tcW w:w="5975" w:type="dxa"/>
            <w:tcBorders>
              <w:top w:val="single" w:sz="4" w:space="0" w:color="000000"/>
              <w:left w:val="single" w:sz="4" w:space="0" w:color="000000"/>
              <w:bottom w:val="single" w:sz="4" w:space="0" w:color="000000"/>
              <w:right w:val="single" w:sz="4" w:space="0" w:color="000000"/>
            </w:tcBorders>
          </w:tcPr>
          <w:p w14:paraId="759A498E" w14:textId="77777777" w:rsidR="00A508A2" w:rsidRPr="00DD0D1F" w:rsidRDefault="00A508A2" w:rsidP="00A508A2">
            <w:pPr>
              <w:pStyle w:val="TableParagraph"/>
              <w:ind w:left="108" w:right="103"/>
              <w:jc w:val="both"/>
              <w:rPr>
                <w:szCs w:val="24"/>
              </w:rPr>
            </w:pPr>
            <w:r w:rsidRPr="00DD0D1F">
              <w:rPr>
                <w:szCs w:val="24"/>
              </w:rPr>
              <w:t>Asit gazının (büyük oranda hidrojen sülfür) kimyasal çözücüde çözdürülmesi (absorpsiyon) suretiyle yakıt gazlarından ayrıştırılması. Yaygın olarak kullanılan çözücüler aminlerdir. Bu, genellikle SRU'daki elementel kükürdün giderilmesi öncesinde gerek duyulan ilk adım arıtmadır</w:t>
            </w:r>
          </w:p>
        </w:tc>
      </w:tr>
      <w:tr w:rsidR="00A508A2" w:rsidRPr="00DD0D1F" w14:paraId="7C06696F" w14:textId="77777777" w:rsidTr="00A508A2">
        <w:trPr>
          <w:trHeight w:val="1149"/>
        </w:trPr>
        <w:tc>
          <w:tcPr>
            <w:tcW w:w="2748" w:type="dxa"/>
            <w:tcBorders>
              <w:top w:val="single" w:sz="4" w:space="0" w:color="000000"/>
              <w:left w:val="single" w:sz="4" w:space="0" w:color="000000"/>
              <w:bottom w:val="single" w:sz="4" w:space="0" w:color="000000"/>
              <w:right w:val="single" w:sz="4" w:space="0" w:color="000000"/>
            </w:tcBorders>
          </w:tcPr>
          <w:p w14:paraId="437BC455" w14:textId="77777777" w:rsidR="00A508A2" w:rsidRPr="00DD0D1F" w:rsidRDefault="00A508A2" w:rsidP="00A508A2">
            <w:pPr>
              <w:pStyle w:val="TableParagraph"/>
              <w:rPr>
                <w:b/>
                <w:szCs w:val="24"/>
              </w:rPr>
            </w:pPr>
          </w:p>
          <w:p w14:paraId="7E27CAA4" w14:textId="77777777" w:rsidR="00A508A2" w:rsidRPr="00DD0D1F" w:rsidRDefault="00A508A2" w:rsidP="00A508A2">
            <w:pPr>
              <w:pStyle w:val="TableParagraph"/>
              <w:spacing w:before="5"/>
              <w:rPr>
                <w:b/>
                <w:szCs w:val="24"/>
              </w:rPr>
            </w:pPr>
          </w:p>
          <w:p w14:paraId="5795E6A5" w14:textId="77777777" w:rsidR="00A508A2" w:rsidRPr="00DD0D1F" w:rsidRDefault="00A508A2" w:rsidP="00A508A2">
            <w:pPr>
              <w:pStyle w:val="TableParagraph"/>
              <w:ind w:left="107"/>
              <w:rPr>
                <w:szCs w:val="24"/>
              </w:rPr>
            </w:pPr>
            <w:r w:rsidRPr="00DD0D1F">
              <w:rPr>
                <w:szCs w:val="24"/>
              </w:rPr>
              <w:t>Kükürt geri kazanım birimi (SRU)</w:t>
            </w:r>
          </w:p>
        </w:tc>
        <w:tc>
          <w:tcPr>
            <w:tcW w:w="5975" w:type="dxa"/>
            <w:tcBorders>
              <w:top w:val="single" w:sz="4" w:space="0" w:color="000000"/>
              <w:left w:val="single" w:sz="4" w:space="0" w:color="000000"/>
              <w:bottom w:val="single" w:sz="4" w:space="0" w:color="000000"/>
              <w:right w:val="single" w:sz="4" w:space="0" w:color="000000"/>
            </w:tcBorders>
          </w:tcPr>
          <w:p w14:paraId="2CBE2587" w14:textId="77777777" w:rsidR="00A508A2" w:rsidRPr="00DD0D1F" w:rsidRDefault="00A508A2" w:rsidP="00A508A2">
            <w:pPr>
              <w:pStyle w:val="TableParagraph"/>
              <w:ind w:left="108" w:right="101"/>
              <w:jc w:val="both"/>
              <w:rPr>
                <w:szCs w:val="24"/>
              </w:rPr>
            </w:pPr>
            <w:r w:rsidRPr="00DD0D1F">
              <w:rPr>
                <w:szCs w:val="24"/>
              </w:rPr>
              <w:t>Genel olarak, amin arıtma birimlerinden ve acı su sıyırıcılarından gelen hidrojen sülfürce (H</w:t>
            </w:r>
            <w:r w:rsidRPr="00DD0D1F">
              <w:rPr>
                <w:szCs w:val="24"/>
                <w:vertAlign w:val="subscript"/>
              </w:rPr>
              <w:t>2</w:t>
            </w:r>
            <w:r w:rsidRPr="00DD0D1F">
              <w:rPr>
                <w:szCs w:val="24"/>
              </w:rPr>
              <w:t>S) zengin gaz akışlarının kükürt giderimi ile ilgili Claus prosesinden oluşan spesifik birim.</w:t>
            </w:r>
          </w:p>
          <w:p w14:paraId="15B280DD" w14:textId="77777777" w:rsidR="00A508A2" w:rsidRPr="00DD0D1F" w:rsidRDefault="00A508A2" w:rsidP="00A508A2">
            <w:pPr>
              <w:pStyle w:val="TableParagraph"/>
              <w:spacing w:line="230" w:lineRule="exact"/>
              <w:ind w:left="108" w:right="101"/>
              <w:jc w:val="both"/>
              <w:rPr>
                <w:szCs w:val="24"/>
              </w:rPr>
            </w:pPr>
            <w:r w:rsidRPr="00DD0D1F">
              <w:rPr>
                <w:szCs w:val="24"/>
              </w:rPr>
              <w:t>Geri kalan H</w:t>
            </w:r>
            <w:r w:rsidRPr="00DD0D1F">
              <w:rPr>
                <w:szCs w:val="24"/>
                <w:vertAlign w:val="subscript"/>
              </w:rPr>
              <w:t>2</w:t>
            </w:r>
            <w:r w:rsidRPr="00DD0D1F">
              <w:rPr>
                <w:szCs w:val="24"/>
              </w:rPr>
              <w:t>S'nin giderilmesi için SRU'yu genellikle artık gaz arıtma birimi (TGTU) izler.</w:t>
            </w:r>
          </w:p>
        </w:tc>
      </w:tr>
      <w:tr w:rsidR="00A508A2" w:rsidRPr="00DD0D1F" w14:paraId="3FBA965B" w14:textId="77777777" w:rsidTr="00A508A2">
        <w:trPr>
          <w:trHeight w:val="1977"/>
        </w:trPr>
        <w:tc>
          <w:tcPr>
            <w:tcW w:w="2748" w:type="dxa"/>
            <w:tcBorders>
              <w:top w:val="single" w:sz="4" w:space="0" w:color="000000"/>
              <w:left w:val="single" w:sz="4" w:space="0" w:color="000000"/>
              <w:bottom w:val="single" w:sz="4" w:space="0" w:color="000000"/>
              <w:right w:val="single" w:sz="4" w:space="0" w:color="000000"/>
            </w:tcBorders>
          </w:tcPr>
          <w:p w14:paraId="1D07CEA6" w14:textId="77777777" w:rsidR="00A508A2" w:rsidRPr="00DD0D1F" w:rsidRDefault="00A508A2" w:rsidP="00A508A2">
            <w:pPr>
              <w:pStyle w:val="TableParagraph"/>
              <w:rPr>
                <w:b/>
                <w:szCs w:val="24"/>
              </w:rPr>
            </w:pPr>
          </w:p>
          <w:p w14:paraId="4F8F6B94" w14:textId="77777777" w:rsidR="00A508A2" w:rsidRPr="00DD0D1F" w:rsidRDefault="00A508A2" w:rsidP="00A508A2">
            <w:pPr>
              <w:pStyle w:val="TableParagraph"/>
              <w:rPr>
                <w:b/>
                <w:szCs w:val="24"/>
              </w:rPr>
            </w:pPr>
          </w:p>
          <w:p w14:paraId="4C1EEC39" w14:textId="77777777" w:rsidR="00A508A2" w:rsidRPr="00DD0D1F" w:rsidRDefault="00A508A2" w:rsidP="00A508A2">
            <w:pPr>
              <w:pStyle w:val="TableParagraph"/>
              <w:spacing w:before="4"/>
              <w:rPr>
                <w:b/>
                <w:szCs w:val="24"/>
              </w:rPr>
            </w:pPr>
          </w:p>
          <w:p w14:paraId="59593048" w14:textId="77777777" w:rsidR="00A508A2" w:rsidRPr="00DD0D1F" w:rsidRDefault="00A508A2" w:rsidP="00A508A2">
            <w:pPr>
              <w:pStyle w:val="TableParagraph"/>
              <w:ind w:left="107"/>
              <w:rPr>
                <w:szCs w:val="24"/>
              </w:rPr>
            </w:pPr>
            <w:r w:rsidRPr="00DD0D1F">
              <w:rPr>
                <w:szCs w:val="24"/>
              </w:rPr>
              <w:t>Artık gaz arıtma birimi (TGTU)</w:t>
            </w:r>
          </w:p>
        </w:tc>
        <w:tc>
          <w:tcPr>
            <w:tcW w:w="5975" w:type="dxa"/>
            <w:tcBorders>
              <w:top w:val="single" w:sz="4" w:space="0" w:color="000000"/>
              <w:left w:val="single" w:sz="4" w:space="0" w:color="000000"/>
              <w:bottom w:val="single" w:sz="4" w:space="0" w:color="000000"/>
              <w:right w:val="single" w:sz="4" w:space="0" w:color="000000"/>
            </w:tcBorders>
          </w:tcPr>
          <w:p w14:paraId="4D9E115F" w14:textId="77777777" w:rsidR="00A508A2" w:rsidRPr="00DD0D1F" w:rsidRDefault="00A508A2" w:rsidP="00A508A2">
            <w:pPr>
              <w:pStyle w:val="TableParagraph"/>
              <w:ind w:left="108" w:right="106"/>
              <w:jc w:val="both"/>
              <w:rPr>
                <w:szCs w:val="24"/>
              </w:rPr>
            </w:pPr>
            <w:r w:rsidRPr="00DD0D1F">
              <w:rPr>
                <w:szCs w:val="24"/>
              </w:rPr>
              <w:t>Kükürt bileşiklerinin giderilmesi işlemini daha iyi hale getirmek için SRU'ya ek teknikler grubudur. Uygulanan ilkelere göre dört kategoriye ayrılabilirler:</w:t>
            </w:r>
          </w:p>
          <w:p w14:paraId="440D53D6" w14:textId="77777777" w:rsidR="00A508A2" w:rsidRPr="00DD0D1F" w:rsidRDefault="00A508A2" w:rsidP="00FF111D">
            <w:pPr>
              <w:pStyle w:val="TableParagraph"/>
              <w:numPr>
                <w:ilvl w:val="0"/>
                <w:numId w:val="84"/>
              </w:numPr>
              <w:tabs>
                <w:tab w:val="left" w:pos="332"/>
              </w:tabs>
              <w:spacing w:line="267" w:lineRule="exact"/>
              <w:rPr>
                <w:szCs w:val="24"/>
              </w:rPr>
            </w:pPr>
            <w:r w:rsidRPr="00DD0D1F">
              <w:rPr>
                <w:szCs w:val="24"/>
              </w:rPr>
              <w:t>doğrudan kükürt olarak oksitleme</w:t>
            </w:r>
          </w:p>
          <w:p w14:paraId="4E5608EA" w14:textId="77777777" w:rsidR="00A508A2" w:rsidRPr="00DD0D1F" w:rsidRDefault="00A508A2" w:rsidP="00FF111D">
            <w:pPr>
              <w:pStyle w:val="TableParagraph"/>
              <w:numPr>
                <w:ilvl w:val="0"/>
                <w:numId w:val="84"/>
              </w:numPr>
              <w:tabs>
                <w:tab w:val="left" w:pos="332"/>
              </w:tabs>
              <w:spacing w:line="264" w:lineRule="exact"/>
              <w:rPr>
                <w:szCs w:val="24"/>
              </w:rPr>
            </w:pPr>
            <w:r w:rsidRPr="00DD0D1F">
              <w:rPr>
                <w:szCs w:val="24"/>
              </w:rPr>
              <w:t>Claus tepkimesinin sürdürülmesi (çiy noktasının altındaki koşullar)</w:t>
            </w:r>
          </w:p>
          <w:p w14:paraId="55A0E07C" w14:textId="77777777" w:rsidR="00A508A2" w:rsidRPr="00DD0D1F" w:rsidRDefault="00A508A2" w:rsidP="00FF111D">
            <w:pPr>
              <w:pStyle w:val="TableParagraph"/>
              <w:numPr>
                <w:ilvl w:val="0"/>
                <w:numId w:val="84"/>
              </w:numPr>
              <w:tabs>
                <w:tab w:val="left" w:pos="332"/>
              </w:tabs>
              <w:spacing w:line="264" w:lineRule="exact"/>
              <w:rPr>
                <w:szCs w:val="24"/>
              </w:rPr>
            </w:pPr>
            <w:r w:rsidRPr="00DD0D1F">
              <w:rPr>
                <w:szCs w:val="24"/>
              </w:rPr>
              <w:t>SO</w:t>
            </w:r>
            <w:r w:rsidRPr="00DD0D1F">
              <w:rPr>
                <w:szCs w:val="24"/>
                <w:vertAlign w:val="subscript"/>
              </w:rPr>
              <w:t>2</w:t>
            </w:r>
            <w:r w:rsidRPr="00DD0D1F">
              <w:rPr>
                <w:szCs w:val="24"/>
              </w:rPr>
              <w:t>'nin oksitlemesi ve SO</w:t>
            </w:r>
            <w:r w:rsidRPr="00DD0D1F">
              <w:rPr>
                <w:szCs w:val="24"/>
                <w:vertAlign w:val="subscript"/>
              </w:rPr>
              <w:t>2</w:t>
            </w:r>
            <w:r w:rsidRPr="00DD0D1F">
              <w:rPr>
                <w:szCs w:val="24"/>
              </w:rPr>
              <w:t>'dan kükürdün geri kazanımı</w:t>
            </w:r>
          </w:p>
          <w:p w14:paraId="17D0C8F8" w14:textId="77777777" w:rsidR="00A508A2" w:rsidRPr="00DD0D1F" w:rsidRDefault="00A508A2" w:rsidP="00FF111D">
            <w:pPr>
              <w:pStyle w:val="TableParagraph"/>
              <w:numPr>
                <w:ilvl w:val="0"/>
                <w:numId w:val="84"/>
              </w:numPr>
              <w:tabs>
                <w:tab w:val="left" w:pos="332"/>
              </w:tabs>
              <w:spacing w:before="16" w:line="228" w:lineRule="exact"/>
              <w:ind w:left="331" w:right="100"/>
              <w:rPr>
                <w:szCs w:val="24"/>
              </w:rPr>
            </w:pPr>
            <w:r w:rsidRPr="00DD0D1F">
              <w:rPr>
                <w:szCs w:val="24"/>
              </w:rPr>
              <w:t>H</w:t>
            </w:r>
            <w:r w:rsidRPr="00DD0D1F">
              <w:rPr>
                <w:szCs w:val="24"/>
                <w:vertAlign w:val="subscript"/>
              </w:rPr>
              <w:t>2</w:t>
            </w:r>
            <w:r w:rsidRPr="00DD0D1F">
              <w:rPr>
                <w:szCs w:val="24"/>
              </w:rPr>
              <w:t>S'nin indirgemesi ve bu H</w:t>
            </w:r>
            <w:r w:rsidRPr="00DD0D1F">
              <w:rPr>
                <w:szCs w:val="24"/>
                <w:vertAlign w:val="subscript"/>
              </w:rPr>
              <w:t>2</w:t>
            </w:r>
            <w:r w:rsidRPr="00DD0D1F">
              <w:rPr>
                <w:szCs w:val="24"/>
              </w:rPr>
              <w:t>S'den kükürdün geri kazanımı (ör. amin prosesi)</w:t>
            </w:r>
          </w:p>
        </w:tc>
      </w:tr>
      <w:tr w:rsidR="005549D9" w:rsidRPr="00DD0D1F" w14:paraId="6372600C" w14:textId="77777777" w:rsidTr="00A508A2">
        <w:trPr>
          <w:trHeight w:val="1977"/>
        </w:trPr>
        <w:tc>
          <w:tcPr>
            <w:tcW w:w="2748" w:type="dxa"/>
            <w:tcBorders>
              <w:top w:val="single" w:sz="4" w:space="0" w:color="000000"/>
              <w:left w:val="single" w:sz="4" w:space="0" w:color="000000"/>
              <w:bottom w:val="single" w:sz="4" w:space="0" w:color="000000"/>
              <w:right w:val="single" w:sz="4" w:space="0" w:color="000000"/>
            </w:tcBorders>
          </w:tcPr>
          <w:p w14:paraId="3CB50716" w14:textId="77777777" w:rsidR="005549D9" w:rsidRPr="00DD0D1F" w:rsidRDefault="005549D9" w:rsidP="005549D9">
            <w:pPr>
              <w:pStyle w:val="TableParagraph"/>
              <w:rPr>
                <w:b/>
                <w:szCs w:val="24"/>
              </w:rPr>
            </w:pPr>
          </w:p>
          <w:p w14:paraId="07DDBB8D" w14:textId="77777777" w:rsidR="005549D9" w:rsidRPr="00DD0D1F" w:rsidRDefault="005549D9" w:rsidP="005549D9">
            <w:pPr>
              <w:pStyle w:val="TableParagraph"/>
              <w:rPr>
                <w:b/>
                <w:szCs w:val="24"/>
              </w:rPr>
            </w:pPr>
          </w:p>
          <w:p w14:paraId="6070BA8E" w14:textId="77777777" w:rsidR="005549D9" w:rsidRPr="00DD0D1F" w:rsidRDefault="005549D9" w:rsidP="005549D9">
            <w:pPr>
              <w:pStyle w:val="TableParagraph"/>
              <w:rPr>
                <w:b/>
                <w:szCs w:val="24"/>
              </w:rPr>
            </w:pPr>
          </w:p>
          <w:p w14:paraId="5FB1CB7A" w14:textId="77777777" w:rsidR="005549D9" w:rsidRPr="00DD0D1F" w:rsidRDefault="005549D9" w:rsidP="005549D9">
            <w:pPr>
              <w:pStyle w:val="TableParagraph"/>
              <w:rPr>
                <w:b/>
                <w:szCs w:val="24"/>
              </w:rPr>
            </w:pPr>
          </w:p>
          <w:p w14:paraId="42D7E4C2" w14:textId="77777777" w:rsidR="005549D9" w:rsidRPr="00DD0D1F" w:rsidRDefault="005549D9" w:rsidP="005549D9">
            <w:pPr>
              <w:pStyle w:val="TableParagraph"/>
              <w:rPr>
                <w:b/>
                <w:szCs w:val="24"/>
              </w:rPr>
            </w:pPr>
          </w:p>
          <w:p w14:paraId="6F6FAD5B" w14:textId="77777777" w:rsidR="005549D9" w:rsidRPr="00DD0D1F" w:rsidRDefault="005549D9" w:rsidP="005549D9">
            <w:pPr>
              <w:pStyle w:val="TableParagraph"/>
              <w:rPr>
                <w:b/>
                <w:szCs w:val="24"/>
              </w:rPr>
            </w:pPr>
          </w:p>
          <w:p w14:paraId="2A5A75D2" w14:textId="77777777" w:rsidR="005549D9" w:rsidRPr="00DD0D1F" w:rsidRDefault="005549D9" w:rsidP="005549D9">
            <w:pPr>
              <w:pStyle w:val="TableParagraph"/>
              <w:rPr>
                <w:b/>
                <w:szCs w:val="24"/>
              </w:rPr>
            </w:pPr>
          </w:p>
          <w:p w14:paraId="59AE712E" w14:textId="6B66B335" w:rsidR="005549D9" w:rsidRPr="00DD0D1F" w:rsidRDefault="005549D9" w:rsidP="005549D9">
            <w:pPr>
              <w:pStyle w:val="TableParagraph"/>
              <w:rPr>
                <w:b/>
                <w:szCs w:val="24"/>
              </w:rPr>
            </w:pPr>
            <w:r w:rsidRPr="00DD0D1F">
              <w:rPr>
                <w:szCs w:val="24"/>
              </w:rPr>
              <w:t>Yaş yıkama</w:t>
            </w:r>
          </w:p>
        </w:tc>
        <w:tc>
          <w:tcPr>
            <w:tcW w:w="5975" w:type="dxa"/>
            <w:tcBorders>
              <w:top w:val="single" w:sz="4" w:space="0" w:color="000000"/>
              <w:left w:val="single" w:sz="4" w:space="0" w:color="000000"/>
              <w:bottom w:val="single" w:sz="4" w:space="0" w:color="000000"/>
              <w:right w:val="single" w:sz="4" w:space="0" w:color="000000"/>
            </w:tcBorders>
          </w:tcPr>
          <w:p w14:paraId="5DF5E1C0" w14:textId="3329AA06" w:rsidR="005549D9" w:rsidRPr="00DD0D1F" w:rsidRDefault="005549D9" w:rsidP="005549D9">
            <w:pPr>
              <w:pStyle w:val="TableParagraph"/>
              <w:ind w:left="107" w:right="100"/>
              <w:jc w:val="both"/>
              <w:rPr>
                <w:szCs w:val="24"/>
              </w:rPr>
            </w:pPr>
            <w:r w:rsidRPr="00DD0D1F">
              <w:rPr>
                <w:szCs w:val="24"/>
              </w:rPr>
              <w:t xml:space="preserve">Yaş yıkama prosesinde gazlı bileşikler uygun sıvı (su veya alkali çözelti) halinde çözünürler. Katı ve gazlı bileşiklerin aynı anda giderilmesi sağlanabilmektedir. Yaş gaz yıkama kulesinin sistem çıkışı yönünde </w:t>
            </w:r>
            <w:r w:rsidR="00E00B0A" w:rsidRPr="00DD0D1F">
              <w:rPr>
                <w:szCs w:val="24"/>
              </w:rPr>
              <w:t>baca</w:t>
            </w:r>
            <w:r w:rsidRPr="00DD0D1F">
              <w:rPr>
                <w:szCs w:val="24"/>
              </w:rPr>
              <w:t xml:space="preserve"> gazları suya doyurulur ve </w:t>
            </w:r>
            <w:r w:rsidR="00E00B0A" w:rsidRPr="00DD0D1F">
              <w:rPr>
                <w:szCs w:val="24"/>
              </w:rPr>
              <w:t>baca</w:t>
            </w:r>
            <w:r w:rsidRPr="00DD0D1F">
              <w:rPr>
                <w:szCs w:val="24"/>
              </w:rPr>
              <w:t xml:space="preserve"> gazlarının tahliyesi öncesinde damlacıkların ayrıştırılması gerekir. Sonuçta ortaya çıkan sıvının atık su prosesiyle artırılması gereklidir ve çözünmeyen madde ise sedimantasyon veya filtrasyon marifetiyle toplanır.</w:t>
            </w:r>
          </w:p>
          <w:p w14:paraId="3CE2795D" w14:textId="77777777" w:rsidR="005549D9" w:rsidRPr="00DD0D1F" w:rsidRDefault="005549D9" w:rsidP="005549D9">
            <w:pPr>
              <w:pStyle w:val="TableParagraph"/>
              <w:ind w:left="107"/>
              <w:jc w:val="both"/>
              <w:rPr>
                <w:szCs w:val="24"/>
              </w:rPr>
            </w:pPr>
            <w:r w:rsidRPr="00DD0D1F">
              <w:rPr>
                <w:szCs w:val="24"/>
              </w:rPr>
              <w:t>Yıkama çözeltilerinin türüne göre şu şekilde olabilmektedir:</w:t>
            </w:r>
          </w:p>
          <w:p w14:paraId="5756ACDD" w14:textId="77777777" w:rsidR="005549D9" w:rsidRPr="00DD0D1F" w:rsidRDefault="005549D9" w:rsidP="005549D9">
            <w:pPr>
              <w:pStyle w:val="TableParagraph"/>
              <w:numPr>
                <w:ilvl w:val="0"/>
                <w:numId w:val="83"/>
              </w:numPr>
              <w:tabs>
                <w:tab w:val="left" w:pos="331"/>
              </w:tabs>
              <w:spacing w:line="245" w:lineRule="exact"/>
              <w:jc w:val="both"/>
              <w:rPr>
                <w:szCs w:val="24"/>
              </w:rPr>
            </w:pPr>
            <w:r w:rsidRPr="00DD0D1F">
              <w:rPr>
                <w:szCs w:val="24"/>
              </w:rPr>
              <w:t>rejeneratif olmayan teknik (ör. sodyum veya magnezyum esaslı)</w:t>
            </w:r>
          </w:p>
          <w:p w14:paraId="33329073" w14:textId="77777777" w:rsidR="005549D9" w:rsidRPr="00DD0D1F" w:rsidRDefault="005549D9" w:rsidP="005549D9">
            <w:pPr>
              <w:pStyle w:val="TableParagraph"/>
              <w:numPr>
                <w:ilvl w:val="0"/>
                <w:numId w:val="83"/>
              </w:numPr>
              <w:tabs>
                <w:tab w:val="left" w:pos="331"/>
              </w:tabs>
              <w:spacing w:line="244" w:lineRule="exact"/>
              <w:jc w:val="both"/>
              <w:rPr>
                <w:szCs w:val="24"/>
              </w:rPr>
            </w:pPr>
            <w:r w:rsidRPr="00DD0D1F">
              <w:rPr>
                <w:szCs w:val="24"/>
              </w:rPr>
              <w:t>rejeneratif teknik (ör. amin veya soda çözeltisi)</w:t>
            </w:r>
          </w:p>
          <w:p w14:paraId="35DC506A" w14:textId="77777777" w:rsidR="005549D9" w:rsidRPr="00DD0D1F" w:rsidRDefault="005549D9" w:rsidP="005549D9">
            <w:pPr>
              <w:pStyle w:val="TableParagraph"/>
              <w:ind w:left="107" w:right="104"/>
              <w:jc w:val="both"/>
              <w:rPr>
                <w:szCs w:val="24"/>
              </w:rPr>
            </w:pPr>
            <w:r w:rsidRPr="00DD0D1F">
              <w:rPr>
                <w:szCs w:val="24"/>
              </w:rPr>
              <w:t>Temas yöntemine göre farklı teknikler gerekebilir, ör.:</w:t>
            </w:r>
          </w:p>
          <w:p w14:paraId="6005B4AB" w14:textId="77777777" w:rsidR="005549D9" w:rsidRPr="00DD0D1F" w:rsidRDefault="005549D9" w:rsidP="005549D9">
            <w:pPr>
              <w:pStyle w:val="TableParagraph"/>
              <w:numPr>
                <w:ilvl w:val="0"/>
                <w:numId w:val="83"/>
              </w:numPr>
              <w:tabs>
                <w:tab w:val="left" w:pos="331"/>
              </w:tabs>
              <w:spacing w:line="245" w:lineRule="exact"/>
              <w:jc w:val="both"/>
              <w:rPr>
                <w:szCs w:val="24"/>
              </w:rPr>
            </w:pPr>
            <w:r w:rsidRPr="00DD0D1F">
              <w:rPr>
                <w:szCs w:val="24"/>
              </w:rPr>
              <w:t>Giriş gazından gelen enerjiyi sıvıyla püskürterek kullanan venturi</w:t>
            </w:r>
          </w:p>
          <w:p w14:paraId="55F0ECDF" w14:textId="77777777" w:rsidR="005549D9" w:rsidRPr="00DD0D1F" w:rsidRDefault="005549D9" w:rsidP="005549D9">
            <w:pPr>
              <w:pStyle w:val="TableParagraph"/>
              <w:numPr>
                <w:ilvl w:val="0"/>
                <w:numId w:val="83"/>
              </w:numPr>
              <w:tabs>
                <w:tab w:val="left" w:pos="331"/>
              </w:tabs>
              <w:spacing w:line="245" w:lineRule="exact"/>
              <w:jc w:val="both"/>
              <w:rPr>
                <w:szCs w:val="24"/>
              </w:rPr>
            </w:pPr>
            <w:r w:rsidRPr="00DD0D1F">
              <w:rPr>
                <w:szCs w:val="24"/>
              </w:rPr>
              <w:t>dolgu tip kuleler, plaka tip kuleler, püskürtme odacıkları.</w:t>
            </w:r>
          </w:p>
          <w:p w14:paraId="16BBFE4E" w14:textId="77777777" w:rsidR="005549D9" w:rsidRPr="00DD0D1F" w:rsidRDefault="005549D9" w:rsidP="005549D9">
            <w:pPr>
              <w:pStyle w:val="TableParagraph"/>
              <w:ind w:left="107" w:right="102"/>
              <w:jc w:val="both"/>
              <w:rPr>
                <w:szCs w:val="24"/>
              </w:rPr>
            </w:pPr>
            <w:r w:rsidRPr="00DD0D1F">
              <w:rPr>
                <w:szCs w:val="24"/>
              </w:rPr>
              <w:t>Gaz yıkama kulelerinin büyük oranda SO</w:t>
            </w:r>
            <w:r w:rsidRPr="00DD0D1F">
              <w:rPr>
                <w:szCs w:val="24"/>
                <w:vertAlign w:val="subscript"/>
              </w:rPr>
              <w:t xml:space="preserve">X </w:t>
            </w:r>
            <w:r w:rsidRPr="00DD0D1F">
              <w:rPr>
                <w:szCs w:val="24"/>
              </w:rPr>
              <w:t>giderimine odaklandıkları durumda, verimli toz giderimi için uygun bir tasarıma da gerek vardır.</w:t>
            </w:r>
          </w:p>
          <w:p w14:paraId="1438D5E5" w14:textId="4517C144" w:rsidR="005549D9" w:rsidRPr="00DD0D1F" w:rsidRDefault="005549D9" w:rsidP="005549D9">
            <w:pPr>
              <w:pStyle w:val="TableParagraph"/>
              <w:ind w:left="108" w:right="106"/>
              <w:jc w:val="both"/>
              <w:rPr>
                <w:szCs w:val="24"/>
              </w:rPr>
            </w:pPr>
            <w:r w:rsidRPr="00DD0D1F">
              <w:rPr>
                <w:szCs w:val="24"/>
              </w:rPr>
              <w:t>Gösterge niteliğindeki tipik SO</w:t>
            </w:r>
            <w:r w:rsidRPr="00DD0D1F">
              <w:rPr>
                <w:szCs w:val="24"/>
                <w:vertAlign w:val="subscript"/>
              </w:rPr>
              <w:t xml:space="preserve">X </w:t>
            </w:r>
            <w:r w:rsidRPr="00DD0D1F">
              <w:rPr>
                <w:szCs w:val="24"/>
              </w:rPr>
              <w:t>giderimi verimi %85-98 aralığındadır.</w:t>
            </w:r>
          </w:p>
        </w:tc>
      </w:tr>
      <w:tr w:rsidR="005549D9" w:rsidRPr="00DD0D1F" w14:paraId="40320E55" w14:textId="77777777" w:rsidTr="005549D9">
        <w:trPr>
          <w:trHeight w:val="1504"/>
        </w:trPr>
        <w:tc>
          <w:tcPr>
            <w:tcW w:w="2748" w:type="dxa"/>
            <w:tcBorders>
              <w:top w:val="single" w:sz="4" w:space="0" w:color="000000"/>
              <w:left w:val="single" w:sz="4" w:space="0" w:color="000000"/>
              <w:bottom w:val="single" w:sz="4" w:space="0" w:color="000000"/>
              <w:right w:val="single" w:sz="4" w:space="0" w:color="000000"/>
            </w:tcBorders>
          </w:tcPr>
          <w:p w14:paraId="7C32E4D7" w14:textId="77777777" w:rsidR="005549D9" w:rsidRPr="00DD0D1F" w:rsidRDefault="005549D9" w:rsidP="005549D9">
            <w:pPr>
              <w:pStyle w:val="TableParagraph"/>
              <w:rPr>
                <w:b/>
                <w:szCs w:val="24"/>
              </w:rPr>
            </w:pPr>
          </w:p>
          <w:p w14:paraId="4782190C" w14:textId="77777777" w:rsidR="005549D9" w:rsidRPr="00DD0D1F" w:rsidRDefault="005549D9" w:rsidP="005549D9">
            <w:pPr>
              <w:pStyle w:val="TableParagraph"/>
              <w:spacing w:before="4"/>
              <w:rPr>
                <w:b/>
                <w:szCs w:val="24"/>
              </w:rPr>
            </w:pPr>
          </w:p>
          <w:p w14:paraId="7F6C50BB" w14:textId="6507AE75" w:rsidR="005549D9" w:rsidRPr="00DD0D1F" w:rsidRDefault="005549D9" w:rsidP="005549D9">
            <w:pPr>
              <w:pStyle w:val="TableParagraph"/>
              <w:rPr>
                <w:b/>
                <w:szCs w:val="24"/>
              </w:rPr>
            </w:pPr>
            <w:r w:rsidRPr="00DD0D1F">
              <w:rPr>
                <w:szCs w:val="24"/>
              </w:rPr>
              <w:t>Rejeneratif olmayan yıkama</w:t>
            </w:r>
          </w:p>
        </w:tc>
        <w:tc>
          <w:tcPr>
            <w:tcW w:w="5975" w:type="dxa"/>
            <w:tcBorders>
              <w:top w:val="single" w:sz="4" w:space="0" w:color="000000"/>
              <w:left w:val="single" w:sz="4" w:space="0" w:color="000000"/>
              <w:bottom w:val="single" w:sz="4" w:space="0" w:color="000000"/>
              <w:right w:val="single" w:sz="4" w:space="0" w:color="000000"/>
            </w:tcBorders>
          </w:tcPr>
          <w:p w14:paraId="72BCBB2F" w14:textId="77777777" w:rsidR="005549D9" w:rsidRPr="00DD0D1F" w:rsidRDefault="005549D9" w:rsidP="005549D9">
            <w:pPr>
              <w:pStyle w:val="TableParagraph"/>
              <w:ind w:left="107"/>
              <w:rPr>
                <w:szCs w:val="24"/>
              </w:rPr>
            </w:pPr>
            <w:r w:rsidRPr="00DD0D1F">
              <w:rPr>
                <w:szCs w:val="24"/>
              </w:rPr>
              <w:t>SO</w:t>
            </w:r>
            <w:r w:rsidRPr="00DD0D1F">
              <w:rPr>
                <w:szCs w:val="24"/>
                <w:vertAlign w:val="subscript"/>
              </w:rPr>
              <w:t>X</w:t>
            </w:r>
            <w:r w:rsidRPr="00DD0D1F">
              <w:rPr>
                <w:szCs w:val="24"/>
              </w:rPr>
              <w:t>'i genel olarak sülfat şeklinde soğurması için ayıraç olarak sodyum veya magnezyum esaslı çözelti kullanılır. Teknikler örnek olarak aşağıdakilere dayalıdır:</w:t>
            </w:r>
          </w:p>
          <w:p w14:paraId="4D65DD81" w14:textId="77777777" w:rsidR="005549D9" w:rsidRPr="00DD0D1F" w:rsidRDefault="005549D9" w:rsidP="005549D9">
            <w:pPr>
              <w:pStyle w:val="TableParagraph"/>
              <w:numPr>
                <w:ilvl w:val="0"/>
                <w:numId w:val="82"/>
              </w:numPr>
              <w:tabs>
                <w:tab w:val="left" w:pos="331"/>
              </w:tabs>
              <w:spacing w:line="245" w:lineRule="exact"/>
              <w:rPr>
                <w:szCs w:val="24"/>
              </w:rPr>
            </w:pPr>
            <w:r w:rsidRPr="00DD0D1F">
              <w:rPr>
                <w:szCs w:val="24"/>
              </w:rPr>
              <w:t>kireçtaşı kaymağı</w:t>
            </w:r>
          </w:p>
          <w:p w14:paraId="57EF7933" w14:textId="77777777" w:rsidR="005549D9" w:rsidRPr="00DD0D1F" w:rsidRDefault="005549D9" w:rsidP="005549D9">
            <w:pPr>
              <w:pStyle w:val="TableParagraph"/>
              <w:numPr>
                <w:ilvl w:val="0"/>
                <w:numId w:val="82"/>
              </w:numPr>
              <w:tabs>
                <w:tab w:val="left" w:pos="331"/>
              </w:tabs>
              <w:spacing w:line="245" w:lineRule="exact"/>
              <w:rPr>
                <w:szCs w:val="24"/>
              </w:rPr>
            </w:pPr>
            <w:r w:rsidRPr="00DD0D1F">
              <w:rPr>
                <w:szCs w:val="24"/>
              </w:rPr>
              <w:t>sulu amonyak</w:t>
            </w:r>
          </w:p>
          <w:p w14:paraId="796203A0" w14:textId="1909837B" w:rsidR="005549D9" w:rsidRPr="00DD0D1F" w:rsidRDefault="005549D9" w:rsidP="005549D9">
            <w:pPr>
              <w:pStyle w:val="TableParagraph"/>
              <w:ind w:left="108" w:right="106"/>
              <w:jc w:val="both"/>
              <w:rPr>
                <w:szCs w:val="24"/>
              </w:rPr>
            </w:pPr>
            <w:r w:rsidRPr="00DD0D1F">
              <w:rPr>
                <w:szCs w:val="24"/>
              </w:rPr>
              <w:t>deniz suyu (aşağıya bkz.)</w:t>
            </w:r>
          </w:p>
        </w:tc>
      </w:tr>
      <w:tr w:rsidR="005549D9" w:rsidRPr="00DD0D1F" w14:paraId="622E12E1" w14:textId="77777777" w:rsidTr="005549D9">
        <w:trPr>
          <w:trHeight w:val="987"/>
        </w:trPr>
        <w:tc>
          <w:tcPr>
            <w:tcW w:w="2748" w:type="dxa"/>
            <w:tcBorders>
              <w:top w:val="single" w:sz="4" w:space="0" w:color="000000"/>
              <w:left w:val="single" w:sz="4" w:space="0" w:color="000000"/>
              <w:bottom w:val="single" w:sz="4" w:space="0" w:color="000000"/>
              <w:right w:val="single" w:sz="4" w:space="0" w:color="000000"/>
            </w:tcBorders>
          </w:tcPr>
          <w:p w14:paraId="57471405" w14:textId="1470FC26" w:rsidR="005549D9" w:rsidRPr="00DD0D1F" w:rsidRDefault="005549D9" w:rsidP="005549D9">
            <w:pPr>
              <w:pStyle w:val="TableParagraph"/>
              <w:rPr>
                <w:b/>
                <w:szCs w:val="24"/>
              </w:rPr>
            </w:pPr>
            <w:r w:rsidRPr="00DD0D1F">
              <w:rPr>
                <w:szCs w:val="24"/>
              </w:rPr>
              <w:t>Deniz suyu ile yıkama</w:t>
            </w:r>
          </w:p>
        </w:tc>
        <w:tc>
          <w:tcPr>
            <w:tcW w:w="5975" w:type="dxa"/>
            <w:tcBorders>
              <w:top w:val="single" w:sz="4" w:space="0" w:color="000000"/>
              <w:left w:val="single" w:sz="4" w:space="0" w:color="000000"/>
              <w:bottom w:val="single" w:sz="4" w:space="0" w:color="000000"/>
              <w:right w:val="single" w:sz="4" w:space="0" w:color="000000"/>
            </w:tcBorders>
          </w:tcPr>
          <w:p w14:paraId="5CD7E9B8" w14:textId="4D85ECC9" w:rsidR="005549D9" w:rsidRPr="00DD0D1F" w:rsidRDefault="005549D9" w:rsidP="005549D9">
            <w:pPr>
              <w:pStyle w:val="TableParagraph"/>
              <w:ind w:left="108" w:right="106"/>
              <w:jc w:val="both"/>
              <w:rPr>
                <w:szCs w:val="24"/>
              </w:rPr>
            </w:pPr>
            <w:r w:rsidRPr="00DD0D1F">
              <w:rPr>
                <w:szCs w:val="24"/>
              </w:rPr>
              <w:t>Deniz suyunun çözücü olarak alkaliliğinden yararlanılan özel bir tür rejeneratif olmayan yıkamadır. Genellikle tozun yukarı yönde azaltımını gerektirir.</w:t>
            </w:r>
          </w:p>
        </w:tc>
      </w:tr>
      <w:tr w:rsidR="005549D9" w:rsidRPr="00DD0D1F" w14:paraId="3AE64F43" w14:textId="77777777" w:rsidTr="005549D9">
        <w:trPr>
          <w:trHeight w:val="817"/>
        </w:trPr>
        <w:tc>
          <w:tcPr>
            <w:tcW w:w="2748" w:type="dxa"/>
            <w:tcBorders>
              <w:top w:val="single" w:sz="4" w:space="0" w:color="000000"/>
              <w:left w:val="single" w:sz="4" w:space="0" w:color="000000"/>
              <w:bottom w:val="single" w:sz="4" w:space="0" w:color="000000"/>
              <w:right w:val="single" w:sz="4" w:space="0" w:color="000000"/>
            </w:tcBorders>
          </w:tcPr>
          <w:p w14:paraId="25D9B097" w14:textId="77777777" w:rsidR="005549D9" w:rsidRPr="00DD0D1F" w:rsidRDefault="005549D9" w:rsidP="005549D9">
            <w:pPr>
              <w:pStyle w:val="TableParagraph"/>
              <w:spacing w:before="7"/>
              <w:rPr>
                <w:b/>
                <w:szCs w:val="24"/>
              </w:rPr>
            </w:pPr>
          </w:p>
          <w:p w14:paraId="1C97362E" w14:textId="2B5854F8" w:rsidR="005549D9" w:rsidRPr="00DD0D1F" w:rsidRDefault="005549D9" w:rsidP="005549D9">
            <w:pPr>
              <w:pStyle w:val="TableParagraph"/>
              <w:rPr>
                <w:b/>
                <w:szCs w:val="24"/>
              </w:rPr>
            </w:pPr>
            <w:r w:rsidRPr="00DD0D1F">
              <w:rPr>
                <w:szCs w:val="24"/>
              </w:rPr>
              <w:t>Rejeneratif yıkama</w:t>
            </w:r>
          </w:p>
        </w:tc>
        <w:tc>
          <w:tcPr>
            <w:tcW w:w="5975" w:type="dxa"/>
            <w:tcBorders>
              <w:top w:val="single" w:sz="4" w:space="0" w:color="000000"/>
              <w:left w:val="single" w:sz="4" w:space="0" w:color="000000"/>
              <w:bottom w:val="single" w:sz="4" w:space="0" w:color="000000"/>
              <w:right w:val="single" w:sz="4" w:space="0" w:color="000000"/>
            </w:tcBorders>
          </w:tcPr>
          <w:p w14:paraId="70064086" w14:textId="76C065D6" w:rsidR="005549D9" w:rsidRPr="00DD0D1F" w:rsidRDefault="005549D9" w:rsidP="005549D9">
            <w:pPr>
              <w:pStyle w:val="TableParagraph"/>
              <w:ind w:left="108" w:right="106"/>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tc>
      </w:tr>
    </w:tbl>
    <w:p w14:paraId="7426E6BD" w14:textId="57DACCD8" w:rsidR="00A508A2" w:rsidRDefault="00A508A2" w:rsidP="00A508A2">
      <w:pPr>
        <w:pStyle w:val="GvdeMetni"/>
        <w:spacing w:before="2"/>
        <w:rPr>
          <w:b/>
          <w:sz w:val="24"/>
          <w:szCs w:val="24"/>
        </w:rPr>
      </w:pPr>
    </w:p>
    <w:p w14:paraId="7FF15B1F" w14:textId="77777777" w:rsidR="00695881" w:rsidRPr="00DD0D1F" w:rsidRDefault="00695881" w:rsidP="00A508A2">
      <w:pPr>
        <w:pStyle w:val="GvdeMetni"/>
        <w:spacing w:before="2"/>
        <w:rPr>
          <w:b/>
          <w:sz w:val="24"/>
          <w:szCs w:val="24"/>
        </w:rPr>
      </w:pPr>
    </w:p>
    <w:p w14:paraId="136EDE05" w14:textId="77777777" w:rsidR="00A508A2" w:rsidRPr="00DD0D1F" w:rsidRDefault="00A508A2" w:rsidP="00FF111D">
      <w:pPr>
        <w:pStyle w:val="GvdeMetni"/>
        <w:numPr>
          <w:ilvl w:val="1"/>
          <w:numId w:val="114"/>
        </w:numPr>
        <w:spacing w:before="2"/>
        <w:jc w:val="both"/>
        <w:rPr>
          <w:b/>
          <w:sz w:val="24"/>
          <w:szCs w:val="24"/>
        </w:rPr>
      </w:pPr>
      <w:r w:rsidRPr="00DD0D1F">
        <w:rPr>
          <w:b/>
          <w:bCs/>
          <w:sz w:val="24"/>
          <w:szCs w:val="24"/>
        </w:rPr>
        <w:t>Bileşik teknikler (SO</w:t>
      </w:r>
      <w:r w:rsidRPr="00DD0D1F">
        <w:rPr>
          <w:b/>
          <w:bCs/>
          <w:sz w:val="24"/>
          <w:szCs w:val="24"/>
          <w:vertAlign w:val="subscript"/>
        </w:rPr>
        <w:t>X</w:t>
      </w:r>
      <w:r w:rsidRPr="00DD0D1F">
        <w:rPr>
          <w:b/>
          <w:bCs/>
          <w:sz w:val="24"/>
          <w:szCs w:val="24"/>
        </w:rPr>
        <w:t>, NO</w:t>
      </w:r>
      <w:r w:rsidRPr="00DD0D1F">
        <w:rPr>
          <w:b/>
          <w:bCs/>
          <w:sz w:val="24"/>
          <w:szCs w:val="24"/>
          <w:vertAlign w:val="subscript"/>
        </w:rPr>
        <w:t>X</w:t>
      </w:r>
      <w:r w:rsidRPr="00DD0D1F">
        <w:rPr>
          <w:b/>
          <w:bCs/>
          <w:sz w:val="24"/>
          <w:szCs w:val="24"/>
        </w:rPr>
        <w:t xml:space="preserve"> ve toz)</w:t>
      </w:r>
    </w:p>
    <w:p w14:paraId="1F4814F3" w14:textId="77777777" w:rsidR="00A508A2" w:rsidRPr="00DD0D1F" w:rsidRDefault="00A508A2" w:rsidP="00A508A2">
      <w:pPr>
        <w:pStyle w:val="GvdeMetni"/>
        <w:spacing w:before="2"/>
        <w:rPr>
          <w:b/>
          <w:sz w:val="24"/>
          <w:szCs w:val="24"/>
        </w:rPr>
      </w:pPr>
    </w:p>
    <w:tbl>
      <w:tblPr>
        <w:tblStyle w:val="TableNormal"/>
        <w:tblW w:w="47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1"/>
        <w:gridCol w:w="6115"/>
      </w:tblGrid>
      <w:tr w:rsidR="00A508A2" w:rsidRPr="00DD0D1F" w14:paraId="63DF264D" w14:textId="77777777" w:rsidTr="002437EE">
        <w:trPr>
          <w:trHeight w:val="285"/>
        </w:trPr>
        <w:tc>
          <w:tcPr>
            <w:tcW w:w="1409" w:type="pct"/>
          </w:tcPr>
          <w:p w14:paraId="2B586B6C" w14:textId="77777777" w:rsidR="00A508A2" w:rsidRPr="00DD0D1F" w:rsidRDefault="00A508A2" w:rsidP="00A508A2">
            <w:pPr>
              <w:pStyle w:val="TableParagraph"/>
              <w:spacing w:before="26"/>
              <w:ind w:left="901" w:right="896"/>
              <w:jc w:val="center"/>
              <w:rPr>
                <w:b/>
                <w:szCs w:val="24"/>
              </w:rPr>
            </w:pPr>
            <w:r w:rsidRPr="00DD0D1F">
              <w:rPr>
                <w:b/>
                <w:bCs/>
                <w:szCs w:val="24"/>
              </w:rPr>
              <w:t>Teknik</w:t>
            </w:r>
          </w:p>
        </w:tc>
        <w:tc>
          <w:tcPr>
            <w:tcW w:w="3591" w:type="pct"/>
          </w:tcPr>
          <w:p w14:paraId="7A1DCA19" w14:textId="77777777" w:rsidR="00A508A2" w:rsidRPr="00DD0D1F" w:rsidRDefault="00A508A2" w:rsidP="00A508A2">
            <w:pPr>
              <w:pStyle w:val="TableParagraph"/>
              <w:spacing w:before="26"/>
              <w:ind w:left="2340" w:right="2227"/>
              <w:jc w:val="center"/>
              <w:rPr>
                <w:b/>
                <w:szCs w:val="24"/>
              </w:rPr>
            </w:pPr>
            <w:r w:rsidRPr="00DD0D1F">
              <w:rPr>
                <w:b/>
                <w:bCs/>
                <w:szCs w:val="24"/>
              </w:rPr>
              <w:t>Tanım</w:t>
            </w:r>
          </w:p>
        </w:tc>
      </w:tr>
      <w:tr w:rsidR="00A508A2" w:rsidRPr="00DD0D1F" w14:paraId="0A88CB62" w14:textId="77777777" w:rsidTr="002437EE">
        <w:trPr>
          <w:trHeight w:val="534"/>
        </w:trPr>
        <w:tc>
          <w:tcPr>
            <w:tcW w:w="1409" w:type="pct"/>
          </w:tcPr>
          <w:p w14:paraId="54270FEA" w14:textId="27E78819" w:rsidR="00A508A2" w:rsidRPr="00DD0D1F" w:rsidRDefault="007858A0" w:rsidP="00A508A2">
            <w:pPr>
              <w:pStyle w:val="TableParagraph"/>
              <w:ind w:left="107"/>
              <w:rPr>
                <w:szCs w:val="24"/>
              </w:rPr>
            </w:pPr>
            <w:r w:rsidRPr="00DD0D1F">
              <w:rPr>
                <w:szCs w:val="24"/>
              </w:rPr>
              <w:t>Islak</w:t>
            </w:r>
            <w:r w:rsidR="005549D9" w:rsidRPr="00DD0D1F">
              <w:rPr>
                <w:szCs w:val="24"/>
              </w:rPr>
              <w:t xml:space="preserve"> yıkama</w:t>
            </w:r>
          </w:p>
        </w:tc>
        <w:tc>
          <w:tcPr>
            <w:tcW w:w="3591" w:type="pct"/>
          </w:tcPr>
          <w:p w14:paraId="53FF7719" w14:textId="7949DE89" w:rsidR="00A508A2" w:rsidRPr="00DD0D1F" w:rsidRDefault="005549D9" w:rsidP="00A508A2">
            <w:pPr>
              <w:pStyle w:val="TableParagraph"/>
              <w:spacing w:line="216" w:lineRule="exact"/>
              <w:ind w:left="107"/>
              <w:jc w:val="both"/>
              <w:rPr>
                <w:szCs w:val="24"/>
              </w:rPr>
            </w:pPr>
            <w:r w:rsidRPr="00DD0D1F">
              <w:rPr>
                <w:szCs w:val="24"/>
              </w:rPr>
              <w:t>Bölüm 1.20.3 bakınız.</w:t>
            </w:r>
          </w:p>
        </w:tc>
      </w:tr>
      <w:tr w:rsidR="00A508A2" w:rsidRPr="00DD0D1F" w14:paraId="6894D6E4" w14:textId="77777777" w:rsidTr="002437EE">
        <w:trPr>
          <w:trHeight w:val="1192"/>
        </w:trPr>
        <w:tc>
          <w:tcPr>
            <w:tcW w:w="1409" w:type="pct"/>
          </w:tcPr>
          <w:p w14:paraId="33F20818" w14:textId="3A09F1E4" w:rsidR="00A508A2" w:rsidRPr="00DD0D1F" w:rsidRDefault="005549D9" w:rsidP="00A508A2">
            <w:pPr>
              <w:pStyle w:val="TableParagraph"/>
              <w:ind w:left="107"/>
              <w:rPr>
                <w:szCs w:val="24"/>
              </w:rPr>
            </w:pPr>
            <w:r w:rsidRPr="00DD0D1F">
              <w:rPr>
                <w:szCs w:val="24"/>
              </w:rPr>
              <w:t>SNOx birleşik tekniği</w:t>
            </w:r>
          </w:p>
        </w:tc>
        <w:tc>
          <w:tcPr>
            <w:tcW w:w="3591" w:type="pct"/>
          </w:tcPr>
          <w:p w14:paraId="5DCF8106" w14:textId="34563B35" w:rsidR="005549D9" w:rsidRPr="00DD0D1F" w:rsidRDefault="005549D9" w:rsidP="005549D9">
            <w:pPr>
              <w:pStyle w:val="TableParagraph"/>
              <w:tabs>
                <w:tab w:val="left" w:pos="331"/>
              </w:tabs>
              <w:spacing w:line="229" w:lineRule="exact"/>
              <w:rPr>
                <w:szCs w:val="24"/>
              </w:rPr>
            </w:pPr>
            <w:r w:rsidRPr="00DD0D1F">
              <w:rPr>
                <w:szCs w:val="24"/>
              </w:rPr>
              <w:t>SOX, NOX ve tozu gidermek için ilk toz giderme aşamasının (ESP) gerçekleştiği ve ardından bazı özel katalitik işlemlerin yapıldığı birleşik teknik. Kükürt bileşikleri ticari sınıf konsantre sülfürik asit olarak geri kazanılırken, NOX N2'ye indirgenir.</w:t>
            </w:r>
          </w:p>
          <w:p w14:paraId="6B2A3DE9" w14:textId="77777777" w:rsidR="005549D9" w:rsidRPr="00DD0D1F" w:rsidRDefault="005549D9" w:rsidP="005549D9">
            <w:pPr>
              <w:pStyle w:val="TableParagraph"/>
              <w:tabs>
                <w:tab w:val="left" w:pos="331"/>
              </w:tabs>
              <w:spacing w:line="229" w:lineRule="exact"/>
              <w:rPr>
                <w:szCs w:val="24"/>
              </w:rPr>
            </w:pPr>
          </w:p>
          <w:p w14:paraId="7C95A662" w14:textId="77777777" w:rsidR="005549D9" w:rsidRPr="00DD0D1F" w:rsidRDefault="005549D9" w:rsidP="005549D9">
            <w:pPr>
              <w:pStyle w:val="TableParagraph"/>
              <w:tabs>
                <w:tab w:val="left" w:pos="331"/>
              </w:tabs>
              <w:spacing w:line="229" w:lineRule="exact"/>
              <w:rPr>
                <w:szCs w:val="24"/>
              </w:rPr>
            </w:pPr>
            <w:r w:rsidRPr="00DD0D1F">
              <w:rPr>
                <w:szCs w:val="24"/>
              </w:rPr>
              <w:t>Genel SOX giderimi %94-96,6 aralığındadır.</w:t>
            </w:r>
          </w:p>
          <w:p w14:paraId="45946288" w14:textId="141CEA53" w:rsidR="00A508A2" w:rsidRPr="00DD0D1F" w:rsidRDefault="005549D9" w:rsidP="005549D9">
            <w:pPr>
              <w:pStyle w:val="TableParagraph"/>
              <w:tabs>
                <w:tab w:val="left" w:pos="331"/>
              </w:tabs>
              <w:spacing w:line="229" w:lineRule="exact"/>
              <w:rPr>
                <w:szCs w:val="24"/>
              </w:rPr>
            </w:pPr>
            <w:r w:rsidRPr="00DD0D1F">
              <w:rPr>
                <w:szCs w:val="24"/>
              </w:rPr>
              <w:t>Genel NOX giderimi %87-90 aralığındadır</w:t>
            </w:r>
          </w:p>
        </w:tc>
      </w:tr>
    </w:tbl>
    <w:p w14:paraId="0CEB34D1" w14:textId="77777777" w:rsidR="00A508A2" w:rsidRPr="00DD0D1F" w:rsidRDefault="00A508A2" w:rsidP="00FF111D">
      <w:pPr>
        <w:pStyle w:val="Balk3"/>
        <w:keepNext w:val="0"/>
        <w:keepLines w:val="0"/>
        <w:widowControl w:val="0"/>
        <w:numPr>
          <w:ilvl w:val="1"/>
          <w:numId w:val="114"/>
        </w:numPr>
        <w:tabs>
          <w:tab w:val="left" w:pos="2721"/>
          <w:tab w:val="left" w:pos="2722"/>
        </w:tabs>
        <w:autoSpaceDE w:val="0"/>
        <w:autoSpaceDN w:val="0"/>
        <w:spacing w:before="180" w:after="0" w:line="240" w:lineRule="auto"/>
        <w:jc w:val="left"/>
        <w:rPr>
          <w:rFonts w:cs="Times New Roman"/>
          <w:lang w:val="tr-TR"/>
        </w:rPr>
      </w:pPr>
      <w:bookmarkStart w:id="263" w:name="_bookmark927"/>
      <w:bookmarkStart w:id="264" w:name="5.20.5_Carbon_monoxide_(CO)"/>
      <w:bookmarkEnd w:id="263"/>
      <w:bookmarkEnd w:id="264"/>
      <w:r w:rsidRPr="00DD0D1F">
        <w:rPr>
          <w:rFonts w:cs="Times New Roman"/>
          <w:lang w:val="tr-TR"/>
        </w:rPr>
        <w:t>Karbon monoksit (CO)</w:t>
      </w:r>
    </w:p>
    <w:p w14:paraId="3655DF70" w14:textId="77777777" w:rsidR="00A508A2" w:rsidRPr="00DD0D1F" w:rsidRDefault="00A508A2" w:rsidP="00A508A2">
      <w:pPr>
        <w:pStyle w:val="GvdeMetni"/>
        <w:spacing w:before="6"/>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1"/>
        <w:gridCol w:w="6216"/>
      </w:tblGrid>
      <w:tr w:rsidR="00A508A2" w:rsidRPr="00DD0D1F" w14:paraId="017297A6" w14:textId="77777777" w:rsidTr="00A508A2">
        <w:trPr>
          <w:trHeight w:val="282"/>
        </w:trPr>
        <w:tc>
          <w:tcPr>
            <w:tcW w:w="1576" w:type="pct"/>
          </w:tcPr>
          <w:p w14:paraId="1769974B" w14:textId="77777777" w:rsidR="00A508A2" w:rsidRPr="00DD0D1F" w:rsidRDefault="00A508A2" w:rsidP="00A508A2">
            <w:pPr>
              <w:pStyle w:val="TableParagraph"/>
              <w:spacing w:before="24"/>
              <w:ind w:left="901" w:right="896"/>
              <w:jc w:val="center"/>
              <w:rPr>
                <w:b/>
                <w:szCs w:val="24"/>
              </w:rPr>
            </w:pPr>
            <w:r w:rsidRPr="00DD0D1F">
              <w:rPr>
                <w:b/>
                <w:bCs/>
                <w:szCs w:val="24"/>
              </w:rPr>
              <w:t>Teknik</w:t>
            </w:r>
          </w:p>
        </w:tc>
        <w:tc>
          <w:tcPr>
            <w:tcW w:w="3424" w:type="pct"/>
          </w:tcPr>
          <w:p w14:paraId="48DDD649" w14:textId="77777777" w:rsidR="00A508A2" w:rsidRPr="00DD0D1F" w:rsidRDefault="00A508A2" w:rsidP="00A508A2">
            <w:pPr>
              <w:pStyle w:val="TableParagraph"/>
              <w:spacing w:before="24"/>
              <w:ind w:left="2340" w:right="2227"/>
              <w:jc w:val="center"/>
              <w:rPr>
                <w:b/>
                <w:szCs w:val="24"/>
              </w:rPr>
            </w:pPr>
            <w:r w:rsidRPr="00DD0D1F">
              <w:rPr>
                <w:b/>
                <w:bCs/>
                <w:szCs w:val="24"/>
              </w:rPr>
              <w:t>Tanım</w:t>
            </w:r>
          </w:p>
        </w:tc>
      </w:tr>
      <w:tr w:rsidR="00A508A2" w:rsidRPr="00DD0D1F" w14:paraId="2BC7013E" w14:textId="77777777" w:rsidTr="00A508A2">
        <w:trPr>
          <w:trHeight w:val="690"/>
        </w:trPr>
        <w:tc>
          <w:tcPr>
            <w:tcW w:w="1576" w:type="pct"/>
          </w:tcPr>
          <w:p w14:paraId="243068B7" w14:textId="77777777" w:rsidR="00A508A2" w:rsidRPr="00DD0D1F" w:rsidRDefault="00A508A2" w:rsidP="00A508A2">
            <w:pPr>
              <w:pStyle w:val="TableParagraph"/>
              <w:spacing w:before="5"/>
              <w:rPr>
                <w:b/>
                <w:szCs w:val="24"/>
              </w:rPr>
            </w:pPr>
          </w:p>
          <w:p w14:paraId="702DEACD" w14:textId="77777777" w:rsidR="00A508A2" w:rsidRPr="00DD0D1F" w:rsidRDefault="00A508A2" w:rsidP="00A508A2">
            <w:pPr>
              <w:pStyle w:val="TableParagraph"/>
              <w:ind w:left="107"/>
              <w:rPr>
                <w:szCs w:val="24"/>
              </w:rPr>
            </w:pPr>
            <w:r w:rsidRPr="00DD0D1F">
              <w:rPr>
                <w:szCs w:val="24"/>
              </w:rPr>
              <w:t>Yanma operasyonu kontrolü</w:t>
            </w:r>
          </w:p>
        </w:tc>
        <w:tc>
          <w:tcPr>
            <w:tcW w:w="3424" w:type="pct"/>
          </w:tcPr>
          <w:p w14:paraId="2C95BA44" w14:textId="77777777" w:rsidR="00A508A2" w:rsidRPr="00DD0D1F" w:rsidRDefault="00A508A2" w:rsidP="00A508A2">
            <w:pPr>
              <w:pStyle w:val="TableParagraph"/>
              <w:spacing w:line="223" w:lineRule="exact"/>
              <w:ind w:left="107"/>
              <w:rPr>
                <w:szCs w:val="24"/>
              </w:rPr>
            </w:pPr>
            <w:r w:rsidRPr="00DD0D1F">
              <w:rPr>
                <w:szCs w:val="24"/>
              </w:rPr>
              <w:t>NOX emisyonlarının indirgenmesi için yanma modifikasyonlarının (birincil teknikler) uygulanmasına bağlı olarak CO emisyonlarının artışı, operasyonel parametrelerin dikkatli kontrolü ile sınırlanabilir.</w:t>
            </w:r>
          </w:p>
          <w:p w14:paraId="07178146" w14:textId="77777777" w:rsidR="00A508A2" w:rsidRPr="00DD0D1F" w:rsidRDefault="00A508A2" w:rsidP="00A508A2">
            <w:pPr>
              <w:pStyle w:val="TableParagraph"/>
              <w:spacing w:line="230" w:lineRule="atLeast"/>
              <w:ind w:left="107"/>
              <w:rPr>
                <w:szCs w:val="24"/>
              </w:rPr>
            </w:pPr>
          </w:p>
        </w:tc>
      </w:tr>
      <w:tr w:rsidR="00A508A2" w:rsidRPr="00DD0D1F" w14:paraId="5CC4CEDD" w14:textId="77777777" w:rsidTr="00A508A2">
        <w:trPr>
          <w:trHeight w:val="688"/>
        </w:trPr>
        <w:tc>
          <w:tcPr>
            <w:tcW w:w="1576" w:type="pct"/>
          </w:tcPr>
          <w:p w14:paraId="0C8784D0" w14:textId="77777777" w:rsidR="00A508A2" w:rsidRPr="00DD0D1F" w:rsidRDefault="00A508A2" w:rsidP="00A508A2">
            <w:pPr>
              <w:pStyle w:val="TableParagraph"/>
              <w:tabs>
                <w:tab w:val="left" w:pos="1189"/>
                <w:tab w:val="left" w:pos="1290"/>
                <w:tab w:val="left" w:pos="1882"/>
                <w:tab w:val="left" w:pos="2091"/>
              </w:tabs>
              <w:ind w:left="107" w:right="99"/>
              <w:rPr>
                <w:szCs w:val="24"/>
              </w:rPr>
            </w:pPr>
            <w:r w:rsidRPr="00DD0D1F">
              <w:rPr>
                <w:szCs w:val="24"/>
              </w:rPr>
              <w:t>Karbonmonoksitli (CO) oksitleme başlatıcılarına sahip katalizörler</w:t>
            </w:r>
          </w:p>
        </w:tc>
        <w:tc>
          <w:tcPr>
            <w:tcW w:w="3424" w:type="pct"/>
          </w:tcPr>
          <w:p w14:paraId="45FED882" w14:textId="77777777" w:rsidR="00A508A2" w:rsidRPr="00DD0D1F" w:rsidRDefault="00A508A2" w:rsidP="00A508A2">
            <w:pPr>
              <w:pStyle w:val="TableParagraph"/>
              <w:spacing w:before="108"/>
              <w:ind w:left="107" w:right="100"/>
              <w:rPr>
                <w:szCs w:val="24"/>
              </w:rPr>
            </w:pPr>
            <w:r w:rsidRPr="00DD0D1F">
              <w:rPr>
                <w:szCs w:val="24"/>
              </w:rPr>
              <w:t>CO'nun CO</w:t>
            </w:r>
            <w:r w:rsidRPr="00DD0D1F">
              <w:rPr>
                <w:szCs w:val="24"/>
                <w:vertAlign w:val="subscript"/>
              </w:rPr>
              <w:t xml:space="preserve">2 </w:t>
            </w:r>
            <w:r w:rsidRPr="00DD0D1F">
              <w:rPr>
                <w:szCs w:val="24"/>
              </w:rPr>
              <w:t>halindeki oksitlemesini (yanma) seçici olarak başlatan maddenin kullanımı</w:t>
            </w:r>
          </w:p>
        </w:tc>
      </w:tr>
      <w:tr w:rsidR="00A508A2" w:rsidRPr="00DD0D1F" w14:paraId="6D35C16E" w14:textId="77777777" w:rsidTr="00A508A2">
        <w:trPr>
          <w:trHeight w:val="690"/>
        </w:trPr>
        <w:tc>
          <w:tcPr>
            <w:tcW w:w="1576" w:type="pct"/>
          </w:tcPr>
          <w:p w14:paraId="0540D3BF" w14:textId="77777777" w:rsidR="00A508A2" w:rsidRPr="00DD0D1F" w:rsidRDefault="00A508A2" w:rsidP="00A508A2">
            <w:pPr>
              <w:pStyle w:val="TableParagraph"/>
              <w:spacing w:before="5"/>
              <w:rPr>
                <w:b/>
                <w:szCs w:val="24"/>
              </w:rPr>
            </w:pPr>
          </w:p>
          <w:p w14:paraId="23080999" w14:textId="77777777" w:rsidR="00A508A2" w:rsidRPr="00DD0D1F" w:rsidRDefault="00A508A2" w:rsidP="00A508A2">
            <w:pPr>
              <w:pStyle w:val="TableParagraph"/>
              <w:ind w:left="107"/>
              <w:rPr>
                <w:szCs w:val="24"/>
              </w:rPr>
            </w:pPr>
            <w:r w:rsidRPr="00DD0D1F">
              <w:rPr>
                <w:szCs w:val="24"/>
              </w:rPr>
              <w:t>Karbonmonoksit (CO) kazanı</w:t>
            </w:r>
          </w:p>
        </w:tc>
        <w:tc>
          <w:tcPr>
            <w:tcW w:w="3424" w:type="pct"/>
          </w:tcPr>
          <w:p w14:paraId="066509CD" w14:textId="3E770378" w:rsidR="00A508A2" w:rsidRPr="00DD0D1F" w:rsidRDefault="00E00B0A" w:rsidP="00A508A2">
            <w:pPr>
              <w:pStyle w:val="TableParagraph"/>
              <w:spacing w:line="237" w:lineRule="auto"/>
              <w:ind w:left="107" w:right="97"/>
              <w:rPr>
                <w:szCs w:val="24"/>
              </w:rPr>
            </w:pPr>
            <w:r w:rsidRPr="00DD0D1F">
              <w:rPr>
                <w:szCs w:val="24"/>
              </w:rPr>
              <w:t>Baca</w:t>
            </w:r>
            <w:r w:rsidR="00A508A2" w:rsidRPr="00DD0D1F">
              <w:rPr>
                <w:szCs w:val="24"/>
              </w:rPr>
              <w:t xml:space="preserve"> gazında bulunan CO'nun enerji geri kazanımı için katalizör rejeneratörün aşağıda akış yönünde tüketildiği özel yanma sonrası cihazdır. Çoğunlukla sadece kısmi yanmalı FCC birimlerinde kullanılır.</w:t>
            </w:r>
          </w:p>
        </w:tc>
      </w:tr>
    </w:tbl>
    <w:p w14:paraId="5B2F7090" w14:textId="77777777" w:rsidR="00A508A2" w:rsidRPr="00DD0D1F" w:rsidRDefault="00A508A2" w:rsidP="00FF111D">
      <w:pPr>
        <w:pStyle w:val="ListeParagraf"/>
        <w:widowControl w:val="0"/>
        <w:numPr>
          <w:ilvl w:val="1"/>
          <w:numId w:val="114"/>
        </w:numPr>
        <w:tabs>
          <w:tab w:val="left" w:pos="1585"/>
          <w:tab w:val="left" w:pos="1586"/>
        </w:tabs>
        <w:autoSpaceDE w:val="0"/>
        <w:autoSpaceDN w:val="0"/>
        <w:spacing w:before="159" w:line="240" w:lineRule="auto"/>
        <w:contextualSpacing w:val="0"/>
        <w:jc w:val="left"/>
        <w:rPr>
          <w:rFonts w:cs="Times New Roman"/>
          <w:b/>
          <w:bCs/>
          <w:szCs w:val="24"/>
          <w:lang w:val="tr-TR"/>
        </w:rPr>
      </w:pPr>
      <w:bookmarkStart w:id="265" w:name="_bookmark928"/>
      <w:bookmarkStart w:id="266" w:name="5.20.6_Volatile_organic_compounds_(VOC)"/>
      <w:bookmarkEnd w:id="265"/>
      <w:bookmarkEnd w:id="266"/>
      <w:r w:rsidRPr="00DD0D1F">
        <w:rPr>
          <w:rFonts w:cs="Times New Roman"/>
          <w:b/>
          <w:bCs/>
          <w:szCs w:val="24"/>
          <w:lang w:val="tr-TR"/>
        </w:rPr>
        <w:t>Uçucu organik bileşikler (VOC)</w:t>
      </w:r>
    </w:p>
    <w:p w14:paraId="45FE3920" w14:textId="77777777" w:rsidR="00A508A2" w:rsidRPr="00DD0D1F" w:rsidRDefault="00A508A2" w:rsidP="00A508A2">
      <w:pPr>
        <w:pStyle w:val="GvdeMetni"/>
        <w:spacing w:before="5"/>
        <w:rPr>
          <w:b/>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86"/>
        <w:gridCol w:w="6891"/>
      </w:tblGrid>
      <w:tr w:rsidR="00A508A2" w:rsidRPr="00DD0D1F" w14:paraId="0D28135C" w14:textId="77777777" w:rsidTr="00A508A2">
        <w:trPr>
          <w:trHeight w:val="280"/>
        </w:trPr>
        <w:tc>
          <w:tcPr>
            <w:tcW w:w="1204" w:type="pct"/>
            <w:tcBorders>
              <w:left w:val="single" w:sz="4" w:space="0" w:color="000000"/>
              <w:bottom w:val="single" w:sz="4" w:space="0" w:color="000000"/>
              <w:right w:val="single" w:sz="4" w:space="0" w:color="000000"/>
            </w:tcBorders>
          </w:tcPr>
          <w:p w14:paraId="44E26148" w14:textId="77777777" w:rsidR="00A508A2" w:rsidRPr="00DD0D1F" w:rsidRDefault="00A508A2" w:rsidP="00A508A2">
            <w:pPr>
              <w:pStyle w:val="TableParagraph"/>
              <w:spacing w:before="22"/>
              <w:ind w:left="813"/>
              <w:rPr>
                <w:b/>
                <w:szCs w:val="24"/>
              </w:rPr>
            </w:pPr>
            <w:r w:rsidRPr="00DD0D1F">
              <w:rPr>
                <w:b/>
                <w:bCs/>
                <w:szCs w:val="24"/>
              </w:rPr>
              <w:t>Teknik</w:t>
            </w:r>
          </w:p>
        </w:tc>
        <w:tc>
          <w:tcPr>
            <w:tcW w:w="3796" w:type="pct"/>
            <w:tcBorders>
              <w:left w:val="single" w:sz="4" w:space="0" w:color="000000"/>
              <w:bottom w:val="single" w:sz="4" w:space="0" w:color="000000"/>
              <w:right w:val="single" w:sz="4" w:space="0" w:color="000000"/>
            </w:tcBorders>
          </w:tcPr>
          <w:p w14:paraId="3BBAED22" w14:textId="77777777" w:rsidR="00A508A2" w:rsidRPr="00DD0D1F" w:rsidRDefault="00A508A2" w:rsidP="00A508A2">
            <w:pPr>
              <w:pStyle w:val="TableParagraph"/>
              <w:spacing w:before="22"/>
              <w:ind w:left="2637" w:right="2517"/>
              <w:jc w:val="center"/>
              <w:rPr>
                <w:b/>
                <w:szCs w:val="24"/>
              </w:rPr>
            </w:pPr>
            <w:r w:rsidRPr="00DD0D1F">
              <w:rPr>
                <w:b/>
                <w:bCs/>
                <w:szCs w:val="24"/>
              </w:rPr>
              <w:t>Tanım</w:t>
            </w:r>
          </w:p>
        </w:tc>
      </w:tr>
      <w:tr w:rsidR="00A508A2" w:rsidRPr="00DD0D1F" w14:paraId="2261E82E" w14:textId="77777777" w:rsidTr="00A508A2">
        <w:trPr>
          <w:trHeight w:val="6398"/>
        </w:trPr>
        <w:tc>
          <w:tcPr>
            <w:tcW w:w="1204" w:type="pct"/>
            <w:tcBorders>
              <w:top w:val="single" w:sz="4" w:space="0" w:color="000000"/>
              <w:left w:val="single" w:sz="4" w:space="0" w:color="000000"/>
              <w:bottom w:val="single" w:sz="4" w:space="0" w:color="000000"/>
              <w:right w:val="single" w:sz="4" w:space="0" w:color="000000"/>
            </w:tcBorders>
          </w:tcPr>
          <w:p w14:paraId="557B7A60" w14:textId="77777777" w:rsidR="00A508A2" w:rsidRPr="00DD0D1F" w:rsidRDefault="00A508A2" w:rsidP="00A508A2">
            <w:pPr>
              <w:pStyle w:val="TableParagraph"/>
              <w:rPr>
                <w:b/>
                <w:szCs w:val="24"/>
              </w:rPr>
            </w:pPr>
          </w:p>
          <w:p w14:paraId="7D12996D" w14:textId="77777777" w:rsidR="00A508A2" w:rsidRPr="00DD0D1F" w:rsidRDefault="00A508A2" w:rsidP="00A508A2">
            <w:pPr>
              <w:pStyle w:val="TableParagraph"/>
              <w:rPr>
                <w:b/>
                <w:szCs w:val="24"/>
              </w:rPr>
            </w:pPr>
          </w:p>
          <w:p w14:paraId="4D94E1A9" w14:textId="77777777" w:rsidR="00A508A2" w:rsidRPr="00DD0D1F" w:rsidRDefault="00A508A2" w:rsidP="00A508A2">
            <w:pPr>
              <w:pStyle w:val="TableParagraph"/>
              <w:rPr>
                <w:b/>
                <w:szCs w:val="24"/>
              </w:rPr>
            </w:pPr>
          </w:p>
          <w:p w14:paraId="63A1DBFF" w14:textId="77777777" w:rsidR="00A508A2" w:rsidRPr="00DD0D1F" w:rsidRDefault="00A508A2" w:rsidP="00A508A2">
            <w:pPr>
              <w:pStyle w:val="TableParagraph"/>
              <w:rPr>
                <w:b/>
                <w:szCs w:val="24"/>
              </w:rPr>
            </w:pPr>
          </w:p>
          <w:p w14:paraId="5381AA0A" w14:textId="77777777" w:rsidR="00A508A2" w:rsidRPr="00DD0D1F" w:rsidRDefault="00A508A2" w:rsidP="00A508A2">
            <w:pPr>
              <w:pStyle w:val="TableParagraph"/>
              <w:rPr>
                <w:b/>
                <w:szCs w:val="24"/>
              </w:rPr>
            </w:pPr>
          </w:p>
          <w:p w14:paraId="30652AC2" w14:textId="77777777" w:rsidR="00A508A2" w:rsidRPr="00DD0D1F" w:rsidRDefault="00A508A2" w:rsidP="00A508A2">
            <w:pPr>
              <w:pStyle w:val="TableParagraph"/>
              <w:rPr>
                <w:b/>
                <w:szCs w:val="24"/>
              </w:rPr>
            </w:pPr>
          </w:p>
          <w:p w14:paraId="3426283F" w14:textId="77777777" w:rsidR="00A508A2" w:rsidRPr="00DD0D1F" w:rsidRDefault="00A508A2" w:rsidP="00A508A2">
            <w:pPr>
              <w:pStyle w:val="TableParagraph"/>
              <w:rPr>
                <w:b/>
                <w:szCs w:val="24"/>
              </w:rPr>
            </w:pPr>
          </w:p>
          <w:p w14:paraId="36E2D593" w14:textId="77777777" w:rsidR="00A508A2" w:rsidRPr="00DD0D1F" w:rsidRDefault="00A508A2" w:rsidP="00A508A2">
            <w:pPr>
              <w:pStyle w:val="TableParagraph"/>
              <w:rPr>
                <w:b/>
                <w:szCs w:val="24"/>
              </w:rPr>
            </w:pPr>
          </w:p>
          <w:p w14:paraId="37283654" w14:textId="77777777" w:rsidR="00A508A2" w:rsidRPr="00DD0D1F" w:rsidRDefault="00A508A2" w:rsidP="00A508A2">
            <w:pPr>
              <w:pStyle w:val="TableParagraph"/>
              <w:rPr>
                <w:b/>
                <w:szCs w:val="24"/>
              </w:rPr>
            </w:pPr>
          </w:p>
          <w:p w14:paraId="1CB90AC3" w14:textId="77777777" w:rsidR="00A508A2" w:rsidRPr="00DD0D1F" w:rsidRDefault="00A508A2" w:rsidP="00A508A2">
            <w:pPr>
              <w:pStyle w:val="TableParagraph"/>
              <w:rPr>
                <w:b/>
                <w:szCs w:val="24"/>
              </w:rPr>
            </w:pPr>
          </w:p>
          <w:p w14:paraId="01DE90F1" w14:textId="77777777" w:rsidR="00A508A2" w:rsidRPr="00DD0D1F" w:rsidRDefault="00A508A2" w:rsidP="00A508A2">
            <w:pPr>
              <w:pStyle w:val="TableParagraph"/>
              <w:rPr>
                <w:b/>
                <w:szCs w:val="24"/>
              </w:rPr>
            </w:pPr>
          </w:p>
          <w:p w14:paraId="526B2692" w14:textId="77777777" w:rsidR="00A508A2" w:rsidRPr="00DD0D1F" w:rsidRDefault="00A508A2" w:rsidP="00A508A2">
            <w:pPr>
              <w:pStyle w:val="TableParagraph"/>
              <w:spacing w:before="7"/>
              <w:rPr>
                <w:b/>
                <w:szCs w:val="24"/>
              </w:rPr>
            </w:pPr>
          </w:p>
          <w:p w14:paraId="73B391A5" w14:textId="77777777" w:rsidR="00A508A2" w:rsidRPr="00DD0D1F" w:rsidRDefault="00A508A2" w:rsidP="00A508A2">
            <w:pPr>
              <w:pStyle w:val="TableParagraph"/>
              <w:ind w:left="107"/>
              <w:rPr>
                <w:szCs w:val="24"/>
              </w:rPr>
            </w:pPr>
            <w:r w:rsidRPr="00DD0D1F">
              <w:rPr>
                <w:szCs w:val="24"/>
              </w:rPr>
              <w:t>Buhar geri kazanımı:</w:t>
            </w:r>
          </w:p>
        </w:tc>
        <w:tc>
          <w:tcPr>
            <w:tcW w:w="3796" w:type="pct"/>
            <w:tcBorders>
              <w:top w:val="single" w:sz="4" w:space="0" w:color="000000"/>
              <w:left w:val="single" w:sz="4" w:space="0" w:color="000000"/>
              <w:bottom w:val="single" w:sz="4" w:space="0" w:color="000000"/>
              <w:right w:val="single" w:sz="4" w:space="0" w:color="000000"/>
            </w:tcBorders>
          </w:tcPr>
          <w:p w14:paraId="4AE75948" w14:textId="77777777" w:rsidR="00A508A2" w:rsidRPr="00DD0D1F" w:rsidRDefault="00A508A2" w:rsidP="00A508A2">
            <w:pPr>
              <w:pStyle w:val="TableParagraph"/>
              <w:ind w:left="109" w:right="103"/>
              <w:jc w:val="both"/>
              <w:rPr>
                <w:szCs w:val="24"/>
              </w:rPr>
            </w:pPr>
            <w:r w:rsidRPr="00DD0D1F">
              <w:rPr>
                <w:szCs w:val="24"/>
              </w:rPr>
              <w:t>Başta ham petrol ve daha hafif ürünler olmak üzere en çok uçucu ürünlerin yükleme ve boşaltma operasyonlarından kaynaklanan uçucu organik bileşiklerin emisyonları, örnekleri aşağıda verilen çeşitli yöntemlerle azaltılabilir:</w:t>
            </w:r>
          </w:p>
          <w:p w14:paraId="28590031" w14:textId="24BDC167" w:rsidR="00A508A2" w:rsidRPr="00DD0D1F" w:rsidRDefault="00A508A2" w:rsidP="00FF111D">
            <w:pPr>
              <w:pStyle w:val="TableParagraph"/>
              <w:numPr>
                <w:ilvl w:val="0"/>
                <w:numId w:val="81"/>
              </w:numPr>
              <w:tabs>
                <w:tab w:val="left" w:pos="459"/>
              </w:tabs>
              <w:ind w:right="96" w:hanging="385"/>
              <w:jc w:val="both"/>
              <w:rPr>
                <w:szCs w:val="24"/>
              </w:rPr>
            </w:pPr>
            <w:r w:rsidRPr="00DD0D1F">
              <w:rPr>
                <w:szCs w:val="24"/>
              </w:rPr>
              <w:t>Absorpsiyon: buhar molekülleri uygun absorpsiyon sıvısında çözünürler (ör. glikoller veya kerosen ya da reformat gibi madeni yağ fraksiyonları). Yük</w:t>
            </w:r>
            <w:r w:rsidR="0098277B" w:rsidRPr="00DD0D1F">
              <w:rPr>
                <w:szCs w:val="24"/>
              </w:rPr>
              <w:t xml:space="preserve">lenen yıkama çözeltisi, </w:t>
            </w:r>
            <w:r w:rsidR="00353734" w:rsidRPr="00DD0D1F">
              <w:rPr>
                <w:szCs w:val="24"/>
              </w:rPr>
              <w:t xml:space="preserve">müteakip </w:t>
            </w:r>
            <w:r w:rsidRPr="00DD0D1F">
              <w:rPr>
                <w:szCs w:val="24"/>
              </w:rPr>
              <w:t>adımda yeniden ısıtılarak geri çıkarılır. Geri çıkarılan gazlar yoğuşturulmalı, ilave işlemden geçirilmeli ve yakılmalı ya da uygun akışta (ör. geri kazanılan ürüne ait) yeniden soğurulmalıdır</w:t>
            </w:r>
          </w:p>
          <w:p w14:paraId="796913E4" w14:textId="77777777" w:rsidR="00A508A2" w:rsidRPr="00DD0D1F" w:rsidRDefault="00A508A2" w:rsidP="00FF111D">
            <w:pPr>
              <w:pStyle w:val="TableParagraph"/>
              <w:numPr>
                <w:ilvl w:val="0"/>
                <w:numId w:val="81"/>
              </w:numPr>
              <w:tabs>
                <w:tab w:val="left" w:pos="459"/>
              </w:tabs>
              <w:ind w:right="97" w:hanging="385"/>
              <w:jc w:val="both"/>
              <w:rPr>
                <w:szCs w:val="24"/>
              </w:rPr>
            </w:pPr>
            <w:r w:rsidRPr="00DD0D1F">
              <w:rPr>
                <w:szCs w:val="24"/>
              </w:rPr>
              <w:t>Adsorpsiyon: buhar molekülleri; aktif karbon (AC) veya zeolit gibi adsorban katı malzemelerin yüzeyindeki aktifleştirme alanlarında yakalanır. Adsorban periyodik olarak yeniden üretilir. Bunun sonucunda geri çıkarılan madde daha sonra, geri kazanılan ürünün devridaim akışında aşağı yönlü yıkama sütununda soğurulur. Yıkama sütunundan gelen artık gaz ilave arıtmaya sevk edilir</w:t>
            </w:r>
          </w:p>
          <w:p w14:paraId="4F2D0597" w14:textId="77777777" w:rsidR="00A508A2" w:rsidRPr="00DD0D1F" w:rsidRDefault="00A508A2" w:rsidP="00FF111D">
            <w:pPr>
              <w:pStyle w:val="TableParagraph"/>
              <w:numPr>
                <w:ilvl w:val="0"/>
                <w:numId w:val="81"/>
              </w:numPr>
              <w:tabs>
                <w:tab w:val="left" w:pos="459"/>
              </w:tabs>
              <w:ind w:right="97" w:hanging="385"/>
              <w:jc w:val="both"/>
              <w:rPr>
                <w:szCs w:val="24"/>
              </w:rPr>
            </w:pPr>
            <w:r w:rsidRPr="00DD0D1F">
              <w:rPr>
                <w:szCs w:val="24"/>
              </w:rPr>
              <w:t>Membran</w:t>
            </w:r>
            <w:r w:rsidRPr="00DD0D1F">
              <w:rPr>
                <w:b/>
                <w:bCs/>
                <w:szCs w:val="24"/>
              </w:rPr>
              <w:t xml:space="preserve"> gaz ayrıştırma</w:t>
            </w:r>
            <w:r w:rsidRPr="00DD0D1F">
              <w:rPr>
                <w:szCs w:val="24"/>
              </w:rPr>
              <w:t>: buhar/hava karışımının, daha sonra yoğuşturulan veya soğurulan hidrokarbonca zengin fazın (süzüntü) ve hidrokarbonca fakir (filtrelenmeyen madde) fazın ayrıştırılması amacıyla buhar molekülleri seçici membranlardan geçirilerek işlenir.</w:t>
            </w:r>
          </w:p>
          <w:p w14:paraId="0D3C6420" w14:textId="77777777" w:rsidR="00A508A2" w:rsidRPr="00DD0D1F" w:rsidRDefault="00A508A2" w:rsidP="00FF111D">
            <w:pPr>
              <w:pStyle w:val="TableParagraph"/>
              <w:numPr>
                <w:ilvl w:val="0"/>
                <w:numId w:val="81"/>
              </w:numPr>
              <w:tabs>
                <w:tab w:val="left" w:pos="459"/>
              </w:tabs>
              <w:ind w:right="97" w:hanging="385"/>
              <w:jc w:val="both"/>
              <w:rPr>
                <w:szCs w:val="24"/>
              </w:rPr>
            </w:pPr>
            <w:r w:rsidRPr="00DD0D1F">
              <w:rPr>
                <w:szCs w:val="24"/>
              </w:rPr>
              <w:t>İki</w:t>
            </w:r>
            <w:r w:rsidRPr="00DD0D1F">
              <w:rPr>
                <w:b/>
                <w:bCs/>
                <w:szCs w:val="24"/>
              </w:rPr>
              <w:t xml:space="preserve"> aşamalı soğutma/yoğuşturma: </w:t>
            </w:r>
            <w:r w:rsidRPr="00DD0D1F">
              <w:rPr>
                <w:szCs w:val="24"/>
              </w:rPr>
              <w:t>buhar/gaz karışımının soğutulması yoluyla buhar molekülleri yoğuşur ve sıvı olarak ayrışırlar. Nemin ısı eşanjöründe buzlanmaya yol açması nedeniyle, alternatif operasyon sağlayan iki aşamalı yoğuşturma prosesi gereklidir.</w:t>
            </w:r>
          </w:p>
          <w:p w14:paraId="60D9D32D" w14:textId="77777777" w:rsidR="00A508A2" w:rsidRPr="00DD0D1F" w:rsidRDefault="00A508A2" w:rsidP="00FF111D">
            <w:pPr>
              <w:pStyle w:val="TableParagraph"/>
              <w:numPr>
                <w:ilvl w:val="0"/>
                <w:numId w:val="81"/>
              </w:numPr>
              <w:tabs>
                <w:tab w:val="left" w:pos="459"/>
              </w:tabs>
              <w:spacing w:line="244" w:lineRule="exact"/>
              <w:ind w:left="458" w:hanging="362"/>
              <w:jc w:val="both"/>
              <w:rPr>
                <w:szCs w:val="24"/>
              </w:rPr>
            </w:pPr>
            <w:r w:rsidRPr="00DD0D1F">
              <w:rPr>
                <w:szCs w:val="24"/>
              </w:rPr>
              <w:t xml:space="preserve">Hibrit </w:t>
            </w:r>
            <w:r w:rsidRPr="00DD0D1F">
              <w:rPr>
                <w:b/>
                <w:bCs/>
                <w:szCs w:val="24"/>
              </w:rPr>
              <w:t>sistemler</w:t>
            </w:r>
            <w:r w:rsidRPr="00DD0D1F">
              <w:rPr>
                <w:szCs w:val="24"/>
              </w:rPr>
              <w:t>: mevcut tekniklerin kombinasyonudur</w:t>
            </w:r>
          </w:p>
          <w:p w14:paraId="1F873DFD" w14:textId="77777777" w:rsidR="00A508A2" w:rsidRPr="00DD0D1F" w:rsidRDefault="00A508A2" w:rsidP="00A508A2">
            <w:pPr>
              <w:pStyle w:val="TableParagraph"/>
              <w:spacing w:before="95" w:line="230" w:lineRule="atLeast"/>
              <w:ind w:left="109" w:right="105"/>
              <w:jc w:val="both"/>
              <w:rPr>
                <w:szCs w:val="24"/>
              </w:rPr>
            </w:pPr>
            <w:r w:rsidRPr="00DD0D1F">
              <w:rPr>
                <w:i/>
                <w:iCs/>
                <w:szCs w:val="24"/>
              </w:rPr>
              <w:t xml:space="preserve">Not: </w:t>
            </w:r>
            <w:r w:rsidRPr="00DD0D1F">
              <w:rPr>
                <w:szCs w:val="24"/>
              </w:rPr>
              <w:t>Absorpsiyon ve adsorpsiyon prosesleri metan emisyonlarını belirgin oranda düşüremezler.</w:t>
            </w:r>
          </w:p>
        </w:tc>
      </w:tr>
      <w:tr w:rsidR="00A508A2" w:rsidRPr="00DD0D1F" w14:paraId="53E4074B" w14:textId="77777777" w:rsidTr="00A508A2">
        <w:trPr>
          <w:trHeight w:val="818"/>
        </w:trPr>
        <w:tc>
          <w:tcPr>
            <w:tcW w:w="1204" w:type="pct"/>
            <w:tcBorders>
              <w:top w:val="single" w:sz="4" w:space="0" w:color="000000"/>
              <w:left w:val="single" w:sz="4" w:space="0" w:color="000000"/>
              <w:bottom w:val="single" w:sz="4" w:space="0" w:color="000000"/>
              <w:right w:val="single" w:sz="4" w:space="0" w:color="000000"/>
            </w:tcBorders>
          </w:tcPr>
          <w:p w14:paraId="2114FB50" w14:textId="77777777" w:rsidR="00A508A2" w:rsidRPr="00DD0D1F" w:rsidRDefault="00A508A2" w:rsidP="00A508A2">
            <w:pPr>
              <w:pStyle w:val="TableParagraph"/>
              <w:rPr>
                <w:b/>
                <w:szCs w:val="24"/>
              </w:rPr>
            </w:pPr>
          </w:p>
          <w:p w14:paraId="3CF9F44B" w14:textId="77777777" w:rsidR="00A508A2" w:rsidRPr="00DD0D1F" w:rsidRDefault="00A508A2" w:rsidP="00A508A2">
            <w:pPr>
              <w:pStyle w:val="TableParagraph"/>
              <w:rPr>
                <w:b/>
                <w:szCs w:val="24"/>
              </w:rPr>
            </w:pPr>
          </w:p>
          <w:p w14:paraId="5C1DBEFB" w14:textId="77777777" w:rsidR="00A508A2" w:rsidRPr="00DD0D1F" w:rsidRDefault="00A508A2" w:rsidP="00A508A2">
            <w:pPr>
              <w:pStyle w:val="TableParagraph"/>
              <w:rPr>
                <w:b/>
                <w:szCs w:val="24"/>
              </w:rPr>
            </w:pPr>
          </w:p>
          <w:p w14:paraId="7C3485F0" w14:textId="77777777" w:rsidR="00A508A2" w:rsidRPr="00DD0D1F" w:rsidRDefault="00A508A2" w:rsidP="00A508A2">
            <w:pPr>
              <w:pStyle w:val="TableParagraph"/>
              <w:rPr>
                <w:b/>
                <w:szCs w:val="24"/>
              </w:rPr>
            </w:pPr>
          </w:p>
          <w:p w14:paraId="06033177" w14:textId="77777777" w:rsidR="00A508A2" w:rsidRPr="00DD0D1F" w:rsidRDefault="00A508A2" w:rsidP="00A508A2">
            <w:pPr>
              <w:pStyle w:val="TableParagraph"/>
              <w:rPr>
                <w:b/>
                <w:szCs w:val="24"/>
              </w:rPr>
            </w:pPr>
          </w:p>
          <w:p w14:paraId="438D5DA6" w14:textId="77777777" w:rsidR="00A508A2" w:rsidRPr="00DD0D1F" w:rsidRDefault="00A508A2" w:rsidP="00A508A2">
            <w:pPr>
              <w:pStyle w:val="TableParagraph"/>
              <w:rPr>
                <w:b/>
                <w:szCs w:val="24"/>
              </w:rPr>
            </w:pPr>
          </w:p>
          <w:p w14:paraId="214E84B8" w14:textId="77777777" w:rsidR="00A508A2" w:rsidRPr="00DD0D1F" w:rsidRDefault="00A508A2" w:rsidP="00A508A2">
            <w:pPr>
              <w:pStyle w:val="TableParagraph"/>
              <w:rPr>
                <w:b/>
                <w:szCs w:val="24"/>
              </w:rPr>
            </w:pPr>
          </w:p>
          <w:p w14:paraId="5C465165" w14:textId="77777777" w:rsidR="00A508A2" w:rsidRPr="00DD0D1F" w:rsidRDefault="00A508A2" w:rsidP="00A508A2">
            <w:pPr>
              <w:pStyle w:val="TableParagraph"/>
              <w:spacing w:before="176"/>
              <w:ind w:left="107"/>
              <w:rPr>
                <w:szCs w:val="24"/>
              </w:rPr>
            </w:pPr>
            <w:r w:rsidRPr="00DD0D1F">
              <w:rPr>
                <w:szCs w:val="24"/>
              </w:rPr>
              <w:t>Buhar imhası</w:t>
            </w:r>
          </w:p>
        </w:tc>
        <w:tc>
          <w:tcPr>
            <w:tcW w:w="3796" w:type="pct"/>
            <w:tcBorders>
              <w:top w:val="single" w:sz="4" w:space="0" w:color="000000"/>
              <w:left w:val="single" w:sz="4" w:space="0" w:color="000000"/>
              <w:bottom w:val="single" w:sz="4" w:space="0" w:color="000000"/>
              <w:right w:val="single" w:sz="4" w:space="0" w:color="000000"/>
            </w:tcBorders>
          </w:tcPr>
          <w:p w14:paraId="10AD85A2" w14:textId="307A1A45" w:rsidR="00A508A2" w:rsidRPr="00DD0D1F" w:rsidRDefault="00A508A2" w:rsidP="00A508A2">
            <w:pPr>
              <w:pStyle w:val="TableParagraph"/>
              <w:ind w:left="109" w:right="96"/>
              <w:jc w:val="both"/>
              <w:rPr>
                <w:szCs w:val="24"/>
              </w:rPr>
            </w:pPr>
            <w:r w:rsidRPr="00DD0D1F">
              <w:rPr>
                <w:szCs w:val="24"/>
              </w:rPr>
              <w:t xml:space="preserve">VOC'lerin imhası, geri kazanımın kolayca yapılabilir olmadığı durumda önek olarak </w:t>
            </w:r>
            <w:r w:rsidRPr="00DD0D1F">
              <w:rPr>
                <w:b/>
                <w:bCs/>
                <w:szCs w:val="24"/>
              </w:rPr>
              <w:t xml:space="preserve">ısıl oksitleme </w:t>
            </w:r>
            <w:r w:rsidRPr="00DD0D1F">
              <w:rPr>
                <w:szCs w:val="24"/>
              </w:rPr>
              <w:t xml:space="preserve">(takma) veya </w:t>
            </w:r>
            <w:r w:rsidRPr="00DD0D1F">
              <w:rPr>
                <w:b/>
                <w:bCs/>
                <w:szCs w:val="24"/>
              </w:rPr>
              <w:t>katalitik oksitleme</w:t>
            </w:r>
            <w:r w:rsidRPr="00DD0D1F">
              <w:rPr>
                <w:szCs w:val="24"/>
              </w:rPr>
              <w:t xml:space="preserve"> ile yapılabilir. Patlamaya engel olunması için güvenlik gereksinimleri (ör. alev tutucular) vardır. </w:t>
            </w:r>
            <w:r w:rsidRPr="00DD0D1F">
              <w:rPr>
                <w:b/>
                <w:bCs/>
                <w:szCs w:val="24"/>
              </w:rPr>
              <w:t xml:space="preserve">Isıl oksitleme </w:t>
            </w:r>
            <w:r w:rsidRPr="00DD0D1F">
              <w:rPr>
                <w:szCs w:val="24"/>
              </w:rPr>
              <w:t xml:space="preserve">tipik olarak, gaz brülörü ve </w:t>
            </w:r>
            <w:r w:rsidR="00E00B0A" w:rsidRPr="00DD0D1F">
              <w:rPr>
                <w:szCs w:val="24"/>
              </w:rPr>
              <w:t>baca</w:t>
            </w:r>
            <w:r w:rsidRPr="00DD0D1F">
              <w:rPr>
                <w:szCs w:val="24"/>
              </w:rPr>
              <w:t>sı olan ateş tuğlası kaplamalı oksitleyicilerden oluşan tek odada meydana gelir. Benzin varlığı söz konusuysa, tutuşma riskini düşürmek amacıyla ısı eşanjörü verimi sınırlanır ve ön ısıtma sıcaklıkları 180 °C'nin altında tutulur. İşletme sıcaklıkları aralığı 760 °C ila 870 °C arasında değişir ve kalma süreleri tipik olarak 1 saniyedir. Bu amaçla spesifik bir yakma fırınının mevcut olmadığı durumda, gereken ısıyı ve kalma sürelerini sağlamak adına mevcut bir fırın kullanılabilir.</w:t>
            </w:r>
          </w:p>
          <w:p w14:paraId="6BEC4794" w14:textId="77777777" w:rsidR="00A508A2" w:rsidRPr="00DD0D1F" w:rsidRDefault="00A508A2" w:rsidP="00A508A2">
            <w:pPr>
              <w:pStyle w:val="TableParagraph"/>
              <w:ind w:left="109" w:right="99"/>
              <w:jc w:val="both"/>
              <w:rPr>
                <w:szCs w:val="24"/>
              </w:rPr>
            </w:pPr>
            <w:r w:rsidRPr="00DD0D1F">
              <w:rPr>
                <w:b/>
                <w:bCs/>
                <w:szCs w:val="24"/>
              </w:rPr>
              <w:t>Katalitik oksitleme</w:t>
            </w:r>
            <w:r w:rsidRPr="00DD0D1F">
              <w:rPr>
                <w:szCs w:val="24"/>
              </w:rPr>
              <w:t xml:space="preserve"> için, oksijenin ve yüzeyindeki VOC'lerin soğurulması suretiyle oksitleme hızının artırılması için katalizör gereklidir. Bu katalizör, oksitlemenin ısıl oksitleme için gerekenden daha düşük sıcaklıkta meydana gelmesini sağlar: tipik olarak 320 °C ila 540 °C aralığında değişen. VOC'nin katalitik oksitlemesini başlatmak için gereken ısıya ulaşılması için birinci ön ısıtma adımı (elektrik veya gaz ile) gerçekleşir. Havanın katı katalizör yatağından geçmesi durumunda oksitleme adımı gerçekleşir.</w:t>
            </w:r>
          </w:p>
          <w:p w14:paraId="6282EDA7" w14:textId="77777777" w:rsidR="00A508A2" w:rsidRPr="00DD0D1F" w:rsidRDefault="00A508A2" w:rsidP="00A508A2">
            <w:pPr>
              <w:pStyle w:val="TableParagraph"/>
              <w:spacing w:line="217" w:lineRule="exact"/>
              <w:ind w:left="109"/>
              <w:rPr>
                <w:szCs w:val="24"/>
              </w:rPr>
            </w:pPr>
          </w:p>
        </w:tc>
      </w:tr>
      <w:tr w:rsidR="00A508A2" w:rsidRPr="00DD0D1F" w14:paraId="249C55B4" w14:textId="77777777" w:rsidTr="00A50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1"/>
        </w:trPr>
        <w:tc>
          <w:tcPr>
            <w:tcW w:w="1204" w:type="pct"/>
          </w:tcPr>
          <w:p w14:paraId="6DF8AA1A" w14:textId="77777777" w:rsidR="00A508A2" w:rsidRPr="00DD0D1F" w:rsidRDefault="00A508A2" w:rsidP="00A508A2">
            <w:pPr>
              <w:pStyle w:val="TableParagraph"/>
              <w:rPr>
                <w:b/>
                <w:szCs w:val="24"/>
              </w:rPr>
            </w:pPr>
          </w:p>
          <w:p w14:paraId="77A289D3" w14:textId="77777777" w:rsidR="00A508A2" w:rsidRPr="00DD0D1F" w:rsidRDefault="00A508A2" w:rsidP="00A508A2">
            <w:pPr>
              <w:pStyle w:val="TableParagraph"/>
              <w:rPr>
                <w:b/>
                <w:szCs w:val="24"/>
              </w:rPr>
            </w:pPr>
          </w:p>
          <w:p w14:paraId="318E5086" w14:textId="77777777" w:rsidR="00A508A2" w:rsidRPr="00DD0D1F" w:rsidRDefault="00A508A2" w:rsidP="00A508A2">
            <w:pPr>
              <w:pStyle w:val="TableParagraph"/>
              <w:rPr>
                <w:b/>
                <w:szCs w:val="24"/>
              </w:rPr>
            </w:pPr>
          </w:p>
          <w:p w14:paraId="3BB3FBAC" w14:textId="77777777" w:rsidR="00A508A2" w:rsidRPr="00DD0D1F" w:rsidRDefault="00A508A2" w:rsidP="00A508A2">
            <w:pPr>
              <w:pStyle w:val="TableParagraph"/>
              <w:rPr>
                <w:b/>
                <w:szCs w:val="24"/>
              </w:rPr>
            </w:pPr>
          </w:p>
          <w:p w14:paraId="02CACAE8" w14:textId="77777777" w:rsidR="00A508A2" w:rsidRPr="00DD0D1F" w:rsidRDefault="00A508A2" w:rsidP="00A508A2">
            <w:pPr>
              <w:pStyle w:val="TableParagraph"/>
              <w:rPr>
                <w:b/>
                <w:szCs w:val="24"/>
              </w:rPr>
            </w:pPr>
          </w:p>
          <w:p w14:paraId="38D6DC75" w14:textId="77777777" w:rsidR="00A508A2" w:rsidRPr="00DD0D1F" w:rsidRDefault="00A508A2" w:rsidP="00A508A2">
            <w:pPr>
              <w:pStyle w:val="TableParagraph"/>
              <w:rPr>
                <w:b/>
                <w:szCs w:val="24"/>
              </w:rPr>
            </w:pPr>
          </w:p>
          <w:p w14:paraId="25D4347F" w14:textId="77777777" w:rsidR="00A508A2" w:rsidRPr="00DD0D1F" w:rsidRDefault="00A508A2" w:rsidP="00A508A2">
            <w:pPr>
              <w:pStyle w:val="TableParagraph"/>
              <w:rPr>
                <w:b/>
                <w:szCs w:val="24"/>
              </w:rPr>
            </w:pPr>
          </w:p>
          <w:p w14:paraId="58EEBB43" w14:textId="77777777" w:rsidR="00A508A2" w:rsidRPr="00DD0D1F" w:rsidRDefault="00A508A2" w:rsidP="00A508A2">
            <w:pPr>
              <w:pStyle w:val="TableParagraph"/>
              <w:spacing w:before="6"/>
              <w:rPr>
                <w:b/>
                <w:szCs w:val="24"/>
              </w:rPr>
            </w:pPr>
          </w:p>
          <w:p w14:paraId="5992CBFC" w14:textId="77777777" w:rsidR="00A508A2" w:rsidRPr="00DD0D1F" w:rsidRDefault="00A508A2" w:rsidP="00A508A2">
            <w:pPr>
              <w:pStyle w:val="TableParagraph"/>
              <w:ind w:left="107"/>
              <w:rPr>
                <w:szCs w:val="24"/>
              </w:rPr>
            </w:pPr>
            <w:r w:rsidRPr="00DD0D1F">
              <w:rPr>
                <w:szCs w:val="24"/>
              </w:rPr>
              <w:t>LDAR (kaçak tespit ve onarımı) programı</w:t>
            </w:r>
          </w:p>
        </w:tc>
        <w:tc>
          <w:tcPr>
            <w:tcW w:w="3796" w:type="pct"/>
          </w:tcPr>
          <w:p w14:paraId="6FA869CC" w14:textId="77777777" w:rsidR="00A508A2" w:rsidRPr="00DD0D1F" w:rsidRDefault="00A508A2" w:rsidP="00A508A2">
            <w:pPr>
              <w:pStyle w:val="TableParagraph"/>
              <w:ind w:left="107" w:right="101"/>
              <w:jc w:val="both"/>
              <w:rPr>
                <w:szCs w:val="24"/>
              </w:rPr>
            </w:pPr>
            <w:r w:rsidRPr="00DD0D1F">
              <w:rPr>
                <w:szCs w:val="24"/>
              </w:rPr>
              <w:t>Bir LDAR (kaçak tespit ve onarımı) programı, kaçak VOC emisyonlarına kaçak yapan bileşenlerin tespiti ve ardından onarımı veya yenisi ile değiştirilmesi şeklindeki yapılandırılmış yaklaşımdır. Halihazırda, koku alma (EN 15446'da tanımlanmaktadır) ve optik gaz görüntüleme yöntemleri kaçak tespiti için kullanıma sunulmuş durumdadır.</w:t>
            </w:r>
          </w:p>
          <w:p w14:paraId="2AEF9C7D" w14:textId="77777777" w:rsidR="00A508A2" w:rsidRPr="00DD0D1F" w:rsidRDefault="00A508A2" w:rsidP="00A508A2">
            <w:pPr>
              <w:pStyle w:val="TableParagraph"/>
              <w:ind w:left="107" w:right="96"/>
              <w:jc w:val="both"/>
              <w:rPr>
                <w:szCs w:val="24"/>
              </w:rPr>
            </w:pPr>
            <w:r w:rsidRPr="00DD0D1F">
              <w:rPr>
                <w:b/>
                <w:bCs/>
                <w:szCs w:val="24"/>
              </w:rPr>
              <w:t>Koku alma yöntemi:</w:t>
            </w:r>
            <w:r w:rsidRPr="00DD0D1F">
              <w:rPr>
                <w:szCs w:val="24"/>
              </w:rPr>
              <w:t xml:space="preserve"> Birinci adım, ekipmanların yakınındaki yoğunluğu ölçen elde kullanılan VOC analiz cihazları kullanılarak tespit yapılmasıdır (ör. alev iyonlaşmasından veya foto iyonlaşmadan yararlanarak). İkinci adım ise emisyon kaynağında doğrudan ölçüm yapılması amacıyla bileşenin torbalanmasından meydana gelir. Bu ikinci adım zaman zaman daha önceleri benzer bileşenler üzerinde yapılmış olan çok sayıdaki eski ölçümlerden elde edilen istatistiksel sonuçlardan türetilen matematiksel korelasyon eğrileri ile ikame edilir.</w:t>
            </w:r>
          </w:p>
          <w:p w14:paraId="4553381C" w14:textId="77777777" w:rsidR="00A508A2" w:rsidRPr="00DD0D1F" w:rsidRDefault="00A508A2" w:rsidP="00A508A2">
            <w:pPr>
              <w:pStyle w:val="TableParagraph"/>
              <w:ind w:left="107" w:right="94"/>
              <w:jc w:val="both"/>
              <w:rPr>
                <w:szCs w:val="24"/>
              </w:rPr>
            </w:pPr>
            <w:r w:rsidRPr="00DD0D1F">
              <w:rPr>
                <w:b/>
                <w:bCs/>
                <w:szCs w:val="24"/>
              </w:rPr>
              <w:t>Optik gaz görüntüleme yöntemleri:</w:t>
            </w:r>
            <w:r w:rsidRPr="00DD0D1F">
              <w:rPr>
                <w:szCs w:val="24"/>
              </w:rPr>
              <w:t xml:space="preserve"> Optik görüntülemede, anlamlı VOC kaçaklarının yerin kolayca ve hızlıca tespit etmek amacıyla gaz kaçaklarının gerçek zamanlı olarak görselleştirilmesini ve böylece bu kaçakların ilgili bileşenin normal görüntü ile birlikte video kaydedici üzerinde 'duman' olarak gözükmesini sağlayan hafif el kameraları kullanılır. Aktif sistemler, bileşen ve çevresi üzerinde geri saçılmalı kızılötesi lazer ışığı ile görüntü üretir. Pasif sistemler, ekipmanların ve çevrelerinin doğal kızılötesi ışımasına dayalıdır.</w:t>
            </w:r>
          </w:p>
        </w:tc>
      </w:tr>
      <w:tr w:rsidR="00A508A2" w:rsidRPr="00DD0D1F" w14:paraId="5D17921C" w14:textId="77777777" w:rsidTr="00A50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8"/>
        </w:trPr>
        <w:tc>
          <w:tcPr>
            <w:tcW w:w="1204" w:type="pct"/>
          </w:tcPr>
          <w:p w14:paraId="1C909177" w14:textId="77777777" w:rsidR="00A508A2" w:rsidRPr="00DD0D1F" w:rsidRDefault="00A508A2" w:rsidP="00A508A2">
            <w:pPr>
              <w:pStyle w:val="TableParagraph"/>
              <w:rPr>
                <w:b/>
                <w:szCs w:val="24"/>
              </w:rPr>
            </w:pPr>
          </w:p>
          <w:p w14:paraId="7129491C" w14:textId="77777777" w:rsidR="00A508A2" w:rsidRPr="00DD0D1F" w:rsidRDefault="00A508A2" w:rsidP="00A508A2">
            <w:pPr>
              <w:pStyle w:val="TableParagraph"/>
              <w:rPr>
                <w:b/>
                <w:szCs w:val="24"/>
              </w:rPr>
            </w:pPr>
          </w:p>
          <w:p w14:paraId="57E6B0EE" w14:textId="77777777" w:rsidR="00A508A2" w:rsidRPr="00DD0D1F" w:rsidRDefault="00A508A2" w:rsidP="00A508A2">
            <w:pPr>
              <w:pStyle w:val="TableParagraph"/>
              <w:rPr>
                <w:b/>
                <w:szCs w:val="24"/>
              </w:rPr>
            </w:pPr>
          </w:p>
          <w:p w14:paraId="481E7ABE" w14:textId="77777777" w:rsidR="00A508A2" w:rsidRPr="00DD0D1F" w:rsidRDefault="00A508A2" w:rsidP="00A508A2">
            <w:pPr>
              <w:pStyle w:val="TableParagraph"/>
              <w:rPr>
                <w:b/>
                <w:szCs w:val="24"/>
              </w:rPr>
            </w:pPr>
          </w:p>
          <w:p w14:paraId="5457B486" w14:textId="77777777" w:rsidR="00A508A2" w:rsidRPr="00DD0D1F" w:rsidRDefault="00A508A2" w:rsidP="00A508A2">
            <w:pPr>
              <w:pStyle w:val="TableParagraph"/>
              <w:rPr>
                <w:b/>
                <w:szCs w:val="24"/>
              </w:rPr>
            </w:pPr>
          </w:p>
          <w:p w14:paraId="43B548EE" w14:textId="77777777" w:rsidR="00A508A2" w:rsidRPr="00DD0D1F" w:rsidRDefault="00A508A2" w:rsidP="00A508A2">
            <w:pPr>
              <w:pStyle w:val="TableParagraph"/>
              <w:spacing w:before="4"/>
              <w:rPr>
                <w:b/>
                <w:szCs w:val="24"/>
              </w:rPr>
            </w:pPr>
          </w:p>
          <w:p w14:paraId="1CBB9A8B" w14:textId="77777777" w:rsidR="00A508A2" w:rsidRPr="00DD0D1F" w:rsidRDefault="00A508A2" w:rsidP="00A508A2">
            <w:pPr>
              <w:pStyle w:val="TableParagraph"/>
              <w:tabs>
                <w:tab w:val="left" w:pos="801"/>
                <w:tab w:val="left" w:pos="1628"/>
              </w:tabs>
              <w:spacing w:before="1"/>
              <w:ind w:left="107" w:right="100"/>
              <w:rPr>
                <w:szCs w:val="24"/>
              </w:rPr>
            </w:pPr>
            <w:r w:rsidRPr="00DD0D1F">
              <w:rPr>
                <w:szCs w:val="24"/>
              </w:rPr>
              <w:t>VOC difüz emisyonlarını izleme</w:t>
            </w:r>
          </w:p>
        </w:tc>
        <w:tc>
          <w:tcPr>
            <w:tcW w:w="3796" w:type="pct"/>
          </w:tcPr>
          <w:p w14:paraId="6424964B" w14:textId="77777777" w:rsidR="00A508A2" w:rsidRPr="00DD0D1F" w:rsidRDefault="00A508A2" w:rsidP="00A508A2">
            <w:pPr>
              <w:pStyle w:val="TableParagraph"/>
              <w:ind w:left="107" w:right="102"/>
              <w:jc w:val="both"/>
              <w:rPr>
                <w:szCs w:val="24"/>
              </w:rPr>
            </w:pPr>
            <w:r w:rsidRPr="00DD0D1F">
              <w:rPr>
                <w:szCs w:val="24"/>
              </w:rPr>
              <w:t>Saha emisyonlarının tam taraması ve nicelleştirmesi, örnek olarak solar okültasyon akışı (SOF) veya diferansiyel absorpsiyonlu lidar (DIAL) kampanyaları gibi tamamlayıcı yöntemlerin uygun kombinasyonu ile üstlenilebilir. Bu sonuçlar, devam etmekte olan LDAR programının zaman içindeki trend değerlendirmesin, çapraz kontrol ve güncelleme/validasyon için kullanılabilir.</w:t>
            </w:r>
          </w:p>
          <w:p w14:paraId="6AA6A63E" w14:textId="77777777" w:rsidR="00A508A2" w:rsidRPr="00DD0D1F" w:rsidRDefault="00A508A2" w:rsidP="00A508A2">
            <w:pPr>
              <w:pStyle w:val="TableParagraph"/>
              <w:ind w:left="107" w:right="102"/>
              <w:jc w:val="both"/>
              <w:rPr>
                <w:szCs w:val="24"/>
              </w:rPr>
            </w:pPr>
            <w:r w:rsidRPr="00DD0D1F">
              <w:rPr>
                <w:b/>
                <w:bCs/>
                <w:szCs w:val="24"/>
              </w:rPr>
              <w:t>Solar okültasyon akışı (SOF):</w:t>
            </w:r>
            <w:r w:rsidRPr="00DD0D1F">
              <w:rPr>
                <w:szCs w:val="24"/>
              </w:rPr>
              <w:t xml:space="preserve"> Bu teknik, rüzgar yönünden geçen ve VOC gaz sütunlarını kesen belirli bir coğrafi güzergah boyunca genişbant kızılötesi veya morötesi/görünür günışığı tayfının kaydedilmesine ve spektrometrik Fourier Dönüşümü analizine dayalıdır.</w:t>
            </w:r>
          </w:p>
          <w:p w14:paraId="1644810D" w14:textId="77777777" w:rsidR="00A508A2" w:rsidRPr="00DD0D1F" w:rsidRDefault="00A508A2" w:rsidP="00A508A2">
            <w:pPr>
              <w:pStyle w:val="TableParagraph"/>
              <w:ind w:left="107" w:right="98"/>
              <w:jc w:val="both"/>
              <w:rPr>
                <w:szCs w:val="24"/>
              </w:rPr>
            </w:pPr>
            <w:r w:rsidRPr="00DD0D1F">
              <w:rPr>
                <w:b/>
                <w:bCs/>
                <w:szCs w:val="24"/>
              </w:rPr>
              <w:t>Diferansiyel absorpsiyonlu LIDAR (DIAL):</w:t>
            </w:r>
            <w:r w:rsidRPr="00DD0D1F">
              <w:rPr>
                <w:szCs w:val="24"/>
              </w:rPr>
              <w:t xml:space="preserve"> DIAL, sonik radyo dalgası tabanlı RADAR’ın optik analoğu olan diferansiyel adsorpsiyonlu LIDAR (ışık tespiti ve uzaklık tayini) kullanan lazer tabanlı bir tekniktir. Bu teknik, ışın demeti darbelerinin atmosferik aerosollerle geri saçılımına ve dönen ışığın teleskoplar toplanan spektral özelliklerinin analizine bel bağlar.</w:t>
            </w:r>
          </w:p>
        </w:tc>
      </w:tr>
      <w:tr w:rsidR="00A508A2" w:rsidRPr="00DD0D1F" w14:paraId="3103B3FA" w14:textId="77777777" w:rsidTr="00A50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7"/>
        </w:trPr>
        <w:tc>
          <w:tcPr>
            <w:tcW w:w="1204" w:type="pct"/>
          </w:tcPr>
          <w:p w14:paraId="6C4D1376" w14:textId="77777777" w:rsidR="00A508A2" w:rsidRPr="00DD0D1F" w:rsidRDefault="00A508A2" w:rsidP="00A508A2">
            <w:pPr>
              <w:pStyle w:val="TableParagraph"/>
              <w:rPr>
                <w:b/>
                <w:szCs w:val="24"/>
              </w:rPr>
            </w:pPr>
          </w:p>
          <w:p w14:paraId="63F08728" w14:textId="77777777" w:rsidR="00A508A2" w:rsidRPr="00DD0D1F" w:rsidRDefault="00A508A2" w:rsidP="00A508A2">
            <w:pPr>
              <w:pStyle w:val="TableParagraph"/>
              <w:rPr>
                <w:b/>
                <w:szCs w:val="24"/>
              </w:rPr>
            </w:pPr>
          </w:p>
          <w:p w14:paraId="1D7DFBF3" w14:textId="77777777" w:rsidR="00A508A2" w:rsidRPr="00DD0D1F" w:rsidRDefault="00A508A2" w:rsidP="00A508A2">
            <w:pPr>
              <w:pStyle w:val="TableParagraph"/>
              <w:rPr>
                <w:b/>
                <w:szCs w:val="24"/>
              </w:rPr>
            </w:pPr>
          </w:p>
          <w:p w14:paraId="05375AC5" w14:textId="77777777" w:rsidR="00A508A2" w:rsidRPr="00DD0D1F" w:rsidRDefault="00A508A2" w:rsidP="00A508A2">
            <w:pPr>
              <w:pStyle w:val="TableParagraph"/>
              <w:ind w:left="107"/>
              <w:rPr>
                <w:szCs w:val="24"/>
              </w:rPr>
            </w:pPr>
            <w:r w:rsidRPr="00DD0D1F">
              <w:rPr>
                <w:szCs w:val="24"/>
              </w:rPr>
              <w:t>Yüksek bütünlüklü ekipmanlar</w:t>
            </w:r>
          </w:p>
        </w:tc>
        <w:tc>
          <w:tcPr>
            <w:tcW w:w="3796" w:type="pct"/>
          </w:tcPr>
          <w:p w14:paraId="37A1E19A" w14:textId="77777777" w:rsidR="00A508A2" w:rsidRPr="00DD0D1F" w:rsidRDefault="00A508A2" w:rsidP="00A508A2">
            <w:pPr>
              <w:pStyle w:val="TableParagraph"/>
              <w:spacing w:line="223" w:lineRule="exact"/>
              <w:ind w:left="107"/>
              <w:rPr>
                <w:szCs w:val="24"/>
              </w:rPr>
            </w:pPr>
            <w:r w:rsidRPr="00DD0D1F">
              <w:rPr>
                <w:szCs w:val="24"/>
              </w:rPr>
              <w:t>Yüksek bütünlüklü ekipmanların örnekleri arasında aşağıdakiler yer alır:</w:t>
            </w:r>
          </w:p>
          <w:p w14:paraId="5858A6F6" w14:textId="77777777" w:rsidR="00A508A2" w:rsidRPr="00DD0D1F" w:rsidRDefault="00A508A2" w:rsidP="00FF111D">
            <w:pPr>
              <w:pStyle w:val="TableParagraph"/>
              <w:numPr>
                <w:ilvl w:val="0"/>
                <w:numId w:val="80"/>
              </w:numPr>
              <w:tabs>
                <w:tab w:val="left" w:pos="455"/>
                <w:tab w:val="left" w:pos="456"/>
              </w:tabs>
              <w:spacing w:line="245" w:lineRule="exact"/>
              <w:ind w:left="455" w:hanging="361"/>
              <w:rPr>
                <w:szCs w:val="24"/>
              </w:rPr>
            </w:pPr>
            <w:r w:rsidRPr="00DD0D1F">
              <w:rPr>
                <w:szCs w:val="24"/>
              </w:rPr>
              <w:t>çift yumuşak salmastralı vanalar</w:t>
            </w:r>
          </w:p>
          <w:p w14:paraId="5C0A1949" w14:textId="77777777" w:rsidR="00A508A2" w:rsidRPr="00DD0D1F" w:rsidRDefault="00A508A2" w:rsidP="00FF111D">
            <w:pPr>
              <w:pStyle w:val="TableParagraph"/>
              <w:numPr>
                <w:ilvl w:val="0"/>
                <w:numId w:val="80"/>
              </w:numPr>
              <w:tabs>
                <w:tab w:val="left" w:pos="455"/>
                <w:tab w:val="left" w:pos="456"/>
              </w:tabs>
              <w:spacing w:line="245" w:lineRule="exact"/>
              <w:ind w:left="455" w:hanging="361"/>
              <w:rPr>
                <w:szCs w:val="24"/>
              </w:rPr>
            </w:pPr>
            <w:r w:rsidRPr="00DD0D1F">
              <w:rPr>
                <w:szCs w:val="24"/>
              </w:rPr>
              <w:t>manyetik tahrikli pompalar/kompresörler/çalkalayıcılar</w:t>
            </w:r>
          </w:p>
          <w:p w14:paraId="0A78F145" w14:textId="77777777" w:rsidR="00A508A2" w:rsidRPr="00DD0D1F" w:rsidRDefault="00A508A2" w:rsidP="00FF111D">
            <w:pPr>
              <w:pStyle w:val="TableParagraph"/>
              <w:numPr>
                <w:ilvl w:val="0"/>
                <w:numId w:val="80"/>
              </w:numPr>
              <w:tabs>
                <w:tab w:val="left" w:pos="455"/>
                <w:tab w:val="left" w:pos="456"/>
              </w:tabs>
              <w:spacing w:line="245" w:lineRule="exact"/>
              <w:ind w:left="455" w:right="-147" w:hanging="361"/>
              <w:rPr>
                <w:szCs w:val="24"/>
              </w:rPr>
            </w:pPr>
            <w:r w:rsidRPr="00DD0D1F">
              <w:rPr>
                <w:szCs w:val="24"/>
              </w:rPr>
              <w:t>salmastra yerine mekanik conta takılı pompalar/kompresörler/ çalkalayıcılar</w:t>
            </w:r>
          </w:p>
          <w:p w14:paraId="5CCC9F2F" w14:textId="77777777" w:rsidR="00A508A2" w:rsidRPr="00DD0D1F" w:rsidRDefault="00A508A2" w:rsidP="00FF111D">
            <w:pPr>
              <w:pStyle w:val="TableParagraph"/>
              <w:numPr>
                <w:ilvl w:val="0"/>
                <w:numId w:val="80"/>
              </w:numPr>
              <w:tabs>
                <w:tab w:val="left" w:pos="455"/>
                <w:tab w:val="left" w:pos="456"/>
              </w:tabs>
              <w:spacing w:line="230" w:lineRule="exact"/>
              <w:ind w:right="103" w:hanging="384"/>
              <w:rPr>
                <w:szCs w:val="24"/>
              </w:rPr>
            </w:pPr>
            <w:r w:rsidRPr="00DD0D1F">
              <w:rPr>
                <w:szCs w:val="24"/>
              </w:rPr>
              <w:t>kritik uygulamalar için yüksek bütünlüklü contalar (spiral sargı, bilezikli bağlantılar gibi)</w:t>
            </w:r>
          </w:p>
        </w:tc>
      </w:tr>
    </w:tbl>
    <w:p w14:paraId="761C58DB" w14:textId="77777777" w:rsidR="00A508A2" w:rsidRPr="00DD0D1F" w:rsidRDefault="00A508A2" w:rsidP="00A508A2">
      <w:pPr>
        <w:spacing w:line="230" w:lineRule="exact"/>
        <w:rPr>
          <w:rFonts w:cs="Times New Roman"/>
          <w:szCs w:val="24"/>
          <w:lang w:val="tr-TR"/>
        </w:rPr>
        <w:sectPr w:rsidR="00A508A2" w:rsidRPr="00DD0D1F" w:rsidSect="00A508A2">
          <w:pgSz w:w="11909" w:h="16850"/>
          <w:pgMar w:top="1411" w:right="1411" w:bottom="1411" w:left="1411" w:header="706" w:footer="706" w:gutter="0"/>
          <w:cols w:space="708"/>
        </w:sectPr>
      </w:pPr>
    </w:p>
    <w:p w14:paraId="3889BDFF" w14:textId="77777777" w:rsidR="00A508A2" w:rsidRPr="00DD0D1F" w:rsidRDefault="00A508A2" w:rsidP="00FF111D">
      <w:pPr>
        <w:pStyle w:val="ListeParagraf"/>
        <w:widowControl w:val="0"/>
        <w:numPr>
          <w:ilvl w:val="1"/>
          <w:numId w:val="114"/>
        </w:numPr>
        <w:tabs>
          <w:tab w:val="left" w:pos="1585"/>
          <w:tab w:val="left" w:pos="1586"/>
        </w:tabs>
        <w:autoSpaceDE w:val="0"/>
        <w:autoSpaceDN w:val="0"/>
        <w:spacing w:before="159" w:line="240" w:lineRule="auto"/>
        <w:contextualSpacing w:val="0"/>
        <w:jc w:val="left"/>
        <w:rPr>
          <w:rFonts w:cs="Times New Roman"/>
          <w:b/>
          <w:szCs w:val="24"/>
          <w:lang w:val="tr-TR"/>
        </w:rPr>
      </w:pPr>
      <w:bookmarkStart w:id="267" w:name="_bookmark929"/>
      <w:bookmarkStart w:id="268" w:name="5.20.7_Other_techniques"/>
      <w:bookmarkEnd w:id="267"/>
      <w:bookmarkEnd w:id="268"/>
      <w:r w:rsidRPr="00DD0D1F">
        <w:rPr>
          <w:rFonts w:cs="Times New Roman"/>
          <w:b/>
          <w:bCs/>
          <w:szCs w:val="24"/>
          <w:lang w:val="tr-TR"/>
        </w:rPr>
        <w:t>Diğer teknikler</w:t>
      </w:r>
    </w:p>
    <w:p w14:paraId="174AC3F8" w14:textId="77777777" w:rsidR="00A508A2" w:rsidRPr="00DD0D1F" w:rsidRDefault="00A508A2" w:rsidP="00A508A2">
      <w:pPr>
        <w:pStyle w:val="GvdeMetni"/>
        <w:spacing w:before="5"/>
        <w:rPr>
          <w:b/>
          <w:sz w:val="24"/>
          <w:szCs w:val="24"/>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8"/>
        <w:gridCol w:w="5972"/>
      </w:tblGrid>
      <w:tr w:rsidR="00A508A2" w:rsidRPr="00DD0D1F" w14:paraId="10D40760" w14:textId="77777777" w:rsidTr="00A508A2">
        <w:trPr>
          <w:trHeight w:val="280"/>
        </w:trPr>
        <w:tc>
          <w:tcPr>
            <w:tcW w:w="2748" w:type="dxa"/>
            <w:tcBorders>
              <w:left w:val="single" w:sz="4" w:space="0" w:color="000000"/>
              <w:bottom w:val="single" w:sz="4" w:space="0" w:color="000000"/>
              <w:right w:val="single" w:sz="4" w:space="0" w:color="000000"/>
            </w:tcBorders>
          </w:tcPr>
          <w:p w14:paraId="2A4CBCE3" w14:textId="77777777" w:rsidR="00A508A2" w:rsidRPr="00DD0D1F" w:rsidRDefault="00A508A2" w:rsidP="00A508A2">
            <w:pPr>
              <w:pStyle w:val="TableParagraph"/>
              <w:spacing w:before="22"/>
              <w:ind w:left="902" w:right="895"/>
              <w:jc w:val="center"/>
              <w:rPr>
                <w:b/>
                <w:szCs w:val="24"/>
              </w:rPr>
            </w:pPr>
            <w:r w:rsidRPr="00DD0D1F">
              <w:rPr>
                <w:b/>
                <w:bCs/>
                <w:szCs w:val="24"/>
              </w:rPr>
              <w:t>Teknik</w:t>
            </w:r>
          </w:p>
        </w:tc>
        <w:tc>
          <w:tcPr>
            <w:tcW w:w="5972" w:type="dxa"/>
            <w:tcBorders>
              <w:left w:val="single" w:sz="4" w:space="0" w:color="000000"/>
              <w:bottom w:val="single" w:sz="4" w:space="0" w:color="000000"/>
              <w:right w:val="single" w:sz="4" w:space="0" w:color="000000"/>
            </w:tcBorders>
          </w:tcPr>
          <w:p w14:paraId="5CF7285B" w14:textId="77777777" w:rsidR="00A508A2" w:rsidRPr="00DD0D1F" w:rsidRDefault="00A508A2" w:rsidP="00A508A2">
            <w:pPr>
              <w:pStyle w:val="TableParagraph"/>
              <w:spacing w:before="22"/>
              <w:ind w:left="2525" w:right="2407"/>
              <w:jc w:val="center"/>
              <w:rPr>
                <w:b/>
                <w:szCs w:val="24"/>
              </w:rPr>
            </w:pPr>
            <w:r w:rsidRPr="00DD0D1F">
              <w:rPr>
                <w:b/>
                <w:bCs/>
                <w:szCs w:val="24"/>
              </w:rPr>
              <w:t>Tanım</w:t>
            </w:r>
          </w:p>
        </w:tc>
      </w:tr>
      <w:tr w:rsidR="00A508A2" w:rsidRPr="00DD0D1F" w14:paraId="3F490A11" w14:textId="77777777" w:rsidTr="00A508A2">
        <w:trPr>
          <w:trHeight w:val="4370"/>
        </w:trPr>
        <w:tc>
          <w:tcPr>
            <w:tcW w:w="2748" w:type="dxa"/>
            <w:tcBorders>
              <w:top w:val="single" w:sz="4" w:space="0" w:color="000000"/>
              <w:left w:val="single" w:sz="4" w:space="0" w:color="000000"/>
              <w:bottom w:val="single" w:sz="4" w:space="0" w:color="000000"/>
              <w:right w:val="single" w:sz="4" w:space="0" w:color="000000"/>
            </w:tcBorders>
          </w:tcPr>
          <w:p w14:paraId="312B98F6" w14:textId="77777777" w:rsidR="00A508A2" w:rsidRPr="00DD0D1F" w:rsidRDefault="00A508A2" w:rsidP="00A508A2">
            <w:pPr>
              <w:pStyle w:val="TableParagraph"/>
              <w:rPr>
                <w:b/>
                <w:szCs w:val="24"/>
              </w:rPr>
            </w:pPr>
          </w:p>
          <w:p w14:paraId="7097D9D9" w14:textId="77777777" w:rsidR="00A508A2" w:rsidRPr="00DD0D1F" w:rsidRDefault="00A508A2" w:rsidP="00A508A2">
            <w:pPr>
              <w:pStyle w:val="TableParagraph"/>
              <w:rPr>
                <w:b/>
                <w:szCs w:val="24"/>
              </w:rPr>
            </w:pPr>
          </w:p>
          <w:p w14:paraId="0C8D5AC9" w14:textId="77777777" w:rsidR="00A508A2" w:rsidRPr="00DD0D1F" w:rsidRDefault="00A508A2" w:rsidP="00A508A2">
            <w:pPr>
              <w:pStyle w:val="TableParagraph"/>
              <w:rPr>
                <w:b/>
                <w:szCs w:val="24"/>
              </w:rPr>
            </w:pPr>
          </w:p>
          <w:p w14:paraId="25E09BBA" w14:textId="77777777" w:rsidR="00A508A2" w:rsidRPr="00DD0D1F" w:rsidRDefault="00A508A2" w:rsidP="00A508A2">
            <w:pPr>
              <w:pStyle w:val="TableParagraph"/>
              <w:rPr>
                <w:b/>
                <w:szCs w:val="24"/>
              </w:rPr>
            </w:pPr>
          </w:p>
          <w:p w14:paraId="34C2E5B8" w14:textId="77777777" w:rsidR="00A508A2" w:rsidRPr="00DD0D1F" w:rsidRDefault="00A508A2" w:rsidP="00A508A2">
            <w:pPr>
              <w:pStyle w:val="TableParagraph"/>
              <w:rPr>
                <w:b/>
                <w:szCs w:val="24"/>
              </w:rPr>
            </w:pPr>
          </w:p>
          <w:p w14:paraId="33F391B2" w14:textId="77777777" w:rsidR="00A508A2" w:rsidRPr="00DD0D1F" w:rsidRDefault="00A508A2" w:rsidP="00A508A2">
            <w:pPr>
              <w:pStyle w:val="TableParagraph"/>
              <w:rPr>
                <w:b/>
                <w:szCs w:val="24"/>
              </w:rPr>
            </w:pPr>
          </w:p>
          <w:p w14:paraId="222928F1" w14:textId="77777777" w:rsidR="00A508A2" w:rsidRPr="00DD0D1F" w:rsidRDefault="00A508A2" w:rsidP="00A508A2">
            <w:pPr>
              <w:pStyle w:val="TableParagraph"/>
              <w:rPr>
                <w:b/>
                <w:szCs w:val="24"/>
              </w:rPr>
            </w:pPr>
          </w:p>
          <w:p w14:paraId="20145FC6" w14:textId="77777777" w:rsidR="00A508A2" w:rsidRPr="00DD0D1F" w:rsidRDefault="00A508A2" w:rsidP="00A508A2">
            <w:pPr>
              <w:pStyle w:val="TableParagraph"/>
              <w:tabs>
                <w:tab w:val="left" w:pos="1256"/>
                <w:tab w:val="left" w:pos="1642"/>
                <w:tab w:val="left" w:pos="2472"/>
              </w:tabs>
              <w:spacing w:before="178"/>
              <w:ind w:left="107" w:right="96"/>
              <w:rPr>
                <w:szCs w:val="24"/>
              </w:rPr>
            </w:pPr>
            <w:r w:rsidRPr="00DD0D1F">
              <w:rPr>
                <w:szCs w:val="24"/>
              </w:rPr>
              <w:t>Alevlenmeden kaynaklanan emisyonları önleme veya azaltma teknikleri</w:t>
            </w:r>
          </w:p>
        </w:tc>
        <w:tc>
          <w:tcPr>
            <w:tcW w:w="5972" w:type="dxa"/>
            <w:tcBorders>
              <w:top w:val="single" w:sz="4" w:space="0" w:color="000000"/>
              <w:left w:val="single" w:sz="4" w:space="0" w:color="000000"/>
              <w:bottom w:val="single" w:sz="4" w:space="0" w:color="000000"/>
              <w:right w:val="single" w:sz="4" w:space="0" w:color="000000"/>
            </w:tcBorders>
          </w:tcPr>
          <w:p w14:paraId="48AAE793" w14:textId="77777777" w:rsidR="00A508A2" w:rsidRPr="00DD0D1F" w:rsidRDefault="00A508A2" w:rsidP="00A508A2">
            <w:pPr>
              <w:pStyle w:val="TableParagraph"/>
              <w:ind w:left="108" w:right="98"/>
              <w:jc w:val="both"/>
              <w:rPr>
                <w:szCs w:val="24"/>
              </w:rPr>
            </w:pPr>
            <w:r w:rsidRPr="00DD0D1F">
              <w:rPr>
                <w:b/>
                <w:bCs/>
                <w:szCs w:val="24"/>
              </w:rPr>
              <w:t xml:space="preserve">Doğru tesis tasarımı: </w:t>
            </w:r>
            <w:r w:rsidRPr="00DD0D1F">
              <w:rPr>
                <w:szCs w:val="24"/>
              </w:rPr>
              <w:t>yeterli alev gazı geri kazanım sistemi kapasitesini, yüksek bütünlüklü tahliye vanaları kullanımını ve alevlenmeyi sadece normal operasyonların dışında kalan emniyet sistemi olarak (ilk çalıştırma, kapatma, acil durum) kullanan diğer önlemleri içerir.</w:t>
            </w:r>
          </w:p>
          <w:p w14:paraId="5F82D887" w14:textId="77777777" w:rsidR="00A508A2" w:rsidRPr="00DD0D1F" w:rsidRDefault="00A508A2" w:rsidP="00A508A2">
            <w:pPr>
              <w:pStyle w:val="TableParagraph"/>
              <w:ind w:left="108" w:right="95"/>
              <w:jc w:val="both"/>
              <w:rPr>
                <w:szCs w:val="24"/>
              </w:rPr>
            </w:pPr>
            <w:r w:rsidRPr="00DD0D1F">
              <w:rPr>
                <w:b/>
                <w:bCs/>
                <w:szCs w:val="24"/>
              </w:rPr>
              <w:t xml:space="preserve">Tesis yönetimi: </w:t>
            </w:r>
            <w:r w:rsidRPr="00DD0D1F">
              <w:rPr>
                <w:szCs w:val="24"/>
              </w:rPr>
              <w:t>RFG sisteminin gelişmiş proses kontrolü, vs. kullanarak dengelenmesi yoluyla alevlenme olaylarının azaltılmasına dönük organizasyonel ve kontrol önlemlerini içerir.</w:t>
            </w:r>
          </w:p>
          <w:p w14:paraId="39B9A2FD" w14:textId="77777777" w:rsidR="00A508A2" w:rsidRPr="00DD0D1F" w:rsidRDefault="00A508A2" w:rsidP="00A508A2">
            <w:pPr>
              <w:pStyle w:val="TableParagraph"/>
              <w:ind w:left="108" w:right="99"/>
              <w:jc w:val="both"/>
              <w:rPr>
                <w:szCs w:val="24"/>
              </w:rPr>
            </w:pPr>
            <w:r w:rsidRPr="00DD0D1F">
              <w:rPr>
                <w:b/>
                <w:bCs/>
                <w:szCs w:val="24"/>
              </w:rPr>
              <w:t>Alevlenme tasarımı</w:t>
            </w:r>
            <w:r w:rsidRPr="00DD0D1F">
              <w:rPr>
                <w:szCs w:val="24"/>
              </w:rPr>
              <w:t>: yüksekliği, basıncı, buhar, hava veya gaz desteğini, alev uçlarını türünü, vs. içerir. Operasyonların dumansız ve güvenilir olmalarını olanak tanımayı ve rutin olmayan operasyonlardan kaynaklanan alevlerin ortaya çıkması durumunda fazla gazların verimli bir şekilde yanmasını sağlamayı amaçlar.</w:t>
            </w:r>
          </w:p>
          <w:p w14:paraId="21AE85A0" w14:textId="77777777" w:rsidR="00A508A2" w:rsidRPr="00DD0D1F" w:rsidRDefault="00A508A2" w:rsidP="00A508A2">
            <w:pPr>
              <w:pStyle w:val="TableParagraph"/>
              <w:ind w:left="108" w:right="96"/>
              <w:jc w:val="both"/>
              <w:rPr>
                <w:szCs w:val="24"/>
              </w:rPr>
            </w:pPr>
            <w:r w:rsidRPr="00DD0D1F">
              <w:rPr>
                <w:b/>
                <w:bCs/>
                <w:szCs w:val="24"/>
              </w:rPr>
              <w:t>İzleme ve raporlama:</w:t>
            </w:r>
            <w:r w:rsidRPr="00DD0D1F">
              <w:rPr>
                <w:szCs w:val="24"/>
              </w:rPr>
              <w:t xml:space="preserve"> Alevlenmesi için sevk edilen gazın ve ilgili yanma parametrelerinin (ör. akış gazı karışımı ve ısı içeriği, destek oranı, hız, pürj gazı debisi, kirletici emisyonlar) sürekli olarak izlenmesi (gaz akışı ölçümleri ve diğer parametrelere ait tahminler). Alevlenme olaylarının raporlanması, alevlenme oranının ÇYS'de yer alan bir gereklilik olarak kullanılmasını ve gelecekteki muhtemel olayların önlenmesini mümkün kılar. Alevlenme olayları sırasında renkli TV monitörleri kullanılarak alevlenmenin görsel olarak uzaktan izlenmesi de gerçekleştirilebilir.</w:t>
            </w:r>
          </w:p>
        </w:tc>
      </w:tr>
      <w:tr w:rsidR="00A508A2" w:rsidRPr="00DD0D1F" w14:paraId="573F920A" w14:textId="77777777" w:rsidTr="00A508A2">
        <w:trPr>
          <w:trHeight w:val="1159"/>
        </w:trPr>
        <w:tc>
          <w:tcPr>
            <w:tcW w:w="2748" w:type="dxa"/>
            <w:tcBorders>
              <w:top w:val="single" w:sz="4" w:space="0" w:color="000000"/>
              <w:left w:val="single" w:sz="4" w:space="0" w:color="000000"/>
              <w:bottom w:val="single" w:sz="4" w:space="0" w:color="000000"/>
              <w:right w:val="single" w:sz="4" w:space="0" w:color="000000"/>
            </w:tcBorders>
          </w:tcPr>
          <w:p w14:paraId="7013F7D4" w14:textId="77777777" w:rsidR="00A508A2" w:rsidRPr="00DD0D1F" w:rsidRDefault="00A508A2" w:rsidP="00A508A2">
            <w:pPr>
              <w:pStyle w:val="TableParagraph"/>
              <w:rPr>
                <w:b/>
                <w:szCs w:val="24"/>
              </w:rPr>
            </w:pPr>
          </w:p>
          <w:p w14:paraId="49176F0F" w14:textId="77777777" w:rsidR="00A508A2" w:rsidRPr="00DD0D1F" w:rsidRDefault="00A508A2" w:rsidP="00A508A2">
            <w:pPr>
              <w:pStyle w:val="TableParagraph"/>
              <w:spacing w:before="5"/>
              <w:rPr>
                <w:b/>
                <w:szCs w:val="24"/>
              </w:rPr>
            </w:pPr>
          </w:p>
          <w:p w14:paraId="230C73C8" w14:textId="77777777" w:rsidR="00A508A2" w:rsidRPr="00DD0D1F" w:rsidRDefault="00A508A2" w:rsidP="00A508A2">
            <w:pPr>
              <w:pStyle w:val="TableParagraph"/>
              <w:ind w:left="107" w:right="89"/>
              <w:rPr>
                <w:szCs w:val="24"/>
              </w:rPr>
            </w:pPr>
            <w:r w:rsidRPr="00DD0D1F">
              <w:rPr>
                <w:szCs w:val="24"/>
              </w:rPr>
              <w:t>Dioksinlerin oluşmasını önlemek için katalizör başlatıcısı seçimi</w:t>
            </w:r>
          </w:p>
        </w:tc>
        <w:tc>
          <w:tcPr>
            <w:tcW w:w="5972" w:type="dxa"/>
            <w:tcBorders>
              <w:top w:val="single" w:sz="4" w:space="0" w:color="000000"/>
              <w:left w:val="single" w:sz="4" w:space="0" w:color="000000"/>
              <w:bottom w:val="single" w:sz="4" w:space="0" w:color="000000"/>
              <w:right w:val="single" w:sz="4" w:space="0" w:color="000000"/>
            </w:tcBorders>
          </w:tcPr>
          <w:p w14:paraId="2FC297A0" w14:textId="77777777" w:rsidR="00A508A2" w:rsidRPr="00DD0D1F" w:rsidRDefault="00A508A2" w:rsidP="00A508A2">
            <w:pPr>
              <w:pStyle w:val="TableParagraph"/>
              <w:ind w:left="108" w:right="93"/>
              <w:jc w:val="both"/>
              <w:rPr>
                <w:szCs w:val="24"/>
              </w:rPr>
            </w:pPr>
            <w:r w:rsidRPr="00DD0D1F">
              <w:rPr>
                <w:szCs w:val="24"/>
              </w:rPr>
              <w:t>Dönüştürücü katalizörün rejenerasyonu sırasında, etkili dönüştürücü katalizör performansı için (katalizörde yeterli klorür dengesini yeniden kurmak ve metallerin doğru dağılımını sağlamak için) genellikle organik klorür gerekir. Uygun klorlu bileşiğin seçimi, dioksin ve furan emisyonları olasılığı üzerinde etkiye sahiptir.</w:t>
            </w:r>
          </w:p>
        </w:tc>
      </w:tr>
      <w:tr w:rsidR="00A508A2" w:rsidRPr="00DD0D1F" w14:paraId="73533A78" w14:textId="77777777" w:rsidTr="00A508A2">
        <w:trPr>
          <w:trHeight w:val="2301"/>
        </w:trPr>
        <w:tc>
          <w:tcPr>
            <w:tcW w:w="2748" w:type="dxa"/>
            <w:tcBorders>
              <w:top w:val="single" w:sz="4" w:space="0" w:color="000000"/>
              <w:left w:val="single" w:sz="4" w:space="0" w:color="000000"/>
              <w:bottom w:val="single" w:sz="4" w:space="0" w:color="000000"/>
              <w:right w:val="single" w:sz="4" w:space="0" w:color="000000"/>
            </w:tcBorders>
          </w:tcPr>
          <w:p w14:paraId="3CD27D53" w14:textId="77777777" w:rsidR="00A508A2" w:rsidRPr="00DD0D1F" w:rsidRDefault="00A508A2" w:rsidP="00A508A2">
            <w:pPr>
              <w:pStyle w:val="TableParagraph"/>
              <w:rPr>
                <w:b/>
                <w:szCs w:val="24"/>
              </w:rPr>
            </w:pPr>
          </w:p>
          <w:p w14:paraId="721E9E02" w14:textId="77777777" w:rsidR="00A508A2" w:rsidRPr="00DD0D1F" w:rsidRDefault="00A508A2" w:rsidP="00A508A2">
            <w:pPr>
              <w:pStyle w:val="TableParagraph"/>
              <w:rPr>
                <w:b/>
                <w:szCs w:val="24"/>
              </w:rPr>
            </w:pPr>
          </w:p>
          <w:p w14:paraId="1BA0B029" w14:textId="77777777" w:rsidR="00A508A2" w:rsidRPr="00DD0D1F" w:rsidRDefault="00A508A2" w:rsidP="00A508A2">
            <w:pPr>
              <w:pStyle w:val="TableParagraph"/>
              <w:rPr>
                <w:b/>
                <w:szCs w:val="24"/>
              </w:rPr>
            </w:pPr>
          </w:p>
          <w:p w14:paraId="7E92CB10" w14:textId="77777777" w:rsidR="00A508A2" w:rsidRPr="00DD0D1F" w:rsidRDefault="00A508A2" w:rsidP="00A508A2">
            <w:pPr>
              <w:pStyle w:val="TableParagraph"/>
              <w:spacing w:before="156"/>
              <w:ind w:left="107" w:right="90"/>
              <w:rPr>
                <w:szCs w:val="24"/>
              </w:rPr>
            </w:pPr>
            <w:r w:rsidRPr="00DD0D1F">
              <w:rPr>
                <w:szCs w:val="24"/>
              </w:rPr>
              <w:t>Baz yağı üretimi prosesleri için çözücü geri kazanım</w:t>
            </w:r>
          </w:p>
        </w:tc>
        <w:tc>
          <w:tcPr>
            <w:tcW w:w="5972" w:type="dxa"/>
            <w:tcBorders>
              <w:top w:val="single" w:sz="4" w:space="0" w:color="000000"/>
              <w:left w:val="single" w:sz="4" w:space="0" w:color="000000"/>
              <w:bottom w:val="single" w:sz="4" w:space="0" w:color="000000"/>
              <w:right w:val="single" w:sz="4" w:space="0" w:color="000000"/>
            </w:tcBorders>
          </w:tcPr>
          <w:p w14:paraId="60853187" w14:textId="77777777" w:rsidR="00A508A2" w:rsidRPr="00DD0D1F" w:rsidRDefault="00A508A2" w:rsidP="00A508A2">
            <w:pPr>
              <w:pStyle w:val="TableParagraph"/>
              <w:ind w:left="108" w:right="102"/>
              <w:jc w:val="both"/>
              <w:rPr>
                <w:szCs w:val="24"/>
              </w:rPr>
            </w:pPr>
            <w:r w:rsidRPr="00DD0D1F">
              <w:rPr>
                <w:b/>
                <w:bCs/>
                <w:szCs w:val="24"/>
              </w:rPr>
              <w:t xml:space="preserve">Çözücü geri kazanımı </w:t>
            </w:r>
            <w:r w:rsidRPr="00DD0D1F">
              <w:rPr>
                <w:szCs w:val="24"/>
              </w:rPr>
              <w:t>birimi, çözücülerin yağ akışından geri kazanıldığı bir damıtma adımından ve bir fraksiyonlayıcıdaki sıyırma adımından (buhar veya soy gazla) oluşur.</w:t>
            </w:r>
          </w:p>
          <w:p w14:paraId="70C9E6AD" w14:textId="77777777" w:rsidR="00A508A2" w:rsidRPr="00DD0D1F" w:rsidRDefault="00A508A2" w:rsidP="00A508A2">
            <w:pPr>
              <w:pStyle w:val="TableParagraph"/>
              <w:ind w:left="108" w:right="99"/>
              <w:jc w:val="both"/>
              <w:rPr>
                <w:szCs w:val="24"/>
              </w:rPr>
            </w:pPr>
            <w:r w:rsidRPr="00DD0D1F">
              <w:rPr>
                <w:szCs w:val="24"/>
              </w:rPr>
              <w:t>Çözücüler, 1,2-dikloroetan (DCE) ve diklorometan (DCM) karışımı (DiMe) olabilir.</w:t>
            </w:r>
          </w:p>
          <w:p w14:paraId="0CA36480" w14:textId="77777777" w:rsidR="00A508A2" w:rsidRPr="00DD0D1F" w:rsidRDefault="00A508A2" w:rsidP="00A508A2">
            <w:pPr>
              <w:pStyle w:val="TableParagraph"/>
              <w:ind w:left="108" w:right="101"/>
              <w:jc w:val="both"/>
              <w:rPr>
                <w:szCs w:val="24"/>
              </w:rPr>
            </w:pPr>
            <w:r w:rsidRPr="00DD0D1F">
              <w:rPr>
                <w:szCs w:val="24"/>
              </w:rPr>
              <w:t>Parafin işleme birimlerinde çözücü geri kazanımı (ör. DCE için) iki sistem kullanılarak gerçekleştirilir: biri yağı alınmış parafin için, diğeri ise yumuşak parafin için. Her ikisi de ısıyla entegreli flaş tanklarından ve bir vakumlu sıyırıcıdan meydana gelir. Parafini alınmış yağdan ve parafin ürününden gelen akışlar çözücü izlerinin giderilmesi için sıyırılır.</w:t>
            </w:r>
          </w:p>
        </w:tc>
      </w:tr>
    </w:tbl>
    <w:p w14:paraId="5AF701BB" w14:textId="77777777" w:rsidR="00A508A2" w:rsidRPr="00DD0D1F" w:rsidRDefault="00A508A2" w:rsidP="00A508A2">
      <w:pPr>
        <w:spacing w:line="216" w:lineRule="exact"/>
        <w:rPr>
          <w:rFonts w:cs="Times New Roman"/>
          <w:szCs w:val="24"/>
          <w:lang w:val="tr-TR"/>
        </w:rPr>
        <w:sectPr w:rsidR="00A508A2" w:rsidRPr="00DD0D1F" w:rsidSect="00A508A2">
          <w:pgSz w:w="11909" w:h="16850"/>
          <w:pgMar w:top="1411" w:right="1411" w:bottom="1411" w:left="1411" w:header="706" w:footer="706" w:gutter="0"/>
          <w:cols w:space="708"/>
        </w:sectPr>
      </w:pPr>
    </w:p>
    <w:p w14:paraId="510A51C0" w14:textId="77777777" w:rsidR="00A508A2" w:rsidRPr="00DD0D1F" w:rsidRDefault="00A508A2" w:rsidP="00FF111D">
      <w:pPr>
        <w:pStyle w:val="Balk1"/>
        <w:keepNext w:val="0"/>
        <w:keepLines w:val="0"/>
        <w:widowControl w:val="0"/>
        <w:numPr>
          <w:ilvl w:val="0"/>
          <w:numId w:val="114"/>
        </w:numPr>
        <w:tabs>
          <w:tab w:val="left" w:pos="2440"/>
          <w:tab w:val="left" w:pos="2441"/>
        </w:tabs>
        <w:autoSpaceDE w:val="0"/>
        <w:autoSpaceDN w:val="0"/>
        <w:spacing w:before="159" w:line="242" w:lineRule="auto"/>
        <w:ind w:right="649"/>
        <w:jc w:val="left"/>
        <w:rPr>
          <w:rFonts w:cs="Times New Roman"/>
          <w:szCs w:val="24"/>
          <w:lang w:val="tr-TR"/>
        </w:rPr>
      </w:pPr>
      <w:bookmarkStart w:id="269" w:name="_bookmark930"/>
      <w:bookmarkStart w:id="270" w:name="5.21_Description_of_techniques_for_the_p"/>
      <w:bookmarkEnd w:id="269"/>
      <w:bookmarkEnd w:id="270"/>
      <w:r w:rsidRPr="00DD0D1F">
        <w:rPr>
          <w:rFonts w:cs="Times New Roman"/>
          <w:szCs w:val="24"/>
          <w:lang w:val="tr-TR"/>
        </w:rPr>
        <w:t>Suya karışan emisyonların önlenmesi ve kontrolüne ilişkin tekniklerin tanımlanması</w:t>
      </w:r>
    </w:p>
    <w:p w14:paraId="13EF2565" w14:textId="77777777" w:rsidR="00A508A2" w:rsidRPr="00DD0D1F" w:rsidRDefault="00A508A2" w:rsidP="00FF111D">
      <w:pPr>
        <w:pStyle w:val="Balk3"/>
        <w:keepNext w:val="0"/>
        <w:keepLines w:val="0"/>
        <w:widowControl w:val="0"/>
        <w:numPr>
          <w:ilvl w:val="1"/>
          <w:numId w:val="114"/>
        </w:numPr>
        <w:tabs>
          <w:tab w:val="left" w:pos="2721"/>
          <w:tab w:val="left" w:pos="2722"/>
        </w:tabs>
        <w:autoSpaceDE w:val="0"/>
        <w:autoSpaceDN w:val="0"/>
        <w:spacing w:before="247" w:after="0" w:line="240" w:lineRule="auto"/>
        <w:jc w:val="left"/>
        <w:rPr>
          <w:rFonts w:cs="Times New Roman"/>
          <w:lang w:val="tr-TR"/>
        </w:rPr>
      </w:pPr>
      <w:bookmarkStart w:id="271" w:name="_bookmark931"/>
      <w:bookmarkStart w:id="272" w:name="5.21.1_Waste_water_pretreatment"/>
      <w:bookmarkEnd w:id="271"/>
      <w:bookmarkEnd w:id="272"/>
      <w:r w:rsidRPr="00DD0D1F">
        <w:rPr>
          <w:rFonts w:cs="Times New Roman"/>
          <w:lang w:val="tr-TR"/>
        </w:rPr>
        <w:t>Atık su ön arıtımı</w:t>
      </w:r>
    </w:p>
    <w:p w14:paraId="587A43B8" w14:textId="77777777" w:rsidR="00A508A2" w:rsidRPr="00DD0D1F" w:rsidRDefault="00A508A2" w:rsidP="00A508A2">
      <w:pPr>
        <w:pStyle w:val="GvdeMetni"/>
        <w:spacing w:before="6"/>
        <w:rPr>
          <w:b/>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97"/>
        <w:gridCol w:w="5465"/>
      </w:tblGrid>
      <w:tr w:rsidR="00A508A2" w:rsidRPr="00DD0D1F" w14:paraId="2CE4CE1D" w14:textId="77777777" w:rsidTr="00A508A2">
        <w:trPr>
          <w:trHeight w:val="282"/>
          <w:jc w:val="center"/>
        </w:trPr>
        <w:tc>
          <w:tcPr>
            <w:tcW w:w="2008" w:type="pct"/>
          </w:tcPr>
          <w:p w14:paraId="6584D43D" w14:textId="77777777" w:rsidR="00A508A2" w:rsidRPr="00DD0D1F" w:rsidRDefault="00A508A2" w:rsidP="00A508A2">
            <w:pPr>
              <w:pStyle w:val="TableParagraph"/>
              <w:spacing w:before="24"/>
              <w:ind w:left="902"/>
              <w:rPr>
                <w:b/>
                <w:szCs w:val="24"/>
              </w:rPr>
            </w:pPr>
            <w:r w:rsidRPr="00DD0D1F">
              <w:rPr>
                <w:b/>
                <w:bCs/>
                <w:szCs w:val="24"/>
              </w:rPr>
              <w:t>Teknik</w:t>
            </w:r>
          </w:p>
        </w:tc>
        <w:tc>
          <w:tcPr>
            <w:tcW w:w="2992" w:type="pct"/>
          </w:tcPr>
          <w:p w14:paraId="33CF25AB" w14:textId="77777777" w:rsidR="00A508A2" w:rsidRPr="00DD0D1F" w:rsidRDefault="00A508A2" w:rsidP="00A508A2">
            <w:pPr>
              <w:pStyle w:val="TableParagraph"/>
              <w:spacing w:before="24"/>
              <w:ind w:left="2446" w:right="2328"/>
              <w:jc w:val="center"/>
              <w:rPr>
                <w:b/>
                <w:szCs w:val="24"/>
              </w:rPr>
            </w:pPr>
            <w:r w:rsidRPr="00DD0D1F">
              <w:rPr>
                <w:b/>
                <w:bCs/>
                <w:szCs w:val="24"/>
              </w:rPr>
              <w:t>Tanım</w:t>
            </w:r>
          </w:p>
        </w:tc>
      </w:tr>
      <w:tr w:rsidR="00A508A2" w:rsidRPr="00DD0D1F" w14:paraId="539D3678" w14:textId="77777777" w:rsidTr="00A508A2">
        <w:trPr>
          <w:trHeight w:val="690"/>
          <w:jc w:val="center"/>
        </w:trPr>
        <w:tc>
          <w:tcPr>
            <w:tcW w:w="2008" w:type="pct"/>
          </w:tcPr>
          <w:p w14:paraId="60C402D4" w14:textId="77777777" w:rsidR="00A508A2" w:rsidRPr="00DD0D1F" w:rsidRDefault="00A508A2" w:rsidP="00A508A2">
            <w:pPr>
              <w:pStyle w:val="TableParagraph"/>
              <w:ind w:left="328" w:right="90"/>
              <w:rPr>
                <w:szCs w:val="24"/>
              </w:rPr>
            </w:pPr>
            <w:r w:rsidRPr="00DD0D1F">
              <w:rPr>
                <w:szCs w:val="24"/>
              </w:rPr>
              <w:t>Acı su akışlarının yeniden kullanım veya arıtma öncesindeki ön arıtımı</w:t>
            </w:r>
          </w:p>
          <w:p w14:paraId="5AAD661E" w14:textId="77777777" w:rsidR="00A508A2" w:rsidRPr="00DD0D1F" w:rsidRDefault="00A508A2" w:rsidP="00A508A2">
            <w:pPr>
              <w:pStyle w:val="TableParagraph"/>
              <w:spacing w:line="217" w:lineRule="exact"/>
              <w:ind w:left="328"/>
              <w:rPr>
                <w:szCs w:val="24"/>
              </w:rPr>
            </w:pPr>
          </w:p>
        </w:tc>
        <w:tc>
          <w:tcPr>
            <w:tcW w:w="2992" w:type="pct"/>
          </w:tcPr>
          <w:p w14:paraId="49336457" w14:textId="77777777" w:rsidR="00A508A2" w:rsidRPr="00DD0D1F" w:rsidRDefault="00A508A2" w:rsidP="00A508A2">
            <w:pPr>
              <w:pStyle w:val="TableParagraph"/>
              <w:spacing w:before="108"/>
              <w:ind w:left="108" w:right="102"/>
              <w:rPr>
                <w:szCs w:val="24"/>
              </w:rPr>
            </w:pPr>
            <w:r w:rsidRPr="00DD0D1F">
              <w:rPr>
                <w:szCs w:val="24"/>
              </w:rPr>
              <w:t>Üretilen acı suyu (ör. damıtma, parçalama, koklaştırma birimlerinden gelen) uygun ön arıtmaya sevk edin (ör. sıyırıcı birimi)</w:t>
            </w:r>
          </w:p>
        </w:tc>
      </w:tr>
      <w:tr w:rsidR="00A508A2" w:rsidRPr="00DD0D1F" w14:paraId="261280F9" w14:textId="77777777" w:rsidTr="00A508A2">
        <w:trPr>
          <w:trHeight w:val="690"/>
          <w:jc w:val="center"/>
        </w:trPr>
        <w:tc>
          <w:tcPr>
            <w:tcW w:w="2008" w:type="pct"/>
          </w:tcPr>
          <w:p w14:paraId="513F83C4" w14:textId="77777777" w:rsidR="00A508A2" w:rsidRPr="00DD0D1F" w:rsidRDefault="00A508A2" w:rsidP="00A508A2">
            <w:pPr>
              <w:pStyle w:val="TableParagraph"/>
              <w:spacing w:line="223" w:lineRule="exact"/>
              <w:ind w:left="328"/>
              <w:rPr>
                <w:szCs w:val="24"/>
              </w:rPr>
            </w:pPr>
            <w:r w:rsidRPr="00DD0D1F">
              <w:rPr>
                <w:szCs w:val="24"/>
              </w:rPr>
              <w:t>Diğer atık su akışlarının arıtma öncesindeki ön arıtımı</w:t>
            </w:r>
          </w:p>
          <w:p w14:paraId="0CAEDECE" w14:textId="77777777" w:rsidR="00A508A2" w:rsidRPr="00DD0D1F" w:rsidRDefault="00A508A2" w:rsidP="00A508A2">
            <w:pPr>
              <w:pStyle w:val="TableParagraph"/>
              <w:tabs>
                <w:tab w:val="left" w:pos="995"/>
                <w:tab w:val="left" w:pos="1827"/>
                <w:tab w:val="left" w:pos="2440"/>
              </w:tabs>
              <w:spacing w:line="230" w:lineRule="atLeast"/>
              <w:ind w:left="328" w:right="97"/>
              <w:rPr>
                <w:szCs w:val="24"/>
              </w:rPr>
            </w:pPr>
          </w:p>
        </w:tc>
        <w:tc>
          <w:tcPr>
            <w:tcW w:w="2992" w:type="pct"/>
          </w:tcPr>
          <w:p w14:paraId="2BA64E31" w14:textId="77777777" w:rsidR="00A508A2" w:rsidRPr="00DD0D1F" w:rsidRDefault="00A508A2" w:rsidP="00A508A2">
            <w:pPr>
              <w:pStyle w:val="TableParagraph"/>
              <w:spacing w:before="108"/>
              <w:ind w:left="108" w:right="102"/>
              <w:rPr>
                <w:szCs w:val="24"/>
              </w:rPr>
            </w:pPr>
            <w:r w:rsidRPr="00DD0D1F">
              <w:rPr>
                <w:szCs w:val="24"/>
              </w:rPr>
              <w:t>Arıtma performansını sürdürmek için uygun ön arıtma gerekebilir</w:t>
            </w:r>
          </w:p>
        </w:tc>
      </w:tr>
    </w:tbl>
    <w:p w14:paraId="2EEA9BC3" w14:textId="77777777" w:rsidR="00A508A2" w:rsidRPr="00DD0D1F" w:rsidRDefault="00A508A2" w:rsidP="00A508A2">
      <w:pPr>
        <w:pStyle w:val="GvdeMetni"/>
        <w:rPr>
          <w:b/>
          <w:sz w:val="24"/>
          <w:szCs w:val="24"/>
        </w:rPr>
      </w:pPr>
    </w:p>
    <w:p w14:paraId="7966505E" w14:textId="77777777" w:rsidR="00A508A2" w:rsidRPr="00DD0D1F" w:rsidRDefault="00A508A2" w:rsidP="00FF111D">
      <w:pPr>
        <w:pStyle w:val="ListeParagraf"/>
        <w:widowControl w:val="0"/>
        <w:numPr>
          <w:ilvl w:val="1"/>
          <w:numId w:val="114"/>
        </w:numPr>
        <w:tabs>
          <w:tab w:val="left" w:pos="2721"/>
          <w:tab w:val="left" w:pos="2722"/>
        </w:tabs>
        <w:autoSpaceDE w:val="0"/>
        <w:autoSpaceDN w:val="0"/>
        <w:spacing w:before="200" w:line="240" w:lineRule="auto"/>
        <w:contextualSpacing w:val="0"/>
        <w:jc w:val="left"/>
        <w:rPr>
          <w:rFonts w:cs="Times New Roman"/>
          <w:b/>
          <w:szCs w:val="24"/>
          <w:lang w:val="tr-TR"/>
        </w:rPr>
      </w:pPr>
      <w:bookmarkStart w:id="273" w:name="_bookmark932"/>
      <w:bookmarkStart w:id="274" w:name="5.21.2_Waste_water_treatment"/>
      <w:bookmarkEnd w:id="273"/>
      <w:bookmarkEnd w:id="274"/>
      <w:r w:rsidRPr="00DD0D1F">
        <w:rPr>
          <w:rFonts w:cs="Times New Roman"/>
          <w:b/>
          <w:bCs/>
          <w:szCs w:val="24"/>
          <w:lang w:val="tr-TR"/>
        </w:rPr>
        <w:t>Atık su arıtma</w:t>
      </w:r>
    </w:p>
    <w:p w14:paraId="65261FC1" w14:textId="77777777" w:rsidR="00A508A2" w:rsidRPr="00DD0D1F" w:rsidRDefault="00A508A2" w:rsidP="00A508A2">
      <w:pPr>
        <w:pStyle w:val="GvdeMetni"/>
        <w:spacing w:before="7"/>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33"/>
      </w:tblGrid>
      <w:tr w:rsidR="00A508A2" w:rsidRPr="00DD0D1F" w14:paraId="3E1B2368" w14:textId="77777777" w:rsidTr="009C41A6">
        <w:trPr>
          <w:trHeight w:val="282"/>
          <w:jc w:val="center"/>
        </w:trPr>
        <w:tc>
          <w:tcPr>
            <w:tcW w:w="3539" w:type="dxa"/>
          </w:tcPr>
          <w:p w14:paraId="029D27D4" w14:textId="77777777" w:rsidR="00A508A2" w:rsidRPr="00DD0D1F" w:rsidRDefault="00A508A2" w:rsidP="00A508A2">
            <w:pPr>
              <w:pStyle w:val="TableParagraph"/>
              <w:spacing w:before="24"/>
              <w:ind w:left="877" w:right="876"/>
              <w:jc w:val="center"/>
              <w:rPr>
                <w:b/>
                <w:szCs w:val="24"/>
              </w:rPr>
            </w:pPr>
            <w:r w:rsidRPr="00DD0D1F">
              <w:rPr>
                <w:b/>
                <w:bCs/>
                <w:szCs w:val="24"/>
              </w:rPr>
              <w:t>Teknik</w:t>
            </w:r>
          </w:p>
        </w:tc>
        <w:tc>
          <w:tcPr>
            <w:tcW w:w="5533" w:type="dxa"/>
          </w:tcPr>
          <w:p w14:paraId="620D9507" w14:textId="77777777" w:rsidR="00A508A2" w:rsidRPr="00DD0D1F" w:rsidRDefault="00A508A2" w:rsidP="00A508A2">
            <w:pPr>
              <w:pStyle w:val="TableParagraph"/>
              <w:spacing w:before="24"/>
              <w:ind w:left="2443" w:right="2330"/>
              <w:jc w:val="center"/>
              <w:rPr>
                <w:b/>
                <w:szCs w:val="24"/>
              </w:rPr>
            </w:pPr>
            <w:r w:rsidRPr="00DD0D1F">
              <w:rPr>
                <w:b/>
                <w:bCs/>
                <w:szCs w:val="24"/>
              </w:rPr>
              <w:t>Tanım</w:t>
            </w:r>
          </w:p>
        </w:tc>
      </w:tr>
      <w:tr w:rsidR="00A508A2" w:rsidRPr="00DD0D1F" w14:paraId="54ED6D43" w14:textId="77777777" w:rsidTr="009C41A6">
        <w:trPr>
          <w:trHeight w:val="1552"/>
          <w:jc w:val="center"/>
        </w:trPr>
        <w:tc>
          <w:tcPr>
            <w:tcW w:w="3539" w:type="dxa"/>
            <w:vAlign w:val="center"/>
          </w:tcPr>
          <w:p w14:paraId="322A32E9" w14:textId="77777777" w:rsidR="00A508A2" w:rsidRPr="00DD0D1F" w:rsidRDefault="00A508A2" w:rsidP="00A508A2">
            <w:pPr>
              <w:pStyle w:val="TableParagraph"/>
              <w:rPr>
                <w:b/>
                <w:szCs w:val="24"/>
              </w:rPr>
            </w:pPr>
          </w:p>
          <w:p w14:paraId="17EFDE3A" w14:textId="77777777" w:rsidR="00A508A2" w:rsidRPr="00DD0D1F" w:rsidRDefault="00A508A2" w:rsidP="00A508A2">
            <w:pPr>
              <w:pStyle w:val="TableParagraph"/>
              <w:spacing w:before="172"/>
              <w:ind w:left="261" w:right="276"/>
              <w:rPr>
                <w:szCs w:val="24"/>
              </w:rPr>
            </w:pPr>
            <w:r w:rsidRPr="00DD0D1F">
              <w:rPr>
                <w:szCs w:val="24"/>
              </w:rPr>
              <w:t>Petrolün geri kazanımını sağlayarak çözünemeyen maddelerin giderilmesi.</w:t>
            </w:r>
          </w:p>
        </w:tc>
        <w:tc>
          <w:tcPr>
            <w:tcW w:w="5533" w:type="dxa"/>
          </w:tcPr>
          <w:p w14:paraId="682D18C8" w14:textId="77777777" w:rsidR="00A508A2" w:rsidRPr="00DD0D1F" w:rsidRDefault="00A508A2" w:rsidP="00A508A2">
            <w:pPr>
              <w:pStyle w:val="TableParagraph"/>
              <w:spacing w:line="223" w:lineRule="exact"/>
              <w:ind w:left="105"/>
              <w:rPr>
                <w:szCs w:val="24"/>
              </w:rPr>
            </w:pPr>
            <w:r w:rsidRPr="00DD0D1F">
              <w:rPr>
                <w:szCs w:val="24"/>
              </w:rPr>
              <w:t>Bu teknikler genel olarak aşağıdakileri kapsar:</w:t>
            </w:r>
          </w:p>
          <w:p w14:paraId="251C95F6" w14:textId="77777777" w:rsidR="00A508A2" w:rsidRPr="00DD0D1F" w:rsidRDefault="00A508A2" w:rsidP="00FF111D">
            <w:pPr>
              <w:pStyle w:val="TableParagraph"/>
              <w:numPr>
                <w:ilvl w:val="0"/>
                <w:numId w:val="79"/>
              </w:numPr>
              <w:tabs>
                <w:tab w:val="left" w:pos="672"/>
                <w:tab w:val="left" w:pos="673"/>
              </w:tabs>
              <w:spacing w:before="2" w:line="267" w:lineRule="exact"/>
              <w:ind w:hanging="568"/>
              <w:rPr>
                <w:szCs w:val="24"/>
              </w:rPr>
            </w:pPr>
            <w:r w:rsidRPr="00DD0D1F">
              <w:rPr>
                <w:szCs w:val="24"/>
              </w:rPr>
              <w:t>API Separatörler (API'ler)</w:t>
            </w:r>
          </w:p>
          <w:p w14:paraId="54B1C805" w14:textId="77777777" w:rsidR="00A508A2" w:rsidRPr="00DD0D1F" w:rsidRDefault="00A508A2" w:rsidP="00FF111D">
            <w:pPr>
              <w:pStyle w:val="TableParagraph"/>
              <w:numPr>
                <w:ilvl w:val="0"/>
                <w:numId w:val="79"/>
              </w:numPr>
              <w:tabs>
                <w:tab w:val="left" w:pos="672"/>
                <w:tab w:val="left" w:pos="673"/>
              </w:tabs>
              <w:spacing w:line="265" w:lineRule="exact"/>
              <w:ind w:hanging="568"/>
              <w:rPr>
                <w:szCs w:val="24"/>
              </w:rPr>
            </w:pPr>
            <w:r w:rsidRPr="00DD0D1F">
              <w:rPr>
                <w:szCs w:val="24"/>
              </w:rPr>
              <w:t>Oluklu Levhalı Tutucular (CPI'ler)</w:t>
            </w:r>
          </w:p>
          <w:p w14:paraId="435356DC" w14:textId="77777777" w:rsidR="00A508A2" w:rsidRPr="00DD0D1F" w:rsidRDefault="00A508A2" w:rsidP="00FF111D">
            <w:pPr>
              <w:pStyle w:val="TableParagraph"/>
              <w:numPr>
                <w:ilvl w:val="0"/>
                <w:numId w:val="79"/>
              </w:numPr>
              <w:tabs>
                <w:tab w:val="left" w:pos="672"/>
                <w:tab w:val="left" w:pos="673"/>
              </w:tabs>
              <w:spacing w:line="265" w:lineRule="exact"/>
              <w:ind w:hanging="568"/>
              <w:rPr>
                <w:szCs w:val="24"/>
              </w:rPr>
            </w:pPr>
            <w:r w:rsidRPr="00DD0D1F">
              <w:rPr>
                <w:szCs w:val="24"/>
              </w:rPr>
              <w:t>Paralel Levhalı Tutucular (PPI'ler)</w:t>
            </w:r>
          </w:p>
          <w:p w14:paraId="6F38171A" w14:textId="77777777" w:rsidR="00A508A2" w:rsidRPr="00DD0D1F" w:rsidRDefault="00A508A2" w:rsidP="00FF111D">
            <w:pPr>
              <w:pStyle w:val="TableParagraph"/>
              <w:numPr>
                <w:ilvl w:val="0"/>
                <w:numId w:val="79"/>
              </w:numPr>
              <w:tabs>
                <w:tab w:val="left" w:pos="672"/>
                <w:tab w:val="left" w:pos="673"/>
              </w:tabs>
              <w:spacing w:line="264" w:lineRule="exact"/>
              <w:ind w:hanging="568"/>
              <w:rPr>
                <w:szCs w:val="24"/>
              </w:rPr>
            </w:pPr>
            <w:r w:rsidRPr="00DD0D1F">
              <w:rPr>
                <w:szCs w:val="24"/>
              </w:rPr>
              <w:t>Eğik Levhalı Tutucular (TPI'ler)</w:t>
            </w:r>
          </w:p>
          <w:p w14:paraId="55DB30D6" w14:textId="77777777" w:rsidR="00A508A2" w:rsidRPr="00DD0D1F" w:rsidRDefault="00A508A2" w:rsidP="00FF111D">
            <w:pPr>
              <w:pStyle w:val="TableParagraph"/>
              <w:numPr>
                <w:ilvl w:val="0"/>
                <w:numId w:val="79"/>
              </w:numPr>
              <w:tabs>
                <w:tab w:val="left" w:pos="672"/>
                <w:tab w:val="left" w:pos="673"/>
              </w:tabs>
              <w:spacing w:line="246" w:lineRule="exact"/>
              <w:ind w:hanging="568"/>
              <w:rPr>
                <w:szCs w:val="24"/>
              </w:rPr>
            </w:pPr>
            <w:r w:rsidRPr="00DD0D1F">
              <w:rPr>
                <w:szCs w:val="24"/>
              </w:rPr>
              <w:t>Tampon ve/veya denkleştirme tankları</w:t>
            </w:r>
          </w:p>
        </w:tc>
      </w:tr>
      <w:tr w:rsidR="00A508A2" w:rsidRPr="00DD0D1F" w14:paraId="18F70E1F" w14:textId="77777777" w:rsidTr="009C41A6">
        <w:trPr>
          <w:trHeight w:val="1024"/>
          <w:jc w:val="center"/>
        </w:trPr>
        <w:tc>
          <w:tcPr>
            <w:tcW w:w="3539" w:type="dxa"/>
            <w:vAlign w:val="center"/>
          </w:tcPr>
          <w:p w14:paraId="33859648" w14:textId="77777777" w:rsidR="00A508A2" w:rsidRPr="00DD0D1F" w:rsidRDefault="00A508A2" w:rsidP="00A508A2">
            <w:pPr>
              <w:pStyle w:val="TableParagraph"/>
              <w:spacing w:before="46"/>
              <w:ind w:left="261" w:right="276"/>
              <w:rPr>
                <w:szCs w:val="24"/>
              </w:rPr>
            </w:pPr>
            <w:r w:rsidRPr="00DD0D1F">
              <w:rPr>
                <w:szCs w:val="24"/>
              </w:rPr>
              <w:t>Askıdaki katıların ve dağınık petrolün geri kazanımını sağlayarak çözünemeyen maddelerin giderilmesi</w:t>
            </w:r>
          </w:p>
        </w:tc>
        <w:tc>
          <w:tcPr>
            <w:tcW w:w="5533" w:type="dxa"/>
          </w:tcPr>
          <w:p w14:paraId="26E3140F" w14:textId="77777777" w:rsidR="00A508A2" w:rsidRPr="00DD0D1F" w:rsidRDefault="00A508A2" w:rsidP="00A508A2">
            <w:pPr>
              <w:pStyle w:val="TableParagraph"/>
              <w:spacing w:line="223" w:lineRule="exact"/>
              <w:ind w:left="105"/>
              <w:rPr>
                <w:szCs w:val="24"/>
              </w:rPr>
            </w:pPr>
            <w:r w:rsidRPr="00DD0D1F">
              <w:rPr>
                <w:szCs w:val="24"/>
              </w:rPr>
              <w:t>Bu teknikler genel olarak aşağıdakileri kapsar:</w:t>
            </w:r>
          </w:p>
          <w:p w14:paraId="70855D5C" w14:textId="77777777" w:rsidR="00A508A2" w:rsidRPr="00DD0D1F" w:rsidRDefault="00A508A2" w:rsidP="00FF111D">
            <w:pPr>
              <w:pStyle w:val="TableParagraph"/>
              <w:numPr>
                <w:ilvl w:val="0"/>
                <w:numId w:val="78"/>
              </w:numPr>
              <w:tabs>
                <w:tab w:val="left" w:pos="672"/>
                <w:tab w:val="left" w:pos="673"/>
              </w:tabs>
              <w:spacing w:before="2" w:line="267" w:lineRule="exact"/>
              <w:ind w:hanging="568"/>
              <w:rPr>
                <w:szCs w:val="24"/>
              </w:rPr>
            </w:pPr>
            <w:r w:rsidRPr="00DD0D1F">
              <w:rPr>
                <w:szCs w:val="24"/>
              </w:rPr>
              <w:t>Çözünmüş Gaz Flotasyonu (DGF)</w:t>
            </w:r>
          </w:p>
          <w:p w14:paraId="475B916D" w14:textId="77777777" w:rsidR="00A508A2" w:rsidRPr="00DD0D1F" w:rsidRDefault="00A508A2" w:rsidP="00FF111D">
            <w:pPr>
              <w:pStyle w:val="TableParagraph"/>
              <w:numPr>
                <w:ilvl w:val="0"/>
                <w:numId w:val="78"/>
              </w:numPr>
              <w:tabs>
                <w:tab w:val="left" w:pos="672"/>
                <w:tab w:val="left" w:pos="673"/>
              </w:tabs>
              <w:spacing w:line="265" w:lineRule="exact"/>
              <w:ind w:hanging="568"/>
              <w:rPr>
                <w:szCs w:val="24"/>
              </w:rPr>
            </w:pPr>
            <w:r w:rsidRPr="00DD0D1F">
              <w:rPr>
                <w:szCs w:val="24"/>
              </w:rPr>
              <w:t>Endüklenmiş Gaz Flotasyonu (IGF)</w:t>
            </w:r>
          </w:p>
          <w:p w14:paraId="1EE6D7F1" w14:textId="77777777" w:rsidR="00A508A2" w:rsidRPr="00DD0D1F" w:rsidRDefault="00A508A2" w:rsidP="00FF111D">
            <w:pPr>
              <w:pStyle w:val="TableParagraph"/>
              <w:numPr>
                <w:ilvl w:val="0"/>
                <w:numId w:val="78"/>
              </w:numPr>
              <w:tabs>
                <w:tab w:val="left" w:pos="672"/>
                <w:tab w:val="left" w:pos="673"/>
              </w:tabs>
              <w:spacing w:line="247" w:lineRule="exact"/>
              <w:ind w:hanging="568"/>
              <w:rPr>
                <w:szCs w:val="24"/>
              </w:rPr>
            </w:pPr>
            <w:r w:rsidRPr="00DD0D1F">
              <w:rPr>
                <w:szCs w:val="24"/>
              </w:rPr>
              <w:t>Kum Filtrasyonu</w:t>
            </w:r>
          </w:p>
        </w:tc>
      </w:tr>
      <w:tr w:rsidR="00A508A2" w:rsidRPr="00DD0D1F" w14:paraId="15F6C517" w14:textId="77777777" w:rsidTr="009C41A6">
        <w:trPr>
          <w:trHeight w:val="1540"/>
          <w:jc w:val="center"/>
        </w:trPr>
        <w:tc>
          <w:tcPr>
            <w:tcW w:w="3539" w:type="dxa"/>
            <w:vAlign w:val="center"/>
          </w:tcPr>
          <w:p w14:paraId="58E57F5F" w14:textId="77777777" w:rsidR="00A508A2" w:rsidRPr="00DD0D1F" w:rsidRDefault="00A508A2" w:rsidP="00A508A2">
            <w:pPr>
              <w:pStyle w:val="TableParagraph"/>
              <w:spacing w:before="4"/>
              <w:rPr>
                <w:b/>
                <w:szCs w:val="24"/>
              </w:rPr>
            </w:pPr>
          </w:p>
          <w:p w14:paraId="77543D9E" w14:textId="77777777" w:rsidR="00A508A2" w:rsidRPr="00DD0D1F" w:rsidRDefault="00A508A2" w:rsidP="00A508A2">
            <w:pPr>
              <w:pStyle w:val="TableParagraph"/>
              <w:tabs>
                <w:tab w:val="left" w:pos="1662"/>
              </w:tabs>
              <w:ind w:left="261" w:right="276"/>
              <w:rPr>
                <w:szCs w:val="24"/>
              </w:rPr>
            </w:pPr>
            <w:r w:rsidRPr="00DD0D1F">
              <w:rPr>
                <w:szCs w:val="24"/>
              </w:rPr>
              <w:t xml:space="preserve">Biyolojik arıtma ve durultma da dahil olmak üzere çözünebilen maddelerin giderilmesi </w:t>
            </w:r>
          </w:p>
        </w:tc>
        <w:tc>
          <w:tcPr>
            <w:tcW w:w="5533" w:type="dxa"/>
          </w:tcPr>
          <w:p w14:paraId="75CCDBFE" w14:textId="77777777" w:rsidR="00A508A2" w:rsidRPr="00DD0D1F" w:rsidRDefault="00A508A2" w:rsidP="00A508A2">
            <w:pPr>
              <w:pStyle w:val="TableParagraph"/>
              <w:spacing w:line="223" w:lineRule="exact"/>
              <w:ind w:left="105"/>
              <w:jc w:val="both"/>
              <w:rPr>
                <w:szCs w:val="24"/>
              </w:rPr>
            </w:pPr>
            <w:r w:rsidRPr="00DD0D1F">
              <w:rPr>
                <w:szCs w:val="24"/>
              </w:rPr>
              <w:t>Biyolojik arıtma teknikleri arasında aşağıdakiler yer alabilir:</w:t>
            </w:r>
          </w:p>
          <w:p w14:paraId="4F209A61" w14:textId="77777777" w:rsidR="00A508A2" w:rsidRPr="00DD0D1F" w:rsidRDefault="00A508A2" w:rsidP="00FF111D">
            <w:pPr>
              <w:pStyle w:val="TableParagraph"/>
              <w:numPr>
                <w:ilvl w:val="0"/>
                <w:numId w:val="77"/>
              </w:numPr>
              <w:tabs>
                <w:tab w:val="left" w:pos="672"/>
                <w:tab w:val="left" w:pos="673"/>
              </w:tabs>
              <w:spacing w:before="2" w:line="267" w:lineRule="exact"/>
              <w:ind w:hanging="568"/>
              <w:rPr>
                <w:szCs w:val="24"/>
              </w:rPr>
            </w:pPr>
            <w:r w:rsidRPr="00DD0D1F">
              <w:rPr>
                <w:szCs w:val="24"/>
              </w:rPr>
              <w:t>Sabit yataklı sistemler</w:t>
            </w:r>
          </w:p>
          <w:p w14:paraId="30CF65DD" w14:textId="77777777" w:rsidR="00A508A2" w:rsidRPr="00DD0D1F" w:rsidRDefault="00A508A2" w:rsidP="00FF111D">
            <w:pPr>
              <w:pStyle w:val="TableParagraph"/>
              <w:numPr>
                <w:ilvl w:val="0"/>
                <w:numId w:val="77"/>
              </w:numPr>
              <w:tabs>
                <w:tab w:val="left" w:pos="672"/>
                <w:tab w:val="left" w:pos="673"/>
              </w:tabs>
              <w:spacing w:line="267" w:lineRule="exact"/>
              <w:ind w:hanging="568"/>
              <w:rPr>
                <w:szCs w:val="24"/>
              </w:rPr>
            </w:pPr>
            <w:r w:rsidRPr="00DD0D1F">
              <w:rPr>
                <w:szCs w:val="24"/>
              </w:rPr>
              <w:t>Asılı yataklı sistemler.</w:t>
            </w:r>
          </w:p>
          <w:p w14:paraId="1F8394F9" w14:textId="77777777" w:rsidR="00A508A2" w:rsidRPr="00DD0D1F" w:rsidRDefault="00A508A2" w:rsidP="00A508A2">
            <w:pPr>
              <w:pStyle w:val="TableParagraph"/>
              <w:spacing w:before="72" w:line="230" w:lineRule="atLeast"/>
              <w:ind w:left="105" w:right="103"/>
              <w:jc w:val="both"/>
              <w:rPr>
                <w:szCs w:val="24"/>
              </w:rPr>
            </w:pPr>
            <w:r w:rsidRPr="00DD0D1F">
              <w:rPr>
                <w:szCs w:val="24"/>
              </w:rPr>
              <w:t>Rafinerilerin AAT'lerinde en yaygın olarak kullanılan asılı yataklı sistemlerden biri aktif çamur prosesidir. Sabit yataklı sistemlerin kapsamında biyolojik filtre veya damlatmalı filtre bulunabilmektedir.</w:t>
            </w:r>
          </w:p>
        </w:tc>
      </w:tr>
      <w:tr w:rsidR="00A508A2" w:rsidRPr="00DD0D1F" w14:paraId="3ABEB9CC" w14:textId="77777777" w:rsidTr="009C41A6">
        <w:trPr>
          <w:trHeight w:val="921"/>
          <w:jc w:val="center"/>
        </w:trPr>
        <w:tc>
          <w:tcPr>
            <w:tcW w:w="3539" w:type="dxa"/>
            <w:vAlign w:val="center"/>
          </w:tcPr>
          <w:p w14:paraId="36F3B269" w14:textId="77777777" w:rsidR="00A508A2" w:rsidRPr="00DD0D1F" w:rsidRDefault="00A508A2" w:rsidP="00A508A2">
            <w:pPr>
              <w:pStyle w:val="TableParagraph"/>
              <w:spacing w:before="5"/>
              <w:rPr>
                <w:b/>
                <w:szCs w:val="24"/>
              </w:rPr>
            </w:pPr>
          </w:p>
          <w:p w14:paraId="3E1042AE" w14:textId="77777777" w:rsidR="00A508A2" w:rsidRPr="00DD0D1F" w:rsidRDefault="00A508A2" w:rsidP="00A508A2">
            <w:pPr>
              <w:pStyle w:val="TableParagraph"/>
              <w:ind w:left="261"/>
              <w:rPr>
                <w:szCs w:val="24"/>
              </w:rPr>
            </w:pPr>
            <w:r w:rsidRPr="00DD0D1F">
              <w:rPr>
                <w:szCs w:val="24"/>
              </w:rPr>
              <w:t>İlave arıtma adımı</w:t>
            </w:r>
          </w:p>
        </w:tc>
        <w:tc>
          <w:tcPr>
            <w:tcW w:w="5533" w:type="dxa"/>
          </w:tcPr>
          <w:p w14:paraId="10DAF391" w14:textId="77777777" w:rsidR="00A508A2" w:rsidRPr="00DD0D1F" w:rsidRDefault="00A508A2" w:rsidP="00A508A2">
            <w:pPr>
              <w:pStyle w:val="TableParagraph"/>
              <w:ind w:left="105" w:right="102"/>
              <w:jc w:val="both"/>
              <w:rPr>
                <w:szCs w:val="24"/>
              </w:rPr>
            </w:pPr>
            <w:r w:rsidRPr="00DD0D1F">
              <w:rPr>
                <w:szCs w:val="24"/>
              </w:rPr>
              <w:t>Azot veya karbon bileşiklerini daha da azaltma örneğinde olduğu gibi, önceki arıtma adımlarının tamamlanmasını amaçlayan spesifik bir atık su arıtmasıdır. Çoğunlukla su koruması için spesifik yerel gerekliliklerin mevcut oldukları durumda kullanılır.</w:t>
            </w:r>
          </w:p>
        </w:tc>
      </w:tr>
    </w:tbl>
    <w:p w14:paraId="2AA8E4E2" w14:textId="77777777" w:rsidR="00A508A2" w:rsidRPr="00DD0D1F" w:rsidRDefault="00A508A2" w:rsidP="007C4D71">
      <w:pPr>
        <w:rPr>
          <w:rFonts w:cs="Times New Roman"/>
          <w:szCs w:val="24"/>
        </w:rPr>
      </w:pPr>
    </w:p>
    <w:sectPr w:rsidR="00A508A2" w:rsidRPr="00DD0D1F" w:rsidSect="00306DA1">
      <w:headerReference w:type="even" r:id="rId20"/>
      <w:footerReference w:type="even" r:id="rId21"/>
      <w:footerReference w:type="default" r:id="rId2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3A20" w14:textId="77777777" w:rsidR="002250E1" w:rsidRDefault="002250E1" w:rsidP="00734BA9">
      <w:pPr>
        <w:spacing w:line="240" w:lineRule="auto"/>
      </w:pPr>
      <w:r>
        <w:separator/>
      </w:r>
    </w:p>
  </w:endnote>
  <w:endnote w:type="continuationSeparator" w:id="0">
    <w:p w14:paraId="0480B529" w14:textId="77777777" w:rsidR="002250E1" w:rsidRDefault="002250E1" w:rsidP="00734BA9">
      <w:pPr>
        <w:spacing w:line="240" w:lineRule="auto"/>
      </w:pPr>
      <w:r>
        <w:continuationSeparator/>
      </w:r>
    </w:p>
  </w:endnote>
  <w:endnote w:type="continuationNotice" w:id="1">
    <w:p w14:paraId="55AA2F15" w14:textId="77777777" w:rsidR="002250E1" w:rsidRDefault="002250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F DinDisplay Pro">
    <w:altName w:val="Times New Roman"/>
    <w:charset w:val="CC"/>
    <w:family w:val="auto"/>
    <w:pitch w:val="variable"/>
    <w:sig w:usb0="A00002BF" w:usb1="5000E0FB" w:usb2="00000000" w:usb3="00000000" w:csb0="0000019F" w:csb1="00000000"/>
  </w:font>
  <w:font w:name="Minion Pro Cond">
    <w:altName w:val="Yu Gothic"/>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544D" w14:textId="77777777" w:rsidR="002250E1" w:rsidRDefault="002250E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9961" w14:textId="77777777" w:rsidR="002250E1" w:rsidRDefault="002250E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AEA8"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8480" behindDoc="1" locked="0" layoutInCell="1" allowOverlap="1" wp14:anchorId="01C5B9DE" wp14:editId="19782C87">
              <wp:simplePos x="0" y="0"/>
              <wp:positionH relativeFrom="page">
                <wp:posOffset>701040</wp:posOffset>
              </wp:positionH>
              <wp:positionV relativeFrom="page">
                <wp:posOffset>10079990</wp:posOffset>
              </wp:positionV>
              <wp:extent cx="5438775" cy="6350"/>
              <wp:effectExtent l="0" t="0" r="0" b="0"/>
              <wp:wrapNone/>
              <wp:docPr id="476735870" name="Dikdörtgen 476735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EFF2D6" id="Dikdörtgen 476735870" o:spid="_x0000_s1026" style="position:absolute;margin-left:55.2pt;margin-top:793.7pt;width:428.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9504" behindDoc="1" locked="0" layoutInCell="1" allowOverlap="1" wp14:anchorId="3250F756" wp14:editId="672D62E0">
              <wp:simplePos x="0" y="0"/>
              <wp:positionH relativeFrom="page">
                <wp:posOffset>681355</wp:posOffset>
              </wp:positionH>
              <wp:positionV relativeFrom="page">
                <wp:posOffset>10091420</wp:posOffset>
              </wp:positionV>
              <wp:extent cx="268605" cy="165735"/>
              <wp:effectExtent l="0" t="0" r="0" b="0"/>
              <wp:wrapNone/>
              <wp:docPr id="1330008262" name="Metin Kutusu 1330008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0D6A" w14:textId="77777777" w:rsidR="002250E1" w:rsidRPr="00F45F29" w:rsidRDefault="002250E1" w:rsidP="00A508A2">
                          <w:pPr>
                            <w:spacing w:before="10"/>
                            <w:ind w:left="60"/>
                            <w:rPr>
                              <w:b/>
                              <w:bCs/>
                              <w:sz w:val="20"/>
                            </w:rPr>
                          </w:pPr>
                          <w:r w:rsidRPr="00F45F29">
                            <w:rPr>
                              <w:b/>
                              <w:bCs/>
                              <w:lang w:val="tr"/>
                            </w:rPr>
                            <w:fldChar w:fldCharType="begin"/>
                          </w:r>
                          <w:r w:rsidRPr="00F45F29">
                            <w:rPr>
                              <w:b/>
                              <w:bCs/>
                              <w:color w:val="0000FF"/>
                              <w:sz w:val="20"/>
                              <w:lang w:val="tr"/>
                            </w:rPr>
                            <w:instrText xml:space="preserve"> PAGE </w:instrText>
                          </w:r>
                          <w:r w:rsidRPr="00F45F29">
                            <w:rPr>
                              <w:b/>
                              <w:bCs/>
                              <w:lang w:val="tr"/>
                            </w:rPr>
                            <w:fldChar w:fldCharType="separate"/>
                          </w:r>
                          <w:r>
                            <w:rPr>
                              <w:b/>
                              <w:bCs/>
                              <w:noProof/>
                              <w:color w:val="0000FF"/>
                              <w:sz w:val="20"/>
                              <w:lang w:val="tr"/>
                            </w:rPr>
                            <w:t>604</w:t>
                          </w:r>
                          <w:r w:rsidRPr="00F45F29">
                            <w:rPr>
                              <w:b/>
                              <w:bCs/>
                              <w:lang w:val="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F756" id="_x0000_t202" coordsize="21600,21600" o:spt="202" path="m,l,21600r21600,l21600,xe">
              <v:stroke joinstyle="miter"/>
              <v:path gradientshapeok="t" o:connecttype="rect"/>
            </v:shapetype>
            <v:shape id="Metin Kutusu 1330008262" o:spid="_x0000_s1027" type="#_x0000_t202" style="position:absolute;margin-left:53.65pt;margin-top:794.6pt;width:21.1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" filled="f" stroked="f">
              <v:textbox inset="0,0,0,0">
                <w:txbxContent>
                  <w:p w14:paraId="4C3D0D6A" w14:textId="77777777" w:rsidR="002250E1" w:rsidRPr="00F45F29" w:rsidRDefault="002250E1" w:rsidP="00A508A2">
                    <w:pPr>
                      <w:spacing w:before="10"/>
                      <w:ind w:left="60"/>
                      <w:rPr>
                        <w:b/>
                        <w:bCs/>
                        <w:sz w:val="20"/>
                      </w:rPr>
                    </w:pPr>
                    <w:r w:rsidRPr="00F45F29">
                      <w:rPr>
                        <w:b/>
                        <w:bCs/>
                        <w:lang w:val="tr"/>
                      </w:rPr>
                      <w:fldChar w:fldCharType="begin"/>
                    </w:r>
                    <w:r w:rsidRPr="00F45F29">
                      <w:rPr>
                        <w:b/>
                        <w:bCs/>
                        <w:color w:val="0000FF"/>
                        <w:sz w:val="20"/>
                        <w:lang w:val="tr"/>
                      </w:rPr>
                      <w:instrText xml:space="preserve"> PAGE </w:instrText>
                    </w:r>
                    <w:r w:rsidRPr="00F45F29">
                      <w:rPr>
                        <w:b/>
                        <w:bCs/>
                        <w:lang w:val="tr"/>
                      </w:rPr>
                      <w:fldChar w:fldCharType="separate"/>
                    </w:r>
                    <w:r>
                      <w:rPr>
                        <w:b/>
                        <w:bCs/>
                        <w:noProof/>
                        <w:color w:val="0000FF"/>
                        <w:sz w:val="20"/>
                        <w:lang w:val="tr"/>
                      </w:rPr>
                      <w:t>604</w:t>
                    </w:r>
                    <w:r w:rsidRPr="00F45F29">
                      <w:rPr>
                        <w:b/>
                        <w:bCs/>
                        <w:lang w:val="tr"/>
                      </w:rPr>
                      <w:fldChar w:fldCharType="end"/>
                    </w:r>
                  </w:p>
                </w:txbxContent>
              </v:textbox>
              <w10:wrap anchorx="page" anchory="page"/>
            </v:shape>
          </w:pict>
        </mc:Fallback>
      </mc:AlternateContent>
    </w:r>
    <w:r>
      <w:rPr>
        <w:noProof/>
        <w:sz w:val="20"/>
        <w:lang w:eastAsia="tr-TR"/>
      </w:rPr>
      <mc:AlternateContent>
        <mc:Choice Requires="wps">
          <w:drawing>
            <wp:anchor distT="0" distB="0" distL="114300" distR="114300" simplePos="0" relativeHeight="251670528" behindDoc="1" locked="0" layoutInCell="1" allowOverlap="1" wp14:anchorId="533713E6" wp14:editId="0303474F">
              <wp:simplePos x="0" y="0"/>
              <wp:positionH relativeFrom="page">
                <wp:posOffset>4354195</wp:posOffset>
              </wp:positionH>
              <wp:positionV relativeFrom="page">
                <wp:posOffset>10091420</wp:posOffset>
              </wp:positionV>
              <wp:extent cx="1777365" cy="165735"/>
              <wp:effectExtent l="0" t="0" r="0" b="0"/>
              <wp:wrapNone/>
              <wp:docPr id="518052018" name="Metin Kutusu 51805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F2A1"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13E6" id="Metin Kutusu 518052018" o:spid="_x0000_s1028" type="#_x0000_t202" style="position:absolute;margin-left:342.85pt;margin-top:794.6pt;width:139.9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" filled="f" stroked="f">
              <v:textbox inset="0,0,0,0">
                <w:txbxContent>
                  <w:p w14:paraId="5BEBF2A1"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B7ED"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7456" behindDoc="1" locked="0" layoutInCell="1" allowOverlap="1" wp14:anchorId="2FD352A1" wp14:editId="5915B56B">
              <wp:simplePos x="0" y="0"/>
              <wp:positionH relativeFrom="page">
                <wp:posOffset>6614160</wp:posOffset>
              </wp:positionH>
              <wp:positionV relativeFrom="page">
                <wp:posOffset>10091420</wp:posOffset>
              </wp:positionV>
              <wp:extent cx="268605" cy="165735"/>
              <wp:effectExtent l="0" t="0" r="0" b="0"/>
              <wp:wrapNone/>
              <wp:docPr id="3093" name="Metin Kutusu 3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416A" w14:textId="77777777" w:rsidR="002250E1" w:rsidRPr="00F45F29" w:rsidRDefault="002250E1" w:rsidP="00A508A2">
                          <w:pPr>
                            <w:spacing w:before="10"/>
                            <w:ind w:left="60"/>
                            <w:rPr>
                              <w:b/>
                              <w:b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352A1" id="_x0000_t202" coordsize="21600,21600" o:spt="202" path="m,l,21600r21600,l21600,xe">
              <v:stroke joinstyle="miter"/>
              <v:path gradientshapeok="t" o:connecttype="rect"/>
            </v:shapetype>
            <v:shape id="Metin Kutusu 3093" o:spid="_x0000_s1029" type="#_x0000_t202" style="position:absolute;margin-left:520.8pt;margin-top:794.6pt;width:21.1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" filled="f" stroked="f">
              <v:textbox inset="0,0,0,0">
                <w:txbxContent>
                  <w:p w14:paraId="62E2416A" w14:textId="77777777" w:rsidR="002250E1" w:rsidRPr="00F45F29" w:rsidRDefault="002250E1" w:rsidP="00A508A2">
                    <w:pPr>
                      <w:spacing w:before="10"/>
                      <w:ind w:left="60"/>
                      <w:rPr>
                        <w:b/>
                        <w:bCs/>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8E29"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3360" behindDoc="1" locked="0" layoutInCell="1" allowOverlap="1" wp14:anchorId="3F07F7C2" wp14:editId="2FB8AEA9">
              <wp:simplePos x="0" y="0"/>
              <wp:positionH relativeFrom="page">
                <wp:posOffset>4569196</wp:posOffset>
              </wp:positionH>
              <wp:positionV relativeFrom="page">
                <wp:posOffset>10091420</wp:posOffset>
              </wp:positionV>
              <wp:extent cx="1777365" cy="165735"/>
              <wp:effectExtent l="0" t="0" r="13335" b="5715"/>
              <wp:wrapNone/>
              <wp:docPr id="3065" name="Metin Kutusu 3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A761" w14:textId="77777777" w:rsidR="002250E1" w:rsidRPr="000B508C" w:rsidRDefault="002250E1" w:rsidP="00A508A2">
                          <w:pPr>
                            <w:spacing w:before="10"/>
                            <w:ind w:left="20"/>
                            <w:rPr>
                              <w:b/>
                              <w:color w:val="0000F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F7C2" id="_x0000_t202" coordsize="21600,21600" o:spt="202" path="m,l,21600r21600,l21600,xe">
              <v:stroke joinstyle="miter"/>
              <v:path gradientshapeok="t" o:connecttype="rect"/>
            </v:shapetype>
            <v:shape id="Metin Kutusu 3065" o:spid="_x0000_s1032" type="#_x0000_t202" style="position:absolute;margin-left:359.8pt;margin-top:794.6pt;width:139.9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" filled="f" stroked="f">
              <v:textbox inset="0,0,0,0">
                <w:txbxContent>
                  <w:p w14:paraId="5278A761" w14:textId="77777777" w:rsidR="002250E1" w:rsidRPr="000B508C" w:rsidRDefault="002250E1" w:rsidP="00A508A2">
                    <w:pPr>
                      <w:spacing w:before="10"/>
                      <w:ind w:left="20"/>
                      <w:rPr>
                        <w:b/>
                        <w:color w:val="0000FF"/>
                        <w:sz w:val="20"/>
                      </w:rPr>
                    </w:pPr>
                  </w:p>
                </w:txbxContent>
              </v:textbox>
              <w10:wrap anchorx="page" anchory="page"/>
            </v:shape>
          </w:pict>
        </mc:Fallback>
      </mc:AlternateContent>
    </w:r>
    <w:r>
      <w:rPr>
        <w:noProof/>
        <w:sz w:val="20"/>
        <w:lang w:eastAsia="tr-TR"/>
      </w:rPr>
      <mc:AlternateContent>
        <mc:Choice Requires="wps">
          <w:drawing>
            <wp:anchor distT="0" distB="0" distL="114300" distR="114300" simplePos="0" relativeHeight="251661312" behindDoc="1" locked="0" layoutInCell="1" allowOverlap="1" wp14:anchorId="5B11536C" wp14:editId="42BA41C2">
              <wp:simplePos x="0" y="0"/>
              <wp:positionH relativeFrom="page">
                <wp:posOffset>701040</wp:posOffset>
              </wp:positionH>
              <wp:positionV relativeFrom="page">
                <wp:posOffset>10079990</wp:posOffset>
              </wp:positionV>
              <wp:extent cx="5438775" cy="6350"/>
              <wp:effectExtent l="0" t="0" r="0" b="0"/>
              <wp:wrapNone/>
              <wp:docPr id="3067" name="Dikdörtgen 3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47C9B6" id="Dikdörtgen 3067" o:spid="_x0000_s1026" style="position:absolute;margin-left:55.2pt;margin-top:793.7pt;width:428.2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2336" behindDoc="1" locked="0" layoutInCell="1" allowOverlap="1" wp14:anchorId="7E797C0D" wp14:editId="1598F0FE">
              <wp:simplePos x="0" y="0"/>
              <wp:positionH relativeFrom="page">
                <wp:posOffset>681355</wp:posOffset>
              </wp:positionH>
              <wp:positionV relativeFrom="page">
                <wp:posOffset>10091420</wp:posOffset>
              </wp:positionV>
              <wp:extent cx="268605" cy="165735"/>
              <wp:effectExtent l="0" t="0" r="0" b="0"/>
              <wp:wrapNone/>
              <wp:docPr id="3066" name="Metin Kutusu 3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0819" w14:textId="77777777" w:rsidR="002250E1" w:rsidRPr="00FA2F8D" w:rsidRDefault="002250E1" w:rsidP="00A508A2">
                          <w:pPr>
                            <w:spacing w:before="10"/>
                            <w:ind w:left="60"/>
                            <w:rPr>
                              <w:b/>
                              <w:b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7C0D" id="Metin Kutusu 3066" o:spid="_x0000_s1033" type="#_x0000_t202" style="position:absolute;margin-left:53.65pt;margin-top:794.6pt;width:21.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" filled="f" stroked="f">
              <v:textbox inset="0,0,0,0">
                <w:txbxContent>
                  <w:p w14:paraId="71A10819" w14:textId="77777777" w:rsidR="002250E1" w:rsidRPr="00FA2F8D" w:rsidRDefault="002250E1" w:rsidP="00A508A2">
                    <w:pPr>
                      <w:spacing w:before="10"/>
                      <w:ind w:left="60"/>
                      <w:rPr>
                        <w:b/>
                        <w:bCs/>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33D6" w14:textId="77777777" w:rsidR="002250E1" w:rsidRPr="000B508C" w:rsidRDefault="002250E1" w:rsidP="00A508A2">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00A3"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73600" behindDoc="1" locked="0" layoutInCell="1" allowOverlap="1" wp14:anchorId="15A31D0F" wp14:editId="2D9E8D76">
              <wp:simplePos x="0" y="0"/>
              <wp:positionH relativeFrom="page">
                <wp:posOffset>1422400</wp:posOffset>
              </wp:positionH>
              <wp:positionV relativeFrom="page">
                <wp:posOffset>10079990</wp:posOffset>
              </wp:positionV>
              <wp:extent cx="5438775" cy="6350"/>
              <wp:effectExtent l="0" t="0" r="0" b="0"/>
              <wp:wrapNone/>
              <wp:docPr id="3169" name="Dikdörtgen 3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19226E" id="Dikdörtgen 3169" o:spid="_x0000_s1026" style="position:absolute;margin-left:112pt;margin-top:793.7pt;width:428.2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74624" behindDoc="1" locked="0" layoutInCell="1" allowOverlap="1" wp14:anchorId="36A5A682" wp14:editId="0BF19D60">
              <wp:simplePos x="0" y="0"/>
              <wp:positionH relativeFrom="page">
                <wp:posOffset>1427480</wp:posOffset>
              </wp:positionH>
              <wp:positionV relativeFrom="page">
                <wp:posOffset>10091420</wp:posOffset>
              </wp:positionV>
              <wp:extent cx="1777365" cy="165735"/>
              <wp:effectExtent l="0" t="0" r="0" b="0"/>
              <wp:wrapNone/>
              <wp:docPr id="3170" name="Metin Kutusu 3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0D75"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5A682" id="_x0000_t202" coordsize="21600,21600" o:spt="202" path="m,l,21600r21600,l21600,xe">
              <v:stroke joinstyle="miter"/>
              <v:path gradientshapeok="t" o:connecttype="rect"/>
            </v:shapetype>
            <v:shape id="Metin Kutusu 3170" o:spid="_x0000_s1035" type="#_x0000_t202" style="position:absolute;margin-left:112.4pt;margin-top:794.6pt;width:139.9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" filled="f" stroked="f">
              <v:textbox inset="0,0,0,0">
                <w:txbxContent>
                  <w:p w14:paraId="3C840D75"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v:textbox>
              <w10:wrap anchorx="page" anchory="page"/>
            </v:shape>
          </w:pict>
        </mc:Fallback>
      </mc:AlternateContent>
    </w:r>
    <w:r>
      <w:rPr>
        <w:noProof/>
        <w:sz w:val="20"/>
        <w:lang w:eastAsia="tr-TR"/>
      </w:rPr>
      <mc:AlternateContent>
        <mc:Choice Requires="wps">
          <w:drawing>
            <wp:anchor distT="0" distB="0" distL="114300" distR="114300" simplePos="0" relativeHeight="251675648" behindDoc="1" locked="0" layoutInCell="1" allowOverlap="1" wp14:anchorId="4F2F1EAD" wp14:editId="5DB8B288">
              <wp:simplePos x="0" y="0"/>
              <wp:positionH relativeFrom="page">
                <wp:posOffset>6614160</wp:posOffset>
              </wp:positionH>
              <wp:positionV relativeFrom="page">
                <wp:posOffset>10091420</wp:posOffset>
              </wp:positionV>
              <wp:extent cx="268605" cy="165735"/>
              <wp:effectExtent l="0" t="0" r="0" b="0"/>
              <wp:wrapNone/>
              <wp:docPr id="3171" name="Metin Kutusu 3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8704" w14:textId="77777777" w:rsidR="002250E1" w:rsidRPr="000B508C" w:rsidRDefault="002250E1" w:rsidP="00A508A2">
                          <w:pPr>
                            <w:spacing w:before="10"/>
                            <w:ind w:left="60"/>
                            <w:rPr>
                              <w:b/>
                              <w:sz w:val="20"/>
                            </w:rPr>
                          </w:pPr>
                          <w:r>
                            <w:rPr>
                              <w:lang w:val="tr"/>
                            </w:rPr>
                            <w:fldChar w:fldCharType="begin"/>
                          </w:r>
                          <w:r>
                            <w:rPr>
                              <w:color w:val="0000FF"/>
                              <w:sz w:val="20"/>
                              <w:lang w:val="tr"/>
                            </w:rPr>
                            <w:instrText xml:space="preserve"> PAGE </w:instrText>
                          </w:r>
                          <w:r>
                            <w:rPr>
                              <w:lang w:val="tr"/>
                            </w:rPr>
                            <w:fldChar w:fldCharType="separate"/>
                          </w:r>
                          <w:r>
                            <w:rPr>
                              <w:noProof/>
                              <w:color w:val="0000FF"/>
                              <w:sz w:val="20"/>
                              <w:lang w:val="tr"/>
                            </w:rPr>
                            <w:t>638</w:t>
                          </w:r>
                          <w:r>
                            <w:rPr>
                              <w:lang w:val="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1EAD" id="Metin Kutusu 3171" o:spid="_x0000_s1036" type="#_x0000_t202" style="position:absolute;margin-left:520.8pt;margin-top:794.6pt;width:21.15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" filled="f" stroked="f">
              <v:textbox inset="0,0,0,0">
                <w:txbxContent>
                  <w:p w14:paraId="2A058704" w14:textId="77777777" w:rsidR="002250E1" w:rsidRPr="000B508C" w:rsidRDefault="002250E1" w:rsidP="00A508A2">
                    <w:pPr>
                      <w:spacing w:before="10"/>
                      <w:ind w:left="60"/>
                      <w:rPr>
                        <w:b/>
                        <w:sz w:val="20"/>
                      </w:rPr>
                    </w:pPr>
                    <w:r>
                      <w:rPr>
                        <w:lang w:val="tr"/>
                      </w:rPr>
                      <w:fldChar w:fldCharType="begin"/>
                    </w:r>
                    <w:r>
                      <w:rPr>
                        <w:color w:val="0000FF"/>
                        <w:sz w:val="20"/>
                        <w:lang w:val="tr"/>
                      </w:rPr>
                      <w:instrText xml:space="preserve"> PAGE </w:instrText>
                    </w:r>
                    <w:r>
                      <w:rPr>
                        <w:lang w:val="tr"/>
                      </w:rPr>
                      <w:fldChar w:fldCharType="separate"/>
                    </w:r>
                    <w:r>
                      <w:rPr>
                        <w:noProof/>
                        <w:color w:val="0000FF"/>
                        <w:sz w:val="20"/>
                        <w:lang w:val="tr"/>
                      </w:rPr>
                      <w:t>638</w:t>
                    </w:r>
                    <w:r>
                      <w:rPr>
                        <w:lang w:val="tr"/>
                      </w:rPr>
                      <w:fldChar w:fldCharType="end"/>
                    </w:r>
                  </w:p>
                </w:txbxContent>
              </v:textbox>
              <w10:wrap anchorx="page" anchory="page"/>
            </v:shape>
          </w:pict>
        </mc:Fallback>
      </mc:AlternateContent>
    </w:r>
  </w:p>
  <w:p w14:paraId="3DBD41A9" w14:textId="77777777" w:rsidR="002250E1" w:rsidRPr="001C056D" w:rsidRDefault="002250E1" w:rsidP="00A508A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E4BD" w14:textId="77777777" w:rsidR="002250E1" w:rsidRPr="000B508C" w:rsidRDefault="002250E1" w:rsidP="00A508A2">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8C9FA" w14:textId="77777777" w:rsidR="002250E1" w:rsidRDefault="002250E1" w:rsidP="00734BA9">
      <w:pPr>
        <w:spacing w:line="240" w:lineRule="auto"/>
      </w:pPr>
      <w:r>
        <w:separator/>
      </w:r>
    </w:p>
  </w:footnote>
  <w:footnote w:type="continuationSeparator" w:id="0">
    <w:p w14:paraId="4B39FBE8" w14:textId="77777777" w:rsidR="002250E1" w:rsidRDefault="002250E1" w:rsidP="00734BA9">
      <w:pPr>
        <w:spacing w:line="240" w:lineRule="auto"/>
      </w:pPr>
      <w:r>
        <w:continuationSeparator/>
      </w:r>
    </w:p>
  </w:footnote>
  <w:footnote w:type="continuationNotice" w:id="1">
    <w:p w14:paraId="33952E2E" w14:textId="77777777" w:rsidR="002250E1" w:rsidRDefault="002250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513E"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5408" behindDoc="1" locked="0" layoutInCell="1" allowOverlap="1" wp14:anchorId="0AF56090" wp14:editId="028633B5">
              <wp:simplePos x="0" y="0"/>
              <wp:positionH relativeFrom="page">
                <wp:posOffset>701040</wp:posOffset>
              </wp:positionH>
              <wp:positionV relativeFrom="page">
                <wp:posOffset>609600</wp:posOffset>
              </wp:positionV>
              <wp:extent cx="5438775" cy="6350"/>
              <wp:effectExtent l="0" t="0" r="0" b="0"/>
              <wp:wrapNone/>
              <wp:docPr id="540089833" name="Dikdörtgen 540089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E1DAF6" id="Dikdörtgen 540089833" o:spid="_x0000_s1026" style="position:absolute;margin-left:55.2pt;margin-top:48pt;width:428.2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6432" behindDoc="1" locked="0" layoutInCell="1" allowOverlap="1" wp14:anchorId="717A4D7D" wp14:editId="7BFBB117">
              <wp:simplePos x="0" y="0"/>
              <wp:positionH relativeFrom="page">
                <wp:posOffset>706755</wp:posOffset>
              </wp:positionH>
              <wp:positionV relativeFrom="page">
                <wp:posOffset>443230</wp:posOffset>
              </wp:positionV>
              <wp:extent cx="572135" cy="165735"/>
              <wp:effectExtent l="0" t="0" r="0" b="0"/>
              <wp:wrapNone/>
              <wp:docPr id="804124498" name="Metin Kutusu 804124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538B7" w14:textId="77777777" w:rsidR="002250E1" w:rsidRPr="000B508C" w:rsidRDefault="002250E1" w:rsidP="00A508A2">
                          <w:pPr>
                            <w:spacing w:before="10"/>
                            <w:ind w:left="20"/>
                            <w:rPr>
                              <w:b/>
                              <w:color w:val="0000FF"/>
                              <w:sz w:val="20"/>
                            </w:rPr>
                          </w:pPr>
                          <w:r>
                            <w:rPr>
                              <w:b/>
                              <w:bCs/>
                              <w:color w:val="0000FF"/>
                              <w:sz w:val="20"/>
                              <w:lang w:val="tr"/>
                            </w:rPr>
                            <w:t>Bölüm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A4D7D" id="_x0000_t202" coordsize="21600,21600" o:spt="202" path="m,l,21600r21600,l21600,xe">
              <v:stroke joinstyle="miter"/>
              <v:path gradientshapeok="t" o:connecttype="rect"/>
            </v:shapetype>
            <v:shape id="Metin Kutusu 804124498" o:spid="_x0000_s1026" type="#_x0000_t202" style="position:absolute;margin-left:55.65pt;margin-top:34.9pt;width:45.0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" filled="f" stroked="f">
              <v:textbox inset="0,0,0,0">
                <w:txbxContent>
                  <w:p w14:paraId="617538B7" w14:textId="77777777" w:rsidR="002250E1" w:rsidRPr="000B508C" w:rsidRDefault="002250E1" w:rsidP="00A508A2">
                    <w:pPr>
                      <w:spacing w:before="10"/>
                      <w:ind w:left="20"/>
                      <w:rPr>
                        <w:b/>
                        <w:color w:val="0000FF"/>
                        <w:sz w:val="20"/>
                      </w:rPr>
                    </w:pPr>
                    <w:r>
                      <w:rPr>
                        <w:b/>
                        <w:bCs/>
                        <w:color w:val="0000FF"/>
                        <w:sz w:val="20"/>
                        <w:lang w:val="tr"/>
                      </w:rPr>
                      <w:t>Bölüm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C08D"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59264" behindDoc="1" locked="0" layoutInCell="1" allowOverlap="1" wp14:anchorId="30DDACED" wp14:editId="433FDEE2">
              <wp:simplePos x="0" y="0"/>
              <wp:positionH relativeFrom="page">
                <wp:posOffset>701040</wp:posOffset>
              </wp:positionH>
              <wp:positionV relativeFrom="page">
                <wp:posOffset>609600</wp:posOffset>
              </wp:positionV>
              <wp:extent cx="5438775" cy="6350"/>
              <wp:effectExtent l="0" t="0" r="0" b="0"/>
              <wp:wrapNone/>
              <wp:docPr id="3071" name="Dikdörtgen 3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83D4E3" id="Dikdörtgen 3071" o:spid="_x0000_s1026" style="position:absolute;margin-left:55.2pt;margin-top:48pt;width:428.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0288" behindDoc="1" locked="0" layoutInCell="1" allowOverlap="1" wp14:anchorId="04565554" wp14:editId="7F142717">
              <wp:simplePos x="0" y="0"/>
              <wp:positionH relativeFrom="page">
                <wp:posOffset>706755</wp:posOffset>
              </wp:positionH>
              <wp:positionV relativeFrom="page">
                <wp:posOffset>443230</wp:posOffset>
              </wp:positionV>
              <wp:extent cx="572135" cy="165735"/>
              <wp:effectExtent l="0" t="0" r="0" b="0"/>
              <wp:wrapNone/>
              <wp:docPr id="3070" name="Metin Kutusu 3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2B36" w14:textId="77777777" w:rsidR="002250E1" w:rsidRPr="000B508C" w:rsidRDefault="002250E1" w:rsidP="00A508A2">
                          <w:pPr>
                            <w:spacing w:before="10"/>
                            <w:ind w:left="20"/>
                            <w:rPr>
                              <w:b/>
                              <w:color w:val="0000FF"/>
                              <w:sz w:val="20"/>
                            </w:rPr>
                          </w:pPr>
                          <w:r>
                            <w:rPr>
                              <w:b/>
                              <w:bCs/>
                              <w:color w:val="0000FF"/>
                              <w:sz w:val="20"/>
                              <w:lang w:val="tr"/>
                            </w:rPr>
                            <w:t>Bölüm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5554" id="_x0000_t202" coordsize="21600,21600" o:spt="202" path="m,l,21600r21600,l21600,xe">
              <v:stroke joinstyle="miter"/>
              <v:path gradientshapeok="t" o:connecttype="rect"/>
            </v:shapetype>
            <v:shape id="Metin Kutusu 3070" o:spid="_x0000_s1030" type="#_x0000_t202" style="position:absolute;margin-left:55.65pt;margin-top:34.9pt;width:4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" filled="f" stroked="f">
              <v:textbox inset="0,0,0,0">
                <w:txbxContent>
                  <w:p w14:paraId="69672B36" w14:textId="77777777" w:rsidR="002250E1" w:rsidRPr="000B508C" w:rsidRDefault="002250E1" w:rsidP="00A508A2">
                    <w:pPr>
                      <w:spacing w:before="10"/>
                      <w:ind w:left="20"/>
                      <w:rPr>
                        <w:b/>
                        <w:color w:val="0000FF"/>
                        <w:sz w:val="20"/>
                      </w:rPr>
                    </w:pPr>
                    <w:r>
                      <w:rPr>
                        <w:b/>
                        <w:bCs/>
                        <w:color w:val="0000FF"/>
                        <w:sz w:val="20"/>
                        <w:lang w:val="tr"/>
                      </w:rPr>
                      <w:t>Bölüm 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6EF6"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4384" behindDoc="1" locked="0" layoutInCell="1" allowOverlap="1" wp14:anchorId="432CAAAC" wp14:editId="239C5224">
              <wp:simplePos x="0" y="0"/>
              <wp:positionH relativeFrom="page">
                <wp:posOffset>6282690</wp:posOffset>
              </wp:positionH>
              <wp:positionV relativeFrom="page">
                <wp:posOffset>443230</wp:posOffset>
              </wp:positionV>
              <wp:extent cx="571500" cy="165735"/>
              <wp:effectExtent l="0" t="0" r="0" b="0"/>
              <wp:wrapNone/>
              <wp:docPr id="3173" name="Metin Kutusu 3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2068" w14:textId="77777777" w:rsidR="002250E1" w:rsidRPr="000B508C" w:rsidRDefault="002250E1" w:rsidP="00A508A2">
                          <w:pPr>
                            <w:spacing w:before="10"/>
                            <w:ind w:left="20"/>
                            <w:rPr>
                              <w:b/>
                              <w:color w:val="0000F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AAAC" id="_x0000_t202" coordsize="21600,21600" o:spt="202" path="m,l,21600r21600,l21600,xe">
              <v:stroke joinstyle="miter"/>
              <v:path gradientshapeok="t" o:connecttype="rect"/>
            </v:shapetype>
            <v:shape id="Metin Kutusu 3173" o:spid="_x0000_s1031" type="#_x0000_t202" style="position:absolute;margin-left:494.7pt;margin-top:34.9pt;width:4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" filled="f" stroked="f">
              <v:textbox inset="0,0,0,0">
                <w:txbxContent>
                  <w:p w14:paraId="12E02068" w14:textId="77777777" w:rsidR="002250E1" w:rsidRPr="000B508C" w:rsidRDefault="002250E1" w:rsidP="00A508A2">
                    <w:pPr>
                      <w:spacing w:before="10"/>
                      <w:ind w:left="20"/>
                      <w:rPr>
                        <w:b/>
                        <w:color w:val="0000FF"/>
                        <w:sz w:val="20"/>
                      </w:rPr>
                    </w:pPr>
                  </w:p>
                </w:txbxContent>
              </v:textbox>
              <w10:wrap anchorx="page" anchory="page"/>
            </v:shape>
          </w:pict>
        </mc:Fallback>
      </mc:AlternateContent>
    </w:r>
  </w:p>
  <w:p w14:paraId="4A2CC4BC" w14:textId="77777777" w:rsidR="002250E1" w:rsidRPr="001C056D" w:rsidRDefault="002250E1" w:rsidP="00A508A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92CB"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71552" behindDoc="1" locked="0" layoutInCell="1" allowOverlap="1" wp14:anchorId="2761F3E7" wp14:editId="73D69E29">
              <wp:simplePos x="0" y="0"/>
              <wp:positionH relativeFrom="page">
                <wp:posOffset>1422400</wp:posOffset>
              </wp:positionH>
              <wp:positionV relativeFrom="page">
                <wp:posOffset>609600</wp:posOffset>
              </wp:positionV>
              <wp:extent cx="5438775" cy="6350"/>
              <wp:effectExtent l="0" t="0" r="0" b="0"/>
              <wp:wrapNone/>
              <wp:docPr id="3165" name="Dikdörtgen 3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B7BD0B" id="Dikdörtgen 3165" o:spid="_x0000_s1026" style="position:absolute;margin-left:112pt;margin-top:48pt;width:428.2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72576" behindDoc="1" locked="0" layoutInCell="1" allowOverlap="1" wp14:anchorId="0B7E8269" wp14:editId="0F5D9ED5">
              <wp:simplePos x="0" y="0"/>
              <wp:positionH relativeFrom="page">
                <wp:posOffset>6282690</wp:posOffset>
              </wp:positionH>
              <wp:positionV relativeFrom="page">
                <wp:posOffset>443230</wp:posOffset>
              </wp:positionV>
              <wp:extent cx="571500" cy="165735"/>
              <wp:effectExtent l="0" t="0" r="0" b="0"/>
              <wp:wrapNone/>
              <wp:docPr id="3166" name="Metin Kutusu 3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301C" w14:textId="77777777" w:rsidR="002250E1" w:rsidRPr="000B508C" w:rsidRDefault="002250E1" w:rsidP="00A508A2">
                          <w:pPr>
                            <w:spacing w:before="10"/>
                            <w:ind w:left="20"/>
                            <w:rPr>
                              <w:b/>
                              <w:color w:val="0000FF"/>
                              <w:sz w:val="20"/>
                            </w:rPr>
                          </w:pPr>
                          <w:r>
                            <w:rPr>
                              <w:b/>
                              <w:bCs/>
                              <w:color w:val="0000FF"/>
                              <w:sz w:val="20"/>
                              <w:lang w:val="tr"/>
                            </w:rPr>
                            <w:t>Bölüm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8269" id="_x0000_t202" coordsize="21600,21600" o:spt="202" path="m,l,21600r21600,l21600,xe">
              <v:stroke joinstyle="miter"/>
              <v:path gradientshapeok="t" o:connecttype="rect"/>
            </v:shapetype>
            <v:shape id="Metin Kutusu 3166" o:spid="_x0000_s1034" type="#_x0000_t202" style="position:absolute;margin-left:494.7pt;margin-top:34.9pt;width:4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" filled="f" stroked="f">
              <v:textbox inset="0,0,0,0">
                <w:txbxContent>
                  <w:p w14:paraId="7E9F301C" w14:textId="77777777" w:rsidR="002250E1" w:rsidRPr="000B508C" w:rsidRDefault="002250E1" w:rsidP="00A508A2">
                    <w:pPr>
                      <w:spacing w:before="10"/>
                      <w:ind w:left="20"/>
                      <w:rPr>
                        <w:b/>
                        <w:color w:val="0000FF"/>
                        <w:sz w:val="20"/>
                      </w:rPr>
                    </w:pPr>
                    <w:r>
                      <w:rPr>
                        <w:b/>
                        <w:bCs/>
                        <w:color w:val="0000FF"/>
                        <w:sz w:val="20"/>
                        <w:lang w:val="tr"/>
                      </w:rPr>
                      <w:t>Bölüm 5</w:t>
                    </w:r>
                  </w:p>
                </w:txbxContent>
              </v:textbox>
              <w10:wrap anchorx="page" anchory="page"/>
            </v:shape>
          </w:pict>
        </mc:Fallback>
      </mc:AlternateContent>
    </w:r>
  </w:p>
  <w:p w14:paraId="500E5880" w14:textId="77777777" w:rsidR="002250E1" w:rsidRDefault="002250E1">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C79"/>
    <w:multiLevelType w:val="hybridMultilevel"/>
    <w:tmpl w:val="37BA56DA"/>
    <w:lvl w:ilvl="0" w:tplc="041F001B">
      <w:start w:val="1"/>
      <w:numFmt w:val="lowerRoman"/>
      <w:lvlText w:val="%1."/>
      <w:lvlJc w:val="right"/>
      <w:pPr>
        <w:ind w:left="-900" w:hanging="360"/>
      </w:pPr>
      <w:rPr>
        <w:rFonts w:hint="default"/>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1" w15:restartNumberingAfterBreak="0">
    <w:nsid w:val="012D5157"/>
    <w:multiLevelType w:val="hybridMultilevel"/>
    <w:tmpl w:val="738C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35C07"/>
    <w:multiLevelType w:val="hybridMultilevel"/>
    <w:tmpl w:val="10A60658"/>
    <w:lvl w:ilvl="0" w:tplc="0B96F998">
      <w:numFmt w:val="bullet"/>
      <w:lvlText w:val="—"/>
      <w:lvlJc w:val="left"/>
      <w:pPr>
        <w:ind w:left="100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1720" w:hanging="360"/>
      </w:pPr>
      <w:rPr>
        <w:rFonts w:ascii="Courier New" w:hAnsi="Courier New" w:cs="Courier New" w:hint="default"/>
      </w:rPr>
    </w:lvl>
    <w:lvl w:ilvl="2" w:tplc="041F0005" w:tentative="1">
      <w:start w:val="1"/>
      <w:numFmt w:val="bullet"/>
      <w:lvlText w:val=""/>
      <w:lvlJc w:val="left"/>
      <w:pPr>
        <w:ind w:left="2440" w:hanging="360"/>
      </w:pPr>
      <w:rPr>
        <w:rFonts w:ascii="Wingdings" w:hAnsi="Wingdings" w:hint="default"/>
      </w:rPr>
    </w:lvl>
    <w:lvl w:ilvl="3" w:tplc="041F0001" w:tentative="1">
      <w:start w:val="1"/>
      <w:numFmt w:val="bullet"/>
      <w:lvlText w:val=""/>
      <w:lvlJc w:val="left"/>
      <w:pPr>
        <w:ind w:left="3160" w:hanging="360"/>
      </w:pPr>
      <w:rPr>
        <w:rFonts w:ascii="Symbol" w:hAnsi="Symbol" w:hint="default"/>
      </w:rPr>
    </w:lvl>
    <w:lvl w:ilvl="4" w:tplc="041F0003" w:tentative="1">
      <w:start w:val="1"/>
      <w:numFmt w:val="bullet"/>
      <w:lvlText w:val="o"/>
      <w:lvlJc w:val="left"/>
      <w:pPr>
        <w:ind w:left="3880" w:hanging="360"/>
      </w:pPr>
      <w:rPr>
        <w:rFonts w:ascii="Courier New" w:hAnsi="Courier New" w:cs="Courier New" w:hint="default"/>
      </w:rPr>
    </w:lvl>
    <w:lvl w:ilvl="5" w:tplc="041F0005" w:tentative="1">
      <w:start w:val="1"/>
      <w:numFmt w:val="bullet"/>
      <w:lvlText w:val=""/>
      <w:lvlJc w:val="left"/>
      <w:pPr>
        <w:ind w:left="4600" w:hanging="360"/>
      </w:pPr>
      <w:rPr>
        <w:rFonts w:ascii="Wingdings" w:hAnsi="Wingdings" w:hint="default"/>
      </w:rPr>
    </w:lvl>
    <w:lvl w:ilvl="6" w:tplc="041F0001" w:tentative="1">
      <w:start w:val="1"/>
      <w:numFmt w:val="bullet"/>
      <w:lvlText w:val=""/>
      <w:lvlJc w:val="left"/>
      <w:pPr>
        <w:ind w:left="5320" w:hanging="360"/>
      </w:pPr>
      <w:rPr>
        <w:rFonts w:ascii="Symbol" w:hAnsi="Symbol" w:hint="default"/>
      </w:rPr>
    </w:lvl>
    <w:lvl w:ilvl="7" w:tplc="041F0003" w:tentative="1">
      <w:start w:val="1"/>
      <w:numFmt w:val="bullet"/>
      <w:lvlText w:val="o"/>
      <w:lvlJc w:val="left"/>
      <w:pPr>
        <w:ind w:left="6040" w:hanging="360"/>
      </w:pPr>
      <w:rPr>
        <w:rFonts w:ascii="Courier New" w:hAnsi="Courier New" w:cs="Courier New" w:hint="default"/>
      </w:rPr>
    </w:lvl>
    <w:lvl w:ilvl="8" w:tplc="041F0005" w:tentative="1">
      <w:start w:val="1"/>
      <w:numFmt w:val="bullet"/>
      <w:lvlText w:val=""/>
      <w:lvlJc w:val="left"/>
      <w:pPr>
        <w:ind w:left="6760" w:hanging="360"/>
      </w:pPr>
      <w:rPr>
        <w:rFonts w:ascii="Wingdings" w:hAnsi="Wingdings" w:hint="default"/>
      </w:rPr>
    </w:lvl>
  </w:abstractNum>
  <w:abstractNum w:abstractNumId="3" w15:restartNumberingAfterBreak="0">
    <w:nsid w:val="0252355A"/>
    <w:multiLevelType w:val="hybridMultilevel"/>
    <w:tmpl w:val="8B583112"/>
    <w:lvl w:ilvl="0" w:tplc="23B05F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C569F5"/>
    <w:multiLevelType w:val="hybridMultilevel"/>
    <w:tmpl w:val="73B42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B2770"/>
    <w:multiLevelType w:val="hybridMultilevel"/>
    <w:tmpl w:val="29142872"/>
    <w:lvl w:ilvl="0" w:tplc="883CDE52">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hint="default"/>
        <w:b w:val="0"/>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3DF4359"/>
    <w:multiLevelType w:val="hybridMultilevel"/>
    <w:tmpl w:val="C9CADE74"/>
    <w:lvl w:ilvl="0" w:tplc="883CDE52">
      <w:start w:val="1"/>
      <mc:AlternateContent>
        <mc:Choice Requires="w14">
          <w:numFmt w:val="custom" w:format="a, ç, ĝ, ..."/>
        </mc:Choice>
        <mc:Fallback>
          <w:numFmt w:val="decimal"/>
        </mc:Fallback>
      </mc:AlternateContent>
      <w:lvlText w:val="%1)"/>
      <w:lvlJc w:val="left"/>
      <w:pPr>
        <w:ind w:left="1080" w:hanging="360"/>
      </w:pPr>
      <w:rPr>
        <w:rFonts w:ascii="Times New Roman" w:hAnsi="Times New Roman" w:hint="default"/>
        <w:b w:val="0"/>
        <w:i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04513FA7"/>
    <w:multiLevelType w:val="hybridMultilevel"/>
    <w:tmpl w:val="0AA6E6A8"/>
    <w:lvl w:ilvl="0" w:tplc="6EB818B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4E44CF2"/>
    <w:multiLevelType w:val="hybridMultilevel"/>
    <w:tmpl w:val="2A14A5E6"/>
    <w:lvl w:ilvl="0" w:tplc="E5686F6E">
      <w:start w:val="1"/>
      <w:numFmt w:val="lowerRoman"/>
      <w:lvlText w:val="%1."/>
      <w:lvlJc w:val="left"/>
      <w:pPr>
        <w:ind w:left="591" w:hanging="392"/>
        <w:jc w:val="right"/>
      </w:pPr>
      <w:rPr>
        <w:rFonts w:ascii="Times New Roman" w:eastAsia="Times New Roman" w:hAnsi="Times New Roman" w:cs="Times New Roman" w:hint="default"/>
        <w:spacing w:val="0"/>
        <w:w w:val="100"/>
        <w:sz w:val="22"/>
        <w:szCs w:val="22"/>
        <w:lang w:val="en-US" w:eastAsia="en-US" w:bidi="ar-SA"/>
      </w:rPr>
    </w:lvl>
    <w:lvl w:ilvl="1" w:tplc="2F10CBAC">
      <w:numFmt w:val="bullet"/>
      <w:lvlText w:val="•"/>
      <w:lvlJc w:val="left"/>
      <w:pPr>
        <w:ind w:left="836" w:hanging="392"/>
      </w:pPr>
      <w:rPr>
        <w:rFonts w:hint="default"/>
        <w:lang w:val="en-US" w:eastAsia="en-US" w:bidi="ar-SA"/>
      </w:rPr>
    </w:lvl>
    <w:lvl w:ilvl="2" w:tplc="42FE6ACC">
      <w:numFmt w:val="bullet"/>
      <w:lvlText w:val="•"/>
      <w:lvlJc w:val="left"/>
      <w:pPr>
        <w:ind w:left="1073" w:hanging="392"/>
      </w:pPr>
      <w:rPr>
        <w:rFonts w:hint="default"/>
        <w:lang w:val="en-US" w:eastAsia="en-US" w:bidi="ar-SA"/>
      </w:rPr>
    </w:lvl>
    <w:lvl w:ilvl="3" w:tplc="A6DAA24E">
      <w:numFmt w:val="bullet"/>
      <w:lvlText w:val="•"/>
      <w:lvlJc w:val="left"/>
      <w:pPr>
        <w:ind w:left="1310" w:hanging="392"/>
      </w:pPr>
      <w:rPr>
        <w:rFonts w:hint="default"/>
        <w:lang w:val="en-US" w:eastAsia="en-US" w:bidi="ar-SA"/>
      </w:rPr>
    </w:lvl>
    <w:lvl w:ilvl="4" w:tplc="2D9E6EBA">
      <w:numFmt w:val="bullet"/>
      <w:lvlText w:val="•"/>
      <w:lvlJc w:val="left"/>
      <w:pPr>
        <w:ind w:left="1546" w:hanging="392"/>
      </w:pPr>
      <w:rPr>
        <w:rFonts w:hint="default"/>
        <w:lang w:val="en-US" w:eastAsia="en-US" w:bidi="ar-SA"/>
      </w:rPr>
    </w:lvl>
    <w:lvl w:ilvl="5" w:tplc="4140990A">
      <w:numFmt w:val="bullet"/>
      <w:lvlText w:val="•"/>
      <w:lvlJc w:val="left"/>
      <w:pPr>
        <w:ind w:left="1783" w:hanging="392"/>
      </w:pPr>
      <w:rPr>
        <w:rFonts w:hint="default"/>
        <w:lang w:val="en-US" w:eastAsia="en-US" w:bidi="ar-SA"/>
      </w:rPr>
    </w:lvl>
    <w:lvl w:ilvl="6" w:tplc="B8F29BB4">
      <w:numFmt w:val="bullet"/>
      <w:lvlText w:val="•"/>
      <w:lvlJc w:val="left"/>
      <w:pPr>
        <w:ind w:left="2020" w:hanging="392"/>
      </w:pPr>
      <w:rPr>
        <w:rFonts w:hint="default"/>
        <w:lang w:val="en-US" w:eastAsia="en-US" w:bidi="ar-SA"/>
      </w:rPr>
    </w:lvl>
    <w:lvl w:ilvl="7" w:tplc="BEDE034E">
      <w:numFmt w:val="bullet"/>
      <w:lvlText w:val="•"/>
      <w:lvlJc w:val="left"/>
      <w:pPr>
        <w:ind w:left="2256" w:hanging="392"/>
      </w:pPr>
      <w:rPr>
        <w:rFonts w:hint="default"/>
        <w:lang w:val="en-US" w:eastAsia="en-US" w:bidi="ar-SA"/>
      </w:rPr>
    </w:lvl>
    <w:lvl w:ilvl="8" w:tplc="3504673A">
      <w:numFmt w:val="bullet"/>
      <w:lvlText w:val="•"/>
      <w:lvlJc w:val="left"/>
      <w:pPr>
        <w:ind w:left="2493" w:hanging="392"/>
      </w:pPr>
      <w:rPr>
        <w:rFonts w:hint="default"/>
        <w:lang w:val="en-US" w:eastAsia="en-US" w:bidi="ar-SA"/>
      </w:rPr>
    </w:lvl>
  </w:abstractNum>
  <w:abstractNum w:abstractNumId="9" w15:restartNumberingAfterBreak="0">
    <w:nsid w:val="059557B7"/>
    <w:multiLevelType w:val="hybridMultilevel"/>
    <w:tmpl w:val="5E0EC53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29DC2580">
      <w:numFmt w:val="bullet"/>
      <w:lvlText w:val="•"/>
      <w:lvlJc w:val="left"/>
      <w:pPr>
        <w:ind w:left="591" w:hanging="252"/>
      </w:pPr>
      <w:rPr>
        <w:rFonts w:hint="default"/>
        <w:lang w:val="en-GB" w:eastAsia="en-GB" w:bidi="en-GB"/>
      </w:rPr>
    </w:lvl>
    <w:lvl w:ilvl="2" w:tplc="19AEA94A">
      <w:numFmt w:val="bullet"/>
      <w:lvlText w:val="•"/>
      <w:lvlJc w:val="left"/>
      <w:pPr>
        <w:ind w:left="762" w:hanging="252"/>
      </w:pPr>
      <w:rPr>
        <w:rFonts w:hint="default"/>
        <w:lang w:val="en-GB" w:eastAsia="en-GB" w:bidi="en-GB"/>
      </w:rPr>
    </w:lvl>
    <w:lvl w:ilvl="3" w:tplc="2CF416B6">
      <w:numFmt w:val="bullet"/>
      <w:lvlText w:val="•"/>
      <w:lvlJc w:val="left"/>
      <w:pPr>
        <w:ind w:left="934" w:hanging="252"/>
      </w:pPr>
      <w:rPr>
        <w:rFonts w:hint="default"/>
        <w:lang w:val="en-GB" w:eastAsia="en-GB" w:bidi="en-GB"/>
      </w:rPr>
    </w:lvl>
    <w:lvl w:ilvl="4" w:tplc="91D07E9E">
      <w:numFmt w:val="bullet"/>
      <w:lvlText w:val="•"/>
      <w:lvlJc w:val="left"/>
      <w:pPr>
        <w:ind w:left="1105" w:hanging="252"/>
      </w:pPr>
      <w:rPr>
        <w:rFonts w:hint="default"/>
        <w:lang w:val="en-GB" w:eastAsia="en-GB" w:bidi="en-GB"/>
      </w:rPr>
    </w:lvl>
    <w:lvl w:ilvl="5" w:tplc="FD008666">
      <w:numFmt w:val="bullet"/>
      <w:lvlText w:val="•"/>
      <w:lvlJc w:val="left"/>
      <w:pPr>
        <w:ind w:left="1277" w:hanging="252"/>
      </w:pPr>
      <w:rPr>
        <w:rFonts w:hint="default"/>
        <w:lang w:val="en-GB" w:eastAsia="en-GB" w:bidi="en-GB"/>
      </w:rPr>
    </w:lvl>
    <w:lvl w:ilvl="6" w:tplc="81A07E94">
      <w:numFmt w:val="bullet"/>
      <w:lvlText w:val="•"/>
      <w:lvlJc w:val="left"/>
      <w:pPr>
        <w:ind w:left="1448" w:hanging="252"/>
      </w:pPr>
      <w:rPr>
        <w:rFonts w:hint="default"/>
        <w:lang w:val="en-GB" w:eastAsia="en-GB" w:bidi="en-GB"/>
      </w:rPr>
    </w:lvl>
    <w:lvl w:ilvl="7" w:tplc="5804FFD4">
      <w:numFmt w:val="bullet"/>
      <w:lvlText w:val="•"/>
      <w:lvlJc w:val="left"/>
      <w:pPr>
        <w:ind w:left="1619" w:hanging="252"/>
      </w:pPr>
      <w:rPr>
        <w:rFonts w:hint="default"/>
        <w:lang w:val="en-GB" w:eastAsia="en-GB" w:bidi="en-GB"/>
      </w:rPr>
    </w:lvl>
    <w:lvl w:ilvl="8" w:tplc="1C206BC8">
      <w:numFmt w:val="bullet"/>
      <w:lvlText w:val="•"/>
      <w:lvlJc w:val="left"/>
      <w:pPr>
        <w:ind w:left="1791" w:hanging="252"/>
      </w:pPr>
      <w:rPr>
        <w:rFonts w:hint="default"/>
        <w:lang w:val="en-GB" w:eastAsia="en-GB" w:bidi="en-GB"/>
      </w:rPr>
    </w:lvl>
  </w:abstractNum>
  <w:abstractNum w:abstractNumId="10" w15:restartNumberingAfterBreak="0">
    <w:nsid w:val="05971CB7"/>
    <w:multiLevelType w:val="hybridMultilevel"/>
    <w:tmpl w:val="F8E89F4A"/>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928CB0AE">
      <w:numFmt w:val="bullet"/>
      <w:lvlText w:val="•"/>
      <w:lvlJc w:val="left"/>
      <w:pPr>
        <w:ind w:left="591" w:hanging="252"/>
      </w:pPr>
      <w:rPr>
        <w:rFonts w:hint="default"/>
        <w:lang w:val="en-GB" w:eastAsia="en-GB" w:bidi="en-GB"/>
      </w:rPr>
    </w:lvl>
    <w:lvl w:ilvl="2" w:tplc="A02C3AEA">
      <w:numFmt w:val="bullet"/>
      <w:lvlText w:val="•"/>
      <w:lvlJc w:val="left"/>
      <w:pPr>
        <w:ind w:left="762" w:hanging="252"/>
      </w:pPr>
      <w:rPr>
        <w:rFonts w:hint="default"/>
        <w:lang w:val="en-GB" w:eastAsia="en-GB" w:bidi="en-GB"/>
      </w:rPr>
    </w:lvl>
    <w:lvl w:ilvl="3" w:tplc="AA0E65E0">
      <w:numFmt w:val="bullet"/>
      <w:lvlText w:val="•"/>
      <w:lvlJc w:val="left"/>
      <w:pPr>
        <w:ind w:left="934" w:hanging="252"/>
      </w:pPr>
      <w:rPr>
        <w:rFonts w:hint="default"/>
        <w:lang w:val="en-GB" w:eastAsia="en-GB" w:bidi="en-GB"/>
      </w:rPr>
    </w:lvl>
    <w:lvl w:ilvl="4" w:tplc="C8A87FBA">
      <w:numFmt w:val="bullet"/>
      <w:lvlText w:val="•"/>
      <w:lvlJc w:val="left"/>
      <w:pPr>
        <w:ind w:left="1105" w:hanging="252"/>
      </w:pPr>
      <w:rPr>
        <w:rFonts w:hint="default"/>
        <w:lang w:val="en-GB" w:eastAsia="en-GB" w:bidi="en-GB"/>
      </w:rPr>
    </w:lvl>
    <w:lvl w:ilvl="5" w:tplc="96A6E0B4">
      <w:numFmt w:val="bullet"/>
      <w:lvlText w:val="•"/>
      <w:lvlJc w:val="left"/>
      <w:pPr>
        <w:ind w:left="1277" w:hanging="252"/>
      </w:pPr>
      <w:rPr>
        <w:rFonts w:hint="default"/>
        <w:lang w:val="en-GB" w:eastAsia="en-GB" w:bidi="en-GB"/>
      </w:rPr>
    </w:lvl>
    <w:lvl w:ilvl="6" w:tplc="17929712">
      <w:numFmt w:val="bullet"/>
      <w:lvlText w:val="•"/>
      <w:lvlJc w:val="left"/>
      <w:pPr>
        <w:ind w:left="1448" w:hanging="252"/>
      </w:pPr>
      <w:rPr>
        <w:rFonts w:hint="default"/>
        <w:lang w:val="en-GB" w:eastAsia="en-GB" w:bidi="en-GB"/>
      </w:rPr>
    </w:lvl>
    <w:lvl w:ilvl="7" w:tplc="11FC526C">
      <w:numFmt w:val="bullet"/>
      <w:lvlText w:val="•"/>
      <w:lvlJc w:val="left"/>
      <w:pPr>
        <w:ind w:left="1619" w:hanging="252"/>
      </w:pPr>
      <w:rPr>
        <w:rFonts w:hint="default"/>
        <w:lang w:val="en-GB" w:eastAsia="en-GB" w:bidi="en-GB"/>
      </w:rPr>
    </w:lvl>
    <w:lvl w:ilvl="8" w:tplc="538CBB6A">
      <w:numFmt w:val="bullet"/>
      <w:lvlText w:val="•"/>
      <w:lvlJc w:val="left"/>
      <w:pPr>
        <w:ind w:left="1791" w:hanging="252"/>
      </w:pPr>
      <w:rPr>
        <w:rFonts w:hint="default"/>
        <w:lang w:val="en-GB" w:eastAsia="en-GB" w:bidi="en-GB"/>
      </w:rPr>
    </w:lvl>
  </w:abstractNum>
  <w:abstractNum w:abstractNumId="11" w15:restartNumberingAfterBreak="0">
    <w:nsid w:val="05A24145"/>
    <w:multiLevelType w:val="multilevel"/>
    <w:tmpl w:val="5B9E241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1C10CD"/>
    <w:multiLevelType w:val="hybridMultilevel"/>
    <w:tmpl w:val="6B029A9C"/>
    <w:lvl w:ilvl="0" w:tplc="63CAB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F46060"/>
    <w:multiLevelType w:val="hybridMultilevel"/>
    <w:tmpl w:val="26D88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79F0DA1"/>
    <w:multiLevelType w:val="hybridMultilevel"/>
    <w:tmpl w:val="602CF8DC"/>
    <w:lvl w:ilvl="0" w:tplc="0B96F998">
      <w:numFmt w:val="bullet"/>
      <w:lvlText w:val="—"/>
      <w:lvlJc w:val="left"/>
      <w:pPr>
        <w:ind w:left="720" w:hanging="360"/>
      </w:pPr>
      <w:rPr>
        <w:rFonts w:ascii="Times New Roman" w:eastAsia="Times New Roman" w:hAnsi="Times New Roman" w:cs="Times New Roman" w:hint="default"/>
        <w:w w:val="100"/>
        <w:sz w:val="22"/>
        <w:szCs w:val="22"/>
        <w:lang w:val="en-GB" w:eastAsia="en-GB" w:bidi="en-GB"/>
      </w:rPr>
    </w:lvl>
    <w:lvl w:ilvl="1" w:tplc="0B96F998">
      <w:numFmt w:val="bullet"/>
      <w:lvlText w:val="—"/>
      <w:lvlJc w:val="left"/>
      <w:pPr>
        <w:ind w:left="1080" w:hanging="360"/>
      </w:pPr>
      <w:rPr>
        <w:rFonts w:ascii="Times New Roman" w:eastAsia="Times New Roman" w:hAnsi="Times New Roman" w:cs="Times New Roman" w:hint="default"/>
        <w:w w:val="100"/>
        <w:sz w:val="22"/>
        <w:szCs w:val="22"/>
        <w:lang w:val="en-GB" w:eastAsia="en-GB" w:bidi="en-G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7B13175"/>
    <w:multiLevelType w:val="multilevel"/>
    <w:tmpl w:val="68E0F8E4"/>
    <w:lvl w:ilvl="0">
      <w:start w:val="5"/>
      <w:numFmt w:val="decimal"/>
      <w:lvlText w:val="%1"/>
      <w:lvlJc w:val="left"/>
      <w:pPr>
        <w:ind w:left="1588" w:hanging="567"/>
      </w:pPr>
      <w:rPr>
        <w:rFonts w:ascii="Arial" w:eastAsia="Arial" w:hAnsi="Arial" w:cs="Arial" w:hint="default"/>
        <w:b/>
        <w:bCs/>
        <w:w w:val="100"/>
        <w:sz w:val="28"/>
        <w:szCs w:val="28"/>
        <w:lang w:val="en-US" w:eastAsia="en-US" w:bidi="ar-SA"/>
      </w:rPr>
    </w:lvl>
    <w:lvl w:ilvl="1">
      <w:start w:val="1"/>
      <w:numFmt w:val="decimal"/>
      <w:lvlText w:val="%1.%2"/>
      <w:lvlJc w:val="left"/>
      <w:pPr>
        <w:ind w:left="1419" w:hanging="852"/>
        <w:jc w:val="right"/>
      </w:pPr>
      <w:rPr>
        <w:rFonts w:ascii="Arial" w:eastAsia="Arial" w:hAnsi="Arial" w:cs="Arial" w:hint="default"/>
        <w:b/>
        <w:bCs/>
        <w:w w:val="100"/>
        <w:sz w:val="28"/>
        <w:szCs w:val="28"/>
        <w:lang w:val="en-US" w:eastAsia="en-US" w:bidi="ar-SA"/>
      </w:rPr>
    </w:lvl>
    <w:lvl w:ilvl="2">
      <w:start w:val="1"/>
      <w:numFmt w:val="decimal"/>
      <w:lvlText w:val="%1.%2.%3"/>
      <w:lvlJc w:val="left"/>
      <w:pPr>
        <w:ind w:left="2550" w:hanging="1133"/>
      </w:pPr>
      <w:rPr>
        <w:rFonts w:ascii="Arial" w:eastAsia="Arial" w:hAnsi="Arial" w:cs="Arial" w:hint="default"/>
        <w:b/>
        <w:bCs/>
        <w:spacing w:val="-2"/>
        <w:w w:val="99"/>
        <w:sz w:val="24"/>
        <w:szCs w:val="24"/>
        <w:lang w:val="tr-TR" w:eastAsia="en-US" w:bidi="ar-SA"/>
      </w:rPr>
    </w:lvl>
    <w:lvl w:ilvl="3">
      <w:start w:val="1"/>
      <w:numFmt w:val="lowerRoman"/>
      <w:lvlText w:val="%4."/>
      <w:lvlJc w:val="left"/>
      <w:pPr>
        <w:ind w:left="2219" w:hanging="1133"/>
        <w:jc w:val="right"/>
      </w:pPr>
      <w:rPr>
        <w:rFonts w:ascii="Times New Roman" w:eastAsia="Times New Roman" w:hAnsi="Times New Roman" w:cs="Times New Roman" w:hint="default"/>
        <w:spacing w:val="0"/>
        <w:w w:val="100"/>
        <w:sz w:val="22"/>
        <w:szCs w:val="22"/>
        <w:lang w:val="en-US" w:eastAsia="en-US" w:bidi="ar-SA"/>
      </w:rPr>
    </w:lvl>
    <w:lvl w:ilvl="4">
      <w:start w:val="1"/>
      <w:numFmt w:val="lowerLetter"/>
      <w:lvlText w:val="(%5)"/>
      <w:lvlJc w:val="left"/>
      <w:pPr>
        <w:ind w:left="2721" w:hanging="1133"/>
      </w:pPr>
      <w:rPr>
        <w:rFonts w:ascii="Times New Roman" w:eastAsia="Times New Roman" w:hAnsi="Times New Roman" w:cs="Times New Roman" w:hint="default"/>
        <w:w w:val="100"/>
        <w:sz w:val="22"/>
        <w:szCs w:val="22"/>
        <w:lang w:val="en-US" w:eastAsia="en-US" w:bidi="ar-SA"/>
      </w:rPr>
    </w:lvl>
    <w:lvl w:ilvl="5">
      <w:numFmt w:val="bullet"/>
      <w:lvlText w:val="•"/>
      <w:lvlJc w:val="left"/>
      <w:pPr>
        <w:ind w:left="4031" w:hanging="1133"/>
      </w:pPr>
      <w:rPr>
        <w:rFonts w:hint="default"/>
        <w:lang w:val="en-US" w:eastAsia="en-US" w:bidi="ar-SA"/>
      </w:rPr>
    </w:lvl>
    <w:lvl w:ilvl="6">
      <w:numFmt w:val="bullet"/>
      <w:lvlText w:val="•"/>
      <w:lvlJc w:val="left"/>
      <w:pPr>
        <w:ind w:left="5342" w:hanging="1133"/>
      </w:pPr>
      <w:rPr>
        <w:rFonts w:hint="default"/>
        <w:lang w:val="en-US" w:eastAsia="en-US" w:bidi="ar-SA"/>
      </w:rPr>
    </w:lvl>
    <w:lvl w:ilvl="7">
      <w:numFmt w:val="bullet"/>
      <w:lvlText w:val="•"/>
      <w:lvlJc w:val="left"/>
      <w:pPr>
        <w:ind w:left="6653" w:hanging="1133"/>
      </w:pPr>
      <w:rPr>
        <w:rFonts w:hint="default"/>
        <w:lang w:val="en-US" w:eastAsia="en-US" w:bidi="ar-SA"/>
      </w:rPr>
    </w:lvl>
    <w:lvl w:ilvl="8">
      <w:numFmt w:val="bullet"/>
      <w:lvlText w:val="•"/>
      <w:lvlJc w:val="left"/>
      <w:pPr>
        <w:ind w:left="7964" w:hanging="1133"/>
      </w:pPr>
      <w:rPr>
        <w:rFonts w:hint="default"/>
        <w:lang w:val="en-US" w:eastAsia="en-US" w:bidi="ar-SA"/>
      </w:rPr>
    </w:lvl>
  </w:abstractNum>
  <w:abstractNum w:abstractNumId="16" w15:restartNumberingAfterBreak="0">
    <w:nsid w:val="08206EC3"/>
    <w:multiLevelType w:val="hybridMultilevel"/>
    <w:tmpl w:val="C42C714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3CE8EE5A">
      <w:numFmt w:val="bullet"/>
      <w:lvlText w:val="•"/>
      <w:lvlJc w:val="left"/>
      <w:pPr>
        <w:ind w:left="591" w:hanging="252"/>
      </w:pPr>
      <w:rPr>
        <w:rFonts w:hint="default"/>
        <w:lang w:val="en-GB" w:eastAsia="en-GB" w:bidi="en-GB"/>
      </w:rPr>
    </w:lvl>
    <w:lvl w:ilvl="2" w:tplc="85128DA4">
      <w:numFmt w:val="bullet"/>
      <w:lvlText w:val="•"/>
      <w:lvlJc w:val="left"/>
      <w:pPr>
        <w:ind w:left="762" w:hanging="252"/>
      </w:pPr>
      <w:rPr>
        <w:rFonts w:hint="default"/>
        <w:lang w:val="en-GB" w:eastAsia="en-GB" w:bidi="en-GB"/>
      </w:rPr>
    </w:lvl>
    <w:lvl w:ilvl="3" w:tplc="6B96D0E4">
      <w:numFmt w:val="bullet"/>
      <w:lvlText w:val="•"/>
      <w:lvlJc w:val="left"/>
      <w:pPr>
        <w:ind w:left="934" w:hanging="252"/>
      </w:pPr>
      <w:rPr>
        <w:rFonts w:hint="default"/>
        <w:lang w:val="en-GB" w:eastAsia="en-GB" w:bidi="en-GB"/>
      </w:rPr>
    </w:lvl>
    <w:lvl w:ilvl="4" w:tplc="6BF6508C">
      <w:numFmt w:val="bullet"/>
      <w:lvlText w:val="•"/>
      <w:lvlJc w:val="left"/>
      <w:pPr>
        <w:ind w:left="1105" w:hanging="252"/>
      </w:pPr>
      <w:rPr>
        <w:rFonts w:hint="default"/>
        <w:lang w:val="en-GB" w:eastAsia="en-GB" w:bidi="en-GB"/>
      </w:rPr>
    </w:lvl>
    <w:lvl w:ilvl="5" w:tplc="5F70A780">
      <w:numFmt w:val="bullet"/>
      <w:lvlText w:val="•"/>
      <w:lvlJc w:val="left"/>
      <w:pPr>
        <w:ind w:left="1277" w:hanging="252"/>
      </w:pPr>
      <w:rPr>
        <w:rFonts w:hint="default"/>
        <w:lang w:val="en-GB" w:eastAsia="en-GB" w:bidi="en-GB"/>
      </w:rPr>
    </w:lvl>
    <w:lvl w:ilvl="6" w:tplc="71EE28C0">
      <w:numFmt w:val="bullet"/>
      <w:lvlText w:val="•"/>
      <w:lvlJc w:val="left"/>
      <w:pPr>
        <w:ind w:left="1448" w:hanging="252"/>
      </w:pPr>
      <w:rPr>
        <w:rFonts w:hint="default"/>
        <w:lang w:val="en-GB" w:eastAsia="en-GB" w:bidi="en-GB"/>
      </w:rPr>
    </w:lvl>
    <w:lvl w:ilvl="7" w:tplc="9946BADC">
      <w:numFmt w:val="bullet"/>
      <w:lvlText w:val="•"/>
      <w:lvlJc w:val="left"/>
      <w:pPr>
        <w:ind w:left="1619" w:hanging="252"/>
      </w:pPr>
      <w:rPr>
        <w:rFonts w:hint="default"/>
        <w:lang w:val="en-GB" w:eastAsia="en-GB" w:bidi="en-GB"/>
      </w:rPr>
    </w:lvl>
    <w:lvl w:ilvl="8" w:tplc="3214B258">
      <w:numFmt w:val="bullet"/>
      <w:lvlText w:val="•"/>
      <w:lvlJc w:val="left"/>
      <w:pPr>
        <w:ind w:left="1791" w:hanging="252"/>
      </w:pPr>
      <w:rPr>
        <w:rFonts w:hint="default"/>
        <w:lang w:val="en-GB" w:eastAsia="en-GB" w:bidi="en-GB"/>
      </w:rPr>
    </w:lvl>
  </w:abstractNum>
  <w:abstractNum w:abstractNumId="17" w15:restartNumberingAfterBreak="0">
    <w:nsid w:val="094C5E31"/>
    <w:multiLevelType w:val="hybridMultilevel"/>
    <w:tmpl w:val="AC165FDE"/>
    <w:lvl w:ilvl="0" w:tplc="598E133A">
      <w:start w:val="1"/>
      <w:numFmt w:val="lowerLetter"/>
      <w:lvlText w:val="(%1)"/>
      <w:lvlJc w:val="left"/>
      <w:pPr>
        <w:ind w:left="530" w:hanging="425"/>
      </w:pPr>
      <w:rPr>
        <w:rFonts w:ascii="Times New Roman" w:eastAsia="Times New Roman" w:hAnsi="Times New Roman" w:cs="Times New Roman" w:hint="default"/>
        <w:w w:val="99"/>
        <w:sz w:val="20"/>
        <w:szCs w:val="20"/>
        <w:lang w:val="en-US" w:eastAsia="en-US" w:bidi="ar-SA"/>
      </w:rPr>
    </w:lvl>
    <w:lvl w:ilvl="1" w:tplc="E09440A4">
      <w:numFmt w:val="bullet"/>
      <w:lvlText w:val="•"/>
      <w:lvlJc w:val="left"/>
      <w:pPr>
        <w:ind w:left="1328" w:hanging="425"/>
      </w:pPr>
      <w:rPr>
        <w:rFonts w:hint="default"/>
        <w:lang w:val="en-US" w:eastAsia="en-US" w:bidi="ar-SA"/>
      </w:rPr>
    </w:lvl>
    <w:lvl w:ilvl="2" w:tplc="25604310">
      <w:numFmt w:val="bullet"/>
      <w:lvlText w:val="•"/>
      <w:lvlJc w:val="left"/>
      <w:pPr>
        <w:ind w:left="2117" w:hanging="425"/>
      </w:pPr>
      <w:rPr>
        <w:rFonts w:hint="default"/>
        <w:lang w:val="en-US" w:eastAsia="en-US" w:bidi="ar-SA"/>
      </w:rPr>
    </w:lvl>
    <w:lvl w:ilvl="3" w:tplc="4D1223C4">
      <w:numFmt w:val="bullet"/>
      <w:lvlText w:val="•"/>
      <w:lvlJc w:val="left"/>
      <w:pPr>
        <w:ind w:left="2905" w:hanging="425"/>
      </w:pPr>
      <w:rPr>
        <w:rFonts w:hint="default"/>
        <w:lang w:val="en-US" w:eastAsia="en-US" w:bidi="ar-SA"/>
      </w:rPr>
    </w:lvl>
    <w:lvl w:ilvl="4" w:tplc="6A2C9C26">
      <w:numFmt w:val="bullet"/>
      <w:lvlText w:val="•"/>
      <w:lvlJc w:val="left"/>
      <w:pPr>
        <w:ind w:left="3694" w:hanging="425"/>
      </w:pPr>
      <w:rPr>
        <w:rFonts w:hint="default"/>
        <w:lang w:val="en-US" w:eastAsia="en-US" w:bidi="ar-SA"/>
      </w:rPr>
    </w:lvl>
    <w:lvl w:ilvl="5" w:tplc="00F88618">
      <w:numFmt w:val="bullet"/>
      <w:lvlText w:val="•"/>
      <w:lvlJc w:val="left"/>
      <w:pPr>
        <w:ind w:left="4482" w:hanging="425"/>
      </w:pPr>
      <w:rPr>
        <w:rFonts w:hint="default"/>
        <w:lang w:val="en-US" w:eastAsia="en-US" w:bidi="ar-SA"/>
      </w:rPr>
    </w:lvl>
    <w:lvl w:ilvl="6" w:tplc="AC0CD48A">
      <w:numFmt w:val="bullet"/>
      <w:lvlText w:val="•"/>
      <w:lvlJc w:val="left"/>
      <w:pPr>
        <w:ind w:left="5271" w:hanging="425"/>
      </w:pPr>
      <w:rPr>
        <w:rFonts w:hint="default"/>
        <w:lang w:val="en-US" w:eastAsia="en-US" w:bidi="ar-SA"/>
      </w:rPr>
    </w:lvl>
    <w:lvl w:ilvl="7" w:tplc="61684BAC">
      <w:numFmt w:val="bullet"/>
      <w:lvlText w:val="•"/>
      <w:lvlJc w:val="left"/>
      <w:pPr>
        <w:ind w:left="6059" w:hanging="425"/>
      </w:pPr>
      <w:rPr>
        <w:rFonts w:hint="default"/>
        <w:lang w:val="en-US" w:eastAsia="en-US" w:bidi="ar-SA"/>
      </w:rPr>
    </w:lvl>
    <w:lvl w:ilvl="8" w:tplc="65A024FA">
      <w:numFmt w:val="bullet"/>
      <w:lvlText w:val="•"/>
      <w:lvlJc w:val="left"/>
      <w:pPr>
        <w:ind w:left="6848" w:hanging="425"/>
      </w:pPr>
      <w:rPr>
        <w:rFonts w:hint="default"/>
        <w:lang w:val="en-US" w:eastAsia="en-US" w:bidi="ar-SA"/>
      </w:rPr>
    </w:lvl>
  </w:abstractNum>
  <w:abstractNum w:abstractNumId="18" w15:restartNumberingAfterBreak="0">
    <w:nsid w:val="0A477CD2"/>
    <w:multiLevelType w:val="hybridMultilevel"/>
    <w:tmpl w:val="ABE63C14"/>
    <w:lvl w:ilvl="0" w:tplc="3676BE48">
      <w:numFmt w:val="bullet"/>
      <w:lvlText w:val=""/>
      <w:lvlJc w:val="left"/>
      <w:pPr>
        <w:ind w:left="332" w:hanging="224"/>
      </w:pPr>
      <w:rPr>
        <w:rFonts w:ascii="Symbol" w:eastAsia="Symbol" w:hAnsi="Symbol" w:cs="Symbol" w:hint="default"/>
        <w:w w:val="100"/>
        <w:sz w:val="22"/>
        <w:szCs w:val="22"/>
        <w:lang w:val="en-US" w:eastAsia="en-US" w:bidi="ar-SA"/>
      </w:rPr>
    </w:lvl>
    <w:lvl w:ilvl="1" w:tplc="7C58E14C">
      <w:numFmt w:val="bullet"/>
      <w:lvlText w:val="•"/>
      <w:lvlJc w:val="left"/>
      <w:pPr>
        <w:ind w:left="902" w:hanging="224"/>
      </w:pPr>
      <w:rPr>
        <w:rFonts w:hint="default"/>
        <w:lang w:val="en-US" w:eastAsia="en-US" w:bidi="ar-SA"/>
      </w:rPr>
    </w:lvl>
    <w:lvl w:ilvl="2" w:tplc="CEE23056">
      <w:numFmt w:val="bullet"/>
      <w:lvlText w:val="•"/>
      <w:lvlJc w:val="left"/>
      <w:pPr>
        <w:ind w:left="1465" w:hanging="224"/>
      </w:pPr>
      <w:rPr>
        <w:rFonts w:hint="default"/>
        <w:lang w:val="en-US" w:eastAsia="en-US" w:bidi="ar-SA"/>
      </w:rPr>
    </w:lvl>
    <w:lvl w:ilvl="3" w:tplc="A816E32E">
      <w:numFmt w:val="bullet"/>
      <w:lvlText w:val="•"/>
      <w:lvlJc w:val="left"/>
      <w:pPr>
        <w:ind w:left="2027" w:hanging="224"/>
      </w:pPr>
      <w:rPr>
        <w:rFonts w:hint="default"/>
        <w:lang w:val="en-US" w:eastAsia="en-US" w:bidi="ar-SA"/>
      </w:rPr>
    </w:lvl>
    <w:lvl w:ilvl="4" w:tplc="DA163776">
      <w:numFmt w:val="bullet"/>
      <w:lvlText w:val="•"/>
      <w:lvlJc w:val="left"/>
      <w:pPr>
        <w:ind w:left="2590" w:hanging="224"/>
      </w:pPr>
      <w:rPr>
        <w:rFonts w:hint="default"/>
        <w:lang w:val="en-US" w:eastAsia="en-US" w:bidi="ar-SA"/>
      </w:rPr>
    </w:lvl>
    <w:lvl w:ilvl="5" w:tplc="FAD09EE8">
      <w:numFmt w:val="bullet"/>
      <w:lvlText w:val="•"/>
      <w:lvlJc w:val="left"/>
      <w:pPr>
        <w:ind w:left="3152" w:hanging="224"/>
      </w:pPr>
      <w:rPr>
        <w:rFonts w:hint="default"/>
        <w:lang w:val="en-US" w:eastAsia="en-US" w:bidi="ar-SA"/>
      </w:rPr>
    </w:lvl>
    <w:lvl w:ilvl="6" w:tplc="BAF00936">
      <w:numFmt w:val="bullet"/>
      <w:lvlText w:val="•"/>
      <w:lvlJc w:val="left"/>
      <w:pPr>
        <w:ind w:left="3715" w:hanging="224"/>
      </w:pPr>
      <w:rPr>
        <w:rFonts w:hint="default"/>
        <w:lang w:val="en-US" w:eastAsia="en-US" w:bidi="ar-SA"/>
      </w:rPr>
    </w:lvl>
    <w:lvl w:ilvl="7" w:tplc="DAB02806">
      <w:numFmt w:val="bullet"/>
      <w:lvlText w:val="•"/>
      <w:lvlJc w:val="left"/>
      <w:pPr>
        <w:ind w:left="4277" w:hanging="224"/>
      </w:pPr>
      <w:rPr>
        <w:rFonts w:hint="default"/>
        <w:lang w:val="en-US" w:eastAsia="en-US" w:bidi="ar-SA"/>
      </w:rPr>
    </w:lvl>
    <w:lvl w:ilvl="8" w:tplc="BDF6FC44">
      <w:numFmt w:val="bullet"/>
      <w:lvlText w:val="•"/>
      <w:lvlJc w:val="left"/>
      <w:pPr>
        <w:ind w:left="4840" w:hanging="224"/>
      </w:pPr>
      <w:rPr>
        <w:rFonts w:hint="default"/>
        <w:lang w:val="en-US" w:eastAsia="en-US" w:bidi="ar-SA"/>
      </w:rPr>
    </w:lvl>
  </w:abstractNum>
  <w:abstractNum w:abstractNumId="19" w15:restartNumberingAfterBreak="0">
    <w:nsid w:val="0B6023E5"/>
    <w:multiLevelType w:val="hybridMultilevel"/>
    <w:tmpl w:val="82B495A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22DA69EA">
      <w:numFmt w:val="bullet"/>
      <w:lvlText w:val="•"/>
      <w:lvlJc w:val="left"/>
      <w:pPr>
        <w:ind w:left="591" w:hanging="252"/>
      </w:pPr>
      <w:rPr>
        <w:rFonts w:hint="default"/>
        <w:lang w:val="en-GB" w:eastAsia="en-GB" w:bidi="en-GB"/>
      </w:rPr>
    </w:lvl>
    <w:lvl w:ilvl="2" w:tplc="B78AD45E">
      <w:numFmt w:val="bullet"/>
      <w:lvlText w:val="•"/>
      <w:lvlJc w:val="left"/>
      <w:pPr>
        <w:ind w:left="762" w:hanging="252"/>
      </w:pPr>
      <w:rPr>
        <w:rFonts w:hint="default"/>
        <w:lang w:val="en-GB" w:eastAsia="en-GB" w:bidi="en-GB"/>
      </w:rPr>
    </w:lvl>
    <w:lvl w:ilvl="3" w:tplc="AF9C7618">
      <w:numFmt w:val="bullet"/>
      <w:lvlText w:val="•"/>
      <w:lvlJc w:val="left"/>
      <w:pPr>
        <w:ind w:left="933" w:hanging="252"/>
      </w:pPr>
      <w:rPr>
        <w:rFonts w:hint="default"/>
        <w:lang w:val="en-GB" w:eastAsia="en-GB" w:bidi="en-GB"/>
      </w:rPr>
    </w:lvl>
    <w:lvl w:ilvl="4" w:tplc="F1A29EE6">
      <w:numFmt w:val="bullet"/>
      <w:lvlText w:val="•"/>
      <w:lvlJc w:val="left"/>
      <w:pPr>
        <w:ind w:left="1105" w:hanging="252"/>
      </w:pPr>
      <w:rPr>
        <w:rFonts w:hint="default"/>
        <w:lang w:val="en-GB" w:eastAsia="en-GB" w:bidi="en-GB"/>
      </w:rPr>
    </w:lvl>
    <w:lvl w:ilvl="5" w:tplc="5C300D80">
      <w:numFmt w:val="bullet"/>
      <w:lvlText w:val="•"/>
      <w:lvlJc w:val="left"/>
      <w:pPr>
        <w:ind w:left="1276" w:hanging="252"/>
      </w:pPr>
      <w:rPr>
        <w:rFonts w:hint="default"/>
        <w:lang w:val="en-GB" w:eastAsia="en-GB" w:bidi="en-GB"/>
      </w:rPr>
    </w:lvl>
    <w:lvl w:ilvl="6" w:tplc="2A86C938">
      <w:numFmt w:val="bullet"/>
      <w:lvlText w:val="•"/>
      <w:lvlJc w:val="left"/>
      <w:pPr>
        <w:ind w:left="1447" w:hanging="252"/>
      </w:pPr>
      <w:rPr>
        <w:rFonts w:hint="default"/>
        <w:lang w:val="en-GB" w:eastAsia="en-GB" w:bidi="en-GB"/>
      </w:rPr>
    </w:lvl>
    <w:lvl w:ilvl="7" w:tplc="FC087028">
      <w:numFmt w:val="bullet"/>
      <w:lvlText w:val="•"/>
      <w:lvlJc w:val="left"/>
      <w:pPr>
        <w:ind w:left="1619" w:hanging="252"/>
      </w:pPr>
      <w:rPr>
        <w:rFonts w:hint="default"/>
        <w:lang w:val="en-GB" w:eastAsia="en-GB" w:bidi="en-GB"/>
      </w:rPr>
    </w:lvl>
    <w:lvl w:ilvl="8" w:tplc="1084121C">
      <w:numFmt w:val="bullet"/>
      <w:lvlText w:val="•"/>
      <w:lvlJc w:val="left"/>
      <w:pPr>
        <w:ind w:left="1790" w:hanging="252"/>
      </w:pPr>
      <w:rPr>
        <w:rFonts w:hint="default"/>
        <w:lang w:val="en-GB" w:eastAsia="en-GB" w:bidi="en-GB"/>
      </w:rPr>
    </w:lvl>
  </w:abstractNum>
  <w:abstractNum w:abstractNumId="20" w15:restartNumberingAfterBreak="0">
    <w:nsid w:val="15713D3F"/>
    <w:multiLevelType w:val="hybridMultilevel"/>
    <w:tmpl w:val="25BC1A9C"/>
    <w:lvl w:ilvl="0" w:tplc="DD50F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22731B"/>
    <w:multiLevelType w:val="hybridMultilevel"/>
    <w:tmpl w:val="69869E0A"/>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C53ACA82">
      <w:numFmt w:val="bullet"/>
      <w:lvlText w:val="•"/>
      <w:lvlJc w:val="left"/>
      <w:pPr>
        <w:ind w:left="591" w:hanging="252"/>
      </w:pPr>
      <w:rPr>
        <w:rFonts w:hint="default"/>
        <w:lang w:val="en-GB" w:eastAsia="en-GB" w:bidi="en-GB"/>
      </w:rPr>
    </w:lvl>
    <w:lvl w:ilvl="2" w:tplc="9A0E7FE6">
      <w:numFmt w:val="bullet"/>
      <w:lvlText w:val="•"/>
      <w:lvlJc w:val="left"/>
      <w:pPr>
        <w:ind w:left="762" w:hanging="252"/>
      </w:pPr>
      <w:rPr>
        <w:rFonts w:hint="default"/>
        <w:lang w:val="en-GB" w:eastAsia="en-GB" w:bidi="en-GB"/>
      </w:rPr>
    </w:lvl>
    <w:lvl w:ilvl="3" w:tplc="F9EA253A">
      <w:numFmt w:val="bullet"/>
      <w:lvlText w:val="•"/>
      <w:lvlJc w:val="left"/>
      <w:pPr>
        <w:ind w:left="933" w:hanging="252"/>
      </w:pPr>
      <w:rPr>
        <w:rFonts w:hint="default"/>
        <w:lang w:val="en-GB" w:eastAsia="en-GB" w:bidi="en-GB"/>
      </w:rPr>
    </w:lvl>
    <w:lvl w:ilvl="4" w:tplc="AFC491D6">
      <w:numFmt w:val="bullet"/>
      <w:lvlText w:val="•"/>
      <w:lvlJc w:val="left"/>
      <w:pPr>
        <w:ind w:left="1105" w:hanging="252"/>
      </w:pPr>
      <w:rPr>
        <w:rFonts w:hint="default"/>
        <w:lang w:val="en-GB" w:eastAsia="en-GB" w:bidi="en-GB"/>
      </w:rPr>
    </w:lvl>
    <w:lvl w:ilvl="5" w:tplc="384E62EA">
      <w:numFmt w:val="bullet"/>
      <w:lvlText w:val="•"/>
      <w:lvlJc w:val="left"/>
      <w:pPr>
        <w:ind w:left="1276" w:hanging="252"/>
      </w:pPr>
      <w:rPr>
        <w:rFonts w:hint="default"/>
        <w:lang w:val="en-GB" w:eastAsia="en-GB" w:bidi="en-GB"/>
      </w:rPr>
    </w:lvl>
    <w:lvl w:ilvl="6" w:tplc="33665026">
      <w:numFmt w:val="bullet"/>
      <w:lvlText w:val="•"/>
      <w:lvlJc w:val="left"/>
      <w:pPr>
        <w:ind w:left="1447" w:hanging="252"/>
      </w:pPr>
      <w:rPr>
        <w:rFonts w:hint="default"/>
        <w:lang w:val="en-GB" w:eastAsia="en-GB" w:bidi="en-GB"/>
      </w:rPr>
    </w:lvl>
    <w:lvl w:ilvl="7" w:tplc="47AAA470">
      <w:numFmt w:val="bullet"/>
      <w:lvlText w:val="•"/>
      <w:lvlJc w:val="left"/>
      <w:pPr>
        <w:ind w:left="1619" w:hanging="252"/>
      </w:pPr>
      <w:rPr>
        <w:rFonts w:hint="default"/>
        <w:lang w:val="en-GB" w:eastAsia="en-GB" w:bidi="en-GB"/>
      </w:rPr>
    </w:lvl>
    <w:lvl w:ilvl="8" w:tplc="CBA86BE4">
      <w:numFmt w:val="bullet"/>
      <w:lvlText w:val="•"/>
      <w:lvlJc w:val="left"/>
      <w:pPr>
        <w:ind w:left="1790" w:hanging="252"/>
      </w:pPr>
      <w:rPr>
        <w:rFonts w:hint="default"/>
        <w:lang w:val="en-GB" w:eastAsia="en-GB" w:bidi="en-GB"/>
      </w:rPr>
    </w:lvl>
  </w:abstractNum>
  <w:abstractNum w:abstractNumId="23" w15:restartNumberingAfterBreak="0">
    <w:nsid w:val="1A125C63"/>
    <w:multiLevelType w:val="hybridMultilevel"/>
    <w:tmpl w:val="AFE2E082"/>
    <w:lvl w:ilvl="0" w:tplc="0B96F998">
      <w:numFmt w:val="bullet"/>
      <w:lvlText w:val="—"/>
      <w:lvlJc w:val="left"/>
      <w:pPr>
        <w:ind w:left="799" w:hanging="567"/>
      </w:pPr>
      <w:rPr>
        <w:rFonts w:ascii="Times New Roman" w:eastAsia="Times New Roman" w:hAnsi="Times New Roman" w:cs="Times New Roman" w:hint="default"/>
        <w:w w:val="100"/>
        <w:sz w:val="22"/>
        <w:szCs w:val="22"/>
        <w:lang w:val="en-GB" w:eastAsia="en-GB" w:bidi="en-GB"/>
      </w:rPr>
    </w:lvl>
    <w:lvl w:ilvl="1" w:tplc="0B96F998">
      <w:numFmt w:val="bullet"/>
      <w:lvlText w:val="—"/>
      <w:lvlJc w:val="left"/>
      <w:pPr>
        <w:ind w:left="1673" w:hanging="360"/>
      </w:pPr>
      <w:rPr>
        <w:rFonts w:ascii="Times New Roman" w:eastAsia="Times New Roman" w:hAnsi="Times New Roman" w:cs="Times New Roman" w:hint="default"/>
        <w:w w:val="100"/>
        <w:sz w:val="22"/>
        <w:szCs w:val="22"/>
        <w:lang w:val="en-GB" w:eastAsia="en-GB" w:bidi="en-GB"/>
      </w:rPr>
    </w:lvl>
    <w:lvl w:ilvl="2" w:tplc="0E0C1F76">
      <w:numFmt w:val="bullet"/>
      <w:lvlText w:val="o"/>
      <w:lvlJc w:val="left"/>
      <w:pPr>
        <w:ind w:left="2221" w:hanging="567"/>
      </w:pPr>
      <w:rPr>
        <w:rFonts w:ascii="Courier New" w:eastAsia="Courier New" w:hAnsi="Courier New" w:cs="Courier New" w:hint="default"/>
        <w:w w:val="100"/>
        <w:sz w:val="22"/>
        <w:szCs w:val="22"/>
        <w:lang w:val="en-GB" w:eastAsia="en-GB" w:bidi="en-GB"/>
      </w:rPr>
    </w:lvl>
    <w:lvl w:ilvl="3" w:tplc="3266ED26">
      <w:numFmt w:val="bullet"/>
      <w:lvlText w:val="•"/>
      <w:lvlJc w:val="left"/>
      <w:pPr>
        <w:ind w:left="2220" w:hanging="567"/>
      </w:pPr>
      <w:rPr>
        <w:rFonts w:hint="default"/>
        <w:lang w:val="en-GB" w:eastAsia="en-GB" w:bidi="en-GB"/>
      </w:rPr>
    </w:lvl>
    <w:lvl w:ilvl="4" w:tplc="7452118A">
      <w:numFmt w:val="bullet"/>
      <w:lvlText w:val="•"/>
      <w:lvlJc w:val="left"/>
      <w:pPr>
        <w:ind w:left="3292" w:hanging="567"/>
      </w:pPr>
      <w:rPr>
        <w:rFonts w:hint="default"/>
        <w:lang w:val="en-GB" w:eastAsia="en-GB" w:bidi="en-GB"/>
      </w:rPr>
    </w:lvl>
    <w:lvl w:ilvl="5" w:tplc="2F568012">
      <w:numFmt w:val="bullet"/>
      <w:lvlText w:val="•"/>
      <w:lvlJc w:val="left"/>
      <w:pPr>
        <w:ind w:left="4364" w:hanging="567"/>
      </w:pPr>
      <w:rPr>
        <w:rFonts w:hint="default"/>
        <w:lang w:val="en-GB" w:eastAsia="en-GB" w:bidi="en-GB"/>
      </w:rPr>
    </w:lvl>
    <w:lvl w:ilvl="6" w:tplc="963C191C">
      <w:numFmt w:val="bullet"/>
      <w:lvlText w:val="•"/>
      <w:lvlJc w:val="left"/>
      <w:pPr>
        <w:ind w:left="5437" w:hanging="567"/>
      </w:pPr>
      <w:rPr>
        <w:rFonts w:hint="default"/>
        <w:lang w:val="en-GB" w:eastAsia="en-GB" w:bidi="en-GB"/>
      </w:rPr>
    </w:lvl>
    <w:lvl w:ilvl="7" w:tplc="9104CCB0">
      <w:numFmt w:val="bullet"/>
      <w:lvlText w:val="•"/>
      <w:lvlJc w:val="left"/>
      <w:pPr>
        <w:ind w:left="6509" w:hanging="567"/>
      </w:pPr>
      <w:rPr>
        <w:rFonts w:hint="default"/>
        <w:lang w:val="en-GB" w:eastAsia="en-GB" w:bidi="en-GB"/>
      </w:rPr>
    </w:lvl>
    <w:lvl w:ilvl="8" w:tplc="F2DC812C">
      <w:numFmt w:val="bullet"/>
      <w:lvlText w:val="•"/>
      <w:lvlJc w:val="left"/>
      <w:pPr>
        <w:ind w:left="7581" w:hanging="567"/>
      </w:pPr>
      <w:rPr>
        <w:rFonts w:hint="default"/>
        <w:lang w:val="en-GB" w:eastAsia="en-GB" w:bidi="en-GB"/>
      </w:rPr>
    </w:lvl>
  </w:abstractNum>
  <w:abstractNum w:abstractNumId="24" w15:restartNumberingAfterBreak="0">
    <w:nsid w:val="1A567C32"/>
    <w:multiLevelType w:val="hybridMultilevel"/>
    <w:tmpl w:val="9956F0CE"/>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AA82BDF2">
      <w:numFmt w:val="bullet"/>
      <w:lvlText w:val="•"/>
      <w:lvlJc w:val="left"/>
      <w:pPr>
        <w:ind w:left="591" w:hanging="252"/>
      </w:pPr>
      <w:rPr>
        <w:rFonts w:hint="default"/>
        <w:lang w:val="en-GB" w:eastAsia="en-GB" w:bidi="en-GB"/>
      </w:rPr>
    </w:lvl>
    <w:lvl w:ilvl="2" w:tplc="923691A6">
      <w:numFmt w:val="bullet"/>
      <w:lvlText w:val="•"/>
      <w:lvlJc w:val="left"/>
      <w:pPr>
        <w:ind w:left="762" w:hanging="252"/>
      </w:pPr>
      <w:rPr>
        <w:rFonts w:hint="default"/>
        <w:lang w:val="en-GB" w:eastAsia="en-GB" w:bidi="en-GB"/>
      </w:rPr>
    </w:lvl>
    <w:lvl w:ilvl="3" w:tplc="0DB2A078">
      <w:numFmt w:val="bullet"/>
      <w:lvlText w:val="•"/>
      <w:lvlJc w:val="left"/>
      <w:pPr>
        <w:ind w:left="933" w:hanging="252"/>
      </w:pPr>
      <w:rPr>
        <w:rFonts w:hint="default"/>
        <w:lang w:val="en-GB" w:eastAsia="en-GB" w:bidi="en-GB"/>
      </w:rPr>
    </w:lvl>
    <w:lvl w:ilvl="4" w:tplc="C61CA858">
      <w:numFmt w:val="bullet"/>
      <w:lvlText w:val="•"/>
      <w:lvlJc w:val="left"/>
      <w:pPr>
        <w:ind w:left="1105" w:hanging="252"/>
      </w:pPr>
      <w:rPr>
        <w:rFonts w:hint="default"/>
        <w:lang w:val="en-GB" w:eastAsia="en-GB" w:bidi="en-GB"/>
      </w:rPr>
    </w:lvl>
    <w:lvl w:ilvl="5" w:tplc="B7BE89FE">
      <w:numFmt w:val="bullet"/>
      <w:lvlText w:val="•"/>
      <w:lvlJc w:val="left"/>
      <w:pPr>
        <w:ind w:left="1276" w:hanging="252"/>
      </w:pPr>
      <w:rPr>
        <w:rFonts w:hint="default"/>
        <w:lang w:val="en-GB" w:eastAsia="en-GB" w:bidi="en-GB"/>
      </w:rPr>
    </w:lvl>
    <w:lvl w:ilvl="6" w:tplc="70AAC156">
      <w:numFmt w:val="bullet"/>
      <w:lvlText w:val="•"/>
      <w:lvlJc w:val="left"/>
      <w:pPr>
        <w:ind w:left="1447" w:hanging="252"/>
      </w:pPr>
      <w:rPr>
        <w:rFonts w:hint="default"/>
        <w:lang w:val="en-GB" w:eastAsia="en-GB" w:bidi="en-GB"/>
      </w:rPr>
    </w:lvl>
    <w:lvl w:ilvl="7" w:tplc="B436F7BE">
      <w:numFmt w:val="bullet"/>
      <w:lvlText w:val="•"/>
      <w:lvlJc w:val="left"/>
      <w:pPr>
        <w:ind w:left="1619" w:hanging="252"/>
      </w:pPr>
      <w:rPr>
        <w:rFonts w:hint="default"/>
        <w:lang w:val="en-GB" w:eastAsia="en-GB" w:bidi="en-GB"/>
      </w:rPr>
    </w:lvl>
    <w:lvl w:ilvl="8" w:tplc="B8EA61CE">
      <w:numFmt w:val="bullet"/>
      <w:lvlText w:val="•"/>
      <w:lvlJc w:val="left"/>
      <w:pPr>
        <w:ind w:left="1790" w:hanging="252"/>
      </w:pPr>
      <w:rPr>
        <w:rFonts w:hint="default"/>
        <w:lang w:val="en-GB" w:eastAsia="en-GB" w:bidi="en-GB"/>
      </w:rPr>
    </w:lvl>
  </w:abstractNum>
  <w:abstractNum w:abstractNumId="25" w15:restartNumberingAfterBreak="0">
    <w:nsid w:val="1AF673D2"/>
    <w:multiLevelType w:val="multilevel"/>
    <w:tmpl w:val="25E04968"/>
    <w:lvl w:ilvl="0">
      <w:start w:val="1"/>
      <w:numFmt w:val="decimal"/>
      <w:pStyle w:val="ListeMaddemi2"/>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B8B4B39"/>
    <w:multiLevelType w:val="hybridMultilevel"/>
    <w:tmpl w:val="264A3CBC"/>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DE528CAC">
      <w:numFmt w:val="bullet"/>
      <w:lvlText w:val="•"/>
      <w:lvlJc w:val="left"/>
      <w:pPr>
        <w:ind w:left="591" w:hanging="252"/>
      </w:pPr>
      <w:rPr>
        <w:rFonts w:hint="default"/>
        <w:lang w:val="en-GB" w:eastAsia="en-GB" w:bidi="en-GB"/>
      </w:rPr>
    </w:lvl>
    <w:lvl w:ilvl="2" w:tplc="0E505948">
      <w:numFmt w:val="bullet"/>
      <w:lvlText w:val="•"/>
      <w:lvlJc w:val="left"/>
      <w:pPr>
        <w:ind w:left="762" w:hanging="252"/>
      </w:pPr>
      <w:rPr>
        <w:rFonts w:hint="default"/>
        <w:lang w:val="en-GB" w:eastAsia="en-GB" w:bidi="en-GB"/>
      </w:rPr>
    </w:lvl>
    <w:lvl w:ilvl="3" w:tplc="A824FB02">
      <w:numFmt w:val="bullet"/>
      <w:lvlText w:val="•"/>
      <w:lvlJc w:val="left"/>
      <w:pPr>
        <w:ind w:left="933" w:hanging="252"/>
      </w:pPr>
      <w:rPr>
        <w:rFonts w:hint="default"/>
        <w:lang w:val="en-GB" w:eastAsia="en-GB" w:bidi="en-GB"/>
      </w:rPr>
    </w:lvl>
    <w:lvl w:ilvl="4" w:tplc="3C20064C">
      <w:numFmt w:val="bullet"/>
      <w:lvlText w:val="•"/>
      <w:lvlJc w:val="left"/>
      <w:pPr>
        <w:ind w:left="1105" w:hanging="252"/>
      </w:pPr>
      <w:rPr>
        <w:rFonts w:hint="default"/>
        <w:lang w:val="en-GB" w:eastAsia="en-GB" w:bidi="en-GB"/>
      </w:rPr>
    </w:lvl>
    <w:lvl w:ilvl="5" w:tplc="02E45C18">
      <w:numFmt w:val="bullet"/>
      <w:lvlText w:val="•"/>
      <w:lvlJc w:val="left"/>
      <w:pPr>
        <w:ind w:left="1276" w:hanging="252"/>
      </w:pPr>
      <w:rPr>
        <w:rFonts w:hint="default"/>
        <w:lang w:val="en-GB" w:eastAsia="en-GB" w:bidi="en-GB"/>
      </w:rPr>
    </w:lvl>
    <w:lvl w:ilvl="6" w:tplc="7C9851E6">
      <w:numFmt w:val="bullet"/>
      <w:lvlText w:val="•"/>
      <w:lvlJc w:val="left"/>
      <w:pPr>
        <w:ind w:left="1447" w:hanging="252"/>
      </w:pPr>
      <w:rPr>
        <w:rFonts w:hint="default"/>
        <w:lang w:val="en-GB" w:eastAsia="en-GB" w:bidi="en-GB"/>
      </w:rPr>
    </w:lvl>
    <w:lvl w:ilvl="7" w:tplc="6F1CF70A">
      <w:numFmt w:val="bullet"/>
      <w:lvlText w:val="•"/>
      <w:lvlJc w:val="left"/>
      <w:pPr>
        <w:ind w:left="1619" w:hanging="252"/>
      </w:pPr>
      <w:rPr>
        <w:rFonts w:hint="default"/>
        <w:lang w:val="en-GB" w:eastAsia="en-GB" w:bidi="en-GB"/>
      </w:rPr>
    </w:lvl>
    <w:lvl w:ilvl="8" w:tplc="EE1418FE">
      <w:numFmt w:val="bullet"/>
      <w:lvlText w:val="•"/>
      <w:lvlJc w:val="left"/>
      <w:pPr>
        <w:ind w:left="1790" w:hanging="252"/>
      </w:pPr>
      <w:rPr>
        <w:rFonts w:hint="default"/>
        <w:lang w:val="en-GB" w:eastAsia="en-GB" w:bidi="en-GB"/>
      </w:rPr>
    </w:lvl>
  </w:abstractNum>
  <w:abstractNum w:abstractNumId="27" w15:restartNumberingAfterBreak="0">
    <w:nsid w:val="1C995E1C"/>
    <w:multiLevelType w:val="hybridMultilevel"/>
    <w:tmpl w:val="622821FE"/>
    <w:lvl w:ilvl="0" w:tplc="718A30DA">
      <w:start w:val="1"/>
      <w:numFmt w:val="decimal"/>
      <w:lvlText w:val="(%1)"/>
      <w:lvlJc w:val="left"/>
      <w:pPr>
        <w:ind w:left="333" w:hanging="226"/>
      </w:pPr>
      <w:rPr>
        <w:rFonts w:ascii="Times New Roman" w:eastAsia="Times New Roman" w:hAnsi="Times New Roman" w:cs="Times New Roman" w:hint="default"/>
        <w:w w:val="99"/>
        <w:sz w:val="18"/>
        <w:szCs w:val="18"/>
        <w:lang w:val="en-US" w:eastAsia="en-US" w:bidi="ar-SA"/>
      </w:rPr>
    </w:lvl>
    <w:lvl w:ilvl="1" w:tplc="9FF4F818">
      <w:numFmt w:val="bullet"/>
      <w:lvlText w:val="•"/>
      <w:lvlJc w:val="left"/>
      <w:pPr>
        <w:ind w:left="1156" w:hanging="226"/>
      </w:pPr>
      <w:rPr>
        <w:rFonts w:hint="default"/>
        <w:lang w:val="en-US" w:eastAsia="en-US" w:bidi="ar-SA"/>
      </w:rPr>
    </w:lvl>
    <w:lvl w:ilvl="2" w:tplc="4B487C2C">
      <w:numFmt w:val="bullet"/>
      <w:lvlText w:val="•"/>
      <w:lvlJc w:val="left"/>
      <w:pPr>
        <w:ind w:left="1973" w:hanging="226"/>
      </w:pPr>
      <w:rPr>
        <w:rFonts w:hint="default"/>
        <w:lang w:val="en-US" w:eastAsia="en-US" w:bidi="ar-SA"/>
      </w:rPr>
    </w:lvl>
    <w:lvl w:ilvl="3" w:tplc="2098ABFC">
      <w:numFmt w:val="bullet"/>
      <w:lvlText w:val="•"/>
      <w:lvlJc w:val="left"/>
      <w:pPr>
        <w:ind w:left="2790" w:hanging="226"/>
      </w:pPr>
      <w:rPr>
        <w:rFonts w:hint="default"/>
        <w:lang w:val="en-US" w:eastAsia="en-US" w:bidi="ar-SA"/>
      </w:rPr>
    </w:lvl>
    <w:lvl w:ilvl="4" w:tplc="8F924340">
      <w:numFmt w:val="bullet"/>
      <w:lvlText w:val="•"/>
      <w:lvlJc w:val="left"/>
      <w:pPr>
        <w:ind w:left="3606" w:hanging="226"/>
      </w:pPr>
      <w:rPr>
        <w:rFonts w:hint="default"/>
        <w:lang w:val="en-US" w:eastAsia="en-US" w:bidi="ar-SA"/>
      </w:rPr>
    </w:lvl>
    <w:lvl w:ilvl="5" w:tplc="3F6226FC">
      <w:numFmt w:val="bullet"/>
      <w:lvlText w:val="•"/>
      <w:lvlJc w:val="left"/>
      <w:pPr>
        <w:ind w:left="4423" w:hanging="226"/>
      </w:pPr>
      <w:rPr>
        <w:rFonts w:hint="default"/>
        <w:lang w:val="en-US" w:eastAsia="en-US" w:bidi="ar-SA"/>
      </w:rPr>
    </w:lvl>
    <w:lvl w:ilvl="6" w:tplc="E81ADC14">
      <w:numFmt w:val="bullet"/>
      <w:lvlText w:val="•"/>
      <w:lvlJc w:val="left"/>
      <w:pPr>
        <w:ind w:left="5240" w:hanging="226"/>
      </w:pPr>
      <w:rPr>
        <w:rFonts w:hint="default"/>
        <w:lang w:val="en-US" w:eastAsia="en-US" w:bidi="ar-SA"/>
      </w:rPr>
    </w:lvl>
    <w:lvl w:ilvl="7" w:tplc="A6FECA2E">
      <w:numFmt w:val="bullet"/>
      <w:lvlText w:val="•"/>
      <w:lvlJc w:val="left"/>
      <w:pPr>
        <w:ind w:left="6056" w:hanging="226"/>
      </w:pPr>
      <w:rPr>
        <w:rFonts w:hint="default"/>
        <w:lang w:val="en-US" w:eastAsia="en-US" w:bidi="ar-SA"/>
      </w:rPr>
    </w:lvl>
    <w:lvl w:ilvl="8" w:tplc="DB14290E">
      <w:numFmt w:val="bullet"/>
      <w:lvlText w:val="•"/>
      <w:lvlJc w:val="left"/>
      <w:pPr>
        <w:ind w:left="6873" w:hanging="226"/>
      </w:pPr>
      <w:rPr>
        <w:rFonts w:hint="default"/>
        <w:lang w:val="en-US" w:eastAsia="en-US" w:bidi="ar-SA"/>
      </w:rPr>
    </w:lvl>
  </w:abstractNum>
  <w:abstractNum w:abstractNumId="28" w15:restartNumberingAfterBreak="0">
    <w:nsid w:val="1CBC0E2D"/>
    <w:multiLevelType w:val="multilevel"/>
    <w:tmpl w:val="E6BC39F0"/>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450" w:hanging="360"/>
      </w:pPr>
      <w:rPr>
        <w:rFonts w:ascii="Times New Roman" w:hAnsi="Times New Roman" w:hint="default"/>
        <w:b/>
        <w:i w:val="0"/>
        <w:sz w:val="24"/>
      </w:rPr>
    </w:lvl>
    <w:lvl w:ilvl="2">
      <w:start w:val="1"/>
      <w:numFmt w:val="decimal"/>
      <w:lvlText w:val="%1.%2.%3"/>
      <w:lvlJc w:val="left"/>
      <w:pPr>
        <w:ind w:left="900" w:hanging="720"/>
      </w:pPr>
      <w:rPr>
        <w:rFonts w:ascii="Times New Roman" w:hAnsi="Times New Roman" w:hint="default"/>
        <w:b/>
        <w:i w:val="0"/>
        <w:sz w:val="24"/>
      </w:rPr>
    </w:lvl>
    <w:lvl w:ilvl="3">
      <w:start w:val="1"/>
      <w:numFmt w:val="decimal"/>
      <w:lvlText w:val="%1.%2.%3.%4"/>
      <w:lvlJc w:val="left"/>
      <w:pPr>
        <w:ind w:left="990" w:hanging="720"/>
      </w:pPr>
      <w:rPr>
        <w:rFonts w:ascii="Times New Roman" w:hAnsi="Times New Roman" w:hint="default"/>
        <w:b/>
        <w:i w:val="0"/>
        <w:sz w:val="24"/>
      </w:rPr>
    </w:lvl>
    <w:lvl w:ilvl="4">
      <w:start w:val="1"/>
      <w:numFmt w:val="decimal"/>
      <w:lvlText w:val="%1.%2.%3.%4.%5"/>
      <w:lvlJc w:val="left"/>
      <w:pPr>
        <w:ind w:left="1440" w:hanging="1080"/>
      </w:pPr>
      <w:rPr>
        <w:rFonts w:ascii="Times New Roman" w:hAnsi="Times New Roman" w:hint="default"/>
        <w:b/>
        <w:i w:val="0"/>
        <w:sz w:val="24"/>
      </w:rPr>
    </w:lvl>
    <w:lvl w:ilvl="5">
      <w:start w:val="1"/>
      <w:numFmt w:val="decimal"/>
      <w:lvlText w:val="%1.%2.%3.%4.%5.%6"/>
      <w:lvlJc w:val="left"/>
      <w:pPr>
        <w:ind w:left="1530" w:hanging="1080"/>
      </w:pPr>
      <w:rPr>
        <w:rFonts w:ascii="Times New Roman" w:hAnsi="Times New Roman" w:hint="default"/>
        <w:b/>
        <w:i w:val="0"/>
        <w:sz w:val="24"/>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1F2C2026"/>
    <w:multiLevelType w:val="hybridMultilevel"/>
    <w:tmpl w:val="F4F87AA6"/>
    <w:lvl w:ilvl="0" w:tplc="BAE8FCDC">
      <w:start w:val="1"/>
      <w:numFmt w:val="lowerLetter"/>
      <w:lvlText w:val="(%1)"/>
      <w:lvlJc w:val="left"/>
      <w:pPr>
        <w:ind w:left="617" w:hanging="426"/>
      </w:pPr>
      <w:rPr>
        <w:rFonts w:ascii="Times New Roman" w:eastAsia="Times New Roman" w:hAnsi="Times New Roman" w:cs="Times New Roman" w:hint="default"/>
        <w:w w:val="99"/>
        <w:sz w:val="20"/>
        <w:szCs w:val="20"/>
        <w:lang w:val="en-US" w:eastAsia="en-US" w:bidi="ar-SA"/>
      </w:rPr>
    </w:lvl>
    <w:lvl w:ilvl="1" w:tplc="1F72B8D6">
      <w:numFmt w:val="bullet"/>
      <w:lvlText w:val=""/>
      <w:lvlJc w:val="left"/>
      <w:pPr>
        <w:ind w:left="830" w:hanging="214"/>
      </w:pPr>
      <w:rPr>
        <w:rFonts w:ascii="Symbol" w:eastAsia="Symbol" w:hAnsi="Symbol" w:cs="Symbol" w:hint="default"/>
        <w:w w:val="99"/>
        <w:sz w:val="20"/>
        <w:szCs w:val="20"/>
        <w:lang w:val="en-US" w:eastAsia="en-US" w:bidi="ar-SA"/>
      </w:rPr>
    </w:lvl>
    <w:lvl w:ilvl="2" w:tplc="82CC35A0">
      <w:numFmt w:val="bullet"/>
      <w:lvlText w:val="•"/>
      <w:lvlJc w:val="left"/>
      <w:pPr>
        <w:ind w:left="974" w:hanging="214"/>
      </w:pPr>
      <w:rPr>
        <w:rFonts w:hint="default"/>
        <w:lang w:val="en-US" w:eastAsia="en-US" w:bidi="ar-SA"/>
      </w:rPr>
    </w:lvl>
    <w:lvl w:ilvl="3" w:tplc="A1223F4A">
      <w:numFmt w:val="bullet"/>
      <w:lvlText w:val="•"/>
      <w:lvlJc w:val="left"/>
      <w:pPr>
        <w:ind w:left="1109" w:hanging="214"/>
      </w:pPr>
      <w:rPr>
        <w:rFonts w:hint="default"/>
        <w:lang w:val="en-US" w:eastAsia="en-US" w:bidi="ar-SA"/>
      </w:rPr>
    </w:lvl>
    <w:lvl w:ilvl="4" w:tplc="5C628DA8">
      <w:numFmt w:val="bullet"/>
      <w:lvlText w:val="•"/>
      <w:lvlJc w:val="left"/>
      <w:pPr>
        <w:ind w:left="1244" w:hanging="214"/>
      </w:pPr>
      <w:rPr>
        <w:rFonts w:hint="default"/>
        <w:lang w:val="en-US" w:eastAsia="en-US" w:bidi="ar-SA"/>
      </w:rPr>
    </w:lvl>
    <w:lvl w:ilvl="5" w:tplc="C6EAB0CC">
      <w:numFmt w:val="bullet"/>
      <w:lvlText w:val="•"/>
      <w:lvlJc w:val="left"/>
      <w:pPr>
        <w:ind w:left="1378" w:hanging="214"/>
      </w:pPr>
      <w:rPr>
        <w:rFonts w:hint="default"/>
        <w:lang w:val="en-US" w:eastAsia="en-US" w:bidi="ar-SA"/>
      </w:rPr>
    </w:lvl>
    <w:lvl w:ilvl="6" w:tplc="10D2B126">
      <w:numFmt w:val="bullet"/>
      <w:lvlText w:val="•"/>
      <w:lvlJc w:val="left"/>
      <w:pPr>
        <w:ind w:left="1513" w:hanging="214"/>
      </w:pPr>
      <w:rPr>
        <w:rFonts w:hint="default"/>
        <w:lang w:val="en-US" w:eastAsia="en-US" w:bidi="ar-SA"/>
      </w:rPr>
    </w:lvl>
    <w:lvl w:ilvl="7" w:tplc="76A894EA">
      <w:numFmt w:val="bullet"/>
      <w:lvlText w:val="•"/>
      <w:lvlJc w:val="left"/>
      <w:pPr>
        <w:ind w:left="1648" w:hanging="214"/>
      </w:pPr>
      <w:rPr>
        <w:rFonts w:hint="default"/>
        <w:lang w:val="en-US" w:eastAsia="en-US" w:bidi="ar-SA"/>
      </w:rPr>
    </w:lvl>
    <w:lvl w:ilvl="8" w:tplc="61880226">
      <w:numFmt w:val="bullet"/>
      <w:lvlText w:val="•"/>
      <w:lvlJc w:val="left"/>
      <w:pPr>
        <w:ind w:left="1782" w:hanging="214"/>
      </w:pPr>
      <w:rPr>
        <w:rFonts w:hint="default"/>
        <w:lang w:val="en-US" w:eastAsia="en-US" w:bidi="ar-SA"/>
      </w:rPr>
    </w:lvl>
  </w:abstractNum>
  <w:abstractNum w:abstractNumId="30" w15:restartNumberingAfterBreak="0">
    <w:nsid w:val="217F4BA1"/>
    <w:multiLevelType w:val="multilevel"/>
    <w:tmpl w:val="2390BC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23208DD"/>
    <w:multiLevelType w:val="hybridMultilevel"/>
    <w:tmpl w:val="87C65400"/>
    <w:lvl w:ilvl="0" w:tplc="883CDE52">
      <w:start w:val="1"/>
      <mc:AlternateContent>
        <mc:Choice Requires="w14">
          <w:numFmt w:val="custom" w:format="a, ç, ĝ, ..."/>
        </mc:Choice>
        <mc:Fallback>
          <w:numFmt w:val="decimal"/>
        </mc:Fallback>
      </mc:AlternateContent>
      <w:lvlText w:val="%1)"/>
      <w:lvlJc w:val="left"/>
      <w:pPr>
        <w:ind w:left="644" w:hanging="360"/>
      </w:pPr>
      <w:rPr>
        <w:rFonts w:ascii="Times New Roman" w:hAnsi="Times New Roman" w:hint="default"/>
        <w:b w:val="0"/>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2776C49"/>
    <w:multiLevelType w:val="hybridMultilevel"/>
    <w:tmpl w:val="83027568"/>
    <w:lvl w:ilvl="0" w:tplc="3B626F4E">
      <w:start w:val="1"/>
      <w:numFmt w:val="lowerLetter"/>
      <w:lvlText w:val="%1)"/>
      <w:lvlJc w:val="left"/>
      <w:pPr>
        <w:ind w:left="644"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3A40F76"/>
    <w:multiLevelType w:val="hybridMultilevel"/>
    <w:tmpl w:val="C5A258AA"/>
    <w:lvl w:ilvl="0" w:tplc="883CDE52">
      <w:start w:val="1"/>
      <mc:AlternateContent>
        <mc:Choice Requires="w14">
          <w:numFmt w:val="custom" w:format="a, ç, ĝ, ..."/>
        </mc:Choice>
        <mc:Fallback>
          <w:numFmt w:val="decimal"/>
        </mc:Fallback>
      </mc:AlternateContent>
      <w:lvlText w:val="%1)"/>
      <w:lvlJc w:val="left"/>
      <w:pPr>
        <w:ind w:left="1080" w:hanging="360"/>
      </w:pPr>
      <w:rPr>
        <w:rFonts w:ascii="Times New Roman" w:hAnsi="Times New Roman" w:hint="default"/>
        <w:b w:val="0"/>
        <w:i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24202008"/>
    <w:multiLevelType w:val="hybridMultilevel"/>
    <w:tmpl w:val="B6A21ACA"/>
    <w:lvl w:ilvl="0" w:tplc="C1F8EB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24783B40"/>
    <w:multiLevelType w:val="hybridMultilevel"/>
    <w:tmpl w:val="9352143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6D86452"/>
    <w:multiLevelType w:val="hybridMultilevel"/>
    <w:tmpl w:val="D7183BC0"/>
    <w:lvl w:ilvl="0" w:tplc="A45A97DC">
      <w:start w:val="1"/>
      <w:numFmt w:val="decimal"/>
      <w:lvlText w:val="(%1)"/>
      <w:lvlJc w:val="left"/>
      <w:pPr>
        <w:ind w:left="336" w:hanging="227"/>
      </w:pPr>
      <w:rPr>
        <w:rFonts w:ascii="Times New Roman" w:eastAsia="Times New Roman" w:hAnsi="Times New Roman" w:cs="Times New Roman" w:hint="default"/>
        <w:w w:val="99"/>
        <w:sz w:val="18"/>
        <w:szCs w:val="18"/>
        <w:lang w:val="en-US" w:eastAsia="en-US" w:bidi="ar-SA"/>
      </w:rPr>
    </w:lvl>
    <w:lvl w:ilvl="1" w:tplc="6622A68C">
      <w:numFmt w:val="bullet"/>
      <w:lvlText w:val="•"/>
      <w:lvlJc w:val="left"/>
      <w:pPr>
        <w:ind w:left="1139" w:hanging="227"/>
      </w:pPr>
      <w:rPr>
        <w:rFonts w:hint="default"/>
        <w:lang w:val="en-US" w:eastAsia="en-US" w:bidi="ar-SA"/>
      </w:rPr>
    </w:lvl>
    <w:lvl w:ilvl="2" w:tplc="CE44B8A2">
      <w:numFmt w:val="bullet"/>
      <w:lvlText w:val="•"/>
      <w:lvlJc w:val="left"/>
      <w:pPr>
        <w:ind w:left="1938" w:hanging="227"/>
      </w:pPr>
      <w:rPr>
        <w:rFonts w:hint="default"/>
        <w:lang w:val="en-US" w:eastAsia="en-US" w:bidi="ar-SA"/>
      </w:rPr>
    </w:lvl>
    <w:lvl w:ilvl="3" w:tplc="C7EE6EBC">
      <w:numFmt w:val="bullet"/>
      <w:lvlText w:val="•"/>
      <w:lvlJc w:val="left"/>
      <w:pPr>
        <w:ind w:left="2738" w:hanging="227"/>
      </w:pPr>
      <w:rPr>
        <w:rFonts w:hint="default"/>
        <w:lang w:val="en-US" w:eastAsia="en-US" w:bidi="ar-SA"/>
      </w:rPr>
    </w:lvl>
    <w:lvl w:ilvl="4" w:tplc="88A0E868">
      <w:numFmt w:val="bullet"/>
      <w:lvlText w:val="•"/>
      <w:lvlJc w:val="left"/>
      <w:pPr>
        <w:ind w:left="3537" w:hanging="227"/>
      </w:pPr>
      <w:rPr>
        <w:rFonts w:hint="default"/>
        <w:lang w:val="en-US" w:eastAsia="en-US" w:bidi="ar-SA"/>
      </w:rPr>
    </w:lvl>
    <w:lvl w:ilvl="5" w:tplc="5FD6E8B4">
      <w:numFmt w:val="bullet"/>
      <w:lvlText w:val="•"/>
      <w:lvlJc w:val="left"/>
      <w:pPr>
        <w:ind w:left="4337" w:hanging="227"/>
      </w:pPr>
      <w:rPr>
        <w:rFonts w:hint="default"/>
        <w:lang w:val="en-US" w:eastAsia="en-US" w:bidi="ar-SA"/>
      </w:rPr>
    </w:lvl>
    <w:lvl w:ilvl="6" w:tplc="DC5C6578">
      <w:numFmt w:val="bullet"/>
      <w:lvlText w:val="•"/>
      <w:lvlJc w:val="left"/>
      <w:pPr>
        <w:ind w:left="5136" w:hanging="227"/>
      </w:pPr>
      <w:rPr>
        <w:rFonts w:hint="default"/>
        <w:lang w:val="en-US" w:eastAsia="en-US" w:bidi="ar-SA"/>
      </w:rPr>
    </w:lvl>
    <w:lvl w:ilvl="7" w:tplc="3C6C80A4">
      <w:numFmt w:val="bullet"/>
      <w:lvlText w:val="•"/>
      <w:lvlJc w:val="left"/>
      <w:pPr>
        <w:ind w:left="5935" w:hanging="227"/>
      </w:pPr>
      <w:rPr>
        <w:rFonts w:hint="default"/>
        <w:lang w:val="en-US" w:eastAsia="en-US" w:bidi="ar-SA"/>
      </w:rPr>
    </w:lvl>
    <w:lvl w:ilvl="8" w:tplc="84F2D3BE">
      <w:numFmt w:val="bullet"/>
      <w:lvlText w:val="•"/>
      <w:lvlJc w:val="left"/>
      <w:pPr>
        <w:ind w:left="6735" w:hanging="227"/>
      </w:pPr>
      <w:rPr>
        <w:rFonts w:hint="default"/>
        <w:lang w:val="en-US" w:eastAsia="en-US" w:bidi="ar-SA"/>
      </w:rPr>
    </w:lvl>
  </w:abstractNum>
  <w:abstractNum w:abstractNumId="37" w15:restartNumberingAfterBreak="0">
    <w:nsid w:val="26FC5415"/>
    <w:multiLevelType w:val="hybridMultilevel"/>
    <w:tmpl w:val="0266489A"/>
    <w:lvl w:ilvl="0" w:tplc="0B96F998">
      <w:numFmt w:val="bullet"/>
      <w:lvlText w:val="—"/>
      <w:lvlJc w:val="left"/>
      <w:pPr>
        <w:ind w:left="36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8" w15:restartNumberingAfterBreak="0">
    <w:nsid w:val="27314D9F"/>
    <w:multiLevelType w:val="hybridMultilevel"/>
    <w:tmpl w:val="3BB851C6"/>
    <w:lvl w:ilvl="0" w:tplc="B088C794">
      <w:start w:val="1"/>
      <w:numFmt w:val="lowerLetter"/>
      <w:lvlText w:val="%1."/>
      <w:lvlJc w:val="right"/>
      <w:pPr>
        <w:ind w:left="720" w:hanging="360"/>
      </w:pPr>
      <w:rPr>
        <w:rFonts w:ascii="Times New Roman" w:eastAsiaTheme="minorHAnsi"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C17BF6"/>
    <w:multiLevelType w:val="hybridMultilevel"/>
    <w:tmpl w:val="BD120B8A"/>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6B8C37D6">
      <w:numFmt w:val="bullet"/>
      <w:lvlText w:val="•"/>
      <w:lvlJc w:val="left"/>
      <w:pPr>
        <w:ind w:left="1194" w:hanging="284"/>
      </w:pPr>
      <w:rPr>
        <w:rFonts w:hint="default"/>
        <w:lang w:val="en-GB" w:eastAsia="en-GB" w:bidi="en-GB"/>
      </w:rPr>
    </w:lvl>
    <w:lvl w:ilvl="2" w:tplc="6136C062">
      <w:numFmt w:val="bullet"/>
      <w:lvlText w:val="•"/>
      <w:lvlJc w:val="left"/>
      <w:pPr>
        <w:ind w:left="1829" w:hanging="284"/>
      </w:pPr>
      <w:rPr>
        <w:rFonts w:hint="default"/>
        <w:lang w:val="en-GB" w:eastAsia="en-GB" w:bidi="en-GB"/>
      </w:rPr>
    </w:lvl>
    <w:lvl w:ilvl="3" w:tplc="0C429822">
      <w:numFmt w:val="bullet"/>
      <w:lvlText w:val="•"/>
      <w:lvlJc w:val="left"/>
      <w:pPr>
        <w:ind w:left="2463" w:hanging="284"/>
      </w:pPr>
      <w:rPr>
        <w:rFonts w:hint="default"/>
        <w:lang w:val="en-GB" w:eastAsia="en-GB" w:bidi="en-GB"/>
      </w:rPr>
    </w:lvl>
    <w:lvl w:ilvl="4" w:tplc="EC924288">
      <w:numFmt w:val="bullet"/>
      <w:lvlText w:val="•"/>
      <w:lvlJc w:val="left"/>
      <w:pPr>
        <w:ind w:left="3098" w:hanging="284"/>
      </w:pPr>
      <w:rPr>
        <w:rFonts w:hint="default"/>
        <w:lang w:val="en-GB" w:eastAsia="en-GB" w:bidi="en-GB"/>
      </w:rPr>
    </w:lvl>
    <w:lvl w:ilvl="5" w:tplc="DE028120">
      <w:numFmt w:val="bullet"/>
      <w:lvlText w:val="•"/>
      <w:lvlJc w:val="left"/>
      <w:pPr>
        <w:ind w:left="3732" w:hanging="284"/>
      </w:pPr>
      <w:rPr>
        <w:rFonts w:hint="default"/>
        <w:lang w:val="en-GB" w:eastAsia="en-GB" w:bidi="en-GB"/>
      </w:rPr>
    </w:lvl>
    <w:lvl w:ilvl="6" w:tplc="12EC6034">
      <w:numFmt w:val="bullet"/>
      <w:lvlText w:val="•"/>
      <w:lvlJc w:val="left"/>
      <w:pPr>
        <w:ind w:left="4367" w:hanging="284"/>
      </w:pPr>
      <w:rPr>
        <w:rFonts w:hint="default"/>
        <w:lang w:val="en-GB" w:eastAsia="en-GB" w:bidi="en-GB"/>
      </w:rPr>
    </w:lvl>
    <w:lvl w:ilvl="7" w:tplc="408451E8">
      <w:numFmt w:val="bullet"/>
      <w:lvlText w:val="•"/>
      <w:lvlJc w:val="left"/>
      <w:pPr>
        <w:ind w:left="5001" w:hanging="284"/>
      </w:pPr>
      <w:rPr>
        <w:rFonts w:hint="default"/>
        <w:lang w:val="en-GB" w:eastAsia="en-GB" w:bidi="en-GB"/>
      </w:rPr>
    </w:lvl>
    <w:lvl w:ilvl="8" w:tplc="9AE4CBC0">
      <w:numFmt w:val="bullet"/>
      <w:lvlText w:val="•"/>
      <w:lvlJc w:val="left"/>
      <w:pPr>
        <w:ind w:left="5636" w:hanging="284"/>
      </w:pPr>
      <w:rPr>
        <w:rFonts w:hint="default"/>
        <w:lang w:val="en-GB" w:eastAsia="en-GB" w:bidi="en-GB"/>
      </w:rPr>
    </w:lvl>
  </w:abstractNum>
  <w:abstractNum w:abstractNumId="40" w15:restartNumberingAfterBreak="0">
    <w:nsid w:val="29E45334"/>
    <w:multiLevelType w:val="hybridMultilevel"/>
    <w:tmpl w:val="DDCA3E46"/>
    <w:lvl w:ilvl="0" w:tplc="EDC09F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A194266"/>
    <w:multiLevelType w:val="hybridMultilevel"/>
    <w:tmpl w:val="E588161A"/>
    <w:lvl w:ilvl="0" w:tplc="10E23588">
      <w:start w:val="1"/>
      <w:numFmt w:val="lowerRoman"/>
      <w:lvlText w:val="%1."/>
      <w:lvlJc w:val="left"/>
      <w:pPr>
        <w:ind w:left="941" w:hanging="334"/>
        <w:jc w:val="right"/>
      </w:pPr>
      <w:rPr>
        <w:rFonts w:ascii="Times New Roman" w:eastAsia="Times New Roman" w:hAnsi="Times New Roman" w:cs="Times New Roman" w:hint="default"/>
        <w:b/>
        <w:bCs/>
        <w:spacing w:val="0"/>
        <w:w w:val="100"/>
        <w:sz w:val="22"/>
        <w:szCs w:val="22"/>
        <w:lang w:val="en-GB" w:eastAsia="en-GB" w:bidi="en-GB"/>
      </w:rPr>
    </w:lvl>
    <w:lvl w:ilvl="1" w:tplc="0B96F998">
      <w:numFmt w:val="bullet"/>
      <w:lvlText w:val="—"/>
      <w:lvlJc w:val="left"/>
      <w:pPr>
        <w:ind w:left="2088" w:hanging="360"/>
      </w:pPr>
      <w:rPr>
        <w:rFonts w:ascii="Times New Roman" w:eastAsia="Times New Roman" w:hAnsi="Times New Roman" w:cs="Times New Roman" w:hint="default"/>
        <w:w w:val="100"/>
        <w:sz w:val="22"/>
        <w:szCs w:val="22"/>
        <w:lang w:val="en-GB" w:eastAsia="en-GB" w:bidi="en-GB"/>
      </w:rPr>
    </w:lvl>
    <w:lvl w:ilvl="2" w:tplc="01EE4B62">
      <w:numFmt w:val="bullet"/>
      <w:lvlText w:val="•"/>
      <w:lvlJc w:val="left"/>
      <w:pPr>
        <w:ind w:left="2976" w:hanging="360"/>
      </w:pPr>
      <w:rPr>
        <w:rFonts w:hint="default"/>
        <w:lang w:val="en-GB" w:eastAsia="en-GB" w:bidi="en-GB"/>
      </w:rPr>
    </w:lvl>
    <w:lvl w:ilvl="3" w:tplc="616A8298">
      <w:numFmt w:val="bullet"/>
      <w:lvlText w:val="•"/>
      <w:lvlJc w:val="left"/>
      <w:pPr>
        <w:ind w:left="3872" w:hanging="360"/>
      </w:pPr>
      <w:rPr>
        <w:rFonts w:hint="default"/>
        <w:lang w:val="en-GB" w:eastAsia="en-GB" w:bidi="en-GB"/>
      </w:rPr>
    </w:lvl>
    <w:lvl w:ilvl="4" w:tplc="6BF63288">
      <w:numFmt w:val="bullet"/>
      <w:lvlText w:val="•"/>
      <w:lvlJc w:val="left"/>
      <w:pPr>
        <w:ind w:left="4768" w:hanging="360"/>
      </w:pPr>
      <w:rPr>
        <w:rFonts w:hint="default"/>
        <w:lang w:val="en-GB" w:eastAsia="en-GB" w:bidi="en-GB"/>
      </w:rPr>
    </w:lvl>
    <w:lvl w:ilvl="5" w:tplc="0C88FE22">
      <w:numFmt w:val="bullet"/>
      <w:lvlText w:val="•"/>
      <w:lvlJc w:val="left"/>
      <w:pPr>
        <w:ind w:left="5665" w:hanging="360"/>
      </w:pPr>
      <w:rPr>
        <w:rFonts w:hint="default"/>
        <w:lang w:val="en-GB" w:eastAsia="en-GB" w:bidi="en-GB"/>
      </w:rPr>
    </w:lvl>
    <w:lvl w:ilvl="6" w:tplc="EBF6DF10">
      <w:numFmt w:val="bullet"/>
      <w:lvlText w:val="•"/>
      <w:lvlJc w:val="left"/>
      <w:pPr>
        <w:ind w:left="6561" w:hanging="360"/>
      </w:pPr>
      <w:rPr>
        <w:rFonts w:hint="default"/>
        <w:lang w:val="en-GB" w:eastAsia="en-GB" w:bidi="en-GB"/>
      </w:rPr>
    </w:lvl>
    <w:lvl w:ilvl="7" w:tplc="1592D3AC">
      <w:numFmt w:val="bullet"/>
      <w:lvlText w:val="•"/>
      <w:lvlJc w:val="left"/>
      <w:pPr>
        <w:ind w:left="7457" w:hanging="360"/>
      </w:pPr>
      <w:rPr>
        <w:rFonts w:hint="default"/>
        <w:lang w:val="en-GB" w:eastAsia="en-GB" w:bidi="en-GB"/>
      </w:rPr>
    </w:lvl>
    <w:lvl w:ilvl="8" w:tplc="2FBCB2F8">
      <w:numFmt w:val="bullet"/>
      <w:lvlText w:val="•"/>
      <w:lvlJc w:val="left"/>
      <w:pPr>
        <w:ind w:left="8353" w:hanging="360"/>
      </w:pPr>
      <w:rPr>
        <w:rFonts w:hint="default"/>
        <w:lang w:val="en-GB" w:eastAsia="en-GB" w:bidi="en-GB"/>
      </w:rPr>
    </w:lvl>
  </w:abstractNum>
  <w:abstractNum w:abstractNumId="42" w15:restartNumberingAfterBreak="0">
    <w:nsid w:val="2A2923D7"/>
    <w:multiLevelType w:val="hybridMultilevel"/>
    <w:tmpl w:val="BD48F316"/>
    <w:lvl w:ilvl="0" w:tplc="E9867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AC760FA"/>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AEE3332"/>
    <w:multiLevelType w:val="hybridMultilevel"/>
    <w:tmpl w:val="89CA860E"/>
    <w:lvl w:ilvl="0" w:tplc="0409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CBF6849"/>
    <w:multiLevelType w:val="hybridMultilevel"/>
    <w:tmpl w:val="5994F638"/>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6C2422BE">
      <w:numFmt w:val="bullet"/>
      <w:lvlText w:val="•"/>
      <w:lvlJc w:val="left"/>
      <w:pPr>
        <w:ind w:left="1194" w:hanging="284"/>
      </w:pPr>
      <w:rPr>
        <w:rFonts w:hint="default"/>
        <w:lang w:val="en-GB" w:eastAsia="en-GB" w:bidi="en-GB"/>
      </w:rPr>
    </w:lvl>
    <w:lvl w:ilvl="2" w:tplc="3A82DA5A">
      <w:numFmt w:val="bullet"/>
      <w:lvlText w:val="•"/>
      <w:lvlJc w:val="left"/>
      <w:pPr>
        <w:ind w:left="1829" w:hanging="284"/>
      </w:pPr>
      <w:rPr>
        <w:rFonts w:hint="default"/>
        <w:lang w:val="en-GB" w:eastAsia="en-GB" w:bidi="en-GB"/>
      </w:rPr>
    </w:lvl>
    <w:lvl w:ilvl="3" w:tplc="71100E82">
      <w:numFmt w:val="bullet"/>
      <w:lvlText w:val="•"/>
      <w:lvlJc w:val="left"/>
      <w:pPr>
        <w:ind w:left="2463" w:hanging="284"/>
      </w:pPr>
      <w:rPr>
        <w:rFonts w:hint="default"/>
        <w:lang w:val="en-GB" w:eastAsia="en-GB" w:bidi="en-GB"/>
      </w:rPr>
    </w:lvl>
    <w:lvl w:ilvl="4" w:tplc="DEF0324E">
      <w:numFmt w:val="bullet"/>
      <w:lvlText w:val="•"/>
      <w:lvlJc w:val="left"/>
      <w:pPr>
        <w:ind w:left="3098" w:hanging="284"/>
      </w:pPr>
      <w:rPr>
        <w:rFonts w:hint="default"/>
        <w:lang w:val="en-GB" w:eastAsia="en-GB" w:bidi="en-GB"/>
      </w:rPr>
    </w:lvl>
    <w:lvl w:ilvl="5" w:tplc="68168A40">
      <w:numFmt w:val="bullet"/>
      <w:lvlText w:val="•"/>
      <w:lvlJc w:val="left"/>
      <w:pPr>
        <w:ind w:left="3732" w:hanging="284"/>
      </w:pPr>
      <w:rPr>
        <w:rFonts w:hint="default"/>
        <w:lang w:val="en-GB" w:eastAsia="en-GB" w:bidi="en-GB"/>
      </w:rPr>
    </w:lvl>
    <w:lvl w:ilvl="6" w:tplc="60BEE0B4">
      <w:numFmt w:val="bullet"/>
      <w:lvlText w:val="•"/>
      <w:lvlJc w:val="left"/>
      <w:pPr>
        <w:ind w:left="4367" w:hanging="284"/>
      </w:pPr>
      <w:rPr>
        <w:rFonts w:hint="default"/>
        <w:lang w:val="en-GB" w:eastAsia="en-GB" w:bidi="en-GB"/>
      </w:rPr>
    </w:lvl>
    <w:lvl w:ilvl="7" w:tplc="10805A64">
      <w:numFmt w:val="bullet"/>
      <w:lvlText w:val="•"/>
      <w:lvlJc w:val="left"/>
      <w:pPr>
        <w:ind w:left="5001" w:hanging="284"/>
      </w:pPr>
      <w:rPr>
        <w:rFonts w:hint="default"/>
        <w:lang w:val="en-GB" w:eastAsia="en-GB" w:bidi="en-GB"/>
      </w:rPr>
    </w:lvl>
    <w:lvl w:ilvl="8" w:tplc="3CD425DA">
      <w:numFmt w:val="bullet"/>
      <w:lvlText w:val="•"/>
      <w:lvlJc w:val="left"/>
      <w:pPr>
        <w:ind w:left="5636" w:hanging="284"/>
      </w:pPr>
      <w:rPr>
        <w:rFonts w:hint="default"/>
        <w:lang w:val="en-GB" w:eastAsia="en-GB" w:bidi="en-GB"/>
      </w:rPr>
    </w:lvl>
  </w:abstractNum>
  <w:abstractNum w:abstractNumId="46" w15:restartNumberingAfterBreak="0">
    <w:nsid w:val="2E424E71"/>
    <w:multiLevelType w:val="hybridMultilevel"/>
    <w:tmpl w:val="414C923E"/>
    <w:lvl w:ilvl="0" w:tplc="0B96F998">
      <w:numFmt w:val="bullet"/>
      <w:lvlText w:val="—"/>
      <w:lvlJc w:val="left"/>
      <w:pPr>
        <w:ind w:left="1934" w:hanging="567"/>
      </w:pPr>
      <w:rPr>
        <w:rFonts w:ascii="Times New Roman" w:eastAsia="Times New Roman" w:hAnsi="Times New Roman" w:cs="Times New Roman" w:hint="default"/>
        <w:w w:val="100"/>
        <w:sz w:val="22"/>
        <w:szCs w:val="22"/>
        <w:lang w:val="en-GB" w:eastAsia="en-GB" w:bidi="en-GB"/>
      </w:rPr>
    </w:lvl>
    <w:lvl w:ilvl="1" w:tplc="4394F7A6">
      <w:numFmt w:val="bullet"/>
      <w:lvlText w:val="•"/>
      <w:lvlJc w:val="left"/>
      <w:pPr>
        <w:ind w:left="2760" w:hanging="567"/>
      </w:pPr>
      <w:rPr>
        <w:rFonts w:hint="default"/>
        <w:lang w:val="en-GB" w:eastAsia="en-GB" w:bidi="en-GB"/>
      </w:rPr>
    </w:lvl>
    <w:lvl w:ilvl="2" w:tplc="56986188">
      <w:numFmt w:val="bullet"/>
      <w:lvlText w:val="•"/>
      <w:lvlJc w:val="left"/>
      <w:pPr>
        <w:ind w:left="3581" w:hanging="567"/>
      </w:pPr>
      <w:rPr>
        <w:rFonts w:hint="default"/>
        <w:lang w:val="en-GB" w:eastAsia="en-GB" w:bidi="en-GB"/>
      </w:rPr>
    </w:lvl>
    <w:lvl w:ilvl="3" w:tplc="3348A500">
      <w:numFmt w:val="bullet"/>
      <w:lvlText w:val="•"/>
      <w:lvlJc w:val="left"/>
      <w:pPr>
        <w:ind w:left="4401" w:hanging="567"/>
      </w:pPr>
      <w:rPr>
        <w:rFonts w:hint="default"/>
        <w:lang w:val="en-GB" w:eastAsia="en-GB" w:bidi="en-GB"/>
      </w:rPr>
    </w:lvl>
    <w:lvl w:ilvl="4" w:tplc="887ED104">
      <w:numFmt w:val="bullet"/>
      <w:lvlText w:val="•"/>
      <w:lvlJc w:val="left"/>
      <w:pPr>
        <w:ind w:left="5222" w:hanging="567"/>
      </w:pPr>
      <w:rPr>
        <w:rFonts w:hint="default"/>
        <w:lang w:val="en-GB" w:eastAsia="en-GB" w:bidi="en-GB"/>
      </w:rPr>
    </w:lvl>
    <w:lvl w:ilvl="5" w:tplc="3B825F34">
      <w:numFmt w:val="bullet"/>
      <w:lvlText w:val="•"/>
      <w:lvlJc w:val="left"/>
      <w:pPr>
        <w:ind w:left="6043" w:hanging="567"/>
      </w:pPr>
      <w:rPr>
        <w:rFonts w:hint="default"/>
        <w:lang w:val="en-GB" w:eastAsia="en-GB" w:bidi="en-GB"/>
      </w:rPr>
    </w:lvl>
    <w:lvl w:ilvl="6" w:tplc="B5D0A3AE">
      <w:numFmt w:val="bullet"/>
      <w:lvlText w:val="•"/>
      <w:lvlJc w:val="left"/>
      <w:pPr>
        <w:ind w:left="6863" w:hanging="567"/>
      </w:pPr>
      <w:rPr>
        <w:rFonts w:hint="default"/>
        <w:lang w:val="en-GB" w:eastAsia="en-GB" w:bidi="en-GB"/>
      </w:rPr>
    </w:lvl>
    <w:lvl w:ilvl="7" w:tplc="B3345EC8">
      <w:numFmt w:val="bullet"/>
      <w:lvlText w:val="•"/>
      <w:lvlJc w:val="left"/>
      <w:pPr>
        <w:ind w:left="7684" w:hanging="567"/>
      </w:pPr>
      <w:rPr>
        <w:rFonts w:hint="default"/>
        <w:lang w:val="en-GB" w:eastAsia="en-GB" w:bidi="en-GB"/>
      </w:rPr>
    </w:lvl>
    <w:lvl w:ilvl="8" w:tplc="99F28020">
      <w:numFmt w:val="bullet"/>
      <w:lvlText w:val="•"/>
      <w:lvlJc w:val="left"/>
      <w:pPr>
        <w:ind w:left="8505" w:hanging="567"/>
      </w:pPr>
      <w:rPr>
        <w:rFonts w:hint="default"/>
        <w:lang w:val="en-GB" w:eastAsia="en-GB" w:bidi="en-GB"/>
      </w:rPr>
    </w:lvl>
  </w:abstractNum>
  <w:abstractNum w:abstractNumId="47" w15:restartNumberingAfterBreak="0">
    <w:nsid w:val="2E594855"/>
    <w:multiLevelType w:val="hybridMultilevel"/>
    <w:tmpl w:val="7374B4EE"/>
    <w:lvl w:ilvl="0" w:tplc="866C6318">
      <w:start w:val="1"/>
      <w:numFmt w:val="lowerRoman"/>
      <w:lvlText w:val="%1."/>
      <w:lvlJc w:val="left"/>
      <w:pPr>
        <w:ind w:left="1549" w:hanging="464"/>
        <w:jc w:val="right"/>
      </w:pPr>
      <w:rPr>
        <w:rFonts w:ascii="Times New Roman" w:eastAsia="Times New Roman" w:hAnsi="Times New Roman" w:cs="Times New Roman" w:hint="default"/>
        <w:spacing w:val="0"/>
        <w:w w:val="100"/>
        <w:sz w:val="22"/>
        <w:szCs w:val="22"/>
        <w:lang w:val="en-US" w:eastAsia="en-US" w:bidi="ar-SA"/>
      </w:rPr>
    </w:lvl>
    <w:lvl w:ilvl="1" w:tplc="E6A86908">
      <w:numFmt w:val="bullet"/>
      <w:lvlText w:val="•"/>
      <w:lvlJc w:val="left"/>
      <w:pPr>
        <w:ind w:left="2495" w:hanging="464"/>
      </w:pPr>
      <w:rPr>
        <w:rFonts w:hint="default"/>
        <w:lang w:val="en-US" w:eastAsia="en-US" w:bidi="ar-SA"/>
      </w:rPr>
    </w:lvl>
    <w:lvl w:ilvl="2" w:tplc="DF1E099A">
      <w:numFmt w:val="bullet"/>
      <w:lvlText w:val="•"/>
      <w:lvlJc w:val="left"/>
      <w:pPr>
        <w:ind w:left="3446" w:hanging="464"/>
      </w:pPr>
      <w:rPr>
        <w:rFonts w:hint="default"/>
        <w:lang w:val="en-US" w:eastAsia="en-US" w:bidi="ar-SA"/>
      </w:rPr>
    </w:lvl>
    <w:lvl w:ilvl="3" w:tplc="B4EC6092">
      <w:numFmt w:val="bullet"/>
      <w:lvlText w:val="•"/>
      <w:lvlJc w:val="left"/>
      <w:pPr>
        <w:ind w:left="4396" w:hanging="464"/>
      </w:pPr>
      <w:rPr>
        <w:rFonts w:hint="default"/>
        <w:lang w:val="en-US" w:eastAsia="en-US" w:bidi="ar-SA"/>
      </w:rPr>
    </w:lvl>
    <w:lvl w:ilvl="4" w:tplc="4DF07A10">
      <w:numFmt w:val="bullet"/>
      <w:lvlText w:val="•"/>
      <w:lvlJc w:val="left"/>
      <w:pPr>
        <w:ind w:left="5347" w:hanging="464"/>
      </w:pPr>
      <w:rPr>
        <w:rFonts w:hint="default"/>
        <w:lang w:val="en-US" w:eastAsia="en-US" w:bidi="ar-SA"/>
      </w:rPr>
    </w:lvl>
    <w:lvl w:ilvl="5" w:tplc="47B2DD5A">
      <w:numFmt w:val="bullet"/>
      <w:lvlText w:val="•"/>
      <w:lvlJc w:val="left"/>
      <w:pPr>
        <w:ind w:left="6298" w:hanging="464"/>
      </w:pPr>
      <w:rPr>
        <w:rFonts w:hint="default"/>
        <w:lang w:val="en-US" w:eastAsia="en-US" w:bidi="ar-SA"/>
      </w:rPr>
    </w:lvl>
    <w:lvl w:ilvl="6" w:tplc="6784A4AC">
      <w:numFmt w:val="bullet"/>
      <w:lvlText w:val="•"/>
      <w:lvlJc w:val="left"/>
      <w:pPr>
        <w:ind w:left="7248" w:hanging="464"/>
      </w:pPr>
      <w:rPr>
        <w:rFonts w:hint="default"/>
        <w:lang w:val="en-US" w:eastAsia="en-US" w:bidi="ar-SA"/>
      </w:rPr>
    </w:lvl>
    <w:lvl w:ilvl="7" w:tplc="DD300294">
      <w:numFmt w:val="bullet"/>
      <w:lvlText w:val="•"/>
      <w:lvlJc w:val="left"/>
      <w:pPr>
        <w:ind w:left="8199" w:hanging="464"/>
      </w:pPr>
      <w:rPr>
        <w:rFonts w:hint="default"/>
        <w:lang w:val="en-US" w:eastAsia="en-US" w:bidi="ar-SA"/>
      </w:rPr>
    </w:lvl>
    <w:lvl w:ilvl="8" w:tplc="31AE3BF2">
      <w:numFmt w:val="bullet"/>
      <w:lvlText w:val="•"/>
      <w:lvlJc w:val="left"/>
      <w:pPr>
        <w:ind w:left="9150" w:hanging="464"/>
      </w:pPr>
      <w:rPr>
        <w:rFonts w:hint="default"/>
        <w:lang w:val="en-US" w:eastAsia="en-US" w:bidi="ar-SA"/>
      </w:rPr>
    </w:lvl>
  </w:abstractNum>
  <w:abstractNum w:abstractNumId="48" w15:restartNumberingAfterBreak="0">
    <w:nsid w:val="2F7313AB"/>
    <w:multiLevelType w:val="hybridMultilevel"/>
    <w:tmpl w:val="12DA9C6C"/>
    <w:lvl w:ilvl="0" w:tplc="0B96F998">
      <w:numFmt w:val="bullet"/>
      <w:lvlText w:val="—"/>
      <w:lvlJc w:val="left"/>
      <w:pPr>
        <w:ind w:left="391" w:hanging="284"/>
      </w:pPr>
      <w:rPr>
        <w:rFonts w:ascii="Times New Roman" w:eastAsia="Times New Roman" w:hAnsi="Times New Roman" w:cs="Times New Roman" w:hint="default"/>
        <w:w w:val="99"/>
        <w:sz w:val="20"/>
        <w:szCs w:val="20"/>
        <w:lang w:val="en-GB" w:eastAsia="en-GB" w:bidi="en-GB"/>
      </w:rPr>
    </w:lvl>
    <w:lvl w:ilvl="1" w:tplc="E6A040EE">
      <w:numFmt w:val="bullet"/>
      <w:lvlText w:val="•"/>
      <w:lvlJc w:val="left"/>
      <w:pPr>
        <w:ind w:left="1022" w:hanging="284"/>
      </w:pPr>
      <w:rPr>
        <w:rFonts w:hint="default"/>
        <w:lang w:val="en-GB" w:eastAsia="en-GB" w:bidi="en-GB"/>
      </w:rPr>
    </w:lvl>
    <w:lvl w:ilvl="2" w:tplc="3E886D14">
      <w:numFmt w:val="bullet"/>
      <w:lvlText w:val="•"/>
      <w:lvlJc w:val="left"/>
      <w:pPr>
        <w:ind w:left="1644" w:hanging="284"/>
      </w:pPr>
      <w:rPr>
        <w:rFonts w:hint="default"/>
        <w:lang w:val="en-GB" w:eastAsia="en-GB" w:bidi="en-GB"/>
      </w:rPr>
    </w:lvl>
    <w:lvl w:ilvl="3" w:tplc="3A22B118">
      <w:numFmt w:val="bullet"/>
      <w:lvlText w:val="•"/>
      <w:lvlJc w:val="left"/>
      <w:pPr>
        <w:ind w:left="2266" w:hanging="284"/>
      </w:pPr>
      <w:rPr>
        <w:rFonts w:hint="default"/>
        <w:lang w:val="en-GB" w:eastAsia="en-GB" w:bidi="en-GB"/>
      </w:rPr>
    </w:lvl>
    <w:lvl w:ilvl="4" w:tplc="9BE2A6F6">
      <w:numFmt w:val="bullet"/>
      <w:lvlText w:val="•"/>
      <w:lvlJc w:val="left"/>
      <w:pPr>
        <w:ind w:left="2888" w:hanging="284"/>
      </w:pPr>
      <w:rPr>
        <w:rFonts w:hint="default"/>
        <w:lang w:val="en-GB" w:eastAsia="en-GB" w:bidi="en-GB"/>
      </w:rPr>
    </w:lvl>
    <w:lvl w:ilvl="5" w:tplc="DA2AFD68">
      <w:numFmt w:val="bullet"/>
      <w:lvlText w:val="•"/>
      <w:lvlJc w:val="left"/>
      <w:pPr>
        <w:ind w:left="3510" w:hanging="284"/>
      </w:pPr>
      <w:rPr>
        <w:rFonts w:hint="default"/>
        <w:lang w:val="en-GB" w:eastAsia="en-GB" w:bidi="en-GB"/>
      </w:rPr>
    </w:lvl>
    <w:lvl w:ilvl="6" w:tplc="3E9EAEFC">
      <w:numFmt w:val="bullet"/>
      <w:lvlText w:val="•"/>
      <w:lvlJc w:val="left"/>
      <w:pPr>
        <w:ind w:left="4132" w:hanging="284"/>
      </w:pPr>
      <w:rPr>
        <w:rFonts w:hint="default"/>
        <w:lang w:val="en-GB" w:eastAsia="en-GB" w:bidi="en-GB"/>
      </w:rPr>
    </w:lvl>
    <w:lvl w:ilvl="7" w:tplc="8FBCC48C">
      <w:numFmt w:val="bullet"/>
      <w:lvlText w:val="•"/>
      <w:lvlJc w:val="left"/>
      <w:pPr>
        <w:ind w:left="4754" w:hanging="284"/>
      </w:pPr>
      <w:rPr>
        <w:rFonts w:hint="default"/>
        <w:lang w:val="en-GB" w:eastAsia="en-GB" w:bidi="en-GB"/>
      </w:rPr>
    </w:lvl>
    <w:lvl w:ilvl="8" w:tplc="E8FCC0CC">
      <w:numFmt w:val="bullet"/>
      <w:lvlText w:val="•"/>
      <w:lvlJc w:val="left"/>
      <w:pPr>
        <w:ind w:left="5376" w:hanging="284"/>
      </w:pPr>
      <w:rPr>
        <w:rFonts w:hint="default"/>
        <w:lang w:val="en-GB" w:eastAsia="en-GB" w:bidi="en-GB"/>
      </w:rPr>
    </w:lvl>
  </w:abstractNum>
  <w:abstractNum w:abstractNumId="49" w15:restartNumberingAfterBreak="0">
    <w:nsid w:val="30E1666A"/>
    <w:multiLevelType w:val="hybridMultilevel"/>
    <w:tmpl w:val="E81287C0"/>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9C341376">
      <w:numFmt w:val="bullet"/>
      <w:lvlText w:val="•"/>
      <w:lvlJc w:val="left"/>
      <w:pPr>
        <w:ind w:left="591" w:hanging="252"/>
      </w:pPr>
      <w:rPr>
        <w:rFonts w:hint="default"/>
        <w:lang w:val="en-GB" w:eastAsia="en-GB" w:bidi="en-GB"/>
      </w:rPr>
    </w:lvl>
    <w:lvl w:ilvl="2" w:tplc="F0E4E76E">
      <w:numFmt w:val="bullet"/>
      <w:lvlText w:val="•"/>
      <w:lvlJc w:val="left"/>
      <w:pPr>
        <w:ind w:left="762" w:hanging="252"/>
      </w:pPr>
      <w:rPr>
        <w:rFonts w:hint="default"/>
        <w:lang w:val="en-GB" w:eastAsia="en-GB" w:bidi="en-GB"/>
      </w:rPr>
    </w:lvl>
    <w:lvl w:ilvl="3" w:tplc="22660A86">
      <w:numFmt w:val="bullet"/>
      <w:lvlText w:val="•"/>
      <w:lvlJc w:val="left"/>
      <w:pPr>
        <w:ind w:left="934" w:hanging="252"/>
      </w:pPr>
      <w:rPr>
        <w:rFonts w:hint="default"/>
        <w:lang w:val="en-GB" w:eastAsia="en-GB" w:bidi="en-GB"/>
      </w:rPr>
    </w:lvl>
    <w:lvl w:ilvl="4" w:tplc="21C04DC4">
      <w:numFmt w:val="bullet"/>
      <w:lvlText w:val="•"/>
      <w:lvlJc w:val="left"/>
      <w:pPr>
        <w:ind w:left="1105" w:hanging="252"/>
      </w:pPr>
      <w:rPr>
        <w:rFonts w:hint="default"/>
        <w:lang w:val="en-GB" w:eastAsia="en-GB" w:bidi="en-GB"/>
      </w:rPr>
    </w:lvl>
    <w:lvl w:ilvl="5" w:tplc="A7921E4E">
      <w:numFmt w:val="bullet"/>
      <w:lvlText w:val="•"/>
      <w:lvlJc w:val="left"/>
      <w:pPr>
        <w:ind w:left="1277" w:hanging="252"/>
      </w:pPr>
      <w:rPr>
        <w:rFonts w:hint="default"/>
        <w:lang w:val="en-GB" w:eastAsia="en-GB" w:bidi="en-GB"/>
      </w:rPr>
    </w:lvl>
    <w:lvl w:ilvl="6" w:tplc="E31E8EA4">
      <w:numFmt w:val="bullet"/>
      <w:lvlText w:val="•"/>
      <w:lvlJc w:val="left"/>
      <w:pPr>
        <w:ind w:left="1448" w:hanging="252"/>
      </w:pPr>
      <w:rPr>
        <w:rFonts w:hint="default"/>
        <w:lang w:val="en-GB" w:eastAsia="en-GB" w:bidi="en-GB"/>
      </w:rPr>
    </w:lvl>
    <w:lvl w:ilvl="7" w:tplc="BC12B0C0">
      <w:numFmt w:val="bullet"/>
      <w:lvlText w:val="•"/>
      <w:lvlJc w:val="left"/>
      <w:pPr>
        <w:ind w:left="1619" w:hanging="252"/>
      </w:pPr>
      <w:rPr>
        <w:rFonts w:hint="default"/>
        <w:lang w:val="en-GB" w:eastAsia="en-GB" w:bidi="en-GB"/>
      </w:rPr>
    </w:lvl>
    <w:lvl w:ilvl="8" w:tplc="47EEF8A6">
      <w:numFmt w:val="bullet"/>
      <w:lvlText w:val="•"/>
      <w:lvlJc w:val="left"/>
      <w:pPr>
        <w:ind w:left="1791" w:hanging="252"/>
      </w:pPr>
      <w:rPr>
        <w:rFonts w:hint="default"/>
        <w:lang w:val="en-GB" w:eastAsia="en-GB" w:bidi="en-GB"/>
      </w:rPr>
    </w:lvl>
  </w:abstractNum>
  <w:abstractNum w:abstractNumId="50" w15:restartNumberingAfterBreak="0">
    <w:nsid w:val="31332396"/>
    <w:multiLevelType w:val="hybridMultilevel"/>
    <w:tmpl w:val="F19EBDE4"/>
    <w:lvl w:ilvl="0" w:tplc="580632B8">
      <w:start w:val="1"/>
      <w:numFmt w:val="upperRoman"/>
      <w:lvlText w:val="%1."/>
      <w:lvlJc w:val="left"/>
      <w:pPr>
        <w:ind w:left="933" w:hanging="479"/>
        <w:jc w:val="right"/>
      </w:pPr>
      <w:rPr>
        <w:rFonts w:ascii="Times New Roman" w:eastAsia="Times New Roman" w:hAnsi="Times New Roman" w:cs="Times New Roman" w:hint="default"/>
        <w:w w:val="99"/>
        <w:sz w:val="20"/>
        <w:szCs w:val="20"/>
        <w:lang w:val="en-US" w:eastAsia="en-US" w:bidi="ar-SA"/>
      </w:rPr>
    </w:lvl>
    <w:lvl w:ilvl="1" w:tplc="23328BD8">
      <w:start w:val="1"/>
      <w:numFmt w:val="upperRoman"/>
      <w:lvlText w:val="%2."/>
      <w:lvlJc w:val="left"/>
      <w:pPr>
        <w:ind w:left="478" w:hanging="478"/>
        <w:jc w:val="right"/>
      </w:pPr>
      <w:rPr>
        <w:rFonts w:ascii="Times New Roman" w:eastAsia="Times New Roman" w:hAnsi="Times New Roman" w:cs="Times New Roman" w:hint="default"/>
        <w:w w:val="99"/>
        <w:sz w:val="20"/>
        <w:szCs w:val="20"/>
        <w:lang w:val="en-US" w:eastAsia="en-US" w:bidi="ar-SA"/>
      </w:rPr>
    </w:lvl>
    <w:lvl w:ilvl="2" w:tplc="441EC886">
      <w:numFmt w:val="bullet"/>
      <w:lvlText w:val="•"/>
      <w:lvlJc w:val="left"/>
      <w:pPr>
        <w:ind w:left="3220" w:hanging="478"/>
      </w:pPr>
      <w:rPr>
        <w:rFonts w:hint="default"/>
        <w:lang w:val="en-US" w:eastAsia="en-US" w:bidi="ar-SA"/>
      </w:rPr>
    </w:lvl>
    <w:lvl w:ilvl="3" w:tplc="5C94EBB8">
      <w:numFmt w:val="bullet"/>
      <w:lvlText w:val="•"/>
      <w:lvlJc w:val="left"/>
      <w:pPr>
        <w:ind w:left="4141" w:hanging="478"/>
      </w:pPr>
      <w:rPr>
        <w:rFonts w:hint="default"/>
        <w:lang w:val="en-US" w:eastAsia="en-US" w:bidi="ar-SA"/>
      </w:rPr>
    </w:lvl>
    <w:lvl w:ilvl="4" w:tplc="9F702B62">
      <w:numFmt w:val="bullet"/>
      <w:lvlText w:val="•"/>
      <w:lvlJc w:val="left"/>
      <w:pPr>
        <w:ind w:left="5062" w:hanging="478"/>
      </w:pPr>
      <w:rPr>
        <w:rFonts w:hint="default"/>
        <w:lang w:val="en-US" w:eastAsia="en-US" w:bidi="ar-SA"/>
      </w:rPr>
    </w:lvl>
    <w:lvl w:ilvl="5" w:tplc="C8ECC40A">
      <w:numFmt w:val="bullet"/>
      <w:lvlText w:val="•"/>
      <w:lvlJc w:val="left"/>
      <w:pPr>
        <w:ind w:left="5982" w:hanging="478"/>
      </w:pPr>
      <w:rPr>
        <w:rFonts w:hint="default"/>
        <w:lang w:val="en-US" w:eastAsia="en-US" w:bidi="ar-SA"/>
      </w:rPr>
    </w:lvl>
    <w:lvl w:ilvl="6" w:tplc="38F6AB00">
      <w:numFmt w:val="bullet"/>
      <w:lvlText w:val="•"/>
      <w:lvlJc w:val="left"/>
      <w:pPr>
        <w:ind w:left="6903" w:hanging="478"/>
      </w:pPr>
      <w:rPr>
        <w:rFonts w:hint="default"/>
        <w:lang w:val="en-US" w:eastAsia="en-US" w:bidi="ar-SA"/>
      </w:rPr>
    </w:lvl>
    <w:lvl w:ilvl="7" w:tplc="C76AB01E">
      <w:numFmt w:val="bullet"/>
      <w:lvlText w:val="•"/>
      <w:lvlJc w:val="left"/>
      <w:pPr>
        <w:ind w:left="7824" w:hanging="478"/>
      </w:pPr>
      <w:rPr>
        <w:rFonts w:hint="default"/>
        <w:lang w:val="en-US" w:eastAsia="en-US" w:bidi="ar-SA"/>
      </w:rPr>
    </w:lvl>
    <w:lvl w:ilvl="8" w:tplc="185278D4">
      <w:numFmt w:val="bullet"/>
      <w:lvlText w:val="•"/>
      <w:lvlJc w:val="left"/>
      <w:pPr>
        <w:ind w:left="8744" w:hanging="478"/>
      </w:pPr>
      <w:rPr>
        <w:rFonts w:hint="default"/>
        <w:lang w:val="en-US" w:eastAsia="en-US" w:bidi="ar-SA"/>
      </w:rPr>
    </w:lvl>
  </w:abstractNum>
  <w:abstractNum w:abstractNumId="51"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32E5413D"/>
    <w:multiLevelType w:val="hybridMultilevel"/>
    <w:tmpl w:val="B1CA3BD4"/>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816A5A0E">
      <w:numFmt w:val="bullet"/>
      <w:lvlText w:val="•"/>
      <w:lvlJc w:val="left"/>
      <w:pPr>
        <w:ind w:left="591" w:hanging="252"/>
      </w:pPr>
      <w:rPr>
        <w:rFonts w:hint="default"/>
        <w:lang w:val="en-GB" w:eastAsia="en-GB" w:bidi="en-GB"/>
      </w:rPr>
    </w:lvl>
    <w:lvl w:ilvl="2" w:tplc="273A2FBC">
      <w:numFmt w:val="bullet"/>
      <w:lvlText w:val="•"/>
      <w:lvlJc w:val="left"/>
      <w:pPr>
        <w:ind w:left="762" w:hanging="252"/>
      </w:pPr>
      <w:rPr>
        <w:rFonts w:hint="default"/>
        <w:lang w:val="en-GB" w:eastAsia="en-GB" w:bidi="en-GB"/>
      </w:rPr>
    </w:lvl>
    <w:lvl w:ilvl="3" w:tplc="980A4748">
      <w:numFmt w:val="bullet"/>
      <w:lvlText w:val="•"/>
      <w:lvlJc w:val="left"/>
      <w:pPr>
        <w:ind w:left="934" w:hanging="252"/>
      </w:pPr>
      <w:rPr>
        <w:rFonts w:hint="default"/>
        <w:lang w:val="en-GB" w:eastAsia="en-GB" w:bidi="en-GB"/>
      </w:rPr>
    </w:lvl>
    <w:lvl w:ilvl="4" w:tplc="FDE6FF64">
      <w:numFmt w:val="bullet"/>
      <w:lvlText w:val="•"/>
      <w:lvlJc w:val="left"/>
      <w:pPr>
        <w:ind w:left="1105" w:hanging="252"/>
      </w:pPr>
      <w:rPr>
        <w:rFonts w:hint="default"/>
        <w:lang w:val="en-GB" w:eastAsia="en-GB" w:bidi="en-GB"/>
      </w:rPr>
    </w:lvl>
    <w:lvl w:ilvl="5" w:tplc="33CC8C5A">
      <w:numFmt w:val="bullet"/>
      <w:lvlText w:val="•"/>
      <w:lvlJc w:val="left"/>
      <w:pPr>
        <w:ind w:left="1277" w:hanging="252"/>
      </w:pPr>
      <w:rPr>
        <w:rFonts w:hint="default"/>
        <w:lang w:val="en-GB" w:eastAsia="en-GB" w:bidi="en-GB"/>
      </w:rPr>
    </w:lvl>
    <w:lvl w:ilvl="6" w:tplc="FD485B6A">
      <w:numFmt w:val="bullet"/>
      <w:lvlText w:val="•"/>
      <w:lvlJc w:val="left"/>
      <w:pPr>
        <w:ind w:left="1448" w:hanging="252"/>
      </w:pPr>
      <w:rPr>
        <w:rFonts w:hint="default"/>
        <w:lang w:val="en-GB" w:eastAsia="en-GB" w:bidi="en-GB"/>
      </w:rPr>
    </w:lvl>
    <w:lvl w:ilvl="7" w:tplc="590471E4">
      <w:numFmt w:val="bullet"/>
      <w:lvlText w:val="•"/>
      <w:lvlJc w:val="left"/>
      <w:pPr>
        <w:ind w:left="1619" w:hanging="252"/>
      </w:pPr>
      <w:rPr>
        <w:rFonts w:hint="default"/>
        <w:lang w:val="en-GB" w:eastAsia="en-GB" w:bidi="en-GB"/>
      </w:rPr>
    </w:lvl>
    <w:lvl w:ilvl="8" w:tplc="B52CEF8E">
      <w:numFmt w:val="bullet"/>
      <w:lvlText w:val="•"/>
      <w:lvlJc w:val="left"/>
      <w:pPr>
        <w:ind w:left="1791" w:hanging="252"/>
      </w:pPr>
      <w:rPr>
        <w:rFonts w:hint="default"/>
        <w:lang w:val="en-GB" w:eastAsia="en-GB" w:bidi="en-GB"/>
      </w:rPr>
    </w:lvl>
  </w:abstractNum>
  <w:abstractNum w:abstractNumId="53" w15:restartNumberingAfterBreak="0">
    <w:nsid w:val="333705FD"/>
    <w:multiLevelType w:val="hybridMultilevel"/>
    <w:tmpl w:val="2A4AE49C"/>
    <w:lvl w:ilvl="0" w:tplc="CF78D44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3785185"/>
    <w:multiLevelType w:val="hybridMultilevel"/>
    <w:tmpl w:val="62C83170"/>
    <w:lvl w:ilvl="0" w:tplc="DC924FC8">
      <w:start w:val="1"/>
      <w:numFmt w:val="decimal"/>
      <w:lvlText w:val="(%1)"/>
      <w:lvlJc w:val="left"/>
      <w:pPr>
        <w:ind w:left="352" w:hanging="245"/>
      </w:pPr>
      <w:rPr>
        <w:rFonts w:ascii="Times New Roman" w:eastAsia="Times New Roman" w:hAnsi="Times New Roman" w:cs="Times New Roman" w:hint="default"/>
        <w:w w:val="99"/>
        <w:sz w:val="18"/>
        <w:szCs w:val="18"/>
        <w:lang w:val="en-US" w:eastAsia="en-US" w:bidi="ar-SA"/>
      </w:rPr>
    </w:lvl>
    <w:lvl w:ilvl="1" w:tplc="2AB277E4">
      <w:numFmt w:val="bullet"/>
      <w:lvlText w:val="•"/>
      <w:lvlJc w:val="left"/>
      <w:pPr>
        <w:ind w:left="1077" w:hanging="245"/>
      </w:pPr>
      <w:rPr>
        <w:rFonts w:hint="default"/>
        <w:lang w:val="en-US" w:eastAsia="en-US" w:bidi="ar-SA"/>
      </w:rPr>
    </w:lvl>
    <w:lvl w:ilvl="2" w:tplc="DD2EBE52">
      <w:numFmt w:val="bullet"/>
      <w:lvlText w:val="•"/>
      <w:lvlJc w:val="left"/>
      <w:pPr>
        <w:ind w:left="1795" w:hanging="245"/>
      </w:pPr>
      <w:rPr>
        <w:rFonts w:hint="default"/>
        <w:lang w:val="en-US" w:eastAsia="en-US" w:bidi="ar-SA"/>
      </w:rPr>
    </w:lvl>
    <w:lvl w:ilvl="3" w:tplc="C45447C6">
      <w:numFmt w:val="bullet"/>
      <w:lvlText w:val="•"/>
      <w:lvlJc w:val="left"/>
      <w:pPr>
        <w:ind w:left="2512" w:hanging="245"/>
      </w:pPr>
      <w:rPr>
        <w:rFonts w:hint="default"/>
        <w:lang w:val="en-US" w:eastAsia="en-US" w:bidi="ar-SA"/>
      </w:rPr>
    </w:lvl>
    <w:lvl w:ilvl="4" w:tplc="C874C6EA">
      <w:numFmt w:val="bullet"/>
      <w:lvlText w:val="•"/>
      <w:lvlJc w:val="left"/>
      <w:pPr>
        <w:ind w:left="3230" w:hanging="245"/>
      </w:pPr>
      <w:rPr>
        <w:rFonts w:hint="default"/>
        <w:lang w:val="en-US" w:eastAsia="en-US" w:bidi="ar-SA"/>
      </w:rPr>
    </w:lvl>
    <w:lvl w:ilvl="5" w:tplc="AF107E7A">
      <w:numFmt w:val="bullet"/>
      <w:lvlText w:val="•"/>
      <w:lvlJc w:val="left"/>
      <w:pPr>
        <w:ind w:left="3947" w:hanging="245"/>
      </w:pPr>
      <w:rPr>
        <w:rFonts w:hint="default"/>
        <w:lang w:val="en-US" w:eastAsia="en-US" w:bidi="ar-SA"/>
      </w:rPr>
    </w:lvl>
    <w:lvl w:ilvl="6" w:tplc="93E8A774">
      <w:numFmt w:val="bullet"/>
      <w:lvlText w:val="•"/>
      <w:lvlJc w:val="left"/>
      <w:pPr>
        <w:ind w:left="4665" w:hanging="245"/>
      </w:pPr>
      <w:rPr>
        <w:rFonts w:hint="default"/>
        <w:lang w:val="en-US" w:eastAsia="en-US" w:bidi="ar-SA"/>
      </w:rPr>
    </w:lvl>
    <w:lvl w:ilvl="7" w:tplc="B7189124">
      <w:numFmt w:val="bullet"/>
      <w:lvlText w:val="•"/>
      <w:lvlJc w:val="left"/>
      <w:pPr>
        <w:ind w:left="5382" w:hanging="245"/>
      </w:pPr>
      <w:rPr>
        <w:rFonts w:hint="default"/>
        <w:lang w:val="en-US" w:eastAsia="en-US" w:bidi="ar-SA"/>
      </w:rPr>
    </w:lvl>
    <w:lvl w:ilvl="8" w:tplc="7FB6E286">
      <w:numFmt w:val="bullet"/>
      <w:lvlText w:val="•"/>
      <w:lvlJc w:val="left"/>
      <w:pPr>
        <w:ind w:left="6100" w:hanging="245"/>
      </w:pPr>
      <w:rPr>
        <w:rFonts w:hint="default"/>
        <w:lang w:val="en-US" w:eastAsia="en-US" w:bidi="ar-SA"/>
      </w:rPr>
    </w:lvl>
  </w:abstractNum>
  <w:abstractNum w:abstractNumId="55" w15:restartNumberingAfterBreak="0">
    <w:nsid w:val="35095B95"/>
    <w:multiLevelType w:val="hybridMultilevel"/>
    <w:tmpl w:val="0ED69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5386AA1"/>
    <w:multiLevelType w:val="hybridMultilevel"/>
    <w:tmpl w:val="F79CA62A"/>
    <w:lvl w:ilvl="0" w:tplc="06E85B2E">
      <w:numFmt w:val="bullet"/>
      <w:lvlText w:val=""/>
      <w:lvlJc w:val="left"/>
      <w:pPr>
        <w:ind w:left="899" w:hanging="567"/>
      </w:pPr>
      <w:rPr>
        <w:rFonts w:ascii="Symbol" w:eastAsia="Symbol" w:hAnsi="Symbol" w:cs="Symbol" w:hint="default"/>
        <w:w w:val="100"/>
        <w:sz w:val="22"/>
        <w:szCs w:val="22"/>
        <w:lang w:val="en-US" w:eastAsia="en-US" w:bidi="ar-SA"/>
      </w:rPr>
    </w:lvl>
    <w:lvl w:ilvl="1" w:tplc="5B2C133E">
      <w:numFmt w:val="bullet"/>
      <w:lvlText w:val=""/>
      <w:lvlJc w:val="left"/>
      <w:pPr>
        <w:ind w:left="1259" w:hanging="567"/>
      </w:pPr>
      <w:rPr>
        <w:rFonts w:ascii="Symbol" w:eastAsia="Symbol" w:hAnsi="Symbol" w:cs="Symbol" w:hint="default"/>
        <w:w w:val="100"/>
        <w:sz w:val="22"/>
        <w:szCs w:val="22"/>
        <w:lang w:val="en-US" w:eastAsia="en-US" w:bidi="ar-SA"/>
      </w:rPr>
    </w:lvl>
    <w:lvl w:ilvl="2" w:tplc="7F1CCD3E">
      <w:numFmt w:val="bullet"/>
      <w:lvlText w:val=""/>
      <w:lvlJc w:val="left"/>
      <w:pPr>
        <w:ind w:left="2394" w:hanging="567"/>
      </w:pPr>
      <w:rPr>
        <w:rFonts w:ascii="Symbol" w:eastAsia="Symbol" w:hAnsi="Symbol" w:cs="Symbol" w:hint="default"/>
        <w:w w:val="100"/>
        <w:sz w:val="22"/>
        <w:szCs w:val="22"/>
        <w:lang w:val="en-US" w:eastAsia="en-US" w:bidi="ar-SA"/>
      </w:rPr>
    </w:lvl>
    <w:lvl w:ilvl="3" w:tplc="5C582F18">
      <w:numFmt w:val="bullet"/>
      <w:lvlText w:val="◦"/>
      <w:lvlJc w:val="left"/>
      <w:pPr>
        <w:ind w:left="2721" w:hanging="567"/>
      </w:pPr>
      <w:rPr>
        <w:rFonts w:ascii="Courier New" w:eastAsia="Courier New" w:hAnsi="Courier New" w:cs="Courier New" w:hint="default"/>
        <w:w w:val="100"/>
        <w:sz w:val="22"/>
        <w:szCs w:val="22"/>
        <w:lang w:val="en-US" w:eastAsia="en-US" w:bidi="ar-SA"/>
      </w:rPr>
    </w:lvl>
    <w:lvl w:ilvl="4" w:tplc="35B27DE2">
      <w:numFmt w:val="bullet"/>
      <w:lvlText w:val="•"/>
      <w:lvlJc w:val="left"/>
      <w:pPr>
        <w:ind w:left="2120" w:hanging="567"/>
      </w:pPr>
      <w:rPr>
        <w:rFonts w:hint="default"/>
        <w:lang w:val="en-US" w:eastAsia="en-US" w:bidi="ar-SA"/>
      </w:rPr>
    </w:lvl>
    <w:lvl w:ilvl="5" w:tplc="E0EA24D4">
      <w:numFmt w:val="bullet"/>
      <w:lvlText w:val="•"/>
      <w:lvlJc w:val="left"/>
      <w:pPr>
        <w:ind w:left="2160" w:hanging="567"/>
      </w:pPr>
      <w:rPr>
        <w:rFonts w:hint="default"/>
        <w:lang w:val="en-US" w:eastAsia="en-US" w:bidi="ar-SA"/>
      </w:rPr>
    </w:lvl>
    <w:lvl w:ilvl="6" w:tplc="417A72BE">
      <w:numFmt w:val="bullet"/>
      <w:lvlText w:val="•"/>
      <w:lvlJc w:val="left"/>
      <w:pPr>
        <w:ind w:left="2400" w:hanging="567"/>
      </w:pPr>
      <w:rPr>
        <w:rFonts w:hint="default"/>
        <w:lang w:val="en-US" w:eastAsia="en-US" w:bidi="ar-SA"/>
      </w:rPr>
    </w:lvl>
    <w:lvl w:ilvl="7" w:tplc="83329076">
      <w:numFmt w:val="bullet"/>
      <w:lvlText w:val="•"/>
      <w:lvlJc w:val="left"/>
      <w:pPr>
        <w:ind w:left="2720" w:hanging="567"/>
      </w:pPr>
      <w:rPr>
        <w:rFonts w:hint="default"/>
        <w:lang w:val="en-US" w:eastAsia="en-US" w:bidi="ar-SA"/>
      </w:rPr>
    </w:lvl>
    <w:lvl w:ilvl="8" w:tplc="A592469C">
      <w:numFmt w:val="bullet"/>
      <w:lvlText w:val="•"/>
      <w:lvlJc w:val="left"/>
      <w:pPr>
        <w:ind w:left="5242" w:hanging="567"/>
      </w:pPr>
      <w:rPr>
        <w:rFonts w:hint="default"/>
        <w:lang w:val="en-US" w:eastAsia="en-US" w:bidi="ar-SA"/>
      </w:rPr>
    </w:lvl>
  </w:abstractNum>
  <w:abstractNum w:abstractNumId="57" w15:restartNumberingAfterBreak="0">
    <w:nsid w:val="35D43A7B"/>
    <w:multiLevelType w:val="hybridMultilevel"/>
    <w:tmpl w:val="A5F88EAE"/>
    <w:lvl w:ilvl="0" w:tplc="48F2C0F6">
      <w:start w:val="1"/>
      <w:numFmt w:val="lowerLetter"/>
      <w:lvlText w:val="(%1)"/>
      <w:lvlJc w:val="left"/>
      <w:pPr>
        <w:ind w:left="467" w:hanging="360"/>
      </w:pPr>
      <w:rPr>
        <w:rFonts w:ascii="Times New Roman" w:eastAsia="Times New Roman" w:hAnsi="Times New Roman" w:cs="Times New Roman" w:hint="default"/>
        <w:w w:val="99"/>
        <w:sz w:val="20"/>
        <w:szCs w:val="20"/>
        <w:lang w:val="en-US" w:eastAsia="en-US" w:bidi="ar-SA"/>
      </w:rPr>
    </w:lvl>
    <w:lvl w:ilvl="1" w:tplc="288CE1BA">
      <w:numFmt w:val="bullet"/>
      <w:lvlText w:val="•"/>
      <w:lvlJc w:val="left"/>
      <w:pPr>
        <w:ind w:left="1256" w:hanging="360"/>
      </w:pPr>
      <w:rPr>
        <w:rFonts w:hint="default"/>
        <w:lang w:val="en-US" w:eastAsia="en-US" w:bidi="ar-SA"/>
      </w:rPr>
    </w:lvl>
    <w:lvl w:ilvl="2" w:tplc="5786162A">
      <w:numFmt w:val="bullet"/>
      <w:lvlText w:val="•"/>
      <w:lvlJc w:val="left"/>
      <w:pPr>
        <w:ind w:left="2053" w:hanging="360"/>
      </w:pPr>
      <w:rPr>
        <w:rFonts w:hint="default"/>
        <w:lang w:val="en-US" w:eastAsia="en-US" w:bidi="ar-SA"/>
      </w:rPr>
    </w:lvl>
    <w:lvl w:ilvl="3" w:tplc="C07E2916">
      <w:numFmt w:val="bullet"/>
      <w:lvlText w:val="•"/>
      <w:lvlJc w:val="left"/>
      <w:pPr>
        <w:ind w:left="2849" w:hanging="360"/>
      </w:pPr>
      <w:rPr>
        <w:rFonts w:hint="default"/>
        <w:lang w:val="en-US" w:eastAsia="en-US" w:bidi="ar-SA"/>
      </w:rPr>
    </w:lvl>
    <w:lvl w:ilvl="4" w:tplc="A38A7D90">
      <w:numFmt w:val="bullet"/>
      <w:lvlText w:val="•"/>
      <w:lvlJc w:val="left"/>
      <w:pPr>
        <w:ind w:left="3646" w:hanging="360"/>
      </w:pPr>
      <w:rPr>
        <w:rFonts w:hint="default"/>
        <w:lang w:val="en-US" w:eastAsia="en-US" w:bidi="ar-SA"/>
      </w:rPr>
    </w:lvl>
    <w:lvl w:ilvl="5" w:tplc="6CF67150">
      <w:numFmt w:val="bullet"/>
      <w:lvlText w:val="•"/>
      <w:lvlJc w:val="left"/>
      <w:pPr>
        <w:ind w:left="4442" w:hanging="360"/>
      </w:pPr>
      <w:rPr>
        <w:rFonts w:hint="default"/>
        <w:lang w:val="en-US" w:eastAsia="en-US" w:bidi="ar-SA"/>
      </w:rPr>
    </w:lvl>
    <w:lvl w:ilvl="6" w:tplc="A380179C">
      <w:numFmt w:val="bullet"/>
      <w:lvlText w:val="•"/>
      <w:lvlJc w:val="left"/>
      <w:pPr>
        <w:ind w:left="5239" w:hanging="360"/>
      </w:pPr>
      <w:rPr>
        <w:rFonts w:hint="default"/>
        <w:lang w:val="en-US" w:eastAsia="en-US" w:bidi="ar-SA"/>
      </w:rPr>
    </w:lvl>
    <w:lvl w:ilvl="7" w:tplc="2500DF9E">
      <w:numFmt w:val="bullet"/>
      <w:lvlText w:val="•"/>
      <w:lvlJc w:val="left"/>
      <w:pPr>
        <w:ind w:left="6035" w:hanging="360"/>
      </w:pPr>
      <w:rPr>
        <w:rFonts w:hint="default"/>
        <w:lang w:val="en-US" w:eastAsia="en-US" w:bidi="ar-SA"/>
      </w:rPr>
    </w:lvl>
    <w:lvl w:ilvl="8" w:tplc="62689D86">
      <w:numFmt w:val="bullet"/>
      <w:lvlText w:val="•"/>
      <w:lvlJc w:val="left"/>
      <w:pPr>
        <w:ind w:left="6832" w:hanging="360"/>
      </w:pPr>
      <w:rPr>
        <w:rFonts w:hint="default"/>
        <w:lang w:val="en-US" w:eastAsia="en-US" w:bidi="ar-SA"/>
      </w:rPr>
    </w:lvl>
  </w:abstractNum>
  <w:abstractNum w:abstractNumId="58" w15:restartNumberingAfterBreak="0">
    <w:nsid w:val="36CA262D"/>
    <w:multiLevelType w:val="multilevel"/>
    <w:tmpl w:val="F286C7BA"/>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ascii="Times New Roman" w:hAnsi="Times New Roman" w:hint="default"/>
        <w:b/>
        <w:i w:val="0"/>
        <w:sz w:val="24"/>
      </w:rPr>
    </w:lvl>
    <w:lvl w:ilvl="2">
      <w:start w:val="1"/>
      <w:numFmt w:val="decimal"/>
      <w:lvlText w:val="%1.%2.%3"/>
      <w:lvlJc w:val="left"/>
      <w:pPr>
        <w:ind w:left="720" w:hanging="720"/>
      </w:pPr>
      <w:rPr>
        <w:rFonts w:ascii="Times New Roman" w:hAnsi="Times New Roman" w:hint="default"/>
        <w:b/>
        <w:i w:val="0"/>
        <w:sz w:val="24"/>
      </w:rPr>
    </w:lvl>
    <w:lvl w:ilvl="3">
      <w:start w:val="1"/>
      <w:numFmt w:val="decimal"/>
      <w:lvlText w:val="%1.%2.%3.%4"/>
      <w:lvlJc w:val="left"/>
      <w:pPr>
        <w:ind w:left="990" w:hanging="720"/>
      </w:pPr>
      <w:rPr>
        <w:rFonts w:ascii="Times New Roman" w:hAnsi="Times New Roman" w:hint="default"/>
        <w:b/>
        <w:i w:val="0"/>
        <w:sz w:val="24"/>
      </w:rPr>
    </w:lvl>
    <w:lvl w:ilvl="4">
      <w:start w:val="1"/>
      <w:numFmt w:val="decimal"/>
      <w:lvlText w:val="%1.%2.%3.%4.%5"/>
      <w:lvlJc w:val="left"/>
      <w:pPr>
        <w:ind w:left="1440" w:hanging="1080"/>
      </w:pPr>
      <w:rPr>
        <w:rFonts w:ascii="Times New Roman" w:hAnsi="Times New Roman" w:hint="default"/>
        <w:b/>
        <w:i w:val="0"/>
        <w:sz w:val="24"/>
      </w:rPr>
    </w:lvl>
    <w:lvl w:ilvl="5">
      <w:start w:val="1"/>
      <w:numFmt w:val="decimal"/>
      <w:lvlText w:val="%1.%2.%3.%4.%5.%6"/>
      <w:lvlJc w:val="left"/>
      <w:pPr>
        <w:ind w:left="1530" w:hanging="1080"/>
      </w:pPr>
      <w:rPr>
        <w:rFonts w:ascii="Times New Roman" w:hAnsi="Times New Roman" w:hint="default"/>
        <w:b/>
        <w:i w:val="0"/>
        <w:sz w:val="24"/>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9" w15:restartNumberingAfterBreak="0">
    <w:nsid w:val="373C25E1"/>
    <w:multiLevelType w:val="hybridMultilevel"/>
    <w:tmpl w:val="B4F6F5DA"/>
    <w:lvl w:ilvl="0" w:tplc="48F0989E">
      <w:start w:val="1"/>
      <w:numFmt w:val="lowerRoman"/>
      <w:lvlText w:val="%1."/>
      <w:lvlJc w:val="left"/>
      <w:pPr>
        <w:ind w:left="657" w:hanging="365"/>
        <w:jc w:val="right"/>
      </w:pPr>
      <w:rPr>
        <w:rFonts w:ascii="Times New Roman" w:eastAsia="Times New Roman" w:hAnsi="Times New Roman" w:cs="Times New Roman" w:hint="default"/>
        <w:spacing w:val="-1"/>
        <w:w w:val="99"/>
        <w:sz w:val="20"/>
        <w:szCs w:val="20"/>
        <w:lang w:val="en-US" w:eastAsia="en-US" w:bidi="ar-SA"/>
      </w:rPr>
    </w:lvl>
    <w:lvl w:ilvl="1" w:tplc="49547476">
      <w:numFmt w:val="bullet"/>
      <w:lvlText w:val="•"/>
      <w:lvlJc w:val="left"/>
      <w:pPr>
        <w:ind w:left="863" w:hanging="365"/>
      </w:pPr>
      <w:rPr>
        <w:rFonts w:hint="default"/>
        <w:lang w:val="en-US" w:eastAsia="en-US" w:bidi="ar-SA"/>
      </w:rPr>
    </w:lvl>
    <w:lvl w:ilvl="2" w:tplc="6A0CBD38">
      <w:numFmt w:val="bullet"/>
      <w:lvlText w:val="•"/>
      <w:lvlJc w:val="left"/>
      <w:pPr>
        <w:ind w:left="1066" w:hanging="365"/>
      </w:pPr>
      <w:rPr>
        <w:rFonts w:hint="default"/>
        <w:lang w:val="en-US" w:eastAsia="en-US" w:bidi="ar-SA"/>
      </w:rPr>
    </w:lvl>
    <w:lvl w:ilvl="3" w:tplc="8FA2E650">
      <w:numFmt w:val="bullet"/>
      <w:lvlText w:val="•"/>
      <w:lvlJc w:val="left"/>
      <w:pPr>
        <w:ind w:left="1269" w:hanging="365"/>
      </w:pPr>
      <w:rPr>
        <w:rFonts w:hint="default"/>
        <w:lang w:val="en-US" w:eastAsia="en-US" w:bidi="ar-SA"/>
      </w:rPr>
    </w:lvl>
    <w:lvl w:ilvl="4" w:tplc="41328368">
      <w:numFmt w:val="bullet"/>
      <w:lvlText w:val="•"/>
      <w:lvlJc w:val="left"/>
      <w:pPr>
        <w:ind w:left="1473" w:hanging="365"/>
      </w:pPr>
      <w:rPr>
        <w:rFonts w:hint="default"/>
        <w:lang w:val="en-US" w:eastAsia="en-US" w:bidi="ar-SA"/>
      </w:rPr>
    </w:lvl>
    <w:lvl w:ilvl="5" w:tplc="C2AA9E7A">
      <w:numFmt w:val="bullet"/>
      <w:lvlText w:val="•"/>
      <w:lvlJc w:val="left"/>
      <w:pPr>
        <w:ind w:left="1676" w:hanging="365"/>
      </w:pPr>
      <w:rPr>
        <w:rFonts w:hint="default"/>
        <w:lang w:val="en-US" w:eastAsia="en-US" w:bidi="ar-SA"/>
      </w:rPr>
    </w:lvl>
    <w:lvl w:ilvl="6" w:tplc="50BC984E">
      <w:numFmt w:val="bullet"/>
      <w:lvlText w:val="•"/>
      <w:lvlJc w:val="left"/>
      <w:pPr>
        <w:ind w:left="1879" w:hanging="365"/>
      </w:pPr>
      <w:rPr>
        <w:rFonts w:hint="default"/>
        <w:lang w:val="en-US" w:eastAsia="en-US" w:bidi="ar-SA"/>
      </w:rPr>
    </w:lvl>
    <w:lvl w:ilvl="7" w:tplc="8C9A547C">
      <w:numFmt w:val="bullet"/>
      <w:lvlText w:val="•"/>
      <w:lvlJc w:val="left"/>
      <w:pPr>
        <w:ind w:left="2083" w:hanging="365"/>
      </w:pPr>
      <w:rPr>
        <w:rFonts w:hint="default"/>
        <w:lang w:val="en-US" w:eastAsia="en-US" w:bidi="ar-SA"/>
      </w:rPr>
    </w:lvl>
    <w:lvl w:ilvl="8" w:tplc="96BC4E94">
      <w:numFmt w:val="bullet"/>
      <w:lvlText w:val="•"/>
      <w:lvlJc w:val="left"/>
      <w:pPr>
        <w:ind w:left="2286" w:hanging="365"/>
      </w:pPr>
      <w:rPr>
        <w:rFonts w:hint="default"/>
        <w:lang w:val="en-US" w:eastAsia="en-US" w:bidi="ar-SA"/>
      </w:rPr>
    </w:lvl>
  </w:abstractNum>
  <w:abstractNum w:abstractNumId="60" w15:restartNumberingAfterBreak="0">
    <w:nsid w:val="38095ECE"/>
    <w:multiLevelType w:val="hybridMultilevel"/>
    <w:tmpl w:val="CA86F016"/>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E01C3608">
      <w:numFmt w:val="bullet"/>
      <w:lvlText w:val="•"/>
      <w:lvlJc w:val="left"/>
      <w:pPr>
        <w:ind w:left="591" w:hanging="252"/>
      </w:pPr>
      <w:rPr>
        <w:rFonts w:hint="default"/>
        <w:lang w:val="en-GB" w:eastAsia="en-GB" w:bidi="en-GB"/>
      </w:rPr>
    </w:lvl>
    <w:lvl w:ilvl="2" w:tplc="5B6CDA76">
      <w:numFmt w:val="bullet"/>
      <w:lvlText w:val="•"/>
      <w:lvlJc w:val="left"/>
      <w:pPr>
        <w:ind w:left="762" w:hanging="252"/>
      </w:pPr>
      <w:rPr>
        <w:rFonts w:hint="default"/>
        <w:lang w:val="en-GB" w:eastAsia="en-GB" w:bidi="en-GB"/>
      </w:rPr>
    </w:lvl>
    <w:lvl w:ilvl="3" w:tplc="5EC87454">
      <w:numFmt w:val="bullet"/>
      <w:lvlText w:val="•"/>
      <w:lvlJc w:val="left"/>
      <w:pPr>
        <w:ind w:left="933" w:hanging="252"/>
      </w:pPr>
      <w:rPr>
        <w:rFonts w:hint="default"/>
        <w:lang w:val="en-GB" w:eastAsia="en-GB" w:bidi="en-GB"/>
      </w:rPr>
    </w:lvl>
    <w:lvl w:ilvl="4" w:tplc="54A6DCCC">
      <w:numFmt w:val="bullet"/>
      <w:lvlText w:val="•"/>
      <w:lvlJc w:val="left"/>
      <w:pPr>
        <w:ind w:left="1105" w:hanging="252"/>
      </w:pPr>
      <w:rPr>
        <w:rFonts w:hint="default"/>
        <w:lang w:val="en-GB" w:eastAsia="en-GB" w:bidi="en-GB"/>
      </w:rPr>
    </w:lvl>
    <w:lvl w:ilvl="5" w:tplc="1BCCD29E">
      <w:numFmt w:val="bullet"/>
      <w:lvlText w:val="•"/>
      <w:lvlJc w:val="left"/>
      <w:pPr>
        <w:ind w:left="1276" w:hanging="252"/>
      </w:pPr>
      <w:rPr>
        <w:rFonts w:hint="default"/>
        <w:lang w:val="en-GB" w:eastAsia="en-GB" w:bidi="en-GB"/>
      </w:rPr>
    </w:lvl>
    <w:lvl w:ilvl="6" w:tplc="74DA5508">
      <w:numFmt w:val="bullet"/>
      <w:lvlText w:val="•"/>
      <w:lvlJc w:val="left"/>
      <w:pPr>
        <w:ind w:left="1447" w:hanging="252"/>
      </w:pPr>
      <w:rPr>
        <w:rFonts w:hint="default"/>
        <w:lang w:val="en-GB" w:eastAsia="en-GB" w:bidi="en-GB"/>
      </w:rPr>
    </w:lvl>
    <w:lvl w:ilvl="7" w:tplc="6AEAF83C">
      <w:numFmt w:val="bullet"/>
      <w:lvlText w:val="•"/>
      <w:lvlJc w:val="left"/>
      <w:pPr>
        <w:ind w:left="1619" w:hanging="252"/>
      </w:pPr>
      <w:rPr>
        <w:rFonts w:hint="default"/>
        <w:lang w:val="en-GB" w:eastAsia="en-GB" w:bidi="en-GB"/>
      </w:rPr>
    </w:lvl>
    <w:lvl w:ilvl="8" w:tplc="C1B0ED4A">
      <w:numFmt w:val="bullet"/>
      <w:lvlText w:val="•"/>
      <w:lvlJc w:val="left"/>
      <w:pPr>
        <w:ind w:left="1790" w:hanging="252"/>
      </w:pPr>
      <w:rPr>
        <w:rFonts w:hint="default"/>
        <w:lang w:val="en-GB" w:eastAsia="en-GB" w:bidi="en-GB"/>
      </w:rPr>
    </w:lvl>
  </w:abstractNum>
  <w:abstractNum w:abstractNumId="61" w15:restartNumberingAfterBreak="0">
    <w:nsid w:val="38706591"/>
    <w:multiLevelType w:val="hybridMultilevel"/>
    <w:tmpl w:val="80ACEAE6"/>
    <w:lvl w:ilvl="0" w:tplc="2E6A0E7A">
      <w:start w:val="1"/>
      <w:numFmt w:val="upperRoman"/>
      <w:lvlText w:val="%1."/>
      <w:lvlJc w:val="left"/>
      <w:pPr>
        <w:ind w:left="1173" w:hanging="478"/>
        <w:jc w:val="right"/>
      </w:pPr>
      <w:rPr>
        <w:rFonts w:ascii="Times New Roman" w:eastAsia="Times New Roman" w:hAnsi="Times New Roman" w:cs="Times New Roman" w:hint="default"/>
        <w:w w:val="99"/>
        <w:sz w:val="20"/>
        <w:szCs w:val="20"/>
        <w:lang w:val="en-US" w:eastAsia="en-US" w:bidi="ar-SA"/>
      </w:rPr>
    </w:lvl>
    <w:lvl w:ilvl="1" w:tplc="A01CDBC0">
      <w:numFmt w:val="bullet"/>
      <w:lvlText w:val="•"/>
      <w:lvlJc w:val="left"/>
      <w:pPr>
        <w:ind w:left="2120" w:hanging="478"/>
      </w:pPr>
      <w:rPr>
        <w:rFonts w:hint="default"/>
        <w:lang w:val="en-US" w:eastAsia="en-US" w:bidi="ar-SA"/>
      </w:rPr>
    </w:lvl>
    <w:lvl w:ilvl="2" w:tplc="D92CF6C6">
      <w:numFmt w:val="bullet"/>
      <w:lvlText w:val="•"/>
      <w:lvlJc w:val="left"/>
      <w:pPr>
        <w:ind w:left="3061" w:hanging="478"/>
      </w:pPr>
      <w:rPr>
        <w:rFonts w:hint="default"/>
        <w:lang w:val="en-US" w:eastAsia="en-US" w:bidi="ar-SA"/>
      </w:rPr>
    </w:lvl>
    <w:lvl w:ilvl="3" w:tplc="C67C3D9C">
      <w:numFmt w:val="bullet"/>
      <w:lvlText w:val="•"/>
      <w:lvlJc w:val="left"/>
      <w:pPr>
        <w:ind w:left="4001" w:hanging="478"/>
      </w:pPr>
      <w:rPr>
        <w:rFonts w:hint="default"/>
        <w:lang w:val="en-US" w:eastAsia="en-US" w:bidi="ar-SA"/>
      </w:rPr>
    </w:lvl>
    <w:lvl w:ilvl="4" w:tplc="F99C5D2E">
      <w:numFmt w:val="bullet"/>
      <w:lvlText w:val="•"/>
      <w:lvlJc w:val="left"/>
      <w:pPr>
        <w:ind w:left="4942" w:hanging="478"/>
      </w:pPr>
      <w:rPr>
        <w:rFonts w:hint="default"/>
        <w:lang w:val="en-US" w:eastAsia="en-US" w:bidi="ar-SA"/>
      </w:rPr>
    </w:lvl>
    <w:lvl w:ilvl="5" w:tplc="260883E6">
      <w:numFmt w:val="bullet"/>
      <w:lvlText w:val="•"/>
      <w:lvlJc w:val="left"/>
      <w:pPr>
        <w:ind w:left="5883" w:hanging="478"/>
      </w:pPr>
      <w:rPr>
        <w:rFonts w:hint="default"/>
        <w:lang w:val="en-US" w:eastAsia="en-US" w:bidi="ar-SA"/>
      </w:rPr>
    </w:lvl>
    <w:lvl w:ilvl="6" w:tplc="7270C5C4">
      <w:numFmt w:val="bullet"/>
      <w:lvlText w:val="•"/>
      <w:lvlJc w:val="left"/>
      <w:pPr>
        <w:ind w:left="6823" w:hanging="478"/>
      </w:pPr>
      <w:rPr>
        <w:rFonts w:hint="default"/>
        <w:lang w:val="en-US" w:eastAsia="en-US" w:bidi="ar-SA"/>
      </w:rPr>
    </w:lvl>
    <w:lvl w:ilvl="7" w:tplc="817E4A82">
      <w:numFmt w:val="bullet"/>
      <w:lvlText w:val="•"/>
      <w:lvlJc w:val="left"/>
      <w:pPr>
        <w:ind w:left="7764" w:hanging="478"/>
      </w:pPr>
      <w:rPr>
        <w:rFonts w:hint="default"/>
        <w:lang w:val="en-US" w:eastAsia="en-US" w:bidi="ar-SA"/>
      </w:rPr>
    </w:lvl>
    <w:lvl w:ilvl="8" w:tplc="C2D28AF4">
      <w:numFmt w:val="bullet"/>
      <w:lvlText w:val="•"/>
      <w:lvlJc w:val="left"/>
      <w:pPr>
        <w:ind w:left="8705" w:hanging="478"/>
      </w:pPr>
      <w:rPr>
        <w:rFonts w:hint="default"/>
        <w:lang w:val="en-US" w:eastAsia="en-US" w:bidi="ar-SA"/>
      </w:rPr>
    </w:lvl>
  </w:abstractNum>
  <w:abstractNum w:abstractNumId="62" w15:restartNumberingAfterBreak="0">
    <w:nsid w:val="39650DD4"/>
    <w:multiLevelType w:val="hybridMultilevel"/>
    <w:tmpl w:val="43A45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397C19FA"/>
    <w:multiLevelType w:val="hybridMultilevel"/>
    <w:tmpl w:val="E7B6BA1A"/>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FED625A0">
      <w:numFmt w:val="bullet"/>
      <w:lvlText w:val="•"/>
      <w:lvlJc w:val="left"/>
      <w:pPr>
        <w:ind w:left="1194" w:hanging="284"/>
      </w:pPr>
      <w:rPr>
        <w:rFonts w:hint="default"/>
        <w:lang w:val="en-GB" w:eastAsia="en-GB" w:bidi="en-GB"/>
      </w:rPr>
    </w:lvl>
    <w:lvl w:ilvl="2" w:tplc="F09AFBBA">
      <w:numFmt w:val="bullet"/>
      <w:lvlText w:val="•"/>
      <w:lvlJc w:val="left"/>
      <w:pPr>
        <w:ind w:left="1829" w:hanging="284"/>
      </w:pPr>
      <w:rPr>
        <w:rFonts w:hint="default"/>
        <w:lang w:val="en-GB" w:eastAsia="en-GB" w:bidi="en-GB"/>
      </w:rPr>
    </w:lvl>
    <w:lvl w:ilvl="3" w:tplc="BE1E3E32">
      <w:numFmt w:val="bullet"/>
      <w:lvlText w:val="•"/>
      <w:lvlJc w:val="left"/>
      <w:pPr>
        <w:ind w:left="2463" w:hanging="284"/>
      </w:pPr>
      <w:rPr>
        <w:rFonts w:hint="default"/>
        <w:lang w:val="en-GB" w:eastAsia="en-GB" w:bidi="en-GB"/>
      </w:rPr>
    </w:lvl>
    <w:lvl w:ilvl="4" w:tplc="65946184">
      <w:numFmt w:val="bullet"/>
      <w:lvlText w:val="•"/>
      <w:lvlJc w:val="left"/>
      <w:pPr>
        <w:ind w:left="3098" w:hanging="284"/>
      </w:pPr>
      <w:rPr>
        <w:rFonts w:hint="default"/>
        <w:lang w:val="en-GB" w:eastAsia="en-GB" w:bidi="en-GB"/>
      </w:rPr>
    </w:lvl>
    <w:lvl w:ilvl="5" w:tplc="68BEA4C4">
      <w:numFmt w:val="bullet"/>
      <w:lvlText w:val="•"/>
      <w:lvlJc w:val="left"/>
      <w:pPr>
        <w:ind w:left="3732" w:hanging="284"/>
      </w:pPr>
      <w:rPr>
        <w:rFonts w:hint="default"/>
        <w:lang w:val="en-GB" w:eastAsia="en-GB" w:bidi="en-GB"/>
      </w:rPr>
    </w:lvl>
    <w:lvl w:ilvl="6" w:tplc="90221436">
      <w:numFmt w:val="bullet"/>
      <w:lvlText w:val="•"/>
      <w:lvlJc w:val="left"/>
      <w:pPr>
        <w:ind w:left="4367" w:hanging="284"/>
      </w:pPr>
      <w:rPr>
        <w:rFonts w:hint="default"/>
        <w:lang w:val="en-GB" w:eastAsia="en-GB" w:bidi="en-GB"/>
      </w:rPr>
    </w:lvl>
    <w:lvl w:ilvl="7" w:tplc="BB06587A">
      <w:numFmt w:val="bullet"/>
      <w:lvlText w:val="•"/>
      <w:lvlJc w:val="left"/>
      <w:pPr>
        <w:ind w:left="5001" w:hanging="284"/>
      </w:pPr>
      <w:rPr>
        <w:rFonts w:hint="default"/>
        <w:lang w:val="en-GB" w:eastAsia="en-GB" w:bidi="en-GB"/>
      </w:rPr>
    </w:lvl>
    <w:lvl w:ilvl="8" w:tplc="962EFF80">
      <w:numFmt w:val="bullet"/>
      <w:lvlText w:val="•"/>
      <w:lvlJc w:val="left"/>
      <w:pPr>
        <w:ind w:left="5636" w:hanging="284"/>
      </w:pPr>
      <w:rPr>
        <w:rFonts w:hint="default"/>
        <w:lang w:val="en-GB" w:eastAsia="en-GB" w:bidi="en-GB"/>
      </w:rPr>
    </w:lvl>
  </w:abstractNum>
  <w:abstractNum w:abstractNumId="64" w15:restartNumberingAfterBreak="0">
    <w:nsid w:val="3B0D3016"/>
    <w:multiLevelType w:val="hybridMultilevel"/>
    <w:tmpl w:val="8C5AEE9A"/>
    <w:lvl w:ilvl="0" w:tplc="2500EDC0">
      <w:start w:val="3"/>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5" w15:restartNumberingAfterBreak="0">
    <w:nsid w:val="3D437E71"/>
    <w:multiLevelType w:val="hybridMultilevel"/>
    <w:tmpl w:val="091A83E2"/>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C9AA32D8">
      <w:numFmt w:val="bullet"/>
      <w:lvlText w:val="•"/>
      <w:lvlJc w:val="left"/>
      <w:pPr>
        <w:ind w:left="591" w:hanging="252"/>
      </w:pPr>
      <w:rPr>
        <w:rFonts w:hint="default"/>
        <w:lang w:val="en-GB" w:eastAsia="en-GB" w:bidi="en-GB"/>
      </w:rPr>
    </w:lvl>
    <w:lvl w:ilvl="2" w:tplc="FB34A104">
      <w:numFmt w:val="bullet"/>
      <w:lvlText w:val="•"/>
      <w:lvlJc w:val="left"/>
      <w:pPr>
        <w:ind w:left="762" w:hanging="252"/>
      </w:pPr>
      <w:rPr>
        <w:rFonts w:hint="default"/>
        <w:lang w:val="en-GB" w:eastAsia="en-GB" w:bidi="en-GB"/>
      </w:rPr>
    </w:lvl>
    <w:lvl w:ilvl="3" w:tplc="B5B22238">
      <w:numFmt w:val="bullet"/>
      <w:lvlText w:val="•"/>
      <w:lvlJc w:val="left"/>
      <w:pPr>
        <w:ind w:left="934" w:hanging="252"/>
      </w:pPr>
      <w:rPr>
        <w:rFonts w:hint="default"/>
        <w:lang w:val="en-GB" w:eastAsia="en-GB" w:bidi="en-GB"/>
      </w:rPr>
    </w:lvl>
    <w:lvl w:ilvl="4" w:tplc="339AEC6C">
      <w:numFmt w:val="bullet"/>
      <w:lvlText w:val="•"/>
      <w:lvlJc w:val="left"/>
      <w:pPr>
        <w:ind w:left="1105" w:hanging="252"/>
      </w:pPr>
      <w:rPr>
        <w:rFonts w:hint="default"/>
        <w:lang w:val="en-GB" w:eastAsia="en-GB" w:bidi="en-GB"/>
      </w:rPr>
    </w:lvl>
    <w:lvl w:ilvl="5" w:tplc="8520BAB4">
      <w:numFmt w:val="bullet"/>
      <w:lvlText w:val="•"/>
      <w:lvlJc w:val="left"/>
      <w:pPr>
        <w:ind w:left="1277" w:hanging="252"/>
      </w:pPr>
      <w:rPr>
        <w:rFonts w:hint="default"/>
        <w:lang w:val="en-GB" w:eastAsia="en-GB" w:bidi="en-GB"/>
      </w:rPr>
    </w:lvl>
    <w:lvl w:ilvl="6" w:tplc="18A27886">
      <w:numFmt w:val="bullet"/>
      <w:lvlText w:val="•"/>
      <w:lvlJc w:val="left"/>
      <w:pPr>
        <w:ind w:left="1448" w:hanging="252"/>
      </w:pPr>
      <w:rPr>
        <w:rFonts w:hint="default"/>
        <w:lang w:val="en-GB" w:eastAsia="en-GB" w:bidi="en-GB"/>
      </w:rPr>
    </w:lvl>
    <w:lvl w:ilvl="7" w:tplc="533E03A4">
      <w:numFmt w:val="bullet"/>
      <w:lvlText w:val="•"/>
      <w:lvlJc w:val="left"/>
      <w:pPr>
        <w:ind w:left="1619" w:hanging="252"/>
      </w:pPr>
      <w:rPr>
        <w:rFonts w:hint="default"/>
        <w:lang w:val="en-GB" w:eastAsia="en-GB" w:bidi="en-GB"/>
      </w:rPr>
    </w:lvl>
    <w:lvl w:ilvl="8" w:tplc="178E0724">
      <w:numFmt w:val="bullet"/>
      <w:lvlText w:val="•"/>
      <w:lvlJc w:val="left"/>
      <w:pPr>
        <w:ind w:left="1791" w:hanging="252"/>
      </w:pPr>
      <w:rPr>
        <w:rFonts w:hint="default"/>
        <w:lang w:val="en-GB" w:eastAsia="en-GB" w:bidi="en-GB"/>
      </w:rPr>
    </w:lvl>
  </w:abstractNum>
  <w:abstractNum w:abstractNumId="66" w15:restartNumberingAfterBreak="0">
    <w:nsid w:val="3E766956"/>
    <w:multiLevelType w:val="hybridMultilevel"/>
    <w:tmpl w:val="A992E284"/>
    <w:lvl w:ilvl="0" w:tplc="90D00E02">
      <w:start w:val="1"/>
      <w:numFmt w:val="decimal"/>
      <w:lvlText w:val="(%1)"/>
      <w:lvlJc w:val="left"/>
      <w:pPr>
        <w:ind w:left="337" w:hanging="231"/>
      </w:pPr>
      <w:rPr>
        <w:rFonts w:ascii="Times New Roman" w:eastAsia="Times New Roman" w:hAnsi="Times New Roman" w:cs="Times New Roman" w:hint="default"/>
        <w:w w:val="99"/>
        <w:sz w:val="18"/>
        <w:szCs w:val="18"/>
        <w:lang w:val="en-US" w:eastAsia="en-US" w:bidi="ar-SA"/>
      </w:rPr>
    </w:lvl>
    <w:lvl w:ilvl="1" w:tplc="A83CAF16">
      <w:numFmt w:val="bullet"/>
      <w:lvlText w:val="•"/>
      <w:lvlJc w:val="left"/>
      <w:pPr>
        <w:ind w:left="1155" w:hanging="231"/>
      </w:pPr>
      <w:rPr>
        <w:rFonts w:hint="default"/>
        <w:lang w:val="en-US" w:eastAsia="en-US" w:bidi="ar-SA"/>
      </w:rPr>
    </w:lvl>
    <w:lvl w:ilvl="2" w:tplc="86EC9FFA">
      <w:numFmt w:val="bullet"/>
      <w:lvlText w:val="•"/>
      <w:lvlJc w:val="left"/>
      <w:pPr>
        <w:ind w:left="1971" w:hanging="231"/>
      </w:pPr>
      <w:rPr>
        <w:rFonts w:hint="default"/>
        <w:lang w:val="en-US" w:eastAsia="en-US" w:bidi="ar-SA"/>
      </w:rPr>
    </w:lvl>
    <w:lvl w:ilvl="3" w:tplc="EC10D0DC">
      <w:numFmt w:val="bullet"/>
      <w:lvlText w:val="•"/>
      <w:lvlJc w:val="left"/>
      <w:pPr>
        <w:ind w:left="2787" w:hanging="231"/>
      </w:pPr>
      <w:rPr>
        <w:rFonts w:hint="default"/>
        <w:lang w:val="en-US" w:eastAsia="en-US" w:bidi="ar-SA"/>
      </w:rPr>
    </w:lvl>
    <w:lvl w:ilvl="4" w:tplc="2D602992">
      <w:numFmt w:val="bullet"/>
      <w:lvlText w:val="•"/>
      <w:lvlJc w:val="left"/>
      <w:pPr>
        <w:ind w:left="3602" w:hanging="231"/>
      </w:pPr>
      <w:rPr>
        <w:rFonts w:hint="default"/>
        <w:lang w:val="en-US" w:eastAsia="en-US" w:bidi="ar-SA"/>
      </w:rPr>
    </w:lvl>
    <w:lvl w:ilvl="5" w:tplc="48EE34E2">
      <w:numFmt w:val="bullet"/>
      <w:lvlText w:val="•"/>
      <w:lvlJc w:val="left"/>
      <w:pPr>
        <w:ind w:left="4418" w:hanging="231"/>
      </w:pPr>
      <w:rPr>
        <w:rFonts w:hint="default"/>
        <w:lang w:val="en-US" w:eastAsia="en-US" w:bidi="ar-SA"/>
      </w:rPr>
    </w:lvl>
    <w:lvl w:ilvl="6" w:tplc="362ECDB0">
      <w:numFmt w:val="bullet"/>
      <w:lvlText w:val="•"/>
      <w:lvlJc w:val="left"/>
      <w:pPr>
        <w:ind w:left="5234" w:hanging="231"/>
      </w:pPr>
      <w:rPr>
        <w:rFonts w:hint="default"/>
        <w:lang w:val="en-US" w:eastAsia="en-US" w:bidi="ar-SA"/>
      </w:rPr>
    </w:lvl>
    <w:lvl w:ilvl="7" w:tplc="87A8DAAE">
      <w:numFmt w:val="bullet"/>
      <w:lvlText w:val="•"/>
      <w:lvlJc w:val="left"/>
      <w:pPr>
        <w:ind w:left="6049" w:hanging="231"/>
      </w:pPr>
      <w:rPr>
        <w:rFonts w:hint="default"/>
        <w:lang w:val="en-US" w:eastAsia="en-US" w:bidi="ar-SA"/>
      </w:rPr>
    </w:lvl>
    <w:lvl w:ilvl="8" w:tplc="CA4660EA">
      <w:numFmt w:val="bullet"/>
      <w:lvlText w:val="•"/>
      <w:lvlJc w:val="left"/>
      <w:pPr>
        <w:ind w:left="6865" w:hanging="231"/>
      </w:pPr>
      <w:rPr>
        <w:rFonts w:hint="default"/>
        <w:lang w:val="en-US" w:eastAsia="en-US" w:bidi="ar-SA"/>
      </w:rPr>
    </w:lvl>
  </w:abstractNum>
  <w:abstractNum w:abstractNumId="67" w15:restartNumberingAfterBreak="0">
    <w:nsid w:val="3F9A2C4A"/>
    <w:multiLevelType w:val="hybridMultilevel"/>
    <w:tmpl w:val="757EC75C"/>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CEF8A6F6">
      <w:numFmt w:val="bullet"/>
      <w:lvlText w:val="•"/>
      <w:lvlJc w:val="left"/>
      <w:pPr>
        <w:ind w:left="591" w:hanging="252"/>
      </w:pPr>
      <w:rPr>
        <w:rFonts w:hint="default"/>
        <w:lang w:val="en-GB" w:eastAsia="en-GB" w:bidi="en-GB"/>
      </w:rPr>
    </w:lvl>
    <w:lvl w:ilvl="2" w:tplc="DD906DEC">
      <w:numFmt w:val="bullet"/>
      <w:lvlText w:val="•"/>
      <w:lvlJc w:val="left"/>
      <w:pPr>
        <w:ind w:left="762" w:hanging="252"/>
      </w:pPr>
      <w:rPr>
        <w:rFonts w:hint="default"/>
        <w:lang w:val="en-GB" w:eastAsia="en-GB" w:bidi="en-GB"/>
      </w:rPr>
    </w:lvl>
    <w:lvl w:ilvl="3" w:tplc="95B8216E">
      <w:numFmt w:val="bullet"/>
      <w:lvlText w:val="•"/>
      <w:lvlJc w:val="left"/>
      <w:pPr>
        <w:ind w:left="934" w:hanging="252"/>
      </w:pPr>
      <w:rPr>
        <w:rFonts w:hint="default"/>
        <w:lang w:val="en-GB" w:eastAsia="en-GB" w:bidi="en-GB"/>
      </w:rPr>
    </w:lvl>
    <w:lvl w:ilvl="4" w:tplc="F26005C4">
      <w:numFmt w:val="bullet"/>
      <w:lvlText w:val="•"/>
      <w:lvlJc w:val="left"/>
      <w:pPr>
        <w:ind w:left="1105" w:hanging="252"/>
      </w:pPr>
      <w:rPr>
        <w:rFonts w:hint="default"/>
        <w:lang w:val="en-GB" w:eastAsia="en-GB" w:bidi="en-GB"/>
      </w:rPr>
    </w:lvl>
    <w:lvl w:ilvl="5" w:tplc="791A4482">
      <w:numFmt w:val="bullet"/>
      <w:lvlText w:val="•"/>
      <w:lvlJc w:val="left"/>
      <w:pPr>
        <w:ind w:left="1277" w:hanging="252"/>
      </w:pPr>
      <w:rPr>
        <w:rFonts w:hint="default"/>
        <w:lang w:val="en-GB" w:eastAsia="en-GB" w:bidi="en-GB"/>
      </w:rPr>
    </w:lvl>
    <w:lvl w:ilvl="6" w:tplc="C152F622">
      <w:numFmt w:val="bullet"/>
      <w:lvlText w:val="•"/>
      <w:lvlJc w:val="left"/>
      <w:pPr>
        <w:ind w:left="1448" w:hanging="252"/>
      </w:pPr>
      <w:rPr>
        <w:rFonts w:hint="default"/>
        <w:lang w:val="en-GB" w:eastAsia="en-GB" w:bidi="en-GB"/>
      </w:rPr>
    </w:lvl>
    <w:lvl w:ilvl="7" w:tplc="3D180FF4">
      <w:numFmt w:val="bullet"/>
      <w:lvlText w:val="•"/>
      <w:lvlJc w:val="left"/>
      <w:pPr>
        <w:ind w:left="1619" w:hanging="252"/>
      </w:pPr>
      <w:rPr>
        <w:rFonts w:hint="default"/>
        <w:lang w:val="en-GB" w:eastAsia="en-GB" w:bidi="en-GB"/>
      </w:rPr>
    </w:lvl>
    <w:lvl w:ilvl="8" w:tplc="692C1554">
      <w:numFmt w:val="bullet"/>
      <w:lvlText w:val="•"/>
      <w:lvlJc w:val="left"/>
      <w:pPr>
        <w:ind w:left="1791" w:hanging="252"/>
      </w:pPr>
      <w:rPr>
        <w:rFonts w:hint="default"/>
        <w:lang w:val="en-GB" w:eastAsia="en-GB" w:bidi="en-GB"/>
      </w:rPr>
    </w:lvl>
  </w:abstractNum>
  <w:abstractNum w:abstractNumId="68" w15:restartNumberingAfterBreak="0">
    <w:nsid w:val="40DE336E"/>
    <w:multiLevelType w:val="hybridMultilevel"/>
    <w:tmpl w:val="B80A018C"/>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AA1C74EE">
      <w:numFmt w:val="bullet"/>
      <w:lvlText w:val="•"/>
      <w:lvlJc w:val="left"/>
      <w:pPr>
        <w:ind w:left="1194" w:hanging="284"/>
      </w:pPr>
      <w:rPr>
        <w:rFonts w:hint="default"/>
        <w:lang w:val="en-GB" w:eastAsia="en-GB" w:bidi="en-GB"/>
      </w:rPr>
    </w:lvl>
    <w:lvl w:ilvl="2" w:tplc="37C04B3E">
      <w:numFmt w:val="bullet"/>
      <w:lvlText w:val="•"/>
      <w:lvlJc w:val="left"/>
      <w:pPr>
        <w:ind w:left="1829" w:hanging="284"/>
      </w:pPr>
      <w:rPr>
        <w:rFonts w:hint="default"/>
        <w:lang w:val="en-GB" w:eastAsia="en-GB" w:bidi="en-GB"/>
      </w:rPr>
    </w:lvl>
    <w:lvl w:ilvl="3" w:tplc="02389A82">
      <w:numFmt w:val="bullet"/>
      <w:lvlText w:val="•"/>
      <w:lvlJc w:val="left"/>
      <w:pPr>
        <w:ind w:left="2463" w:hanging="284"/>
      </w:pPr>
      <w:rPr>
        <w:rFonts w:hint="default"/>
        <w:lang w:val="en-GB" w:eastAsia="en-GB" w:bidi="en-GB"/>
      </w:rPr>
    </w:lvl>
    <w:lvl w:ilvl="4" w:tplc="05585834">
      <w:numFmt w:val="bullet"/>
      <w:lvlText w:val="•"/>
      <w:lvlJc w:val="left"/>
      <w:pPr>
        <w:ind w:left="3098" w:hanging="284"/>
      </w:pPr>
      <w:rPr>
        <w:rFonts w:hint="default"/>
        <w:lang w:val="en-GB" w:eastAsia="en-GB" w:bidi="en-GB"/>
      </w:rPr>
    </w:lvl>
    <w:lvl w:ilvl="5" w:tplc="41E08354">
      <w:numFmt w:val="bullet"/>
      <w:lvlText w:val="•"/>
      <w:lvlJc w:val="left"/>
      <w:pPr>
        <w:ind w:left="3732" w:hanging="284"/>
      </w:pPr>
      <w:rPr>
        <w:rFonts w:hint="default"/>
        <w:lang w:val="en-GB" w:eastAsia="en-GB" w:bidi="en-GB"/>
      </w:rPr>
    </w:lvl>
    <w:lvl w:ilvl="6" w:tplc="993058C4">
      <w:numFmt w:val="bullet"/>
      <w:lvlText w:val="•"/>
      <w:lvlJc w:val="left"/>
      <w:pPr>
        <w:ind w:left="4367" w:hanging="284"/>
      </w:pPr>
      <w:rPr>
        <w:rFonts w:hint="default"/>
        <w:lang w:val="en-GB" w:eastAsia="en-GB" w:bidi="en-GB"/>
      </w:rPr>
    </w:lvl>
    <w:lvl w:ilvl="7" w:tplc="C7DA9950">
      <w:numFmt w:val="bullet"/>
      <w:lvlText w:val="•"/>
      <w:lvlJc w:val="left"/>
      <w:pPr>
        <w:ind w:left="5001" w:hanging="284"/>
      </w:pPr>
      <w:rPr>
        <w:rFonts w:hint="default"/>
        <w:lang w:val="en-GB" w:eastAsia="en-GB" w:bidi="en-GB"/>
      </w:rPr>
    </w:lvl>
    <w:lvl w:ilvl="8" w:tplc="FC1080A6">
      <w:numFmt w:val="bullet"/>
      <w:lvlText w:val="•"/>
      <w:lvlJc w:val="left"/>
      <w:pPr>
        <w:ind w:left="5636" w:hanging="284"/>
      </w:pPr>
      <w:rPr>
        <w:rFonts w:hint="default"/>
        <w:lang w:val="en-GB" w:eastAsia="en-GB" w:bidi="en-GB"/>
      </w:rPr>
    </w:lvl>
  </w:abstractNum>
  <w:abstractNum w:abstractNumId="69" w15:restartNumberingAfterBreak="0">
    <w:nsid w:val="41C309D1"/>
    <w:multiLevelType w:val="hybridMultilevel"/>
    <w:tmpl w:val="A9664BAE"/>
    <w:lvl w:ilvl="0" w:tplc="CE3EC9C0">
      <w:numFmt w:val="bullet"/>
      <w:lvlText w:val=""/>
      <w:lvlJc w:val="left"/>
      <w:pPr>
        <w:ind w:left="330" w:hanging="224"/>
      </w:pPr>
      <w:rPr>
        <w:rFonts w:ascii="Symbol" w:eastAsia="Symbol" w:hAnsi="Symbol" w:cs="Symbol" w:hint="default"/>
        <w:w w:val="99"/>
        <w:sz w:val="20"/>
        <w:szCs w:val="20"/>
        <w:lang w:val="en-US" w:eastAsia="en-US" w:bidi="ar-SA"/>
      </w:rPr>
    </w:lvl>
    <w:lvl w:ilvl="1" w:tplc="6B66C3B8">
      <w:numFmt w:val="bullet"/>
      <w:lvlText w:val="•"/>
      <w:lvlJc w:val="left"/>
      <w:pPr>
        <w:ind w:left="902" w:hanging="224"/>
      </w:pPr>
      <w:rPr>
        <w:rFonts w:hint="default"/>
        <w:lang w:val="en-US" w:eastAsia="en-US" w:bidi="ar-SA"/>
      </w:rPr>
    </w:lvl>
    <w:lvl w:ilvl="2" w:tplc="22AA4BB0">
      <w:numFmt w:val="bullet"/>
      <w:lvlText w:val="•"/>
      <w:lvlJc w:val="left"/>
      <w:pPr>
        <w:ind w:left="1465" w:hanging="224"/>
      </w:pPr>
      <w:rPr>
        <w:rFonts w:hint="default"/>
        <w:lang w:val="en-US" w:eastAsia="en-US" w:bidi="ar-SA"/>
      </w:rPr>
    </w:lvl>
    <w:lvl w:ilvl="3" w:tplc="23EEBC1E">
      <w:numFmt w:val="bullet"/>
      <w:lvlText w:val="•"/>
      <w:lvlJc w:val="left"/>
      <w:pPr>
        <w:ind w:left="2027" w:hanging="224"/>
      </w:pPr>
      <w:rPr>
        <w:rFonts w:hint="default"/>
        <w:lang w:val="en-US" w:eastAsia="en-US" w:bidi="ar-SA"/>
      </w:rPr>
    </w:lvl>
    <w:lvl w:ilvl="4" w:tplc="82A0D4D6">
      <w:numFmt w:val="bullet"/>
      <w:lvlText w:val="•"/>
      <w:lvlJc w:val="left"/>
      <w:pPr>
        <w:ind w:left="2590" w:hanging="224"/>
      </w:pPr>
      <w:rPr>
        <w:rFonts w:hint="default"/>
        <w:lang w:val="en-US" w:eastAsia="en-US" w:bidi="ar-SA"/>
      </w:rPr>
    </w:lvl>
    <w:lvl w:ilvl="5" w:tplc="ABC2AC78">
      <w:numFmt w:val="bullet"/>
      <w:lvlText w:val="•"/>
      <w:lvlJc w:val="left"/>
      <w:pPr>
        <w:ind w:left="3152" w:hanging="224"/>
      </w:pPr>
      <w:rPr>
        <w:rFonts w:hint="default"/>
        <w:lang w:val="en-US" w:eastAsia="en-US" w:bidi="ar-SA"/>
      </w:rPr>
    </w:lvl>
    <w:lvl w:ilvl="6" w:tplc="2232248C">
      <w:numFmt w:val="bullet"/>
      <w:lvlText w:val="•"/>
      <w:lvlJc w:val="left"/>
      <w:pPr>
        <w:ind w:left="3715" w:hanging="224"/>
      </w:pPr>
      <w:rPr>
        <w:rFonts w:hint="default"/>
        <w:lang w:val="en-US" w:eastAsia="en-US" w:bidi="ar-SA"/>
      </w:rPr>
    </w:lvl>
    <w:lvl w:ilvl="7" w:tplc="5D781938">
      <w:numFmt w:val="bullet"/>
      <w:lvlText w:val="•"/>
      <w:lvlJc w:val="left"/>
      <w:pPr>
        <w:ind w:left="4277" w:hanging="224"/>
      </w:pPr>
      <w:rPr>
        <w:rFonts w:hint="default"/>
        <w:lang w:val="en-US" w:eastAsia="en-US" w:bidi="ar-SA"/>
      </w:rPr>
    </w:lvl>
    <w:lvl w:ilvl="8" w:tplc="D42E6784">
      <w:numFmt w:val="bullet"/>
      <w:lvlText w:val="•"/>
      <w:lvlJc w:val="left"/>
      <w:pPr>
        <w:ind w:left="4840" w:hanging="224"/>
      </w:pPr>
      <w:rPr>
        <w:rFonts w:hint="default"/>
        <w:lang w:val="en-US" w:eastAsia="en-US" w:bidi="ar-SA"/>
      </w:rPr>
    </w:lvl>
  </w:abstractNum>
  <w:abstractNum w:abstractNumId="70" w15:restartNumberingAfterBreak="0">
    <w:nsid w:val="438B6F23"/>
    <w:multiLevelType w:val="hybridMultilevel"/>
    <w:tmpl w:val="97A88B3C"/>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A2BC9F60">
      <w:numFmt w:val="bullet"/>
      <w:lvlText w:val="•"/>
      <w:lvlJc w:val="left"/>
      <w:pPr>
        <w:ind w:left="591" w:hanging="252"/>
      </w:pPr>
      <w:rPr>
        <w:rFonts w:hint="default"/>
        <w:lang w:val="en-GB" w:eastAsia="en-GB" w:bidi="en-GB"/>
      </w:rPr>
    </w:lvl>
    <w:lvl w:ilvl="2" w:tplc="B666F8C0">
      <w:numFmt w:val="bullet"/>
      <w:lvlText w:val="•"/>
      <w:lvlJc w:val="left"/>
      <w:pPr>
        <w:ind w:left="762" w:hanging="252"/>
      </w:pPr>
      <w:rPr>
        <w:rFonts w:hint="default"/>
        <w:lang w:val="en-GB" w:eastAsia="en-GB" w:bidi="en-GB"/>
      </w:rPr>
    </w:lvl>
    <w:lvl w:ilvl="3" w:tplc="9AAE88D8">
      <w:numFmt w:val="bullet"/>
      <w:lvlText w:val="•"/>
      <w:lvlJc w:val="left"/>
      <w:pPr>
        <w:ind w:left="933" w:hanging="252"/>
      </w:pPr>
      <w:rPr>
        <w:rFonts w:hint="default"/>
        <w:lang w:val="en-GB" w:eastAsia="en-GB" w:bidi="en-GB"/>
      </w:rPr>
    </w:lvl>
    <w:lvl w:ilvl="4" w:tplc="5DC60326">
      <w:numFmt w:val="bullet"/>
      <w:lvlText w:val="•"/>
      <w:lvlJc w:val="left"/>
      <w:pPr>
        <w:ind w:left="1105" w:hanging="252"/>
      </w:pPr>
      <w:rPr>
        <w:rFonts w:hint="default"/>
        <w:lang w:val="en-GB" w:eastAsia="en-GB" w:bidi="en-GB"/>
      </w:rPr>
    </w:lvl>
    <w:lvl w:ilvl="5" w:tplc="45A07C5A">
      <w:numFmt w:val="bullet"/>
      <w:lvlText w:val="•"/>
      <w:lvlJc w:val="left"/>
      <w:pPr>
        <w:ind w:left="1276" w:hanging="252"/>
      </w:pPr>
      <w:rPr>
        <w:rFonts w:hint="default"/>
        <w:lang w:val="en-GB" w:eastAsia="en-GB" w:bidi="en-GB"/>
      </w:rPr>
    </w:lvl>
    <w:lvl w:ilvl="6" w:tplc="2DE4F94C">
      <w:numFmt w:val="bullet"/>
      <w:lvlText w:val="•"/>
      <w:lvlJc w:val="left"/>
      <w:pPr>
        <w:ind w:left="1447" w:hanging="252"/>
      </w:pPr>
      <w:rPr>
        <w:rFonts w:hint="default"/>
        <w:lang w:val="en-GB" w:eastAsia="en-GB" w:bidi="en-GB"/>
      </w:rPr>
    </w:lvl>
    <w:lvl w:ilvl="7" w:tplc="7F94CBF8">
      <w:numFmt w:val="bullet"/>
      <w:lvlText w:val="•"/>
      <w:lvlJc w:val="left"/>
      <w:pPr>
        <w:ind w:left="1619" w:hanging="252"/>
      </w:pPr>
      <w:rPr>
        <w:rFonts w:hint="default"/>
        <w:lang w:val="en-GB" w:eastAsia="en-GB" w:bidi="en-GB"/>
      </w:rPr>
    </w:lvl>
    <w:lvl w:ilvl="8" w:tplc="73E82378">
      <w:numFmt w:val="bullet"/>
      <w:lvlText w:val="•"/>
      <w:lvlJc w:val="left"/>
      <w:pPr>
        <w:ind w:left="1790" w:hanging="252"/>
      </w:pPr>
      <w:rPr>
        <w:rFonts w:hint="default"/>
        <w:lang w:val="en-GB" w:eastAsia="en-GB" w:bidi="en-GB"/>
      </w:rPr>
    </w:lvl>
  </w:abstractNum>
  <w:abstractNum w:abstractNumId="71" w15:restartNumberingAfterBreak="0">
    <w:nsid w:val="445074D5"/>
    <w:multiLevelType w:val="hybridMultilevel"/>
    <w:tmpl w:val="B3C2CCA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0E24F8F6">
      <w:numFmt w:val="bullet"/>
      <w:lvlText w:val="•"/>
      <w:lvlJc w:val="left"/>
      <w:pPr>
        <w:ind w:left="591" w:hanging="252"/>
      </w:pPr>
      <w:rPr>
        <w:rFonts w:hint="default"/>
        <w:lang w:val="en-GB" w:eastAsia="en-GB" w:bidi="en-GB"/>
      </w:rPr>
    </w:lvl>
    <w:lvl w:ilvl="2" w:tplc="BA141100">
      <w:numFmt w:val="bullet"/>
      <w:lvlText w:val="•"/>
      <w:lvlJc w:val="left"/>
      <w:pPr>
        <w:ind w:left="762" w:hanging="252"/>
      </w:pPr>
      <w:rPr>
        <w:rFonts w:hint="default"/>
        <w:lang w:val="en-GB" w:eastAsia="en-GB" w:bidi="en-GB"/>
      </w:rPr>
    </w:lvl>
    <w:lvl w:ilvl="3" w:tplc="7750C68E">
      <w:numFmt w:val="bullet"/>
      <w:lvlText w:val="•"/>
      <w:lvlJc w:val="left"/>
      <w:pPr>
        <w:ind w:left="933" w:hanging="252"/>
      </w:pPr>
      <w:rPr>
        <w:rFonts w:hint="default"/>
        <w:lang w:val="en-GB" w:eastAsia="en-GB" w:bidi="en-GB"/>
      </w:rPr>
    </w:lvl>
    <w:lvl w:ilvl="4" w:tplc="E6641BD6">
      <w:numFmt w:val="bullet"/>
      <w:lvlText w:val="•"/>
      <w:lvlJc w:val="left"/>
      <w:pPr>
        <w:ind w:left="1105" w:hanging="252"/>
      </w:pPr>
      <w:rPr>
        <w:rFonts w:hint="default"/>
        <w:lang w:val="en-GB" w:eastAsia="en-GB" w:bidi="en-GB"/>
      </w:rPr>
    </w:lvl>
    <w:lvl w:ilvl="5" w:tplc="5FA825CE">
      <w:numFmt w:val="bullet"/>
      <w:lvlText w:val="•"/>
      <w:lvlJc w:val="left"/>
      <w:pPr>
        <w:ind w:left="1276" w:hanging="252"/>
      </w:pPr>
      <w:rPr>
        <w:rFonts w:hint="default"/>
        <w:lang w:val="en-GB" w:eastAsia="en-GB" w:bidi="en-GB"/>
      </w:rPr>
    </w:lvl>
    <w:lvl w:ilvl="6" w:tplc="A4F01BB4">
      <w:numFmt w:val="bullet"/>
      <w:lvlText w:val="•"/>
      <w:lvlJc w:val="left"/>
      <w:pPr>
        <w:ind w:left="1447" w:hanging="252"/>
      </w:pPr>
      <w:rPr>
        <w:rFonts w:hint="default"/>
        <w:lang w:val="en-GB" w:eastAsia="en-GB" w:bidi="en-GB"/>
      </w:rPr>
    </w:lvl>
    <w:lvl w:ilvl="7" w:tplc="514E87B0">
      <w:numFmt w:val="bullet"/>
      <w:lvlText w:val="•"/>
      <w:lvlJc w:val="left"/>
      <w:pPr>
        <w:ind w:left="1619" w:hanging="252"/>
      </w:pPr>
      <w:rPr>
        <w:rFonts w:hint="default"/>
        <w:lang w:val="en-GB" w:eastAsia="en-GB" w:bidi="en-GB"/>
      </w:rPr>
    </w:lvl>
    <w:lvl w:ilvl="8" w:tplc="E5161304">
      <w:numFmt w:val="bullet"/>
      <w:lvlText w:val="•"/>
      <w:lvlJc w:val="left"/>
      <w:pPr>
        <w:ind w:left="1790" w:hanging="252"/>
      </w:pPr>
      <w:rPr>
        <w:rFonts w:hint="default"/>
        <w:lang w:val="en-GB" w:eastAsia="en-GB" w:bidi="en-GB"/>
      </w:rPr>
    </w:lvl>
  </w:abstractNum>
  <w:abstractNum w:abstractNumId="72" w15:restartNumberingAfterBreak="0">
    <w:nsid w:val="46B60269"/>
    <w:multiLevelType w:val="hybridMultilevel"/>
    <w:tmpl w:val="BFC2EA7E"/>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53B81752">
      <w:numFmt w:val="bullet"/>
      <w:lvlText w:val="•"/>
      <w:lvlJc w:val="left"/>
      <w:pPr>
        <w:ind w:left="591" w:hanging="252"/>
      </w:pPr>
      <w:rPr>
        <w:rFonts w:hint="default"/>
        <w:lang w:val="en-GB" w:eastAsia="en-GB" w:bidi="en-GB"/>
      </w:rPr>
    </w:lvl>
    <w:lvl w:ilvl="2" w:tplc="2CFC38C0">
      <w:numFmt w:val="bullet"/>
      <w:lvlText w:val="•"/>
      <w:lvlJc w:val="left"/>
      <w:pPr>
        <w:ind w:left="762" w:hanging="252"/>
      </w:pPr>
      <w:rPr>
        <w:rFonts w:hint="default"/>
        <w:lang w:val="en-GB" w:eastAsia="en-GB" w:bidi="en-GB"/>
      </w:rPr>
    </w:lvl>
    <w:lvl w:ilvl="3" w:tplc="81760618">
      <w:numFmt w:val="bullet"/>
      <w:lvlText w:val="•"/>
      <w:lvlJc w:val="left"/>
      <w:pPr>
        <w:ind w:left="934" w:hanging="252"/>
      </w:pPr>
      <w:rPr>
        <w:rFonts w:hint="default"/>
        <w:lang w:val="en-GB" w:eastAsia="en-GB" w:bidi="en-GB"/>
      </w:rPr>
    </w:lvl>
    <w:lvl w:ilvl="4" w:tplc="3408654C">
      <w:numFmt w:val="bullet"/>
      <w:lvlText w:val="•"/>
      <w:lvlJc w:val="left"/>
      <w:pPr>
        <w:ind w:left="1105" w:hanging="252"/>
      </w:pPr>
      <w:rPr>
        <w:rFonts w:hint="default"/>
        <w:lang w:val="en-GB" w:eastAsia="en-GB" w:bidi="en-GB"/>
      </w:rPr>
    </w:lvl>
    <w:lvl w:ilvl="5" w:tplc="A7585426">
      <w:numFmt w:val="bullet"/>
      <w:lvlText w:val="•"/>
      <w:lvlJc w:val="left"/>
      <w:pPr>
        <w:ind w:left="1277" w:hanging="252"/>
      </w:pPr>
      <w:rPr>
        <w:rFonts w:hint="default"/>
        <w:lang w:val="en-GB" w:eastAsia="en-GB" w:bidi="en-GB"/>
      </w:rPr>
    </w:lvl>
    <w:lvl w:ilvl="6" w:tplc="C07869BC">
      <w:numFmt w:val="bullet"/>
      <w:lvlText w:val="•"/>
      <w:lvlJc w:val="left"/>
      <w:pPr>
        <w:ind w:left="1448" w:hanging="252"/>
      </w:pPr>
      <w:rPr>
        <w:rFonts w:hint="default"/>
        <w:lang w:val="en-GB" w:eastAsia="en-GB" w:bidi="en-GB"/>
      </w:rPr>
    </w:lvl>
    <w:lvl w:ilvl="7" w:tplc="B6824CC2">
      <w:numFmt w:val="bullet"/>
      <w:lvlText w:val="•"/>
      <w:lvlJc w:val="left"/>
      <w:pPr>
        <w:ind w:left="1619" w:hanging="252"/>
      </w:pPr>
      <w:rPr>
        <w:rFonts w:hint="default"/>
        <w:lang w:val="en-GB" w:eastAsia="en-GB" w:bidi="en-GB"/>
      </w:rPr>
    </w:lvl>
    <w:lvl w:ilvl="8" w:tplc="178EF466">
      <w:numFmt w:val="bullet"/>
      <w:lvlText w:val="•"/>
      <w:lvlJc w:val="left"/>
      <w:pPr>
        <w:ind w:left="1791" w:hanging="252"/>
      </w:pPr>
      <w:rPr>
        <w:rFonts w:hint="default"/>
        <w:lang w:val="en-GB" w:eastAsia="en-GB" w:bidi="en-GB"/>
      </w:rPr>
    </w:lvl>
  </w:abstractNum>
  <w:abstractNum w:abstractNumId="73" w15:restartNumberingAfterBreak="0">
    <w:nsid w:val="47171323"/>
    <w:multiLevelType w:val="hybridMultilevel"/>
    <w:tmpl w:val="4016134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70249BCC">
      <w:numFmt w:val="bullet"/>
      <w:lvlText w:val="•"/>
      <w:lvlJc w:val="left"/>
      <w:pPr>
        <w:ind w:left="591" w:hanging="252"/>
      </w:pPr>
      <w:rPr>
        <w:rFonts w:hint="default"/>
        <w:lang w:val="en-GB" w:eastAsia="en-GB" w:bidi="en-GB"/>
      </w:rPr>
    </w:lvl>
    <w:lvl w:ilvl="2" w:tplc="73BEB824">
      <w:numFmt w:val="bullet"/>
      <w:lvlText w:val="•"/>
      <w:lvlJc w:val="left"/>
      <w:pPr>
        <w:ind w:left="762" w:hanging="252"/>
      </w:pPr>
      <w:rPr>
        <w:rFonts w:hint="default"/>
        <w:lang w:val="en-GB" w:eastAsia="en-GB" w:bidi="en-GB"/>
      </w:rPr>
    </w:lvl>
    <w:lvl w:ilvl="3" w:tplc="E196C17E">
      <w:numFmt w:val="bullet"/>
      <w:lvlText w:val="•"/>
      <w:lvlJc w:val="left"/>
      <w:pPr>
        <w:ind w:left="934" w:hanging="252"/>
      </w:pPr>
      <w:rPr>
        <w:rFonts w:hint="default"/>
        <w:lang w:val="en-GB" w:eastAsia="en-GB" w:bidi="en-GB"/>
      </w:rPr>
    </w:lvl>
    <w:lvl w:ilvl="4" w:tplc="B8066D04">
      <w:numFmt w:val="bullet"/>
      <w:lvlText w:val="•"/>
      <w:lvlJc w:val="left"/>
      <w:pPr>
        <w:ind w:left="1105" w:hanging="252"/>
      </w:pPr>
      <w:rPr>
        <w:rFonts w:hint="default"/>
        <w:lang w:val="en-GB" w:eastAsia="en-GB" w:bidi="en-GB"/>
      </w:rPr>
    </w:lvl>
    <w:lvl w:ilvl="5" w:tplc="BDF86BC0">
      <w:numFmt w:val="bullet"/>
      <w:lvlText w:val="•"/>
      <w:lvlJc w:val="left"/>
      <w:pPr>
        <w:ind w:left="1277" w:hanging="252"/>
      </w:pPr>
      <w:rPr>
        <w:rFonts w:hint="default"/>
        <w:lang w:val="en-GB" w:eastAsia="en-GB" w:bidi="en-GB"/>
      </w:rPr>
    </w:lvl>
    <w:lvl w:ilvl="6" w:tplc="4192ED62">
      <w:numFmt w:val="bullet"/>
      <w:lvlText w:val="•"/>
      <w:lvlJc w:val="left"/>
      <w:pPr>
        <w:ind w:left="1448" w:hanging="252"/>
      </w:pPr>
      <w:rPr>
        <w:rFonts w:hint="default"/>
        <w:lang w:val="en-GB" w:eastAsia="en-GB" w:bidi="en-GB"/>
      </w:rPr>
    </w:lvl>
    <w:lvl w:ilvl="7" w:tplc="46B64A22">
      <w:numFmt w:val="bullet"/>
      <w:lvlText w:val="•"/>
      <w:lvlJc w:val="left"/>
      <w:pPr>
        <w:ind w:left="1619" w:hanging="252"/>
      </w:pPr>
      <w:rPr>
        <w:rFonts w:hint="default"/>
        <w:lang w:val="en-GB" w:eastAsia="en-GB" w:bidi="en-GB"/>
      </w:rPr>
    </w:lvl>
    <w:lvl w:ilvl="8" w:tplc="66AAEBCA">
      <w:numFmt w:val="bullet"/>
      <w:lvlText w:val="•"/>
      <w:lvlJc w:val="left"/>
      <w:pPr>
        <w:ind w:left="1791" w:hanging="252"/>
      </w:pPr>
      <w:rPr>
        <w:rFonts w:hint="default"/>
        <w:lang w:val="en-GB" w:eastAsia="en-GB" w:bidi="en-GB"/>
      </w:rPr>
    </w:lvl>
  </w:abstractNum>
  <w:abstractNum w:abstractNumId="74" w15:restartNumberingAfterBreak="0">
    <w:nsid w:val="4812118F"/>
    <w:multiLevelType w:val="hybridMultilevel"/>
    <w:tmpl w:val="DDACA05E"/>
    <w:lvl w:ilvl="0" w:tplc="8BA0E11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489F3732"/>
    <w:multiLevelType w:val="hybridMultilevel"/>
    <w:tmpl w:val="6BF2A342"/>
    <w:lvl w:ilvl="0" w:tplc="041F0001">
      <w:start w:val="1"/>
      <w:numFmt w:val="bullet"/>
      <w:lvlText w:val=""/>
      <w:lvlJc w:val="left"/>
      <w:pPr>
        <w:ind w:left="809" w:hanging="360"/>
      </w:pPr>
      <w:rPr>
        <w:rFonts w:ascii="Symbol" w:hAnsi="Symbol" w:hint="default"/>
      </w:rPr>
    </w:lvl>
    <w:lvl w:ilvl="1" w:tplc="041F0003" w:tentative="1">
      <w:start w:val="1"/>
      <w:numFmt w:val="bullet"/>
      <w:lvlText w:val="o"/>
      <w:lvlJc w:val="left"/>
      <w:pPr>
        <w:ind w:left="1529" w:hanging="360"/>
      </w:pPr>
      <w:rPr>
        <w:rFonts w:ascii="Courier New" w:hAnsi="Courier New" w:cs="Courier New" w:hint="default"/>
      </w:rPr>
    </w:lvl>
    <w:lvl w:ilvl="2" w:tplc="041F0005" w:tentative="1">
      <w:start w:val="1"/>
      <w:numFmt w:val="bullet"/>
      <w:lvlText w:val=""/>
      <w:lvlJc w:val="left"/>
      <w:pPr>
        <w:ind w:left="2249" w:hanging="360"/>
      </w:pPr>
      <w:rPr>
        <w:rFonts w:ascii="Wingdings" w:hAnsi="Wingdings" w:hint="default"/>
      </w:rPr>
    </w:lvl>
    <w:lvl w:ilvl="3" w:tplc="041F0001" w:tentative="1">
      <w:start w:val="1"/>
      <w:numFmt w:val="bullet"/>
      <w:lvlText w:val=""/>
      <w:lvlJc w:val="left"/>
      <w:pPr>
        <w:ind w:left="2969" w:hanging="360"/>
      </w:pPr>
      <w:rPr>
        <w:rFonts w:ascii="Symbol" w:hAnsi="Symbol" w:hint="default"/>
      </w:rPr>
    </w:lvl>
    <w:lvl w:ilvl="4" w:tplc="041F0003" w:tentative="1">
      <w:start w:val="1"/>
      <w:numFmt w:val="bullet"/>
      <w:lvlText w:val="o"/>
      <w:lvlJc w:val="left"/>
      <w:pPr>
        <w:ind w:left="3689" w:hanging="360"/>
      </w:pPr>
      <w:rPr>
        <w:rFonts w:ascii="Courier New" w:hAnsi="Courier New" w:cs="Courier New" w:hint="default"/>
      </w:rPr>
    </w:lvl>
    <w:lvl w:ilvl="5" w:tplc="041F0005" w:tentative="1">
      <w:start w:val="1"/>
      <w:numFmt w:val="bullet"/>
      <w:lvlText w:val=""/>
      <w:lvlJc w:val="left"/>
      <w:pPr>
        <w:ind w:left="4409" w:hanging="360"/>
      </w:pPr>
      <w:rPr>
        <w:rFonts w:ascii="Wingdings" w:hAnsi="Wingdings" w:hint="default"/>
      </w:rPr>
    </w:lvl>
    <w:lvl w:ilvl="6" w:tplc="041F0001" w:tentative="1">
      <w:start w:val="1"/>
      <w:numFmt w:val="bullet"/>
      <w:lvlText w:val=""/>
      <w:lvlJc w:val="left"/>
      <w:pPr>
        <w:ind w:left="5129" w:hanging="360"/>
      </w:pPr>
      <w:rPr>
        <w:rFonts w:ascii="Symbol" w:hAnsi="Symbol" w:hint="default"/>
      </w:rPr>
    </w:lvl>
    <w:lvl w:ilvl="7" w:tplc="041F0003" w:tentative="1">
      <w:start w:val="1"/>
      <w:numFmt w:val="bullet"/>
      <w:lvlText w:val="o"/>
      <w:lvlJc w:val="left"/>
      <w:pPr>
        <w:ind w:left="5849" w:hanging="360"/>
      </w:pPr>
      <w:rPr>
        <w:rFonts w:ascii="Courier New" w:hAnsi="Courier New" w:cs="Courier New" w:hint="default"/>
      </w:rPr>
    </w:lvl>
    <w:lvl w:ilvl="8" w:tplc="041F0005" w:tentative="1">
      <w:start w:val="1"/>
      <w:numFmt w:val="bullet"/>
      <w:lvlText w:val=""/>
      <w:lvlJc w:val="left"/>
      <w:pPr>
        <w:ind w:left="6569" w:hanging="360"/>
      </w:pPr>
      <w:rPr>
        <w:rFonts w:ascii="Wingdings" w:hAnsi="Wingdings" w:hint="default"/>
      </w:rPr>
    </w:lvl>
  </w:abstractNum>
  <w:abstractNum w:abstractNumId="76" w15:restartNumberingAfterBreak="0">
    <w:nsid w:val="49200CE1"/>
    <w:multiLevelType w:val="hybridMultilevel"/>
    <w:tmpl w:val="E820D9A6"/>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81A4F46E">
      <w:numFmt w:val="bullet"/>
      <w:lvlText w:val="•"/>
      <w:lvlJc w:val="left"/>
      <w:pPr>
        <w:ind w:left="1194" w:hanging="284"/>
      </w:pPr>
      <w:rPr>
        <w:rFonts w:hint="default"/>
        <w:lang w:val="en-GB" w:eastAsia="en-GB" w:bidi="en-GB"/>
      </w:rPr>
    </w:lvl>
    <w:lvl w:ilvl="2" w:tplc="CB923532">
      <w:numFmt w:val="bullet"/>
      <w:lvlText w:val="•"/>
      <w:lvlJc w:val="left"/>
      <w:pPr>
        <w:ind w:left="1829" w:hanging="284"/>
      </w:pPr>
      <w:rPr>
        <w:rFonts w:hint="default"/>
        <w:lang w:val="en-GB" w:eastAsia="en-GB" w:bidi="en-GB"/>
      </w:rPr>
    </w:lvl>
    <w:lvl w:ilvl="3" w:tplc="0AB0809A">
      <w:numFmt w:val="bullet"/>
      <w:lvlText w:val="•"/>
      <w:lvlJc w:val="left"/>
      <w:pPr>
        <w:ind w:left="2463" w:hanging="284"/>
      </w:pPr>
      <w:rPr>
        <w:rFonts w:hint="default"/>
        <w:lang w:val="en-GB" w:eastAsia="en-GB" w:bidi="en-GB"/>
      </w:rPr>
    </w:lvl>
    <w:lvl w:ilvl="4" w:tplc="111CCC7C">
      <w:numFmt w:val="bullet"/>
      <w:lvlText w:val="•"/>
      <w:lvlJc w:val="left"/>
      <w:pPr>
        <w:ind w:left="3098" w:hanging="284"/>
      </w:pPr>
      <w:rPr>
        <w:rFonts w:hint="default"/>
        <w:lang w:val="en-GB" w:eastAsia="en-GB" w:bidi="en-GB"/>
      </w:rPr>
    </w:lvl>
    <w:lvl w:ilvl="5" w:tplc="3AF40834">
      <w:numFmt w:val="bullet"/>
      <w:lvlText w:val="•"/>
      <w:lvlJc w:val="left"/>
      <w:pPr>
        <w:ind w:left="3732" w:hanging="284"/>
      </w:pPr>
      <w:rPr>
        <w:rFonts w:hint="default"/>
        <w:lang w:val="en-GB" w:eastAsia="en-GB" w:bidi="en-GB"/>
      </w:rPr>
    </w:lvl>
    <w:lvl w:ilvl="6" w:tplc="2F72A036">
      <w:numFmt w:val="bullet"/>
      <w:lvlText w:val="•"/>
      <w:lvlJc w:val="left"/>
      <w:pPr>
        <w:ind w:left="4367" w:hanging="284"/>
      </w:pPr>
      <w:rPr>
        <w:rFonts w:hint="default"/>
        <w:lang w:val="en-GB" w:eastAsia="en-GB" w:bidi="en-GB"/>
      </w:rPr>
    </w:lvl>
    <w:lvl w:ilvl="7" w:tplc="B9381DAE">
      <w:numFmt w:val="bullet"/>
      <w:lvlText w:val="•"/>
      <w:lvlJc w:val="left"/>
      <w:pPr>
        <w:ind w:left="5001" w:hanging="284"/>
      </w:pPr>
      <w:rPr>
        <w:rFonts w:hint="default"/>
        <w:lang w:val="en-GB" w:eastAsia="en-GB" w:bidi="en-GB"/>
      </w:rPr>
    </w:lvl>
    <w:lvl w:ilvl="8" w:tplc="F5880802">
      <w:numFmt w:val="bullet"/>
      <w:lvlText w:val="•"/>
      <w:lvlJc w:val="left"/>
      <w:pPr>
        <w:ind w:left="5636" w:hanging="284"/>
      </w:pPr>
      <w:rPr>
        <w:rFonts w:hint="default"/>
        <w:lang w:val="en-GB" w:eastAsia="en-GB" w:bidi="en-GB"/>
      </w:rPr>
    </w:lvl>
  </w:abstractNum>
  <w:abstractNum w:abstractNumId="77" w15:restartNumberingAfterBreak="0">
    <w:nsid w:val="4BD56F9A"/>
    <w:multiLevelType w:val="hybridMultilevel"/>
    <w:tmpl w:val="8F02B3B0"/>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4CE64E0C"/>
    <w:multiLevelType w:val="hybridMultilevel"/>
    <w:tmpl w:val="3C306B8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4576422C">
      <w:numFmt w:val="bullet"/>
      <w:lvlText w:val="•"/>
      <w:lvlJc w:val="left"/>
      <w:pPr>
        <w:ind w:left="591" w:hanging="252"/>
      </w:pPr>
      <w:rPr>
        <w:rFonts w:hint="default"/>
        <w:lang w:val="en-GB" w:eastAsia="en-GB" w:bidi="en-GB"/>
      </w:rPr>
    </w:lvl>
    <w:lvl w:ilvl="2" w:tplc="F79809B2">
      <w:numFmt w:val="bullet"/>
      <w:lvlText w:val="•"/>
      <w:lvlJc w:val="left"/>
      <w:pPr>
        <w:ind w:left="762" w:hanging="252"/>
      </w:pPr>
      <w:rPr>
        <w:rFonts w:hint="default"/>
        <w:lang w:val="en-GB" w:eastAsia="en-GB" w:bidi="en-GB"/>
      </w:rPr>
    </w:lvl>
    <w:lvl w:ilvl="3" w:tplc="74D8E1C8">
      <w:numFmt w:val="bullet"/>
      <w:lvlText w:val="•"/>
      <w:lvlJc w:val="left"/>
      <w:pPr>
        <w:ind w:left="934" w:hanging="252"/>
      </w:pPr>
      <w:rPr>
        <w:rFonts w:hint="default"/>
        <w:lang w:val="en-GB" w:eastAsia="en-GB" w:bidi="en-GB"/>
      </w:rPr>
    </w:lvl>
    <w:lvl w:ilvl="4" w:tplc="600E5544">
      <w:numFmt w:val="bullet"/>
      <w:lvlText w:val="•"/>
      <w:lvlJc w:val="left"/>
      <w:pPr>
        <w:ind w:left="1105" w:hanging="252"/>
      </w:pPr>
      <w:rPr>
        <w:rFonts w:hint="default"/>
        <w:lang w:val="en-GB" w:eastAsia="en-GB" w:bidi="en-GB"/>
      </w:rPr>
    </w:lvl>
    <w:lvl w:ilvl="5" w:tplc="8842EE60">
      <w:numFmt w:val="bullet"/>
      <w:lvlText w:val="•"/>
      <w:lvlJc w:val="left"/>
      <w:pPr>
        <w:ind w:left="1277" w:hanging="252"/>
      </w:pPr>
      <w:rPr>
        <w:rFonts w:hint="default"/>
        <w:lang w:val="en-GB" w:eastAsia="en-GB" w:bidi="en-GB"/>
      </w:rPr>
    </w:lvl>
    <w:lvl w:ilvl="6" w:tplc="629EA2A4">
      <w:numFmt w:val="bullet"/>
      <w:lvlText w:val="•"/>
      <w:lvlJc w:val="left"/>
      <w:pPr>
        <w:ind w:left="1448" w:hanging="252"/>
      </w:pPr>
      <w:rPr>
        <w:rFonts w:hint="default"/>
        <w:lang w:val="en-GB" w:eastAsia="en-GB" w:bidi="en-GB"/>
      </w:rPr>
    </w:lvl>
    <w:lvl w:ilvl="7" w:tplc="0EDA3638">
      <w:numFmt w:val="bullet"/>
      <w:lvlText w:val="•"/>
      <w:lvlJc w:val="left"/>
      <w:pPr>
        <w:ind w:left="1619" w:hanging="252"/>
      </w:pPr>
      <w:rPr>
        <w:rFonts w:hint="default"/>
        <w:lang w:val="en-GB" w:eastAsia="en-GB" w:bidi="en-GB"/>
      </w:rPr>
    </w:lvl>
    <w:lvl w:ilvl="8" w:tplc="67E66F44">
      <w:numFmt w:val="bullet"/>
      <w:lvlText w:val="•"/>
      <w:lvlJc w:val="left"/>
      <w:pPr>
        <w:ind w:left="1791" w:hanging="252"/>
      </w:pPr>
      <w:rPr>
        <w:rFonts w:hint="default"/>
        <w:lang w:val="en-GB" w:eastAsia="en-GB" w:bidi="en-GB"/>
      </w:rPr>
    </w:lvl>
  </w:abstractNum>
  <w:abstractNum w:abstractNumId="79" w15:restartNumberingAfterBreak="0">
    <w:nsid w:val="4DE17D49"/>
    <w:multiLevelType w:val="hybridMultilevel"/>
    <w:tmpl w:val="80A6D970"/>
    <w:lvl w:ilvl="0" w:tplc="0B96F998">
      <w:numFmt w:val="bullet"/>
      <w:lvlText w:val="—"/>
      <w:lvlJc w:val="left"/>
      <w:pPr>
        <w:ind w:left="144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0" w15:restartNumberingAfterBreak="0">
    <w:nsid w:val="503C5734"/>
    <w:multiLevelType w:val="hybridMultilevel"/>
    <w:tmpl w:val="388CAF10"/>
    <w:lvl w:ilvl="0" w:tplc="82A4676C">
      <w:numFmt w:val="bullet"/>
      <w:lvlText w:val=""/>
      <w:lvlJc w:val="left"/>
      <w:pPr>
        <w:ind w:left="672" w:hanging="567"/>
      </w:pPr>
      <w:rPr>
        <w:rFonts w:ascii="Symbol" w:eastAsia="Symbol" w:hAnsi="Symbol" w:cs="Symbol" w:hint="default"/>
        <w:w w:val="100"/>
        <w:sz w:val="22"/>
        <w:szCs w:val="22"/>
        <w:lang w:val="en-US" w:eastAsia="en-US" w:bidi="ar-SA"/>
      </w:rPr>
    </w:lvl>
    <w:lvl w:ilvl="1" w:tplc="0A0CCD4C">
      <w:numFmt w:val="bullet"/>
      <w:lvlText w:val="•"/>
      <w:lvlJc w:val="left"/>
      <w:pPr>
        <w:ind w:left="1192" w:hanging="567"/>
      </w:pPr>
      <w:rPr>
        <w:rFonts w:hint="default"/>
        <w:lang w:val="en-US" w:eastAsia="en-US" w:bidi="ar-SA"/>
      </w:rPr>
    </w:lvl>
    <w:lvl w:ilvl="2" w:tplc="7D7A4238">
      <w:numFmt w:val="bullet"/>
      <w:lvlText w:val="•"/>
      <w:lvlJc w:val="left"/>
      <w:pPr>
        <w:ind w:left="1705" w:hanging="567"/>
      </w:pPr>
      <w:rPr>
        <w:rFonts w:hint="default"/>
        <w:lang w:val="en-US" w:eastAsia="en-US" w:bidi="ar-SA"/>
      </w:rPr>
    </w:lvl>
    <w:lvl w:ilvl="3" w:tplc="BA4A180E">
      <w:numFmt w:val="bullet"/>
      <w:lvlText w:val="•"/>
      <w:lvlJc w:val="left"/>
      <w:pPr>
        <w:ind w:left="2218" w:hanging="567"/>
      </w:pPr>
      <w:rPr>
        <w:rFonts w:hint="default"/>
        <w:lang w:val="en-US" w:eastAsia="en-US" w:bidi="ar-SA"/>
      </w:rPr>
    </w:lvl>
    <w:lvl w:ilvl="4" w:tplc="3F6471B2">
      <w:numFmt w:val="bullet"/>
      <w:lvlText w:val="•"/>
      <w:lvlJc w:val="left"/>
      <w:pPr>
        <w:ind w:left="2731" w:hanging="567"/>
      </w:pPr>
      <w:rPr>
        <w:rFonts w:hint="default"/>
        <w:lang w:val="en-US" w:eastAsia="en-US" w:bidi="ar-SA"/>
      </w:rPr>
    </w:lvl>
    <w:lvl w:ilvl="5" w:tplc="1DF22EB0">
      <w:numFmt w:val="bullet"/>
      <w:lvlText w:val="•"/>
      <w:lvlJc w:val="left"/>
      <w:pPr>
        <w:ind w:left="3244" w:hanging="567"/>
      </w:pPr>
      <w:rPr>
        <w:rFonts w:hint="default"/>
        <w:lang w:val="en-US" w:eastAsia="en-US" w:bidi="ar-SA"/>
      </w:rPr>
    </w:lvl>
    <w:lvl w:ilvl="6" w:tplc="90DAA472">
      <w:numFmt w:val="bullet"/>
      <w:lvlText w:val="•"/>
      <w:lvlJc w:val="left"/>
      <w:pPr>
        <w:ind w:left="3756" w:hanging="567"/>
      </w:pPr>
      <w:rPr>
        <w:rFonts w:hint="default"/>
        <w:lang w:val="en-US" w:eastAsia="en-US" w:bidi="ar-SA"/>
      </w:rPr>
    </w:lvl>
    <w:lvl w:ilvl="7" w:tplc="1F402250">
      <w:numFmt w:val="bullet"/>
      <w:lvlText w:val="•"/>
      <w:lvlJc w:val="left"/>
      <w:pPr>
        <w:ind w:left="4269" w:hanging="567"/>
      </w:pPr>
      <w:rPr>
        <w:rFonts w:hint="default"/>
        <w:lang w:val="en-US" w:eastAsia="en-US" w:bidi="ar-SA"/>
      </w:rPr>
    </w:lvl>
    <w:lvl w:ilvl="8" w:tplc="C0180DB2">
      <w:numFmt w:val="bullet"/>
      <w:lvlText w:val="•"/>
      <w:lvlJc w:val="left"/>
      <w:pPr>
        <w:ind w:left="4782" w:hanging="567"/>
      </w:pPr>
      <w:rPr>
        <w:rFonts w:hint="default"/>
        <w:lang w:val="en-US" w:eastAsia="en-US" w:bidi="ar-SA"/>
      </w:rPr>
    </w:lvl>
  </w:abstractNum>
  <w:abstractNum w:abstractNumId="81" w15:restartNumberingAfterBreak="0">
    <w:nsid w:val="518B10D6"/>
    <w:multiLevelType w:val="hybridMultilevel"/>
    <w:tmpl w:val="F63614B2"/>
    <w:lvl w:ilvl="0" w:tplc="F9AA7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C93FDD"/>
    <w:multiLevelType w:val="hybridMultilevel"/>
    <w:tmpl w:val="9EA0DD58"/>
    <w:lvl w:ilvl="0" w:tplc="883CDE52">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621889"/>
    <w:multiLevelType w:val="hybridMultilevel"/>
    <w:tmpl w:val="FAE4AD3A"/>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8794D2D2">
      <w:numFmt w:val="bullet"/>
      <w:lvlText w:val="•"/>
      <w:lvlJc w:val="left"/>
      <w:pPr>
        <w:ind w:left="591" w:hanging="252"/>
      </w:pPr>
      <w:rPr>
        <w:rFonts w:hint="default"/>
        <w:lang w:val="en-GB" w:eastAsia="en-GB" w:bidi="en-GB"/>
      </w:rPr>
    </w:lvl>
    <w:lvl w:ilvl="2" w:tplc="82BCFBA4">
      <w:numFmt w:val="bullet"/>
      <w:lvlText w:val="•"/>
      <w:lvlJc w:val="left"/>
      <w:pPr>
        <w:ind w:left="762" w:hanging="252"/>
      </w:pPr>
      <w:rPr>
        <w:rFonts w:hint="default"/>
        <w:lang w:val="en-GB" w:eastAsia="en-GB" w:bidi="en-GB"/>
      </w:rPr>
    </w:lvl>
    <w:lvl w:ilvl="3" w:tplc="8266F50E">
      <w:numFmt w:val="bullet"/>
      <w:lvlText w:val="•"/>
      <w:lvlJc w:val="left"/>
      <w:pPr>
        <w:ind w:left="934" w:hanging="252"/>
      </w:pPr>
      <w:rPr>
        <w:rFonts w:hint="default"/>
        <w:lang w:val="en-GB" w:eastAsia="en-GB" w:bidi="en-GB"/>
      </w:rPr>
    </w:lvl>
    <w:lvl w:ilvl="4" w:tplc="BD226724">
      <w:numFmt w:val="bullet"/>
      <w:lvlText w:val="•"/>
      <w:lvlJc w:val="left"/>
      <w:pPr>
        <w:ind w:left="1105" w:hanging="252"/>
      </w:pPr>
      <w:rPr>
        <w:rFonts w:hint="default"/>
        <w:lang w:val="en-GB" w:eastAsia="en-GB" w:bidi="en-GB"/>
      </w:rPr>
    </w:lvl>
    <w:lvl w:ilvl="5" w:tplc="63DEA5A0">
      <w:numFmt w:val="bullet"/>
      <w:lvlText w:val="•"/>
      <w:lvlJc w:val="left"/>
      <w:pPr>
        <w:ind w:left="1277" w:hanging="252"/>
      </w:pPr>
      <w:rPr>
        <w:rFonts w:hint="default"/>
        <w:lang w:val="en-GB" w:eastAsia="en-GB" w:bidi="en-GB"/>
      </w:rPr>
    </w:lvl>
    <w:lvl w:ilvl="6" w:tplc="68F4E638">
      <w:numFmt w:val="bullet"/>
      <w:lvlText w:val="•"/>
      <w:lvlJc w:val="left"/>
      <w:pPr>
        <w:ind w:left="1448" w:hanging="252"/>
      </w:pPr>
      <w:rPr>
        <w:rFonts w:hint="default"/>
        <w:lang w:val="en-GB" w:eastAsia="en-GB" w:bidi="en-GB"/>
      </w:rPr>
    </w:lvl>
    <w:lvl w:ilvl="7" w:tplc="A78E8B2E">
      <w:numFmt w:val="bullet"/>
      <w:lvlText w:val="•"/>
      <w:lvlJc w:val="left"/>
      <w:pPr>
        <w:ind w:left="1619" w:hanging="252"/>
      </w:pPr>
      <w:rPr>
        <w:rFonts w:hint="default"/>
        <w:lang w:val="en-GB" w:eastAsia="en-GB" w:bidi="en-GB"/>
      </w:rPr>
    </w:lvl>
    <w:lvl w:ilvl="8" w:tplc="C63A212E">
      <w:numFmt w:val="bullet"/>
      <w:lvlText w:val="•"/>
      <w:lvlJc w:val="left"/>
      <w:pPr>
        <w:ind w:left="1791" w:hanging="252"/>
      </w:pPr>
      <w:rPr>
        <w:rFonts w:hint="default"/>
        <w:lang w:val="en-GB" w:eastAsia="en-GB" w:bidi="en-GB"/>
      </w:rPr>
    </w:lvl>
  </w:abstractNum>
  <w:abstractNum w:abstractNumId="84" w15:restartNumberingAfterBreak="0">
    <w:nsid w:val="54BE5568"/>
    <w:multiLevelType w:val="hybridMultilevel"/>
    <w:tmpl w:val="3C58656A"/>
    <w:lvl w:ilvl="0" w:tplc="22A80B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5D17330"/>
    <w:multiLevelType w:val="hybridMultilevel"/>
    <w:tmpl w:val="1312E4A0"/>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4614D7DA">
      <w:numFmt w:val="bullet"/>
      <w:lvlText w:val="•"/>
      <w:lvlJc w:val="left"/>
      <w:pPr>
        <w:ind w:left="1194" w:hanging="284"/>
      </w:pPr>
      <w:rPr>
        <w:rFonts w:hint="default"/>
        <w:lang w:val="en-GB" w:eastAsia="en-GB" w:bidi="en-GB"/>
      </w:rPr>
    </w:lvl>
    <w:lvl w:ilvl="2" w:tplc="3FF281CC">
      <w:numFmt w:val="bullet"/>
      <w:lvlText w:val="•"/>
      <w:lvlJc w:val="left"/>
      <w:pPr>
        <w:ind w:left="1829" w:hanging="284"/>
      </w:pPr>
      <w:rPr>
        <w:rFonts w:hint="default"/>
        <w:lang w:val="en-GB" w:eastAsia="en-GB" w:bidi="en-GB"/>
      </w:rPr>
    </w:lvl>
    <w:lvl w:ilvl="3" w:tplc="FCD41954">
      <w:numFmt w:val="bullet"/>
      <w:lvlText w:val="•"/>
      <w:lvlJc w:val="left"/>
      <w:pPr>
        <w:ind w:left="2463" w:hanging="284"/>
      </w:pPr>
      <w:rPr>
        <w:rFonts w:hint="default"/>
        <w:lang w:val="en-GB" w:eastAsia="en-GB" w:bidi="en-GB"/>
      </w:rPr>
    </w:lvl>
    <w:lvl w:ilvl="4" w:tplc="EDFC78E0">
      <w:numFmt w:val="bullet"/>
      <w:lvlText w:val="•"/>
      <w:lvlJc w:val="left"/>
      <w:pPr>
        <w:ind w:left="3098" w:hanging="284"/>
      </w:pPr>
      <w:rPr>
        <w:rFonts w:hint="default"/>
        <w:lang w:val="en-GB" w:eastAsia="en-GB" w:bidi="en-GB"/>
      </w:rPr>
    </w:lvl>
    <w:lvl w:ilvl="5" w:tplc="8AA2F4C8">
      <w:numFmt w:val="bullet"/>
      <w:lvlText w:val="•"/>
      <w:lvlJc w:val="left"/>
      <w:pPr>
        <w:ind w:left="3732" w:hanging="284"/>
      </w:pPr>
      <w:rPr>
        <w:rFonts w:hint="default"/>
        <w:lang w:val="en-GB" w:eastAsia="en-GB" w:bidi="en-GB"/>
      </w:rPr>
    </w:lvl>
    <w:lvl w:ilvl="6" w:tplc="35426D4C">
      <w:numFmt w:val="bullet"/>
      <w:lvlText w:val="•"/>
      <w:lvlJc w:val="left"/>
      <w:pPr>
        <w:ind w:left="4367" w:hanging="284"/>
      </w:pPr>
      <w:rPr>
        <w:rFonts w:hint="default"/>
        <w:lang w:val="en-GB" w:eastAsia="en-GB" w:bidi="en-GB"/>
      </w:rPr>
    </w:lvl>
    <w:lvl w:ilvl="7" w:tplc="611262EC">
      <w:numFmt w:val="bullet"/>
      <w:lvlText w:val="•"/>
      <w:lvlJc w:val="left"/>
      <w:pPr>
        <w:ind w:left="5001" w:hanging="284"/>
      </w:pPr>
      <w:rPr>
        <w:rFonts w:hint="default"/>
        <w:lang w:val="en-GB" w:eastAsia="en-GB" w:bidi="en-GB"/>
      </w:rPr>
    </w:lvl>
    <w:lvl w:ilvl="8" w:tplc="7E9EFCFC">
      <w:numFmt w:val="bullet"/>
      <w:lvlText w:val="•"/>
      <w:lvlJc w:val="left"/>
      <w:pPr>
        <w:ind w:left="5636" w:hanging="284"/>
      </w:pPr>
      <w:rPr>
        <w:rFonts w:hint="default"/>
        <w:lang w:val="en-GB" w:eastAsia="en-GB" w:bidi="en-GB"/>
      </w:rPr>
    </w:lvl>
  </w:abstractNum>
  <w:abstractNum w:abstractNumId="86" w15:restartNumberingAfterBreak="0">
    <w:nsid w:val="56276CCF"/>
    <w:multiLevelType w:val="hybridMultilevel"/>
    <w:tmpl w:val="283AA24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56D02051"/>
    <w:multiLevelType w:val="hybridMultilevel"/>
    <w:tmpl w:val="314A7184"/>
    <w:lvl w:ilvl="0" w:tplc="08669392">
      <w:start w:val="1"/>
      <w:numFmt w:val="bullet"/>
      <w:lvlText w:val=""/>
      <w:lvlJc w:val="left"/>
      <w:pPr>
        <w:ind w:left="720" w:hanging="360"/>
      </w:pPr>
      <w:rPr>
        <w:rFonts w:ascii="Symbol" w:hAnsi="Symbol" w:hint="default"/>
        <w:w w:val="99"/>
        <w:sz w:val="20"/>
        <w:szCs w:val="20"/>
        <w:lang w:val="en-GB" w:eastAsia="en-GB" w:bidi="en-G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9" w15:restartNumberingAfterBreak="0">
    <w:nsid w:val="57690C9C"/>
    <w:multiLevelType w:val="hybridMultilevel"/>
    <w:tmpl w:val="C504E2C0"/>
    <w:lvl w:ilvl="0" w:tplc="8F8423FE">
      <w:numFmt w:val="bullet"/>
      <w:lvlText w:val=""/>
      <w:lvlJc w:val="left"/>
      <w:pPr>
        <w:ind w:left="482" w:hanging="361"/>
      </w:pPr>
      <w:rPr>
        <w:rFonts w:ascii="Symbol" w:eastAsia="Symbol" w:hAnsi="Symbol" w:cs="Symbol" w:hint="default"/>
        <w:w w:val="99"/>
        <w:sz w:val="20"/>
        <w:szCs w:val="20"/>
        <w:lang w:val="en-US" w:eastAsia="en-US" w:bidi="ar-SA"/>
      </w:rPr>
    </w:lvl>
    <w:lvl w:ilvl="1" w:tplc="30941E66">
      <w:numFmt w:val="bullet"/>
      <w:lvlText w:val="•"/>
      <w:lvlJc w:val="left"/>
      <w:pPr>
        <w:ind w:left="1050" w:hanging="361"/>
      </w:pPr>
      <w:rPr>
        <w:rFonts w:hint="default"/>
        <w:lang w:val="en-US" w:eastAsia="en-US" w:bidi="ar-SA"/>
      </w:rPr>
    </w:lvl>
    <w:lvl w:ilvl="2" w:tplc="82EAB6A8">
      <w:numFmt w:val="bullet"/>
      <w:lvlText w:val="•"/>
      <w:lvlJc w:val="left"/>
      <w:pPr>
        <w:ind w:left="1620" w:hanging="361"/>
      </w:pPr>
      <w:rPr>
        <w:rFonts w:hint="default"/>
        <w:lang w:val="en-US" w:eastAsia="en-US" w:bidi="ar-SA"/>
      </w:rPr>
    </w:lvl>
    <w:lvl w:ilvl="3" w:tplc="F1AC050A">
      <w:numFmt w:val="bullet"/>
      <w:lvlText w:val="•"/>
      <w:lvlJc w:val="left"/>
      <w:pPr>
        <w:ind w:left="2191" w:hanging="361"/>
      </w:pPr>
      <w:rPr>
        <w:rFonts w:hint="default"/>
        <w:lang w:val="en-US" w:eastAsia="en-US" w:bidi="ar-SA"/>
      </w:rPr>
    </w:lvl>
    <w:lvl w:ilvl="4" w:tplc="D34ED748">
      <w:numFmt w:val="bullet"/>
      <w:lvlText w:val="•"/>
      <w:lvlJc w:val="left"/>
      <w:pPr>
        <w:ind w:left="2761" w:hanging="361"/>
      </w:pPr>
      <w:rPr>
        <w:rFonts w:hint="default"/>
        <w:lang w:val="en-US" w:eastAsia="en-US" w:bidi="ar-SA"/>
      </w:rPr>
    </w:lvl>
    <w:lvl w:ilvl="5" w:tplc="78F83A50">
      <w:numFmt w:val="bullet"/>
      <w:lvlText w:val="•"/>
      <w:lvlJc w:val="left"/>
      <w:pPr>
        <w:ind w:left="3332" w:hanging="361"/>
      </w:pPr>
      <w:rPr>
        <w:rFonts w:hint="default"/>
        <w:lang w:val="en-US" w:eastAsia="en-US" w:bidi="ar-SA"/>
      </w:rPr>
    </w:lvl>
    <w:lvl w:ilvl="6" w:tplc="8D1019BC">
      <w:numFmt w:val="bullet"/>
      <w:lvlText w:val="•"/>
      <w:lvlJc w:val="left"/>
      <w:pPr>
        <w:ind w:left="3902" w:hanging="361"/>
      </w:pPr>
      <w:rPr>
        <w:rFonts w:hint="default"/>
        <w:lang w:val="en-US" w:eastAsia="en-US" w:bidi="ar-SA"/>
      </w:rPr>
    </w:lvl>
    <w:lvl w:ilvl="7" w:tplc="929C109E">
      <w:numFmt w:val="bullet"/>
      <w:lvlText w:val="•"/>
      <w:lvlJc w:val="left"/>
      <w:pPr>
        <w:ind w:left="4472" w:hanging="361"/>
      </w:pPr>
      <w:rPr>
        <w:rFonts w:hint="default"/>
        <w:lang w:val="en-US" w:eastAsia="en-US" w:bidi="ar-SA"/>
      </w:rPr>
    </w:lvl>
    <w:lvl w:ilvl="8" w:tplc="F32EC7F2">
      <w:numFmt w:val="bullet"/>
      <w:lvlText w:val="•"/>
      <w:lvlJc w:val="left"/>
      <w:pPr>
        <w:ind w:left="5043" w:hanging="361"/>
      </w:pPr>
      <w:rPr>
        <w:rFonts w:hint="default"/>
        <w:lang w:val="en-US" w:eastAsia="en-US" w:bidi="ar-SA"/>
      </w:rPr>
    </w:lvl>
  </w:abstractNum>
  <w:abstractNum w:abstractNumId="90" w15:restartNumberingAfterBreak="0">
    <w:nsid w:val="57C020C0"/>
    <w:multiLevelType w:val="hybridMultilevel"/>
    <w:tmpl w:val="6A3E475E"/>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26307E4A">
      <w:numFmt w:val="bullet"/>
      <w:lvlText w:val="•"/>
      <w:lvlJc w:val="left"/>
      <w:pPr>
        <w:ind w:left="591" w:hanging="252"/>
      </w:pPr>
      <w:rPr>
        <w:rFonts w:hint="default"/>
        <w:lang w:val="en-GB" w:eastAsia="en-GB" w:bidi="en-GB"/>
      </w:rPr>
    </w:lvl>
    <w:lvl w:ilvl="2" w:tplc="4C189000">
      <w:numFmt w:val="bullet"/>
      <w:lvlText w:val="•"/>
      <w:lvlJc w:val="left"/>
      <w:pPr>
        <w:ind w:left="762" w:hanging="252"/>
      </w:pPr>
      <w:rPr>
        <w:rFonts w:hint="default"/>
        <w:lang w:val="en-GB" w:eastAsia="en-GB" w:bidi="en-GB"/>
      </w:rPr>
    </w:lvl>
    <w:lvl w:ilvl="3" w:tplc="F93879CE">
      <w:numFmt w:val="bullet"/>
      <w:lvlText w:val="•"/>
      <w:lvlJc w:val="left"/>
      <w:pPr>
        <w:ind w:left="934" w:hanging="252"/>
      </w:pPr>
      <w:rPr>
        <w:rFonts w:hint="default"/>
        <w:lang w:val="en-GB" w:eastAsia="en-GB" w:bidi="en-GB"/>
      </w:rPr>
    </w:lvl>
    <w:lvl w:ilvl="4" w:tplc="6466201E">
      <w:numFmt w:val="bullet"/>
      <w:lvlText w:val="•"/>
      <w:lvlJc w:val="left"/>
      <w:pPr>
        <w:ind w:left="1105" w:hanging="252"/>
      </w:pPr>
      <w:rPr>
        <w:rFonts w:hint="default"/>
        <w:lang w:val="en-GB" w:eastAsia="en-GB" w:bidi="en-GB"/>
      </w:rPr>
    </w:lvl>
    <w:lvl w:ilvl="5" w:tplc="81A07CC6">
      <w:numFmt w:val="bullet"/>
      <w:lvlText w:val="•"/>
      <w:lvlJc w:val="left"/>
      <w:pPr>
        <w:ind w:left="1277" w:hanging="252"/>
      </w:pPr>
      <w:rPr>
        <w:rFonts w:hint="default"/>
        <w:lang w:val="en-GB" w:eastAsia="en-GB" w:bidi="en-GB"/>
      </w:rPr>
    </w:lvl>
    <w:lvl w:ilvl="6" w:tplc="3850B5CA">
      <w:numFmt w:val="bullet"/>
      <w:lvlText w:val="•"/>
      <w:lvlJc w:val="left"/>
      <w:pPr>
        <w:ind w:left="1448" w:hanging="252"/>
      </w:pPr>
      <w:rPr>
        <w:rFonts w:hint="default"/>
        <w:lang w:val="en-GB" w:eastAsia="en-GB" w:bidi="en-GB"/>
      </w:rPr>
    </w:lvl>
    <w:lvl w:ilvl="7" w:tplc="A726F73C">
      <w:numFmt w:val="bullet"/>
      <w:lvlText w:val="•"/>
      <w:lvlJc w:val="left"/>
      <w:pPr>
        <w:ind w:left="1619" w:hanging="252"/>
      </w:pPr>
      <w:rPr>
        <w:rFonts w:hint="default"/>
        <w:lang w:val="en-GB" w:eastAsia="en-GB" w:bidi="en-GB"/>
      </w:rPr>
    </w:lvl>
    <w:lvl w:ilvl="8" w:tplc="69041B98">
      <w:numFmt w:val="bullet"/>
      <w:lvlText w:val="•"/>
      <w:lvlJc w:val="left"/>
      <w:pPr>
        <w:ind w:left="1791" w:hanging="252"/>
      </w:pPr>
      <w:rPr>
        <w:rFonts w:hint="default"/>
        <w:lang w:val="en-GB" w:eastAsia="en-GB" w:bidi="en-GB"/>
      </w:rPr>
    </w:lvl>
  </w:abstractNum>
  <w:abstractNum w:abstractNumId="91" w15:restartNumberingAfterBreak="0">
    <w:nsid w:val="58CD7870"/>
    <w:multiLevelType w:val="multilevel"/>
    <w:tmpl w:val="E6BC39F0"/>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450" w:hanging="360"/>
      </w:pPr>
      <w:rPr>
        <w:rFonts w:ascii="Times New Roman" w:hAnsi="Times New Roman" w:hint="default"/>
        <w:b/>
        <w:i w:val="0"/>
        <w:sz w:val="24"/>
      </w:rPr>
    </w:lvl>
    <w:lvl w:ilvl="2">
      <w:start w:val="1"/>
      <w:numFmt w:val="decimal"/>
      <w:lvlText w:val="%1.%2.%3"/>
      <w:lvlJc w:val="left"/>
      <w:pPr>
        <w:ind w:left="900" w:hanging="720"/>
      </w:pPr>
      <w:rPr>
        <w:rFonts w:ascii="Times New Roman" w:hAnsi="Times New Roman" w:hint="default"/>
        <w:b/>
        <w:i w:val="0"/>
        <w:sz w:val="24"/>
      </w:rPr>
    </w:lvl>
    <w:lvl w:ilvl="3">
      <w:start w:val="1"/>
      <w:numFmt w:val="decimal"/>
      <w:lvlText w:val="%1.%2.%3.%4"/>
      <w:lvlJc w:val="left"/>
      <w:pPr>
        <w:ind w:left="990" w:hanging="720"/>
      </w:pPr>
      <w:rPr>
        <w:rFonts w:ascii="Times New Roman" w:hAnsi="Times New Roman" w:hint="default"/>
        <w:b/>
        <w:i w:val="0"/>
        <w:sz w:val="24"/>
      </w:rPr>
    </w:lvl>
    <w:lvl w:ilvl="4">
      <w:start w:val="1"/>
      <w:numFmt w:val="decimal"/>
      <w:lvlText w:val="%1.%2.%3.%4.%5"/>
      <w:lvlJc w:val="left"/>
      <w:pPr>
        <w:ind w:left="1440" w:hanging="1080"/>
      </w:pPr>
      <w:rPr>
        <w:rFonts w:ascii="Times New Roman" w:hAnsi="Times New Roman" w:hint="default"/>
        <w:b/>
        <w:i w:val="0"/>
        <w:sz w:val="24"/>
      </w:rPr>
    </w:lvl>
    <w:lvl w:ilvl="5">
      <w:start w:val="1"/>
      <w:numFmt w:val="decimal"/>
      <w:lvlText w:val="%1.%2.%3.%4.%5.%6"/>
      <w:lvlJc w:val="left"/>
      <w:pPr>
        <w:ind w:left="1530" w:hanging="1080"/>
      </w:pPr>
      <w:rPr>
        <w:rFonts w:ascii="Times New Roman" w:hAnsi="Times New Roman" w:hint="default"/>
        <w:b/>
        <w:i w:val="0"/>
        <w:sz w:val="24"/>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2" w15:restartNumberingAfterBreak="0">
    <w:nsid w:val="58FF7377"/>
    <w:multiLevelType w:val="hybridMultilevel"/>
    <w:tmpl w:val="F50C5EF4"/>
    <w:lvl w:ilvl="0" w:tplc="041F0013">
      <w:start w:val="1"/>
      <w:numFmt w:val="upperRoman"/>
      <w:lvlText w:val="%1."/>
      <w:lvlJc w:val="right"/>
      <w:pPr>
        <w:ind w:left="1172" w:hanging="360"/>
      </w:pPr>
    </w:lvl>
    <w:lvl w:ilvl="1" w:tplc="041F0019" w:tentative="1">
      <w:start w:val="1"/>
      <w:numFmt w:val="lowerLetter"/>
      <w:lvlText w:val="%2."/>
      <w:lvlJc w:val="left"/>
      <w:pPr>
        <w:ind w:left="1892" w:hanging="360"/>
      </w:pPr>
    </w:lvl>
    <w:lvl w:ilvl="2" w:tplc="041F001B" w:tentative="1">
      <w:start w:val="1"/>
      <w:numFmt w:val="lowerRoman"/>
      <w:lvlText w:val="%3."/>
      <w:lvlJc w:val="right"/>
      <w:pPr>
        <w:ind w:left="2612" w:hanging="180"/>
      </w:pPr>
    </w:lvl>
    <w:lvl w:ilvl="3" w:tplc="041F000F" w:tentative="1">
      <w:start w:val="1"/>
      <w:numFmt w:val="decimal"/>
      <w:lvlText w:val="%4."/>
      <w:lvlJc w:val="left"/>
      <w:pPr>
        <w:ind w:left="3332" w:hanging="360"/>
      </w:pPr>
    </w:lvl>
    <w:lvl w:ilvl="4" w:tplc="041F0019" w:tentative="1">
      <w:start w:val="1"/>
      <w:numFmt w:val="lowerLetter"/>
      <w:lvlText w:val="%5."/>
      <w:lvlJc w:val="left"/>
      <w:pPr>
        <w:ind w:left="4052" w:hanging="360"/>
      </w:pPr>
    </w:lvl>
    <w:lvl w:ilvl="5" w:tplc="041F001B" w:tentative="1">
      <w:start w:val="1"/>
      <w:numFmt w:val="lowerRoman"/>
      <w:lvlText w:val="%6."/>
      <w:lvlJc w:val="right"/>
      <w:pPr>
        <w:ind w:left="4772" w:hanging="180"/>
      </w:pPr>
    </w:lvl>
    <w:lvl w:ilvl="6" w:tplc="041F000F" w:tentative="1">
      <w:start w:val="1"/>
      <w:numFmt w:val="decimal"/>
      <w:lvlText w:val="%7."/>
      <w:lvlJc w:val="left"/>
      <w:pPr>
        <w:ind w:left="5492" w:hanging="360"/>
      </w:pPr>
    </w:lvl>
    <w:lvl w:ilvl="7" w:tplc="041F0019" w:tentative="1">
      <w:start w:val="1"/>
      <w:numFmt w:val="lowerLetter"/>
      <w:lvlText w:val="%8."/>
      <w:lvlJc w:val="left"/>
      <w:pPr>
        <w:ind w:left="6212" w:hanging="360"/>
      </w:pPr>
    </w:lvl>
    <w:lvl w:ilvl="8" w:tplc="041F001B" w:tentative="1">
      <w:start w:val="1"/>
      <w:numFmt w:val="lowerRoman"/>
      <w:lvlText w:val="%9."/>
      <w:lvlJc w:val="right"/>
      <w:pPr>
        <w:ind w:left="6932" w:hanging="180"/>
      </w:pPr>
    </w:lvl>
  </w:abstractNum>
  <w:abstractNum w:abstractNumId="93" w15:restartNumberingAfterBreak="0">
    <w:nsid w:val="59137AAF"/>
    <w:multiLevelType w:val="hybridMultilevel"/>
    <w:tmpl w:val="489AA9A4"/>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59957C44"/>
    <w:multiLevelType w:val="hybridMultilevel"/>
    <w:tmpl w:val="539CE836"/>
    <w:lvl w:ilvl="0" w:tplc="EB641D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647250"/>
    <w:multiLevelType w:val="hybridMultilevel"/>
    <w:tmpl w:val="FE6072D6"/>
    <w:lvl w:ilvl="0" w:tplc="0CC6467E">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5CE45EDD"/>
    <w:multiLevelType w:val="hybridMultilevel"/>
    <w:tmpl w:val="0928BCC4"/>
    <w:lvl w:ilvl="0" w:tplc="5B262852">
      <w:start w:val="1"/>
      <w:numFmt w:val="decimal"/>
      <w:lvlText w:val="(%1)"/>
      <w:lvlJc w:val="left"/>
      <w:pPr>
        <w:ind w:left="354" w:hanging="247"/>
      </w:pPr>
      <w:rPr>
        <w:rFonts w:ascii="Times New Roman" w:eastAsia="Times New Roman" w:hAnsi="Times New Roman" w:cs="Times New Roman" w:hint="default"/>
        <w:w w:val="99"/>
        <w:sz w:val="20"/>
        <w:szCs w:val="20"/>
        <w:lang w:val="en-US" w:eastAsia="en-US" w:bidi="ar-SA"/>
      </w:rPr>
    </w:lvl>
    <w:lvl w:ilvl="1" w:tplc="41AE046C">
      <w:numFmt w:val="bullet"/>
      <w:lvlText w:val="•"/>
      <w:lvlJc w:val="left"/>
      <w:pPr>
        <w:ind w:left="1173" w:hanging="247"/>
      </w:pPr>
      <w:rPr>
        <w:rFonts w:hint="default"/>
        <w:lang w:val="en-US" w:eastAsia="en-US" w:bidi="ar-SA"/>
      </w:rPr>
    </w:lvl>
    <w:lvl w:ilvl="2" w:tplc="F5F44CB2">
      <w:numFmt w:val="bullet"/>
      <w:lvlText w:val="•"/>
      <w:lvlJc w:val="left"/>
      <w:pPr>
        <w:ind w:left="1987" w:hanging="247"/>
      </w:pPr>
      <w:rPr>
        <w:rFonts w:hint="default"/>
        <w:lang w:val="en-US" w:eastAsia="en-US" w:bidi="ar-SA"/>
      </w:rPr>
    </w:lvl>
    <w:lvl w:ilvl="3" w:tplc="B2A27752">
      <w:numFmt w:val="bullet"/>
      <w:lvlText w:val="•"/>
      <w:lvlJc w:val="left"/>
      <w:pPr>
        <w:ind w:left="2801" w:hanging="247"/>
      </w:pPr>
      <w:rPr>
        <w:rFonts w:hint="default"/>
        <w:lang w:val="en-US" w:eastAsia="en-US" w:bidi="ar-SA"/>
      </w:rPr>
    </w:lvl>
    <w:lvl w:ilvl="4" w:tplc="EE70E8F6">
      <w:numFmt w:val="bullet"/>
      <w:lvlText w:val="•"/>
      <w:lvlJc w:val="left"/>
      <w:pPr>
        <w:ind w:left="3615" w:hanging="247"/>
      </w:pPr>
      <w:rPr>
        <w:rFonts w:hint="default"/>
        <w:lang w:val="en-US" w:eastAsia="en-US" w:bidi="ar-SA"/>
      </w:rPr>
    </w:lvl>
    <w:lvl w:ilvl="5" w:tplc="C584CC9C">
      <w:numFmt w:val="bullet"/>
      <w:lvlText w:val="•"/>
      <w:lvlJc w:val="left"/>
      <w:pPr>
        <w:ind w:left="4429" w:hanging="247"/>
      </w:pPr>
      <w:rPr>
        <w:rFonts w:hint="default"/>
        <w:lang w:val="en-US" w:eastAsia="en-US" w:bidi="ar-SA"/>
      </w:rPr>
    </w:lvl>
    <w:lvl w:ilvl="6" w:tplc="2B105124">
      <w:numFmt w:val="bullet"/>
      <w:lvlText w:val="•"/>
      <w:lvlJc w:val="left"/>
      <w:pPr>
        <w:ind w:left="5242" w:hanging="247"/>
      </w:pPr>
      <w:rPr>
        <w:rFonts w:hint="default"/>
        <w:lang w:val="en-US" w:eastAsia="en-US" w:bidi="ar-SA"/>
      </w:rPr>
    </w:lvl>
    <w:lvl w:ilvl="7" w:tplc="5BA4013C">
      <w:numFmt w:val="bullet"/>
      <w:lvlText w:val="•"/>
      <w:lvlJc w:val="left"/>
      <w:pPr>
        <w:ind w:left="6056" w:hanging="247"/>
      </w:pPr>
      <w:rPr>
        <w:rFonts w:hint="default"/>
        <w:lang w:val="en-US" w:eastAsia="en-US" w:bidi="ar-SA"/>
      </w:rPr>
    </w:lvl>
    <w:lvl w:ilvl="8" w:tplc="CBC61F5C">
      <w:numFmt w:val="bullet"/>
      <w:lvlText w:val="•"/>
      <w:lvlJc w:val="left"/>
      <w:pPr>
        <w:ind w:left="6870" w:hanging="247"/>
      </w:pPr>
      <w:rPr>
        <w:rFonts w:hint="default"/>
        <w:lang w:val="en-US" w:eastAsia="en-US" w:bidi="ar-SA"/>
      </w:rPr>
    </w:lvl>
  </w:abstractNum>
  <w:abstractNum w:abstractNumId="97"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791901"/>
    <w:multiLevelType w:val="hybridMultilevel"/>
    <w:tmpl w:val="505074FE"/>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14E874E2">
      <w:numFmt w:val="bullet"/>
      <w:lvlText w:val="•"/>
      <w:lvlJc w:val="left"/>
      <w:pPr>
        <w:ind w:left="591" w:hanging="252"/>
      </w:pPr>
      <w:rPr>
        <w:rFonts w:hint="default"/>
        <w:lang w:val="en-GB" w:eastAsia="en-GB" w:bidi="en-GB"/>
      </w:rPr>
    </w:lvl>
    <w:lvl w:ilvl="2" w:tplc="7DBC2BB4">
      <w:numFmt w:val="bullet"/>
      <w:lvlText w:val="•"/>
      <w:lvlJc w:val="left"/>
      <w:pPr>
        <w:ind w:left="762" w:hanging="252"/>
      </w:pPr>
      <w:rPr>
        <w:rFonts w:hint="default"/>
        <w:lang w:val="en-GB" w:eastAsia="en-GB" w:bidi="en-GB"/>
      </w:rPr>
    </w:lvl>
    <w:lvl w:ilvl="3" w:tplc="F20403EC">
      <w:numFmt w:val="bullet"/>
      <w:lvlText w:val="•"/>
      <w:lvlJc w:val="left"/>
      <w:pPr>
        <w:ind w:left="934" w:hanging="252"/>
      </w:pPr>
      <w:rPr>
        <w:rFonts w:hint="default"/>
        <w:lang w:val="en-GB" w:eastAsia="en-GB" w:bidi="en-GB"/>
      </w:rPr>
    </w:lvl>
    <w:lvl w:ilvl="4" w:tplc="F4CCDB70">
      <w:numFmt w:val="bullet"/>
      <w:lvlText w:val="•"/>
      <w:lvlJc w:val="left"/>
      <w:pPr>
        <w:ind w:left="1105" w:hanging="252"/>
      </w:pPr>
      <w:rPr>
        <w:rFonts w:hint="default"/>
        <w:lang w:val="en-GB" w:eastAsia="en-GB" w:bidi="en-GB"/>
      </w:rPr>
    </w:lvl>
    <w:lvl w:ilvl="5" w:tplc="CFFEF39A">
      <w:numFmt w:val="bullet"/>
      <w:lvlText w:val="•"/>
      <w:lvlJc w:val="left"/>
      <w:pPr>
        <w:ind w:left="1277" w:hanging="252"/>
      </w:pPr>
      <w:rPr>
        <w:rFonts w:hint="default"/>
        <w:lang w:val="en-GB" w:eastAsia="en-GB" w:bidi="en-GB"/>
      </w:rPr>
    </w:lvl>
    <w:lvl w:ilvl="6" w:tplc="198A3A1C">
      <w:numFmt w:val="bullet"/>
      <w:lvlText w:val="•"/>
      <w:lvlJc w:val="left"/>
      <w:pPr>
        <w:ind w:left="1448" w:hanging="252"/>
      </w:pPr>
      <w:rPr>
        <w:rFonts w:hint="default"/>
        <w:lang w:val="en-GB" w:eastAsia="en-GB" w:bidi="en-GB"/>
      </w:rPr>
    </w:lvl>
    <w:lvl w:ilvl="7" w:tplc="9A181F54">
      <w:numFmt w:val="bullet"/>
      <w:lvlText w:val="•"/>
      <w:lvlJc w:val="left"/>
      <w:pPr>
        <w:ind w:left="1619" w:hanging="252"/>
      </w:pPr>
      <w:rPr>
        <w:rFonts w:hint="default"/>
        <w:lang w:val="en-GB" w:eastAsia="en-GB" w:bidi="en-GB"/>
      </w:rPr>
    </w:lvl>
    <w:lvl w:ilvl="8" w:tplc="19D0B196">
      <w:numFmt w:val="bullet"/>
      <w:lvlText w:val="•"/>
      <w:lvlJc w:val="left"/>
      <w:pPr>
        <w:ind w:left="1791" w:hanging="252"/>
      </w:pPr>
      <w:rPr>
        <w:rFonts w:hint="default"/>
        <w:lang w:val="en-GB" w:eastAsia="en-GB" w:bidi="en-GB"/>
      </w:rPr>
    </w:lvl>
  </w:abstractNum>
  <w:abstractNum w:abstractNumId="99" w15:restartNumberingAfterBreak="0">
    <w:nsid w:val="5EF82302"/>
    <w:multiLevelType w:val="hybridMultilevel"/>
    <w:tmpl w:val="C8DC2BDC"/>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8796F5DA">
      <w:numFmt w:val="bullet"/>
      <w:lvlText w:val="•"/>
      <w:lvlJc w:val="left"/>
      <w:pPr>
        <w:ind w:left="591" w:hanging="252"/>
      </w:pPr>
      <w:rPr>
        <w:rFonts w:hint="default"/>
        <w:lang w:val="en-GB" w:eastAsia="en-GB" w:bidi="en-GB"/>
      </w:rPr>
    </w:lvl>
    <w:lvl w:ilvl="2" w:tplc="75F6F7BA">
      <w:numFmt w:val="bullet"/>
      <w:lvlText w:val="•"/>
      <w:lvlJc w:val="left"/>
      <w:pPr>
        <w:ind w:left="762" w:hanging="252"/>
      </w:pPr>
      <w:rPr>
        <w:rFonts w:hint="default"/>
        <w:lang w:val="en-GB" w:eastAsia="en-GB" w:bidi="en-GB"/>
      </w:rPr>
    </w:lvl>
    <w:lvl w:ilvl="3" w:tplc="546E5316">
      <w:numFmt w:val="bullet"/>
      <w:lvlText w:val="•"/>
      <w:lvlJc w:val="left"/>
      <w:pPr>
        <w:ind w:left="934" w:hanging="252"/>
      </w:pPr>
      <w:rPr>
        <w:rFonts w:hint="default"/>
        <w:lang w:val="en-GB" w:eastAsia="en-GB" w:bidi="en-GB"/>
      </w:rPr>
    </w:lvl>
    <w:lvl w:ilvl="4" w:tplc="0332F2A4">
      <w:numFmt w:val="bullet"/>
      <w:lvlText w:val="•"/>
      <w:lvlJc w:val="left"/>
      <w:pPr>
        <w:ind w:left="1105" w:hanging="252"/>
      </w:pPr>
      <w:rPr>
        <w:rFonts w:hint="default"/>
        <w:lang w:val="en-GB" w:eastAsia="en-GB" w:bidi="en-GB"/>
      </w:rPr>
    </w:lvl>
    <w:lvl w:ilvl="5" w:tplc="22C43052">
      <w:numFmt w:val="bullet"/>
      <w:lvlText w:val="•"/>
      <w:lvlJc w:val="left"/>
      <w:pPr>
        <w:ind w:left="1277" w:hanging="252"/>
      </w:pPr>
      <w:rPr>
        <w:rFonts w:hint="default"/>
        <w:lang w:val="en-GB" w:eastAsia="en-GB" w:bidi="en-GB"/>
      </w:rPr>
    </w:lvl>
    <w:lvl w:ilvl="6" w:tplc="213698FC">
      <w:numFmt w:val="bullet"/>
      <w:lvlText w:val="•"/>
      <w:lvlJc w:val="left"/>
      <w:pPr>
        <w:ind w:left="1448" w:hanging="252"/>
      </w:pPr>
      <w:rPr>
        <w:rFonts w:hint="default"/>
        <w:lang w:val="en-GB" w:eastAsia="en-GB" w:bidi="en-GB"/>
      </w:rPr>
    </w:lvl>
    <w:lvl w:ilvl="7" w:tplc="A628CD1A">
      <w:numFmt w:val="bullet"/>
      <w:lvlText w:val="•"/>
      <w:lvlJc w:val="left"/>
      <w:pPr>
        <w:ind w:left="1619" w:hanging="252"/>
      </w:pPr>
      <w:rPr>
        <w:rFonts w:hint="default"/>
        <w:lang w:val="en-GB" w:eastAsia="en-GB" w:bidi="en-GB"/>
      </w:rPr>
    </w:lvl>
    <w:lvl w:ilvl="8" w:tplc="1E3439C0">
      <w:numFmt w:val="bullet"/>
      <w:lvlText w:val="•"/>
      <w:lvlJc w:val="left"/>
      <w:pPr>
        <w:ind w:left="1791" w:hanging="252"/>
      </w:pPr>
      <w:rPr>
        <w:rFonts w:hint="default"/>
        <w:lang w:val="en-GB" w:eastAsia="en-GB" w:bidi="en-GB"/>
      </w:rPr>
    </w:lvl>
  </w:abstractNum>
  <w:abstractNum w:abstractNumId="100" w15:restartNumberingAfterBreak="0">
    <w:nsid w:val="5F41064A"/>
    <w:multiLevelType w:val="hybridMultilevel"/>
    <w:tmpl w:val="79182A82"/>
    <w:lvl w:ilvl="0" w:tplc="9FEA4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52112E"/>
    <w:multiLevelType w:val="hybridMultilevel"/>
    <w:tmpl w:val="AE6E3458"/>
    <w:lvl w:ilvl="0" w:tplc="8F7AA5D4">
      <w:start w:val="1"/>
      <w:numFmt w:val="decimal"/>
      <w:lvlText w:val="(%1)"/>
      <w:lvlJc w:val="left"/>
      <w:pPr>
        <w:ind w:left="345" w:hanging="238"/>
      </w:pPr>
      <w:rPr>
        <w:rFonts w:ascii="Times New Roman" w:eastAsia="Times New Roman" w:hAnsi="Times New Roman" w:cs="Times New Roman" w:hint="default"/>
        <w:w w:val="99"/>
        <w:sz w:val="18"/>
        <w:szCs w:val="18"/>
        <w:lang w:val="en-US" w:eastAsia="en-US" w:bidi="ar-SA"/>
      </w:rPr>
    </w:lvl>
    <w:lvl w:ilvl="1" w:tplc="644AE88C">
      <w:numFmt w:val="bullet"/>
      <w:lvlText w:val="•"/>
      <w:lvlJc w:val="left"/>
      <w:pPr>
        <w:ind w:left="1141" w:hanging="238"/>
      </w:pPr>
      <w:rPr>
        <w:rFonts w:hint="default"/>
        <w:lang w:val="en-US" w:eastAsia="en-US" w:bidi="ar-SA"/>
      </w:rPr>
    </w:lvl>
    <w:lvl w:ilvl="2" w:tplc="E1E8FB44">
      <w:numFmt w:val="bullet"/>
      <w:lvlText w:val="•"/>
      <w:lvlJc w:val="left"/>
      <w:pPr>
        <w:ind w:left="1942" w:hanging="238"/>
      </w:pPr>
      <w:rPr>
        <w:rFonts w:hint="default"/>
        <w:lang w:val="en-US" w:eastAsia="en-US" w:bidi="ar-SA"/>
      </w:rPr>
    </w:lvl>
    <w:lvl w:ilvl="3" w:tplc="EF380162">
      <w:numFmt w:val="bullet"/>
      <w:lvlText w:val="•"/>
      <w:lvlJc w:val="left"/>
      <w:pPr>
        <w:ind w:left="2744" w:hanging="238"/>
      </w:pPr>
      <w:rPr>
        <w:rFonts w:hint="default"/>
        <w:lang w:val="en-US" w:eastAsia="en-US" w:bidi="ar-SA"/>
      </w:rPr>
    </w:lvl>
    <w:lvl w:ilvl="4" w:tplc="5752771A">
      <w:numFmt w:val="bullet"/>
      <w:lvlText w:val="•"/>
      <w:lvlJc w:val="left"/>
      <w:pPr>
        <w:ind w:left="3545" w:hanging="238"/>
      </w:pPr>
      <w:rPr>
        <w:rFonts w:hint="default"/>
        <w:lang w:val="en-US" w:eastAsia="en-US" w:bidi="ar-SA"/>
      </w:rPr>
    </w:lvl>
    <w:lvl w:ilvl="5" w:tplc="8766EAE4">
      <w:numFmt w:val="bullet"/>
      <w:lvlText w:val="•"/>
      <w:lvlJc w:val="left"/>
      <w:pPr>
        <w:ind w:left="4347" w:hanging="238"/>
      </w:pPr>
      <w:rPr>
        <w:rFonts w:hint="default"/>
        <w:lang w:val="en-US" w:eastAsia="en-US" w:bidi="ar-SA"/>
      </w:rPr>
    </w:lvl>
    <w:lvl w:ilvl="6" w:tplc="F0E62BEA">
      <w:numFmt w:val="bullet"/>
      <w:lvlText w:val="•"/>
      <w:lvlJc w:val="left"/>
      <w:pPr>
        <w:ind w:left="5148" w:hanging="238"/>
      </w:pPr>
      <w:rPr>
        <w:rFonts w:hint="default"/>
        <w:lang w:val="en-US" w:eastAsia="en-US" w:bidi="ar-SA"/>
      </w:rPr>
    </w:lvl>
    <w:lvl w:ilvl="7" w:tplc="37DEC0D6">
      <w:numFmt w:val="bullet"/>
      <w:lvlText w:val="•"/>
      <w:lvlJc w:val="left"/>
      <w:pPr>
        <w:ind w:left="5949" w:hanging="238"/>
      </w:pPr>
      <w:rPr>
        <w:rFonts w:hint="default"/>
        <w:lang w:val="en-US" w:eastAsia="en-US" w:bidi="ar-SA"/>
      </w:rPr>
    </w:lvl>
    <w:lvl w:ilvl="8" w:tplc="71EAB8A8">
      <w:numFmt w:val="bullet"/>
      <w:lvlText w:val="•"/>
      <w:lvlJc w:val="left"/>
      <w:pPr>
        <w:ind w:left="6751" w:hanging="238"/>
      </w:pPr>
      <w:rPr>
        <w:rFonts w:hint="default"/>
        <w:lang w:val="en-US" w:eastAsia="en-US" w:bidi="ar-SA"/>
      </w:rPr>
    </w:lvl>
  </w:abstractNum>
  <w:abstractNum w:abstractNumId="102" w15:restartNumberingAfterBreak="0">
    <w:nsid w:val="63057C43"/>
    <w:multiLevelType w:val="hybridMultilevel"/>
    <w:tmpl w:val="F760E2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63272BB6"/>
    <w:multiLevelType w:val="hybridMultilevel"/>
    <w:tmpl w:val="46CC6E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6863F4"/>
    <w:multiLevelType w:val="hybridMultilevel"/>
    <w:tmpl w:val="9A2E518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586EE122">
      <w:numFmt w:val="bullet"/>
      <w:lvlText w:val="•"/>
      <w:lvlJc w:val="left"/>
      <w:pPr>
        <w:ind w:left="591" w:hanging="252"/>
      </w:pPr>
      <w:rPr>
        <w:rFonts w:hint="default"/>
        <w:lang w:val="en-GB" w:eastAsia="en-GB" w:bidi="en-GB"/>
      </w:rPr>
    </w:lvl>
    <w:lvl w:ilvl="2" w:tplc="7FE849A8">
      <w:numFmt w:val="bullet"/>
      <w:lvlText w:val="•"/>
      <w:lvlJc w:val="left"/>
      <w:pPr>
        <w:ind w:left="762" w:hanging="252"/>
      </w:pPr>
      <w:rPr>
        <w:rFonts w:hint="default"/>
        <w:lang w:val="en-GB" w:eastAsia="en-GB" w:bidi="en-GB"/>
      </w:rPr>
    </w:lvl>
    <w:lvl w:ilvl="3" w:tplc="42BA64C8">
      <w:numFmt w:val="bullet"/>
      <w:lvlText w:val="•"/>
      <w:lvlJc w:val="left"/>
      <w:pPr>
        <w:ind w:left="933" w:hanging="252"/>
      </w:pPr>
      <w:rPr>
        <w:rFonts w:hint="default"/>
        <w:lang w:val="en-GB" w:eastAsia="en-GB" w:bidi="en-GB"/>
      </w:rPr>
    </w:lvl>
    <w:lvl w:ilvl="4" w:tplc="A3DCCE84">
      <w:numFmt w:val="bullet"/>
      <w:lvlText w:val="•"/>
      <w:lvlJc w:val="left"/>
      <w:pPr>
        <w:ind w:left="1105" w:hanging="252"/>
      </w:pPr>
      <w:rPr>
        <w:rFonts w:hint="default"/>
        <w:lang w:val="en-GB" w:eastAsia="en-GB" w:bidi="en-GB"/>
      </w:rPr>
    </w:lvl>
    <w:lvl w:ilvl="5" w:tplc="3984D6C6">
      <w:numFmt w:val="bullet"/>
      <w:lvlText w:val="•"/>
      <w:lvlJc w:val="left"/>
      <w:pPr>
        <w:ind w:left="1276" w:hanging="252"/>
      </w:pPr>
      <w:rPr>
        <w:rFonts w:hint="default"/>
        <w:lang w:val="en-GB" w:eastAsia="en-GB" w:bidi="en-GB"/>
      </w:rPr>
    </w:lvl>
    <w:lvl w:ilvl="6" w:tplc="FACAB2CA">
      <w:numFmt w:val="bullet"/>
      <w:lvlText w:val="•"/>
      <w:lvlJc w:val="left"/>
      <w:pPr>
        <w:ind w:left="1447" w:hanging="252"/>
      </w:pPr>
      <w:rPr>
        <w:rFonts w:hint="default"/>
        <w:lang w:val="en-GB" w:eastAsia="en-GB" w:bidi="en-GB"/>
      </w:rPr>
    </w:lvl>
    <w:lvl w:ilvl="7" w:tplc="77B61994">
      <w:numFmt w:val="bullet"/>
      <w:lvlText w:val="•"/>
      <w:lvlJc w:val="left"/>
      <w:pPr>
        <w:ind w:left="1619" w:hanging="252"/>
      </w:pPr>
      <w:rPr>
        <w:rFonts w:hint="default"/>
        <w:lang w:val="en-GB" w:eastAsia="en-GB" w:bidi="en-GB"/>
      </w:rPr>
    </w:lvl>
    <w:lvl w:ilvl="8" w:tplc="8FD6A950">
      <w:numFmt w:val="bullet"/>
      <w:lvlText w:val="•"/>
      <w:lvlJc w:val="left"/>
      <w:pPr>
        <w:ind w:left="1790" w:hanging="252"/>
      </w:pPr>
      <w:rPr>
        <w:rFonts w:hint="default"/>
        <w:lang w:val="en-GB" w:eastAsia="en-GB" w:bidi="en-GB"/>
      </w:rPr>
    </w:lvl>
  </w:abstractNum>
  <w:abstractNum w:abstractNumId="105" w15:restartNumberingAfterBreak="0">
    <w:nsid w:val="636D0FB6"/>
    <w:multiLevelType w:val="hybridMultilevel"/>
    <w:tmpl w:val="BD4A5C48"/>
    <w:lvl w:ilvl="0" w:tplc="AAF27714">
      <w:numFmt w:val="bullet"/>
      <w:lvlText w:val=""/>
      <w:lvlJc w:val="left"/>
      <w:pPr>
        <w:ind w:left="672" w:hanging="567"/>
      </w:pPr>
      <w:rPr>
        <w:rFonts w:ascii="Symbol" w:eastAsia="Symbol" w:hAnsi="Symbol" w:cs="Symbol" w:hint="default"/>
        <w:w w:val="100"/>
        <w:sz w:val="22"/>
        <w:szCs w:val="22"/>
        <w:lang w:val="en-US" w:eastAsia="en-US" w:bidi="ar-SA"/>
      </w:rPr>
    </w:lvl>
    <w:lvl w:ilvl="1" w:tplc="D200EAE0">
      <w:numFmt w:val="bullet"/>
      <w:lvlText w:val="•"/>
      <w:lvlJc w:val="left"/>
      <w:pPr>
        <w:ind w:left="1192" w:hanging="567"/>
      </w:pPr>
      <w:rPr>
        <w:rFonts w:hint="default"/>
        <w:lang w:val="en-US" w:eastAsia="en-US" w:bidi="ar-SA"/>
      </w:rPr>
    </w:lvl>
    <w:lvl w:ilvl="2" w:tplc="421A6010">
      <w:numFmt w:val="bullet"/>
      <w:lvlText w:val="•"/>
      <w:lvlJc w:val="left"/>
      <w:pPr>
        <w:ind w:left="1705" w:hanging="567"/>
      </w:pPr>
      <w:rPr>
        <w:rFonts w:hint="default"/>
        <w:lang w:val="en-US" w:eastAsia="en-US" w:bidi="ar-SA"/>
      </w:rPr>
    </w:lvl>
    <w:lvl w:ilvl="3" w:tplc="9DF68078">
      <w:numFmt w:val="bullet"/>
      <w:lvlText w:val="•"/>
      <w:lvlJc w:val="left"/>
      <w:pPr>
        <w:ind w:left="2218" w:hanging="567"/>
      </w:pPr>
      <w:rPr>
        <w:rFonts w:hint="default"/>
        <w:lang w:val="en-US" w:eastAsia="en-US" w:bidi="ar-SA"/>
      </w:rPr>
    </w:lvl>
    <w:lvl w:ilvl="4" w:tplc="0622B3F0">
      <w:numFmt w:val="bullet"/>
      <w:lvlText w:val="•"/>
      <w:lvlJc w:val="left"/>
      <w:pPr>
        <w:ind w:left="2731" w:hanging="567"/>
      </w:pPr>
      <w:rPr>
        <w:rFonts w:hint="default"/>
        <w:lang w:val="en-US" w:eastAsia="en-US" w:bidi="ar-SA"/>
      </w:rPr>
    </w:lvl>
    <w:lvl w:ilvl="5" w:tplc="8EFCE07E">
      <w:numFmt w:val="bullet"/>
      <w:lvlText w:val="•"/>
      <w:lvlJc w:val="left"/>
      <w:pPr>
        <w:ind w:left="3244" w:hanging="567"/>
      </w:pPr>
      <w:rPr>
        <w:rFonts w:hint="default"/>
        <w:lang w:val="en-US" w:eastAsia="en-US" w:bidi="ar-SA"/>
      </w:rPr>
    </w:lvl>
    <w:lvl w:ilvl="6" w:tplc="BF2C939E">
      <w:numFmt w:val="bullet"/>
      <w:lvlText w:val="•"/>
      <w:lvlJc w:val="left"/>
      <w:pPr>
        <w:ind w:left="3756" w:hanging="567"/>
      </w:pPr>
      <w:rPr>
        <w:rFonts w:hint="default"/>
        <w:lang w:val="en-US" w:eastAsia="en-US" w:bidi="ar-SA"/>
      </w:rPr>
    </w:lvl>
    <w:lvl w:ilvl="7" w:tplc="94669F04">
      <w:numFmt w:val="bullet"/>
      <w:lvlText w:val="•"/>
      <w:lvlJc w:val="left"/>
      <w:pPr>
        <w:ind w:left="4269" w:hanging="567"/>
      </w:pPr>
      <w:rPr>
        <w:rFonts w:hint="default"/>
        <w:lang w:val="en-US" w:eastAsia="en-US" w:bidi="ar-SA"/>
      </w:rPr>
    </w:lvl>
    <w:lvl w:ilvl="8" w:tplc="043A5F38">
      <w:numFmt w:val="bullet"/>
      <w:lvlText w:val="•"/>
      <w:lvlJc w:val="left"/>
      <w:pPr>
        <w:ind w:left="4782" w:hanging="567"/>
      </w:pPr>
      <w:rPr>
        <w:rFonts w:hint="default"/>
        <w:lang w:val="en-US" w:eastAsia="en-US" w:bidi="ar-SA"/>
      </w:rPr>
    </w:lvl>
  </w:abstractNum>
  <w:abstractNum w:abstractNumId="106" w15:restartNumberingAfterBreak="0">
    <w:nsid w:val="646C5B4A"/>
    <w:multiLevelType w:val="multilevel"/>
    <w:tmpl w:val="2D08E898"/>
    <w:lvl w:ilvl="0">
      <w:start w:val="1"/>
      <w:numFmt w:val="decimal"/>
      <w:pStyle w:val="Balk1"/>
      <w:lvlText w:val="%1"/>
      <w:lvlJc w:val="left"/>
      <w:pPr>
        <w:ind w:left="432" w:hanging="432"/>
      </w:pPr>
      <w:rPr>
        <w:rFonts w:hint="default"/>
      </w:rPr>
    </w:lvl>
    <w:lvl w:ilvl="1">
      <w:start w:val="1"/>
      <w:numFmt w:val="decimal"/>
      <w:pStyle w:val="Balk2"/>
      <w:lvlText w:val="%1.%2"/>
      <w:lvlJc w:val="left"/>
      <w:pPr>
        <w:ind w:left="66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07" w15:restartNumberingAfterBreak="0">
    <w:nsid w:val="65AE1C8C"/>
    <w:multiLevelType w:val="hybridMultilevel"/>
    <w:tmpl w:val="705E3090"/>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07E684A0">
      <w:numFmt w:val="bullet"/>
      <w:lvlText w:val="•"/>
      <w:lvlJc w:val="left"/>
      <w:pPr>
        <w:ind w:left="591" w:hanging="252"/>
      </w:pPr>
      <w:rPr>
        <w:rFonts w:hint="default"/>
        <w:lang w:val="en-GB" w:eastAsia="en-GB" w:bidi="en-GB"/>
      </w:rPr>
    </w:lvl>
    <w:lvl w:ilvl="2" w:tplc="8666761A">
      <w:numFmt w:val="bullet"/>
      <w:lvlText w:val="•"/>
      <w:lvlJc w:val="left"/>
      <w:pPr>
        <w:ind w:left="762" w:hanging="252"/>
      </w:pPr>
      <w:rPr>
        <w:rFonts w:hint="default"/>
        <w:lang w:val="en-GB" w:eastAsia="en-GB" w:bidi="en-GB"/>
      </w:rPr>
    </w:lvl>
    <w:lvl w:ilvl="3" w:tplc="623E4216">
      <w:numFmt w:val="bullet"/>
      <w:lvlText w:val="•"/>
      <w:lvlJc w:val="left"/>
      <w:pPr>
        <w:ind w:left="933" w:hanging="252"/>
      </w:pPr>
      <w:rPr>
        <w:rFonts w:hint="default"/>
        <w:lang w:val="en-GB" w:eastAsia="en-GB" w:bidi="en-GB"/>
      </w:rPr>
    </w:lvl>
    <w:lvl w:ilvl="4" w:tplc="AEDE04A0">
      <w:numFmt w:val="bullet"/>
      <w:lvlText w:val="•"/>
      <w:lvlJc w:val="left"/>
      <w:pPr>
        <w:ind w:left="1105" w:hanging="252"/>
      </w:pPr>
      <w:rPr>
        <w:rFonts w:hint="default"/>
        <w:lang w:val="en-GB" w:eastAsia="en-GB" w:bidi="en-GB"/>
      </w:rPr>
    </w:lvl>
    <w:lvl w:ilvl="5" w:tplc="B60ED0FE">
      <w:numFmt w:val="bullet"/>
      <w:lvlText w:val="•"/>
      <w:lvlJc w:val="left"/>
      <w:pPr>
        <w:ind w:left="1276" w:hanging="252"/>
      </w:pPr>
      <w:rPr>
        <w:rFonts w:hint="default"/>
        <w:lang w:val="en-GB" w:eastAsia="en-GB" w:bidi="en-GB"/>
      </w:rPr>
    </w:lvl>
    <w:lvl w:ilvl="6" w:tplc="2E5249C6">
      <w:numFmt w:val="bullet"/>
      <w:lvlText w:val="•"/>
      <w:lvlJc w:val="left"/>
      <w:pPr>
        <w:ind w:left="1447" w:hanging="252"/>
      </w:pPr>
      <w:rPr>
        <w:rFonts w:hint="default"/>
        <w:lang w:val="en-GB" w:eastAsia="en-GB" w:bidi="en-GB"/>
      </w:rPr>
    </w:lvl>
    <w:lvl w:ilvl="7" w:tplc="8E40B5A0">
      <w:numFmt w:val="bullet"/>
      <w:lvlText w:val="•"/>
      <w:lvlJc w:val="left"/>
      <w:pPr>
        <w:ind w:left="1619" w:hanging="252"/>
      </w:pPr>
      <w:rPr>
        <w:rFonts w:hint="default"/>
        <w:lang w:val="en-GB" w:eastAsia="en-GB" w:bidi="en-GB"/>
      </w:rPr>
    </w:lvl>
    <w:lvl w:ilvl="8" w:tplc="358C8E48">
      <w:numFmt w:val="bullet"/>
      <w:lvlText w:val="•"/>
      <w:lvlJc w:val="left"/>
      <w:pPr>
        <w:ind w:left="1790" w:hanging="252"/>
      </w:pPr>
      <w:rPr>
        <w:rFonts w:hint="default"/>
        <w:lang w:val="en-GB" w:eastAsia="en-GB" w:bidi="en-GB"/>
      </w:rPr>
    </w:lvl>
  </w:abstractNum>
  <w:abstractNum w:abstractNumId="108" w15:restartNumberingAfterBreak="0">
    <w:nsid w:val="65C03CD0"/>
    <w:multiLevelType w:val="hybridMultilevel"/>
    <w:tmpl w:val="E0D4E648"/>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4F12D4E4">
      <w:numFmt w:val="bullet"/>
      <w:lvlText w:val="•"/>
      <w:lvlJc w:val="left"/>
      <w:pPr>
        <w:ind w:left="1194" w:hanging="284"/>
      </w:pPr>
      <w:rPr>
        <w:rFonts w:hint="default"/>
        <w:lang w:val="en-GB" w:eastAsia="en-GB" w:bidi="en-GB"/>
      </w:rPr>
    </w:lvl>
    <w:lvl w:ilvl="2" w:tplc="B2562560">
      <w:numFmt w:val="bullet"/>
      <w:lvlText w:val="•"/>
      <w:lvlJc w:val="left"/>
      <w:pPr>
        <w:ind w:left="1829" w:hanging="284"/>
      </w:pPr>
      <w:rPr>
        <w:rFonts w:hint="default"/>
        <w:lang w:val="en-GB" w:eastAsia="en-GB" w:bidi="en-GB"/>
      </w:rPr>
    </w:lvl>
    <w:lvl w:ilvl="3" w:tplc="2670EE08">
      <w:numFmt w:val="bullet"/>
      <w:lvlText w:val="•"/>
      <w:lvlJc w:val="left"/>
      <w:pPr>
        <w:ind w:left="2463" w:hanging="284"/>
      </w:pPr>
      <w:rPr>
        <w:rFonts w:hint="default"/>
        <w:lang w:val="en-GB" w:eastAsia="en-GB" w:bidi="en-GB"/>
      </w:rPr>
    </w:lvl>
    <w:lvl w:ilvl="4" w:tplc="270C7122">
      <w:numFmt w:val="bullet"/>
      <w:lvlText w:val="•"/>
      <w:lvlJc w:val="left"/>
      <w:pPr>
        <w:ind w:left="3098" w:hanging="284"/>
      </w:pPr>
      <w:rPr>
        <w:rFonts w:hint="default"/>
        <w:lang w:val="en-GB" w:eastAsia="en-GB" w:bidi="en-GB"/>
      </w:rPr>
    </w:lvl>
    <w:lvl w:ilvl="5" w:tplc="C032D614">
      <w:numFmt w:val="bullet"/>
      <w:lvlText w:val="•"/>
      <w:lvlJc w:val="left"/>
      <w:pPr>
        <w:ind w:left="3732" w:hanging="284"/>
      </w:pPr>
      <w:rPr>
        <w:rFonts w:hint="default"/>
        <w:lang w:val="en-GB" w:eastAsia="en-GB" w:bidi="en-GB"/>
      </w:rPr>
    </w:lvl>
    <w:lvl w:ilvl="6" w:tplc="7F963344">
      <w:numFmt w:val="bullet"/>
      <w:lvlText w:val="•"/>
      <w:lvlJc w:val="left"/>
      <w:pPr>
        <w:ind w:left="4367" w:hanging="284"/>
      </w:pPr>
      <w:rPr>
        <w:rFonts w:hint="default"/>
        <w:lang w:val="en-GB" w:eastAsia="en-GB" w:bidi="en-GB"/>
      </w:rPr>
    </w:lvl>
    <w:lvl w:ilvl="7" w:tplc="47B0B1C2">
      <w:numFmt w:val="bullet"/>
      <w:lvlText w:val="•"/>
      <w:lvlJc w:val="left"/>
      <w:pPr>
        <w:ind w:left="5001" w:hanging="284"/>
      </w:pPr>
      <w:rPr>
        <w:rFonts w:hint="default"/>
        <w:lang w:val="en-GB" w:eastAsia="en-GB" w:bidi="en-GB"/>
      </w:rPr>
    </w:lvl>
    <w:lvl w:ilvl="8" w:tplc="D678363C">
      <w:numFmt w:val="bullet"/>
      <w:lvlText w:val="•"/>
      <w:lvlJc w:val="left"/>
      <w:pPr>
        <w:ind w:left="5636" w:hanging="284"/>
      </w:pPr>
      <w:rPr>
        <w:rFonts w:hint="default"/>
        <w:lang w:val="en-GB" w:eastAsia="en-GB" w:bidi="en-GB"/>
      </w:rPr>
    </w:lvl>
  </w:abstractNum>
  <w:abstractNum w:abstractNumId="109" w15:restartNumberingAfterBreak="0">
    <w:nsid w:val="672135AB"/>
    <w:multiLevelType w:val="hybridMultilevel"/>
    <w:tmpl w:val="402E7EC4"/>
    <w:lvl w:ilvl="0" w:tplc="C6DC8868">
      <w:start w:val="1"/>
      <w:numFmt w:val="decimal"/>
      <w:lvlText w:val="(%1)"/>
      <w:lvlJc w:val="left"/>
      <w:pPr>
        <w:ind w:left="252" w:hanging="252"/>
      </w:pPr>
      <w:rPr>
        <w:rFonts w:ascii="Times New Roman" w:eastAsia="Times New Roman" w:hAnsi="Times New Roman" w:cs="Times New Roman" w:hint="default"/>
        <w:w w:val="99"/>
        <w:sz w:val="18"/>
        <w:szCs w:val="18"/>
        <w:lang w:val="en-US" w:eastAsia="en-US" w:bidi="ar-SA"/>
      </w:rPr>
    </w:lvl>
    <w:lvl w:ilvl="1" w:tplc="957AD3EC">
      <w:numFmt w:val="bullet"/>
      <w:lvlText w:val="•"/>
      <w:lvlJc w:val="left"/>
      <w:pPr>
        <w:ind w:left="1137" w:hanging="252"/>
      </w:pPr>
      <w:rPr>
        <w:rFonts w:hint="default"/>
        <w:lang w:val="en-US" w:eastAsia="en-US" w:bidi="ar-SA"/>
      </w:rPr>
    </w:lvl>
    <w:lvl w:ilvl="2" w:tplc="81AADFC8">
      <w:numFmt w:val="bullet"/>
      <w:lvlText w:val="•"/>
      <w:lvlJc w:val="left"/>
      <w:pPr>
        <w:ind w:left="1955" w:hanging="252"/>
      </w:pPr>
      <w:rPr>
        <w:rFonts w:hint="default"/>
        <w:lang w:val="en-US" w:eastAsia="en-US" w:bidi="ar-SA"/>
      </w:rPr>
    </w:lvl>
    <w:lvl w:ilvl="3" w:tplc="9190D6CA">
      <w:numFmt w:val="bullet"/>
      <w:lvlText w:val="•"/>
      <w:lvlJc w:val="left"/>
      <w:pPr>
        <w:ind w:left="2772" w:hanging="252"/>
      </w:pPr>
      <w:rPr>
        <w:rFonts w:hint="default"/>
        <w:lang w:val="en-US" w:eastAsia="en-US" w:bidi="ar-SA"/>
      </w:rPr>
    </w:lvl>
    <w:lvl w:ilvl="4" w:tplc="BCD616D0">
      <w:numFmt w:val="bullet"/>
      <w:lvlText w:val="•"/>
      <w:lvlJc w:val="left"/>
      <w:pPr>
        <w:ind w:left="3590" w:hanging="252"/>
      </w:pPr>
      <w:rPr>
        <w:rFonts w:hint="default"/>
        <w:lang w:val="en-US" w:eastAsia="en-US" w:bidi="ar-SA"/>
      </w:rPr>
    </w:lvl>
    <w:lvl w:ilvl="5" w:tplc="69DCB698">
      <w:numFmt w:val="bullet"/>
      <w:lvlText w:val="•"/>
      <w:lvlJc w:val="left"/>
      <w:pPr>
        <w:ind w:left="4408" w:hanging="252"/>
      </w:pPr>
      <w:rPr>
        <w:rFonts w:hint="default"/>
        <w:lang w:val="en-US" w:eastAsia="en-US" w:bidi="ar-SA"/>
      </w:rPr>
    </w:lvl>
    <w:lvl w:ilvl="6" w:tplc="6DB67134">
      <w:numFmt w:val="bullet"/>
      <w:lvlText w:val="•"/>
      <w:lvlJc w:val="left"/>
      <w:pPr>
        <w:ind w:left="5225" w:hanging="252"/>
      </w:pPr>
      <w:rPr>
        <w:rFonts w:hint="default"/>
        <w:lang w:val="en-US" w:eastAsia="en-US" w:bidi="ar-SA"/>
      </w:rPr>
    </w:lvl>
    <w:lvl w:ilvl="7" w:tplc="603A0BC2">
      <w:numFmt w:val="bullet"/>
      <w:lvlText w:val="•"/>
      <w:lvlJc w:val="left"/>
      <w:pPr>
        <w:ind w:left="6043" w:hanging="252"/>
      </w:pPr>
      <w:rPr>
        <w:rFonts w:hint="default"/>
        <w:lang w:val="en-US" w:eastAsia="en-US" w:bidi="ar-SA"/>
      </w:rPr>
    </w:lvl>
    <w:lvl w:ilvl="8" w:tplc="8A2EA480">
      <w:numFmt w:val="bullet"/>
      <w:lvlText w:val="•"/>
      <w:lvlJc w:val="left"/>
      <w:pPr>
        <w:ind w:left="6860" w:hanging="252"/>
      </w:pPr>
      <w:rPr>
        <w:rFonts w:hint="default"/>
        <w:lang w:val="en-US" w:eastAsia="en-US" w:bidi="ar-SA"/>
      </w:rPr>
    </w:lvl>
  </w:abstractNum>
  <w:abstractNum w:abstractNumId="110" w15:restartNumberingAfterBreak="0">
    <w:nsid w:val="67AE3F09"/>
    <w:multiLevelType w:val="hybridMultilevel"/>
    <w:tmpl w:val="B508942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56A8DBC8">
      <w:numFmt w:val="bullet"/>
      <w:lvlText w:val="•"/>
      <w:lvlJc w:val="left"/>
      <w:pPr>
        <w:ind w:left="591" w:hanging="252"/>
      </w:pPr>
      <w:rPr>
        <w:rFonts w:hint="default"/>
        <w:lang w:val="en-GB" w:eastAsia="en-GB" w:bidi="en-GB"/>
      </w:rPr>
    </w:lvl>
    <w:lvl w:ilvl="2" w:tplc="26F60D88">
      <w:numFmt w:val="bullet"/>
      <w:lvlText w:val="•"/>
      <w:lvlJc w:val="left"/>
      <w:pPr>
        <w:ind w:left="762" w:hanging="252"/>
      </w:pPr>
      <w:rPr>
        <w:rFonts w:hint="default"/>
        <w:lang w:val="en-GB" w:eastAsia="en-GB" w:bidi="en-GB"/>
      </w:rPr>
    </w:lvl>
    <w:lvl w:ilvl="3" w:tplc="932A5B6A">
      <w:numFmt w:val="bullet"/>
      <w:lvlText w:val="•"/>
      <w:lvlJc w:val="left"/>
      <w:pPr>
        <w:ind w:left="933" w:hanging="252"/>
      </w:pPr>
      <w:rPr>
        <w:rFonts w:hint="default"/>
        <w:lang w:val="en-GB" w:eastAsia="en-GB" w:bidi="en-GB"/>
      </w:rPr>
    </w:lvl>
    <w:lvl w:ilvl="4" w:tplc="4AB69EAC">
      <w:numFmt w:val="bullet"/>
      <w:lvlText w:val="•"/>
      <w:lvlJc w:val="left"/>
      <w:pPr>
        <w:ind w:left="1105" w:hanging="252"/>
      </w:pPr>
      <w:rPr>
        <w:rFonts w:hint="default"/>
        <w:lang w:val="en-GB" w:eastAsia="en-GB" w:bidi="en-GB"/>
      </w:rPr>
    </w:lvl>
    <w:lvl w:ilvl="5" w:tplc="93C0D968">
      <w:numFmt w:val="bullet"/>
      <w:lvlText w:val="•"/>
      <w:lvlJc w:val="left"/>
      <w:pPr>
        <w:ind w:left="1276" w:hanging="252"/>
      </w:pPr>
      <w:rPr>
        <w:rFonts w:hint="default"/>
        <w:lang w:val="en-GB" w:eastAsia="en-GB" w:bidi="en-GB"/>
      </w:rPr>
    </w:lvl>
    <w:lvl w:ilvl="6" w:tplc="0AEEA8CA">
      <w:numFmt w:val="bullet"/>
      <w:lvlText w:val="•"/>
      <w:lvlJc w:val="left"/>
      <w:pPr>
        <w:ind w:left="1447" w:hanging="252"/>
      </w:pPr>
      <w:rPr>
        <w:rFonts w:hint="default"/>
        <w:lang w:val="en-GB" w:eastAsia="en-GB" w:bidi="en-GB"/>
      </w:rPr>
    </w:lvl>
    <w:lvl w:ilvl="7" w:tplc="CDB2DA36">
      <w:numFmt w:val="bullet"/>
      <w:lvlText w:val="•"/>
      <w:lvlJc w:val="left"/>
      <w:pPr>
        <w:ind w:left="1619" w:hanging="252"/>
      </w:pPr>
      <w:rPr>
        <w:rFonts w:hint="default"/>
        <w:lang w:val="en-GB" w:eastAsia="en-GB" w:bidi="en-GB"/>
      </w:rPr>
    </w:lvl>
    <w:lvl w:ilvl="8" w:tplc="D900610A">
      <w:numFmt w:val="bullet"/>
      <w:lvlText w:val="•"/>
      <w:lvlJc w:val="left"/>
      <w:pPr>
        <w:ind w:left="1790" w:hanging="252"/>
      </w:pPr>
      <w:rPr>
        <w:rFonts w:hint="default"/>
        <w:lang w:val="en-GB" w:eastAsia="en-GB" w:bidi="en-GB"/>
      </w:rPr>
    </w:lvl>
  </w:abstractNum>
  <w:abstractNum w:abstractNumId="111" w15:restartNumberingAfterBreak="0">
    <w:nsid w:val="67D76B09"/>
    <w:multiLevelType w:val="hybridMultilevel"/>
    <w:tmpl w:val="EA2C5684"/>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3FFE6C0A">
      <w:numFmt w:val="bullet"/>
      <w:lvlText w:val="•"/>
      <w:lvlJc w:val="left"/>
      <w:pPr>
        <w:ind w:left="1194" w:hanging="284"/>
      </w:pPr>
      <w:rPr>
        <w:rFonts w:hint="default"/>
        <w:lang w:val="en-GB" w:eastAsia="en-GB" w:bidi="en-GB"/>
      </w:rPr>
    </w:lvl>
    <w:lvl w:ilvl="2" w:tplc="2A1E214E">
      <w:numFmt w:val="bullet"/>
      <w:lvlText w:val="•"/>
      <w:lvlJc w:val="left"/>
      <w:pPr>
        <w:ind w:left="1829" w:hanging="284"/>
      </w:pPr>
      <w:rPr>
        <w:rFonts w:hint="default"/>
        <w:lang w:val="en-GB" w:eastAsia="en-GB" w:bidi="en-GB"/>
      </w:rPr>
    </w:lvl>
    <w:lvl w:ilvl="3" w:tplc="025A9548">
      <w:numFmt w:val="bullet"/>
      <w:lvlText w:val="•"/>
      <w:lvlJc w:val="left"/>
      <w:pPr>
        <w:ind w:left="2463" w:hanging="284"/>
      </w:pPr>
      <w:rPr>
        <w:rFonts w:hint="default"/>
        <w:lang w:val="en-GB" w:eastAsia="en-GB" w:bidi="en-GB"/>
      </w:rPr>
    </w:lvl>
    <w:lvl w:ilvl="4" w:tplc="6944B2F2">
      <w:numFmt w:val="bullet"/>
      <w:lvlText w:val="•"/>
      <w:lvlJc w:val="left"/>
      <w:pPr>
        <w:ind w:left="3098" w:hanging="284"/>
      </w:pPr>
      <w:rPr>
        <w:rFonts w:hint="default"/>
        <w:lang w:val="en-GB" w:eastAsia="en-GB" w:bidi="en-GB"/>
      </w:rPr>
    </w:lvl>
    <w:lvl w:ilvl="5" w:tplc="72E65900">
      <w:numFmt w:val="bullet"/>
      <w:lvlText w:val="•"/>
      <w:lvlJc w:val="left"/>
      <w:pPr>
        <w:ind w:left="3732" w:hanging="284"/>
      </w:pPr>
      <w:rPr>
        <w:rFonts w:hint="default"/>
        <w:lang w:val="en-GB" w:eastAsia="en-GB" w:bidi="en-GB"/>
      </w:rPr>
    </w:lvl>
    <w:lvl w:ilvl="6" w:tplc="BC70ACD6">
      <w:numFmt w:val="bullet"/>
      <w:lvlText w:val="•"/>
      <w:lvlJc w:val="left"/>
      <w:pPr>
        <w:ind w:left="4367" w:hanging="284"/>
      </w:pPr>
      <w:rPr>
        <w:rFonts w:hint="default"/>
        <w:lang w:val="en-GB" w:eastAsia="en-GB" w:bidi="en-GB"/>
      </w:rPr>
    </w:lvl>
    <w:lvl w:ilvl="7" w:tplc="2D14C83A">
      <w:numFmt w:val="bullet"/>
      <w:lvlText w:val="•"/>
      <w:lvlJc w:val="left"/>
      <w:pPr>
        <w:ind w:left="5001" w:hanging="284"/>
      </w:pPr>
      <w:rPr>
        <w:rFonts w:hint="default"/>
        <w:lang w:val="en-GB" w:eastAsia="en-GB" w:bidi="en-GB"/>
      </w:rPr>
    </w:lvl>
    <w:lvl w:ilvl="8" w:tplc="047EC596">
      <w:numFmt w:val="bullet"/>
      <w:lvlText w:val="•"/>
      <w:lvlJc w:val="left"/>
      <w:pPr>
        <w:ind w:left="5636" w:hanging="284"/>
      </w:pPr>
      <w:rPr>
        <w:rFonts w:hint="default"/>
        <w:lang w:val="en-GB" w:eastAsia="en-GB" w:bidi="en-GB"/>
      </w:rPr>
    </w:lvl>
  </w:abstractNum>
  <w:abstractNum w:abstractNumId="112" w15:restartNumberingAfterBreak="0">
    <w:nsid w:val="68275C46"/>
    <w:multiLevelType w:val="hybridMultilevel"/>
    <w:tmpl w:val="7C427E0E"/>
    <w:lvl w:ilvl="0" w:tplc="3D123A7C">
      <w:numFmt w:val="bullet"/>
      <w:lvlText w:val=""/>
      <w:lvlJc w:val="left"/>
      <w:pPr>
        <w:ind w:left="587" w:hanging="360"/>
      </w:pPr>
      <w:rPr>
        <w:rFonts w:ascii="Symbol" w:eastAsia="Symbol" w:hAnsi="Symbol" w:cs="Symbol" w:hint="default"/>
        <w:w w:val="99"/>
        <w:sz w:val="20"/>
        <w:szCs w:val="20"/>
        <w:lang w:val="en-US" w:eastAsia="en-US" w:bidi="ar-SA"/>
      </w:rPr>
    </w:lvl>
    <w:lvl w:ilvl="1" w:tplc="F8FC836C">
      <w:numFmt w:val="bullet"/>
      <w:lvlText w:val="•"/>
      <w:lvlJc w:val="left"/>
      <w:pPr>
        <w:ind w:left="1118" w:hanging="360"/>
      </w:pPr>
      <w:rPr>
        <w:rFonts w:hint="default"/>
        <w:lang w:val="en-US" w:eastAsia="en-US" w:bidi="ar-SA"/>
      </w:rPr>
    </w:lvl>
    <w:lvl w:ilvl="2" w:tplc="45C2A97C">
      <w:numFmt w:val="bullet"/>
      <w:lvlText w:val="•"/>
      <w:lvlJc w:val="left"/>
      <w:pPr>
        <w:ind w:left="1657" w:hanging="360"/>
      </w:pPr>
      <w:rPr>
        <w:rFonts w:hint="default"/>
        <w:lang w:val="en-US" w:eastAsia="en-US" w:bidi="ar-SA"/>
      </w:rPr>
    </w:lvl>
    <w:lvl w:ilvl="3" w:tplc="893C45E6">
      <w:numFmt w:val="bullet"/>
      <w:lvlText w:val="•"/>
      <w:lvlJc w:val="left"/>
      <w:pPr>
        <w:ind w:left="2195" w:hanging="360"/>
      </w:pPr>
      <w:rPr>
        <w:rFonts w:hint="default"/>
        <w:lang w:val="en-US" w:eastAsia="en-US" w:bidi="ar-SA"/>
      </w:rPr>
    </w:lvl>
    <w:lvl w:ilvl="4" w:tplc="D9F8924A">
      <w:numFmt w:val="bullet"/>
      <w:lvlText w:val="•"/>
      <w:lvlJc w:val="left"/>
      <w:pPr>
        <w:ind w:left="2734" w:hanging="360"/>
      </w:pPr>
      <w:rPr>
        <w:rFonts w:hint="default"/>
        <w:lang w:val="en-US" w:eastAsia="en-US" w:bidi="ar-SA"/>
      </w:rPr>
    </w:lvl>
    <w:lvl w:ilvl="5" w:tplc="B232A91E">
      <w:numFmt w:val="bullet"/>
      <w:lvlText w:val="•"/>
      <w:lvlJc w:val="left"/>
      <w:pPr>
        <w:ind w:left="3272" w:hanging="360"/>
      </w:pPr>
      <w:rPr>
        <w:rFonts w:hint="default"/>
        <w:lang w:val="en-US" w:eastAsia="en-US" w:bidi="ar-SA"/>
      </w:rPr>
    </w:lvl>
    <w:lvl w:ilvl="6" w:tplc="87FA2B34">
      <w:numFmt w:val="bullet"/>
      <w:lvlText w:val="•"/>
      <w:lvlJc w:val="left"/>
      <w:pPr>
        <w:ind w:left="3811" w:hanging="360"/>
      </w:pPr>
      <w:rPr>
        <w:rFonts w:hint="default"/>
        <w:lang w:val="en-US" w:eastAsia="en-US" w:bidi="ar-SA"/>
      </w:rPr>
    </w:lvl>
    <w:lvl w:ilvl="7" w:tplc="C13EE6BA">
      <w:numFmt w:val="bullet"/>
      <w:lvlText w:val="•"/>
      <w:lvlJc w:val="left"/>
      <w:pPr>
        <w:ind w:left="4349" w:hanging="360"/>
      </w:pPr>
      <w:rPr>
        <w:rFonts w:hint="default"/>
        <w:lang w:val="en-US" w:eastAsia="en-US" w:bidi="ar-SA"/>
      </w:rPr>
    </w:lvl>
    <w:lvl w:ilvl="8" w:tplc="FA88C166">
      <w:numFmt w:val="bullet"/>
      <w:lvlText w:val="•"/>
      <w:lvlJc w:val="left"/>
      <w:pPr>
        <w:ind w:left="4888" w:hanging="360"/>
      </w:pPr>
      <w:rPr>
        <w:rFonts w:hint="default"/>
        <w:lang w:val="en-US" w:eastAsia="en-US" w:bidi="ar-SA"/>
      </w:rPr>
    </w:lvl>
  </w:abstractNum>
  <w:abstractNum w:abstractNumId="113" w15:restartNumberingAfterBreak="0">
    <w:nsid w:val="689455CF"/>
    <w:multiLevelType w:val="hybridMultilevel"/>
    <w:tmpl w:val="57C6B188"/>
    <w:lvl w:ilvl="0" w:tplc="E0B03A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4" w15:restartNumberingAfterBreak="0">
    <w:nsid w:val="68A00FE4"/>
    <w:multiLevelType w:val="hybridMultilevel"/>
    <w:tmpl w:val="90B4D188"/>
    <w:lvl w:ilvl="0" w:tplc="F5A45BBE">
      <w:numFmt w:val="bullet"/>
      <w:lvlText w:val=""/>
      <w:lvlJc w:val="left"/>
      <w:pPr>
        <w:ind w:left="330" w:hanging="236"/>
      </w:pPr>
      <w:rPr>
        <w:rFonts w:ascii="Symbol" w:eastAsia="Symbol" w:hAnsi="Symbol" w:cs="Symbol" w:hint="default"/>
        <w:w w:val="99"/>
        <w:sz w:val="20"/>
        <w:szCs w:val="20"/>
        <w:lang w:val="en-US" w:eastAsia="en-US" w:bidi="ar-SA"/>
      </w:rPr>
    </w:lvl>
    <w:lvl w:ilvl="1" w:tplc="24A63F90">
      <w:numFmt w:val="bullet"/>
      <w:lvlText w:val="•"/>
      <w:lvlJc w:val="left"/>
      <w:pPr>
        <w:ind w:left="902" w:hanging="236"/>
      </w:pPr>
      <w:rPr>
        <w:rFonts w:hint="default"/>
        <w:lang w:val="en-US" w:eastAsia="en-US" w:bidi="ar-SA"/>
      </w:rPr>
    </w:lvl>
    <w:lvl w:ilvl="2" w:tplc="DF4C2C32">
      <w:numFmt w:val="bullet"/>
      <w:lvlText w:val="•"/>
      <w:lvlJc w:val="left"/>
      <w:pPr>
        <w:ind w:left="1465" w:hanging="236"/>
      </w:pPr>
      <w:rPr>
        <w:rFonts w:hint="default"/>
        <w:lang w:val="en-US" w:eastAsia="en-US" w:bidi="ar-SA"/>
      </w:rPr>
    </w:lvl>
    <w:lvl w:ilvl="3" w:tplc="CF546BC2">
      <w:numFmt w:val="bullet"/>
      <w:lvlText w:val="•"/>
      <w:lvlJc w:val="left"/>
      <w:pPr>
        <w:ind w:left="2027" w:hanging="236"/>
      </w:pPr>
      <w:rPr>
        <w:rFonts w:hint="default"/>
        <w:lang w:val="en-US" w:eastAsia="en-US" w:bidi="ar-SA"/>
      </w:rPr>
    </w:lvl>
    <w:lvl w:ilvl="4" w:tplc="575A9598">
      <w:numFmt w:val="bullet"/>
      <w:lvlText w:val="•"/>
      <w:lvlJc w:val="left"/>
      <w:pPr>
        <w:ind w:left="2590" w:hanging="236"/>
      </w:pPr>
      <w:rPr>
        <w:rFonts w:hint="default"/>
        <w:lang w:val="en-US" w:eastAsia="en-US" w:bidi="ar-SA"/>
      </w:rPr>
    </w:lvl>
    <w:lvl w:ilvl="5" w:tplc="810055EC">
      <w:numFmt w:val="bullet"/>
      <w:lvlText w:val="•"/>
      <w:lvlJc w:val="left"/>
      <w:pPr>
        <w:ind w:left="3152" w:hanging="236"/>
      </w:pPr>
      <w:rPr>
        <w:rFonts w:hint="default"/>
        <w:lang w:val="en-US" w:eastAsia="en-US" w:bidi="ar-SA"/>
      </w:rPr>
    </w:lvl>
    <w:lvl w:ilvl="6" w:tplc="A00208C2">
      <w:numFmt w:val="bullet"/>
      <w:lvlText w:val="•"/>
      <w:lvlJc w:val="left"/>
      <w:pPr>
        <w:ind w:left="3715" w:hanging="236"/>
      </w:pPr>
      <w:rPr>
        <w:rFonts w:hint="default"/>
        <w:lang w:val="en-US" w:eastAsia="en-US" w:bidi="ar-SA"/>
      </w:rPr>
    </w:lvl>
    <w:lvl w:ilvl="7" w:tplc="67CA4162">
      <w:numFmt w:val="bullet"/>
      <w:lvlText w:val="•"/>
      <w:lvlJc w:val="left"/>
      <w:pPr>
        <w:ind w:left="4277" w:hanging="236"/>
      </w:pPr>
      <w:rPr>
        <w:rFonts w:hint="default"/>
        <w:lang w:val="en-US" w:eastAsia="en-US" w:bidi="ar-SA"/>
      </w:rPr>
    </w:lvl>
    <w:lvl w:ilvl="8" w:tplc="CC464C5E">
      <w:numFmt w:val="bullet"/>
      <w:lvlText w:val="•"/>
      <w:lvlJc w:val="left"/>
      <w:pPr>
        <w:ind w:left="4840" w:hanging="236"/>
      </w:pPr>
      <w:rPr>
        <w:rFonts w:hint="default"/>
        <w:lang w:val="en-US" w:eastAsia="en-US" w:bidi="ar-SA"/>
      </w:rPr>
    </w:lvl>
  </w:abstractNum>
  <w:abstractNum w:abstractNumId="115" w15:restartNumberingAfterBreak="0">
    <w:nsid w:val="69831814"/>
    <w:multiLevelType w:val="hybridMultilevel"/>
    <w:tmpl w:val="49048C46"/>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A5761DA6">
      <w:numFmt w:val="bullet"/>
      <w:lvlText w:val="•"/>
      <w:lvlJc w:val="left"/>
      <w:pPr>
        <w:ind w:left="591" w:hanging="252"/>
      </w:pPr>
      <w:rPr>
        <w:rFonts w:hint="default"/>
        <w:lang w:val="en-GB" w:eastAsia="en-GB" w:bidi="en-GB"/>
      </w:rPr>
    </w:lvl>
    <w:lvl w:ilvl="2" w:tplc="C0EA5BA6">
      <w:numFmt w:val="bullet"/>
      <w:lvlText w:val="•"/>
      <w:lvlJc w:val="left"/>
      <w:pPr>
        <w:ind w:left="762" w:hanging="252"/>
      </w:pPr>
      <w:rPr>
        <w:rFonts w:hint="default"/>
        <w:lang w:val="en-GB" w:eastAsia="en-GB" w:bidi="en-GB"/>
      </w:rPr>
    </w:lvl>
    <w:lvl w:ilvl="3" w:tplc="622CC804">
      <w:numFmt w:val="bullet"/>
      <w:lvlText w:val="•"/>
      <w:lvlJc w:val="left"/>
      <w:pPr>
        <w:ind w:left="934" w:hanging="252"/>
      </w:pPr>
      <w:rPr>
        <w:rFonts w:hint="default"/>
        <w:lang w:val="en-GB" w:eastAsia="en-GB" w:bidi="en-GB"/>
      </w:rPr>
    </w:lvl>
    <w:lvl w:ilvl="4" w:tplc="DA60490A">
      <w:numFmt w:val="bullet"/>
      <w:lvlText w:val="•"/>
      <w:lvlJc w:val="left"/>
      <w:pPr>
        <w:ind w:left="1105" w:hanging="252"/>
      </w:pPr>
      <w:rPr>
        <w:rFonts w:hint="default"/>
        <w:lang w:val="en-GB" w:eastAsia="en-GB" w:bidi="en-GB"/>
      </w:rPr>
    </w:lvl>
    <w:lvl w:ilvl="5" w:tplc="8A4E3B46">
      <w:numFmt w:val="bullet"/>
      <w:lvlText w:val="•"/>
      <w:lvlJc w:val="left"/>
      <w:pPr>
        <w:ind w:left="1277" w:hanging="252"/>
      </w:pPr>
      <w:rPr>
        <w:rFonts w:hint="default"/>
        <w:lang w:val="en-GB" w:eastAsia="en-GB" w:bidi="en-GB"/>
      </w:rPr>
    </w:lvl>
    <w:lvl w:ilvl="6" w:tplc="7F1E2CA8">
      <w:numFmt w:val="bullet"/>
      <w:lvlText w:val="•"/>
      <w:lvlJc w:val="left"/>
      <w:pPr>
        <w:ind w:left="1448" w:hanging="252"/>
      </w:pPr>
      <w:rPr>
        <w:rFonts w:hint="default"/>
        <w:lang w:val="en-GB" w:eastAsia="en-GB" w:bidi="en-GB"/>
      </w:rPr>
    </w:lvl>
    <w:lvl w:ilvl="7" w:tplc="93E8A79A">
      <w:numFmt w:val="bullet"/>
      <w:lvlText w:val="•"/>
      <w:lvlJc w:val="left"/>
      <w:pPr>
        <w:ind w:left="1619" w:hanging="252"/>
      </w:pPr>
      <w:rPr>
        <w:rFonts w:hint="default"/>
        <w:lang w:val="en-GB" w:eastAsia="en-GB" w:bidi="en-GB"/>
      </w:rPr>
    </w:lvl>
    <w:lvl w:ilvl="8" w:tplc="631EF9EC">
      <w:numFmt w:val="bullet"/>
      <w:lvlText w:val="•"/>
      <w:lvlJc w:val="left"/>
      <w:pPr>
        <w:ind w:left="1791" w:hanging="252"/>
      </w:pPr>
      <w:rPr>
        <w:rFonts w:hint="default"/>
        <w:lang w:val="en-GB" w:eastAsia="en-GB" w:bidi="en-GB"/>
      </w:rPr>
    </w:lvl>
  </w:abstractNum>
  <w:abstractNum w:abstractNumId="116" w15:restartNumberingAfterBreak="0">
    <w:nsid w:val="6A191E77"/>
    <w:multiLevelType w:val="hybridMultilevel"/>
    <w:tmpl w:val="0B6C7F60"/>
    <w:lvl w:ilvl="0" w:tplc="E9923C0C">
      <w:start w:val="1"/>
      <w:numFmt w:val="lowerRoman"/>
      <w:lvlText w:val="%1."/>
      <w:lvlJc w:val="left"/>
      <w:pPr>
        <w:ind w:left="591" w:hanging="392"/>
        <w:jc w:val="right"/>
      </w:pPr>
      <w:rPr>
        <w:rFonts w:ascii="Times New Roman" w:eastAsia="Times New Roman" w:hAnsi="Times New Roman" w:cs="Times New Roman" w:hint="default"/>
        <w:spacing w:val="0"/>
        <w:w w:val="100"/>
        <w:sz w:val="22"/>
        <w:szCs w:val="22"/>
        <w:lang w:val="en-US" w:eastAsia="en-US" w:bidi="ar-SA"/>
      </w:rPr>
    </w:lvl>
    <w:lvl w:ilvl="1" w:tplc="2AA8F534">
      <w:numFmt w:val="bullet"/>
      <w:lvlText w:val="•"/>
      <w:lvlJc w:val="left"/>
      <w:pPr>
        <w:ind w:left="836" w:hanging="392"/>
      </w:pPr>
      <w:rPr>
        <w:rFonts w:hint="default"/>
        <w:lang w:val="en-US" w:eastAsia="en-US" w:bidi="ar-SA"/>
      </w:rPr>
    </w:lvl>
    <w:lvl w:ilvl="2" w:tplc="68DA0532">
      <w:numFmt w:val="bullet"/>
      <w:lvlText w:val="•"/>
      <w:lvlJc w:val="left"/>
      <w:pPr>
        <w:ind w:left="1073" w:hanging="392"/>
      </w:pPr>
      <w:rPr>
        <w:rFonts w:hint="default"/>
        <w:lang w:val="en-US" w:eastAsia="en-US" w:bidi="ar-SA"/>
      </w:rPr>
    </w:lvl>
    <w:lvl w:ilvl="3" w:tplc="C5D067E0">
      <w:numFmt w:val="bullet"/>
      <w:lvlText w:val="•"/>
      <w:lvlJc w:val="left"/>
      <w:pPr>
        <w:ind w:left="1310" w:hanging="392"/>
      </w:pPr>
      <w:rPr>
        <w:rFonts w:hint="default"/>
        <w:lang w:val="en-US" w:eastAsia="en-US" w:bidi="ar-SA"/>
      </w:rPr>
    </w:lvl>
    <w:lvl w:ilvl="4" w:tplc="667AAD0A">
      <w:numFmt w:val="bullet"/>
      <w:lvlText w:val="•"/>
      <w:lvlJc w:val="left"/>
      <w:pPr>
        <w:ind w:left="1546" w:hanging="392"/>
      </w:pPr>
      <w:rPr>
        <w:rFonts w:hint="default"/>
        <w:lang w:val="en-US" w:eastAsia="en-US" w:bidi="ar-SA"/>
      </w:rPr>
    </w:lvl>
    <w:lvl w:ilvl="5" w:tplc="D41A645A">
      <w:numFmt w:val="bullet"/>
      <w:lvlText w:val="•"/>
      <w:lvlJc w:val="left"/>
      <w:pPr>
        <w:ind w:left="1783" w:hanging="392"/>
      </w:pPr>
      <w:rPr>
        <w:rFonts w:hint="default"/>
        <w:lang w:val="en-US" w:eastAsia="en-US" w:bidi="ar-SA"/>
      </w:rPr>
    </w:lvl>
    <w:lvl w:ilvl="6" w:tplc="4FE0B440">
      <w:numFmt w:val="bullet"/>
      <w:lvlText w:val="•"/>
      <w:lvlJc w:val="left"/>
      <w:pPr>
        <w:ind w:left="2020" w:hanging="392"/>
      </w:pPr>
      <w:rPr>
        <w:rFonts w:hint="default"/>
        <w:lang w:val="en-US" w:eastAsia="en-US" w:bidi="ar-SA"/>
      </w:rPr>
    </w:lvl>
    <w:lvl w:ilvl="7" w:tplc="85F6CBF6">
      <w:numFmt w:val="bullet"/>
      <w:lvlText w:val="•"/>
      <w:lvlJc w:val="left"/>
      <w:pPr>
        <w:ind w:left="2256" w:hanging="392"/>
      </w:pPr>
      <w:rPr>
        <w:rFonts w:hint="default"/>
        <w:lang w:val="en-US" w:eastAsia="en-US" w:bidi="ar-SA"/>
      </w:rPr>
    </w:lvl>
    <w:lvl w:ilvl="8" w:tplc="32C870A2">
      <w:numFmt w:val="bullet"/>
      <w:lvlText w:val="•"/>
      <w:lvlJc w:val="left"/>
      <w:pPr>
        <w:ind w:left="2493" w:hanging="392"/>
      </w:pPr>
      <w:rPr>
        <w:rFonts w:hint="default"/>
        <w:lang w:val="en-US" w:eastAsia="en-US" w:bidi="ar-SA"/>
      </w:rPr>
    </w:lvl>
  </w:abstractNum>
  <w:abstractNum w:abstractNumId="117" w15:restartNumberingAfterBreak="0">
    <w:nsid w:val="6B4D30CF"/>
    <w:multiLevelType w:val="hybridMultilevel"/>
    <w:tmpl w:val="62AAA6F6"/>
    <w:lvl w:ilvl="0" w:tplc="97E47A40">
      <w:start w:val="1"/>
      <w:numFmt w:val="decimal"/>
      <w:lvlText w:val="(%1)"/>
      <w:lvlJc w:val="left"/>
      <w:pPr>
        <w:ind w:left="337" w:hanging="231"/>
      </w:pPr>
      <w:rPr>
        <w:rFonts w:ascii="Times New Roman" w:eastAsia="Times New Roman" w:hAnsi="Times New Roman" w:cs="Times New Roman" w:hint="default"/>
        <w:w w:val="99"/>
        <w:sz w:val="18"/>
        <w:szCs w:val="18"/>
        <w:lang w:val="en-GB" w:eastAsia="en-GB" w:bidi="en-GB"/>
      </w:rPr>
    </w:lvl>
    <w:lvl w:ilvl="1" w:tplc="5AE47380">
      <w:numFmt w:val="bullet"/>
      <w:lvlText w:val="•"/>
      <w:lvlJc w:val="left"/>
      <w:pPr>
        <w:ind w:left="1162" w:hanging="231"/>
      </w:pPr>
      <w:rPr>
        <w:rFonts w:hint="default"/>
        <w:lang w:val="en-GB" w:eastAsia="en-GB" w:bidi="en-GB"/>
      </w:rPr>
    </w:lvl>
    <w:lvl w:ilvl="2" w:tplc="525AB37E">
      <w:numFmt w:val="bullet"/>
      <w:lvlText w:val="•"/>
      <w:lvlJc w:val="left"/>
      <w:pPr>
        <w:ind w:left="1985" w:hanging="231"/>
      </w:pPr>
      <w:rPr>
        <w:rFonts w:hint="default"/>
        <w:lang w:val="en-GB" w:eastAsia="en-GB" w:bidi="en-GB"/>
      </w:rPr>
    </w:lvl>
    <w:lvl w:ilvl="3" w:tplc="7102CEE2">
      <w:numFmt w:val="bullet"/>
      <w:lvlText w:val="•"/>
      <w:lvlJc w:val="left"/>
      <w:pPr>
        <w:ind w:left="2807" w:hanging="231"/>
      </w:pPr>
      <w:rPr>
        <w:rFonts w:hint="default"/>
        <w:lang w:val="en-GB" w:eastAsia="en-GB" w:bidi="en-GB"/>
      </w:rPr>
    </w:lvl>
    <w:lvl w:ilvl="4" w:tplc="44C6C18A">
      <w:numFmt w:val="bullet"/>
      <w:lvlText w:val="•"/>
      <w:lvlJc w:val="left"/>
      <w:pPr>
        <w:ind w:left="3630" w:hanging="231"/>
      </w:pPr>
      <w:rPr>
        <w:rFonts w:hint="default"/>
        <w:lang w:val="en-GB" w:eastAsia="en-GB" w:bidi="en-GB"/>
      </w:rPr>
    </w:lvl>
    <w:lvl w:ilvl="5" w:tplc="649C15B0">
      <w:numFmt w:val="bullet"/>
      <w:lvlText w:val="•"/>
      <w:lvlJc w:val="left"/>
      <w:pPr>
        <w:ind w:left="4453" w:hanging="231"/>
      </w:pPr>
      <w:rPr>
        <w:rFonts w:hint="default"/>
        <w:lang w:val="en-GB" w:eastAsia="en-GB" w:bidi="en-GB"/>
      </w:rPr>
    </w:lvl>
    <w:lvl w:ilvl="6" w:tplc="792AD4F2">
      <w:numFmt w:val="bullet"/>
      <w:lvlText w:val="•"/>
      <w:lvlJc w:val="left"/>
      <w:pPr>
        <w:ind w:left="5275" w:hanging="231"/>
      </w:pPr>
      <w:rPr>
        <w:rFonts w:hint="default"/>
        <w:lang w:val="en-GB" w:eastAsia="en-GB" w:bidi="en-GB"/>
      </w:rPr>
    </w:lvl>
    <w:lvl w:ilvl="7" w:tplc="E0A49E32">
      <w:numFmt w:val="bullet"/>
      <w:lvlText w:val="•"/>
      <w:lvlJc w:val="left"/>
      <w:pPr>
        <w:ind w:left="6098" w:hanging="231"/>
      </w:pPr>
      <w:rPr>
        <w:rFonts w:hint="default"/>
        <w:lang w:val="en-GB" w:eastAsia="en-GB" w:bidi="en-GB"/>
      </w:rPr>
    </w:lvl>
    <w:lvl w:ilvl="8" w:tplc="85CEC1FA">
      <w:numFmt w:val="bullet"/>
      <w:lvlText w:val="•"/>
      <w:lvlJc w:val="left"/>
      <w:pPr>
        <w:ind w:left="6920" w:hanging="231"/>
      </w:pPr>
      <w:rPr>
        <w:rFonts w:hint="default"/>
        <w:lang w:val="en-GB" w:eastAsia="en-GB" w:bidi="en-GB"/>
      </w:rPr>
    </w:lvl>
  </w:abstractNum>
  <w:abstractNum w:abstractNumId="118" w15:restartNumberingAfterBreak="0">
    <w:nsid w:val="6BFB5702"/>
    <w:multiLevelType w:val="hybridMultilevel"/>
    <w:tmpl w:val="FE64F3B0"/>
    <w:lvl w:ilvl="0" w:tplc="0F2EA9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6C9C6152"/>
    <w:multiLevelType w:val="hybridMultilevel"/>
    <w:tmpl w:val="18DE67BA"/>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04CC725C">
      <w:numFmt w:val="bullet"/>
      <w:lvlText w:val="•"/>
      <w:lvlJc w:val="left"/>
      <w:pPr>
        <w:ind w:left="591" w:hanging="252"/>
      </w:pPr>
      <w:rPr>
        <w:rFonts w:hint="default"/>
        <w:lang w:val="en-GB" w:eastAsia="en-GB" w:bidi="en-GB"/>
      </w:rPr>
    </w:lvl>
    <w:lvl w:ilvl="2" w:tplc="B56EF226">
      <w:numFmt w:val="bullet"/>
      <w:lvlText w:val="•"/>
      <w:lvlJc w:val="left"/>
      <w:pPr>
        <w:ind w:left="762" w:hanging="252"/>
      </w:pPr>
      <w:rPr>
        <w:rFonts w:hint="default"/>
        <w:lang w:val="en-GB" w:eastAsia="en-GB" w:bidi="en-GB"/>
      </w:rPr>
    </w:lvl>
    <w:lvl w:ilvl="3" w:tplc="5DC82D7E">
      <w:numFmt w:val="bullet"/>
      <w:lvlText w:val="•"/>
      <w:lvlJc w:val="left"/>
      <w:pPr>
        <w:ind w:left="934" w:hanging="252"/>
      </w:pPr>
      <w:rPr>
        <w:rFonts w:hint="default"/>
        <w:lang w:val="en-GB" w:eastAsia="en-GB" w:bidi="en-GB"/>
      </w:rPr>
    </w:lvl>
    <w:lvl w:ilvl="4" w:tplc="AEF8FB78">
      <w:numFmt w:val="bullet"/>
      <w:lvlText w:val="•"/>
      <w:lvlJc w:val="left"/>
      <w:pPr>
        <w:ind w:left="1105" w:hanging="252"/>
      </w:pPr>
      <w:rPr>
        <w:rFonts w:hint="default"/>
        <w:lang w:val="en-GB" w:eastAsia="en-GB" w:bidi="en-GB"/>
      </w:rPr>
    </w:lvl>
    <w:lvl w:ilvl="5" w:tplc="C07E54F6">
      <w:numFmt w:val="bullet"/>
      <w:lvlText w:val="•"/>
      <w:lvlJc w:val="left"/>
      <w:pPr>
        <w:ind w:left="1277" w:hanging="252"/>
      </w:pPr>
      <w:rPr>
        <w:rFonts w:hint="default"/>
        <w:lang w:val="en-GB" w:eastAsia="en-GB" w:bidi="en-GB"/>
      </w:rPr>
    </w:lvl>
    <w:lvl w:ilvl="6" w:tplc="BF50D3F4">
      <w:numFmt w:val="bullet"/>
      <w:lvlText w:val="•"/>
      <w:lvlJc w:val="left"/>
      <w:pPr>
        <w:ind w:left="1448" w:hanging="252"/>
      </w:pPr>
      <w:rPr>
        <w:rFonts w:hint="default"/>
        <w:lang w:val="en-GB" w:eastAsia="en-GB" w:bidi="en-GB"/>
      </w:rPr>
    </w:lvl>
    <w:lvl w:ilvl="7" w:tplc="CF4C2E3E">
      <w:numFmt w:val="bullet"/>
      <w:lvlText w:val="•"/>
      <w:lvlJc w:val="left"/>
      <w:pPr>
        <w:ind w:left="1619" w:hanging="252"/>
      </w:pPr>
      <w:rPr>
        <w:rFonts w:hint="default"/>
        <w:lang w:val="en-GB" w:eastAsia="en-GB" w:bidi="en-GB"/>
      </w:rPr>
    </w:lvl>
    <w:lvl w:ilvl="8" w:tplc="4CE45F9E">
      <w:numFmt w:val="bullet"/>
      <w:lvlText w:val="•"/>
      <w:lvlJc w:val="left"/>
      <w:pPr>
        <w:ind w:left="1791" w:hanging="252"/>
      </w:pPr>
      <w:rPr>
        <w:rFonts w:hint="default"/>
        <w:lang w:val="en-GB" w:eastAsia="en-GB" w:bidi="en-GB"/>
      </w:rPr>
    </w:lvl>
  </w:abstractNum>
  <w:abstractNum w:abstractNumId="120" w15:restartNumberingAfterBreak="0">
    <w:nsid w:val="6CFF4A35"/>
    <w:multiLevelType w:val="hybridMultilevel"/>
    <w:tmpl w:val="26E2FCCE"/>
    <w:lvl w:ilvl="0" w:tplc="256AD5D4">
      <w:start w:val="1"/>
      <w:numFmt w:val="decimal"/>
      <w:lvlText w:val="(%1)"/>
      <w:lvlJc w:val="left"/>
      <w:pPr>
        <w:ind w:left="333" w:hanging="226"/>
      </w:pPr>
      <w:rPr>
        <w:rFonts w:ascii="Times New Roman" w:eastAsia="Times New Roman" w:hAnsi="Times New Roman" w:cs="Times New Roman" w:hint="default"/>
        <w:w w:val="99"/>
        <w:sz w:val="18"/>
        <w:szCs w:val="18"/>
        <w:lang w:val="en-US" w:eastAsia="en-US" w:bidi="ar-SA"/>
      </w:rPr>
    </w:lvl>
    <w:lvl w:ilvl="1" w:tplc="DE3883A2">
      <w:numFmt w:val="bullet"/>
      <w:lvlText w:val="•"/>
      <w:lvlJc w:val="left"/>
      <w:pPr>
        <w:ind w:left="1177" w:hanging="226"/>
      </w:pPr>
      <w:rPr>
        <w:rFonts w:hint="default"/>
        <w:lang w:val="en-US" w:eastAsia="en-US" w:bidi="ar-SA"/>
      </w:rPr>
    </w:lvl>
    <w:lvl w:ilvl="2" w:tplc="4BBA6B96">
      <w:numFmt w:val="bullet"/>
      <w:lvlText w:val="•"/>
      <w:lvlJc w:val="left"/>
      <w:pPr>
        <w:ind w:left="2015" w:hanging="226"/>
      </w:pPr>
      <w:rPr>
        <w:rFonts w:hint="default"/>
        <w:lang w:val="en-US" w:eastAsia="en-US" w:bidi="ar-SA"/>
      </w:rPr>
    </w:lvl>
    <w:lvl w:ilvl="3" w:tplc="ECEE262E">
      <w:numFmt w:val="bullet"/>
      <w:lvlText w:val="•"/>
      <w:lvlJc w:val="left"/>
      <w:pPr>
        <w:ind w:left="2852" w:hanging="226"/>
      </w:pPr>
      <w:rPr>
        <w:rFonts w:hint="default"/>
        <w:lang w:val="en-US" w:eastAsia="en-US" w:bidi="ar-SA"/>
      </w:rPr>
    </w:lvl>
    <w:lvl w:ilvl="4" w:tplc="264443FC">
      <w:numFmt w:val="bullet"/>
      <w:lvlText w:val="•"/>
      <w:lvlJc w:val="left"/>
      <w:pPr>
        <w:ind w:left="3690" w:hanging="226"/>
      </w:pPr>
      <w:rPr>
        <w:rFonts w:hint="default"/>
        <w:lang w:val="en-US" w:eastAsia="en-US" w:bidi="ar-SA"/>
      </w:rPr>
    </w:lvl>
    <w:lvl w:ilvl="5" w:tplc="A46EA582">
      <w:numFmt w:val="bullet"/>
      <w:lvlText w:val="•"/>
      <w:lvlJc w:val="left"/>
      <w:pPr>
        <w:ind w:left="4527" w:hanging="226"/>
      </w:pPr>
      <w:rPr>
        <w:rFonts w:hint="default"/>
        <w:lang w:val="en-US" w:eastAsia="en-US" w:bidi="ar-SA"/>
      </w:rPr>
    </w:lvl>
    <w:lvl w:ilvl="6" w:tplc="F9EEA4C2">
      <w:numFmt w:val="bullet"/>
      <w:lvlText w:val="•"/>
      <w:lvlJc w:val="left"/>
      <w:pPr>
        <w:ind w:left="5365" w:hanging="226"/>
      </w:pPr>
      <w:rPr>
        <w:rFonts w:hint="default"/>
        <w:lang w:val="en-US" w:eastAsia="en-US" w:bidi="ar-SA"/>
      </w:rPr>
    </w:lvl>
    <w:lvl w:ilvl="7" w:tplc="3C26E79A">
      <w:numFmt w:val="bullet"/>
      <w:lvlText w:val="•"/>
      <w:lvlJc w:val="left"/>
      <w:pPr>
        <w:ind w:left="6202" w:hanging="226"/>
      </w:pPr>
      <w:rPr>
        <w:rFonts w:hint="default"/>
        <w:lang w:val="en-US" w:eastAsia="en-US" w:bidi="ar-SA"/>
      </w:rPr>
    </w:lvl>
    <w:lvl w:ilvl="8" w:tplc="C2E6A524">
      <w:numFmt w:val="bullet"/>
      <w:lvlText w:val="•"/>
      <w:lvlJc w:val="left"/>
      <w:pPr>
        <w:ind w:left="7040" w:hanging="226"/>
      </w:pPr>
      <w:rPr>
        <w:rFonts w:hint="default"/>
        <w:lang w:val="en-US" w:eastAsia="en-US" w:bidi="ar-SA"/>
      </w:rPr>
    </w:lvl>
  </w:abstractNum>
  <w:abstractNum w:abstractNumId="121" w15:restartNumberingAfterBreak="0">
    <w:nsid w:val="6D8E2D51"/>
    <w:multiLevelType w:val="hybridMultilevel"/>
    <w:tmpl w:val="796CAF0A"/>
    <w:lvl w:ilvl="0" w:tplc="92EC063C">
      <w:start w:val="1"/>
      <w:numFmt w:val="decimal"/>
      <w:lvlText w:val="(%1)"/>
      <w:lvlJc w:val="left"/>
      <w:pPr>
        <w:ind w:left="336" w:hanging="228"/>
      </w:pPr>
      <w:rPr>
        <w:rFonts w:ascii="Times New Roman" w:eastAsia="Times New Roman" w:hAnsi="Times New Roman" w:cs="Times New Roman" w:hint="default"/>
        <w:w w:val="99"/>
        <w:sz w:val="18"/>
        <w:szCs w:val="18"/>
        <w:lang w:val="en-GB" w:eastAsia="en-GB" w:bidi="en-GB"/>
      </w:rPr>
    </w:lvl>
    <w:lvl w:ilvl="1" w:tplc="80EEBBCC">
      <w:numFmt w:val="bullet"/>
      <w:lvlText w:val="•"/>
      <w:lvlJc w:val="left"/>
      <w:pPr>
        <w:ind w:left="1177" w:hanging="228"/>
      </w:pPr>
      <w:rPr>
        <w:rFonts w:hint="default"/>
        <w:lang w:val="en-GB" w:eastAsia="en-GB" w:bidi="en-GB"/>
      </w:rPr>
    </w:lvl>
    <w:lvl w:ilvl="2" w:tplc="19901E16">
      <w:numFmt w:val="bullet"/>
      <w:lvlText w:val="•"/>
      <w:lvlJc w:val="left"/>
      <w:pPr>
        <w:ind w:left="2015" w:hanging="228"/>
      </w:pPr>
      <w:rPr>
        <w:rFonts w:hint="default"/>
        <w:lang w:val="en-GB" w:eastAsia="en-GB" w:bidi="en-GB"/>
      </w:rPr>
    </w:lvl>
    <w:lvl w:ilvl="3" w:tplc="869EFA58">
      <w:numFmt w:val="bullet"/>
      <w:lvlText w:val="•"/>
      <w:lvlJc w:val="left"/>
      <w:pPr>
        <w:ind w:left="2852" w:hanging="228"/>
      </w:pPr>
      <w:rPr>
        <w:rFonts w:hint="default"/>
        <w:lang w:val="en-GB" w:eastAsia="en-GB" w:bidi="en-GB"/>
      </w:rPr>
    </w:lvl>
    <w:lvl w:ilvl="4" w:tplc="9B14B67E">
      <w:numFmt w:val="bullet"/>
      <w:lvlText w:val="•"/>
      <w:lvlJc w:val="left"/>
      <w:pPr>
        <w:ind w:left="3690" w:hanging="228"/>
      </w:pPr>
      <w:rPr>
        <w:rFonts w:hint="default"/>
        <w:lang w:val="en-GB" w:eastAsia="en-GB" w:bidi="en-GB"/>
      </w:rPr>
    </w:lvl>
    <w:lvl w:ilvl="5" w:tplc="91B0A7A6">
      <w:numFmt w:val="bullet"/>
      <w:lvlText w:val="•"/>
      <w:lvlJc w:val="left"/>
      <w:pPr>
        <w:ind w:left="4527" w:hanging="228"/>
      </w:pPr>
      <w:rPr>
        <w:rFonts w:hint="default"/>
        <w:lang w:val="en-GB" w:eastAsia="en-GB" w:bidi="en-GB"/>
      </w:rPr>
    </w:lvl>
    <w:lvl w:ilvl="6" w:tplc="00E6C5F6">
      <w:numFmt w:val="bullet"/>
      <w:lvlText w:val="•"/>
      <w:lvlJc w:val="left"/>
      <w:pPr>
        <w:ind w:left="5365" w:hanging="228"/>
      </w:pPr>
      <w:rPr>
        <w:rFonts w:hint="default"/>
        <w:lang w:val="en-GB" w:eastAsia="en-GB" w:bidi="en-GB"/>
      </w:rPr>
    </w:lvl>
    <w:lvl w:ilvl="7" w:tplc="F342D59A">
      <w:numFmt w:val="bullet"/>
      <w:lvlText w:val="•"/>
      <w:lvlJc w:val="left"/>
      <w:pPr>
        <w:ind w:left="6202" w:hanging="228"/>
      </w:pPr>
      <w:rPr>
        <w:rFonts w:hint="default"/>
        <w:lang w:val="en-GB" w:eastAsia="en-GB" w:bidi="en-GB"/>
      </w:rPr>
    </w:lvl>
    <w:lvl w:ilvl="8" w:tplc="0AD6F280">
      <w:numFmt w:val="bullet"/>
      <w:lvlText w:val="•"/>
      <w:lvlJc w:val="left"/>
      <w:pPr>
        <w:ind w:left="7040" w:hanging="228"/>
      </w:pPr>
      <w:rPr>
        <w:rFonts w:hint="default"/>
        <w:lang w:val="en-GB" w:eastAsia="en-GB" w:bidi="en-GB"/>
      </w:rPr>
    </w:lvl>
  </w:abstractNum>
  <w:abstractNum w:abstractNumId="122" w15:restartNumberingAfterBreak="0">
    <w:nsid w:val="6FB71AF7"/>
    <w:multiLevelType w:val="hybridMultilevel"/>
    <w:tmpl w:val="50880876"/>
    <w:lvl w:ilvl="0" w:tplc="DFFC7FB0">
      <w:numFmt w:val="bullet"/>
      <w:lvlText w:val=""/>
      <w:lvlJc w:val="left"/>
      <w:pPr>
        <w:ind w:left="667" w:hanging="567"/>
      </w:pPr>
      <w:rPr>
        <w:rFonts w:ascii="Symbol" w:eastAsia="Symbol" w:hAnsi="Symbol" w:cs="Symbol" w:hint="default"/>
        <w:w w:val="100"/>
        <w:sz w:val="22"/>
        <w:szCs w:val="22"/>
        <w:lang w:val="en-US" w:eastAsia="en-US" w:bidi="ar-SA"/>
      </w:rPr>
    </w:lvl>
    <w:lvl w:ilvl="1" w:tplc="F9A86B06">
      <w:numFmt w:val="bullet"/>
      <w:lvlText w:val="•"/>
      <w:lvlJc w:val="left"/>
      <w:pPr>
        <w:ind w:left="1032" w:hanging="567"/>
      </w:pPr>
      <w:rPr>
        <w:rFonts w:hint="default"/>
        <w:lang w:val="en-US" w:eastAsia="en-US" w:bidi="ar-SA"/>
      </w:rPr>
    </w:lvl>
    <w:lvl w:ilvl="2" w:tplc="2966B3B6">
      <w:numFmt w:val="bullet"/>
      <w:lvlText w:val="•"/>
      <w:lvlJc w:val="left"/>
      <w:pPr>
        <w:ind w:left="1404" w:hanging="567"/>
      </w:pPr>
      <w:rPr>
        <w:rFonts w:hint="default"/>
        <w:lang w:val="en-US" w:eastAsia="en-US" w:bidi="ar-SA"/>
      </w:rPr>
    </w:lvl>
    <w:lvl w:ilvl="3" w:tplc="BE80E4E0">
      <w:numFmt w:val="bullet"/>
      <w:lvlText w:val="•"/>
      <w:lvlJc w:val="left"/>
      <w:pPr>
        <w:ind w:left="1776" w:hanging="567"/>
      </w:pPr>
      <w:rPr>
        <w:rFonts w:hint="default"/>
        <w:lang w:val="en-US" w:eastAsia="en-US" w:bidi="ar-SA"/>
      </w:rPr>
    </w:lvl>
    <w:lvl w:ilvl="4" w:tplc="FC1C7B64">
      <w:numFmt w:val="bullet"/>
      <w:lvlText w:val="•"/>
      <w:lvlJc w:val="left"/>
      <w:pPr>
        <w:ind w:left="2148" w:hanging="567"/>
      </w:pPr>
      <w:rPr>
        <w:rFonts w:hint="default"/>
        <w:lang w:val="en-US" w:eastAsia="en-US" w:bidi="ar-SA"/>
      </w:rPr>
    </w:lvl>
    <w:lvl w:ilvl="5" w:tplc="1A022E78">
      <w:numFmt w:val="bullet"/>
      <w:lvlText w:val="•"/>
      <w:lvlJc w:val="left"/>
      <w:pPr>
        <w:ind w:left="2520" w:hanging="567"/>
      </w:pPr>
      <w:rPr>
        <w:rFonts w:hint="default"/>
        <w:lang w:val="en-US" w:eastAsia="en-US" w:bidi="ar-SA"/>
      </w:rPr>
    </w:lvl>
    <w:lvl w:ilvl="6" w:tplc="1A2EC32C">
      <w:numFmt w:val="bullet"/>
      <w:lvlText w:val="•"/>
      <w:lvlJc w:val="left"/>
      <w:pPr>
        <w:ind w:left="2892" w:hanging="567"/>
      </w:pPr>
      <w:rPr>
        <w:rFonts w:hint="default"/>
        <w:lang w:val="en-US" w:eastAsia="en-US" w:bidi="ar-SA"/>
      </w:rPr>
    </w:lvl>
    <w:lvl w:ilvl="7" w:tplc="2BF823E0">
      <w:numFmt w:val="bullet"/>
      <w:lvlText w:val="•"/>
      <w:lvlJc w:val="left"/>
      <w:pPr>
        <w:ind w:left="3264" w:hanging="567"/>
      </w:pPr>
      <w:rPr>
        <w:rFonts w:hint="default"/>
        <w:lang w:val="en-US" w:eastAsia="en-US" w:bidi="ar-SA"/>
      </w:rPr>
    </w:lvl>
    <w:lvl w:ilvl="8" w:tplc="C98A5C66">
      <w:numFmt w:val="bullet"/>
      <w:lvlText w:val="•"/>
      <w:lvlJc w:val="left"/>
      <w:pPr>
        <w:ind w:left="3636" w:hanging="567"/>
      </w:pPr>
      <w:rPr>
        <w:rFonts w:hint="default"/>
        <w:lang w:val="en-US" w:eastAsia="en-US" w:bidi="ar-SA"/>
      </w:rPr>
    </w:lvl>
  </w:abstractNum>
  <w:abstractNum w:abstractNumId="123" w15:restartNumberingAfterBreak="0">
    <w:nsid w:val="6FF01E1F"/>
    <w:multiLevelType w:val="hybridMultilevel"/>
    <w:tmpl w:val="1E389F5A"/>
    <w:lvl w:ilvl="0" w:tplc="2C228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710F17EB"/>
    <w:multiLevelType w:val="hybridMultilevel"/>
    <w:tmpl w:val="95F41D32"/>
    <w:lvl w:ilvl="0" w:tplc="65E8FCF8">
      <w:numFmt w:val="bullet"/>
      <w:lvlText w:val=""/>
      <w:lvlJc w:val="left"/>
      <w:pPr>
        <w:ind w:left="672" w:hanging="567"/>
      </w:pPr>
      <w:rPr>
        <w:rFonts w:ascii="Symbol" w:eastAsia="Symbol" w:hAnsi="Symbol" w:cs="Symbol" w:hint="default"/>
        <w:w w:val="100"/>
        <w:sz w:val="22"/>
        <w:szCs w:val="22"/>
        <w:lang w:val="en-US" w:eastAsia="en-US" w:bidi="ar-SA"/>
      </w:rPr>
    </w:lvl>
    <w:lvl w:ilvl="1" w:tplc="7DF0EDC0">
      <w:numFmt w:val="bullet"/>
      <w:lvlText w:val="•"/>
      <w:lvlJc w:val="left"/>
      <w:pPr>
        <w:ind w:left="1192" w:hanging="567"/>
      </w:pPr>
      <w:rPr>
        <w:rFonts w:hint="default"/>
        <w:lang w:val="en-US" w:eastAsia="en-US" w:bidi="ar-SA"/>
      </w:rPr>
    </w:lvl>
    <w:lvl w:ilvl="2" w:tplc="977E4B96">
      <w:numFmt w:val="bullet"/>
      <w:lvlText w:val="•"/>
      <w:lvlJc w:val="left"/>
      <w:pPr>
        <w:ind w:left="1705" w:hanging="567"/>
      </w:pPr>
      <w:rPr>
        <w:rFonts w:hint="default"/>
        <w:lang w:val="en-US" w:eastAsia="en-US" w:bidi="ar-SA"/>
      </w:rPr>
    </w:lvl>
    <w:lvl w:ilvl="3" w:tplc="47C0E996">
      <w:numFmt w:val="bullet"/>
      <w:lvlText w:val="•"/>
      <w:lvlJc w:val="left"/>
      <w:pPr>
        <w:ind w:left="2218" w:hanging="567"/>
      </w:pPr>
      <w:rPr>
        <w:rFonts w:hint="default"/>
        <w:lang w:val="en-US" w:eastAsia="en-US" w:bidi="ar-SA"/>
      </w:rPr>
    </w:lvl>
    <w:lvl w:ilvl="4" w:tplc="E19EE86E">
      <w:numFmt w:val="bullet"/>
      <w:lvlText w:val="•"/>
      <w:lvlJc w:val="left"/>
      <w:pPr>
        <w:ind w:left="2731" w:hanging="567"/>
      </w:pPr>
      <w:rPr>
        <w:rFonts w:hint="default"/>
        <w:lang w:val="en-US" w:eastAsia="en-US" w:bidi="ar-SA"/>
      </w:rPr>
    </w:lvl>
    <w:lvl w:ilvl="5" w:tplc="886ADA82">
      <w:numFmt w:val="bullet"/>
      <w:lvlText w:val="•"/>
      <w:lvlJc w:val="left"/>
      <w:pPr>
        <w:ind w:left="3244" w:hanging="567"/>
      </w:pPr>
      <w:rPr>
        <w:rFonts w:hint="default"/>
        <w:lang w:val="en-US" w:eastAsia="en-US" w:bidi="ar-SA"/>
      </w:rPr>
    </w:lvl>
    <w:lvl w:ilvl="6" w:tplc="680E4524">
      <w:numFmt w:val="bullet"/>
      <w:lvlText w:val="•"/>
      <w:lvlJc w:val="left"/>
      <w:pPr>
        <w:ind w:left="3756" w:hanging="567"/>
      </w:pPr>
      <w:rPr>
        <w:rFonts w:hint="default"/>
        <w:lang w:val="en-US" w:eastAsia="en-US" w:bidi="ar-SA"/>
      </w:rPr>
    </w:lvl>
    <w:lvl w:ilvl="7" w:tplc="C0E82158">
      <w:numFmt w:val="bullet"/>
      <w:lvlText w:val="•"/>
      <w:lvlJc w:val="left"/>
      <w:pPr>
        <w:ind w:left="4269" w:hanging="567"/>
      </w:pPr>
      <w:rPr>
        <w:rFonts w:hint="default"/>
        <w:lang w:val="en-US" w:eastAsia="en-US" w:bidi="ar-SA"/>
      </w:rPr>
    </w:lvl>
    <w:lvl w:ilvl="8" w:tplc="7E6213BC">
      <w:numFmt w:val="bullet"/>
      <w:lvlText w:val="•"/>
      <w:lvlJc w:val="left"/>
      <w:pPr>
        <w:ind w:left="4782" w:hanging="567"/>
      </w:pPr>
      <w:rPr>
        <w:rFonts w:hint="default"/>
        <w:lang w:val="en-US" w:eastAsia="en-US" w:bidi="ar-SA"/>
      </w:rPr>
    </w:lvl>
  </w:abstractNum>
  <w:abstractNum w:abstractNumId="125" w15:restartNumberingAfterBreak="0">
    <w:nsid w:val="730F4C10"/>
    <w:multiLevelType w:val="hybridMultilevel"/>
    <w:tmpl w:val="BABA0A6C"/>
    <w:lvl w:ilvl="0" w:tplc="0B96F998">
      <w:numFmt w:val="bullet"/>
      <w:lvlText w:val="—"/>
      <w:lvlJc w:val="left"/>
      <w:pPr>
        <w:ind w:left="72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6" w15:restartNumberingAfterBreak="0">
    <w:nsid w:val="777803E6"/>
    <w:multiLevelType w:val="hybridMultilevel"/>
    <w:tmpl w:val="D8EA05BA"/>
    <w:lvl w:ilvl="0" w:tplc="C31EFC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78257B56"/>
    <w:multiLevelType w:val="hybridMultilevel"/>
    <w:tmpl w:val="DB783C44"/>
    <w:lvl w:ilvl="0" w:tplc="5FF6BF14">
      <w:start w:val="1"/>
      <w:numFmt w:val="upperRoman"/>
      <w:lvlText w:val="%1."/>
      <w:lvlJc w:val="left"/>
      <w:pPr>
        <w:ind w:left="1173" w:hanging="478"/>
        <w:jc w:val="right"/>
      </w:pPr>
      <w:rPr>
        <w:rFonts w:ascii="Times New Roman" w:eastAsia="Times New Roman" w:hAnsi="Times New Roman" w:cs="Times New Roman" w:hint="default"/>
        <w:w w:val="99"/>
        <w:sz w:val="20"/>
        <w:szCs w:val="20"/>
        <w:lang w:val="en-US" w:eastAsia="en-US" w:bidi="ar-SA"/>
      </w:rPr>
    </w:lvl>
    <w:lvl w:ilvl="1" w:tplc="E0F6DD6A">
      <w:numFmt w:val="bullet"/>
      <w:lvlText w:val=""/>
      <w:lvlJc w:val="left"/>
      <w:pPr>
        <w:ind w:left="2154" w:hanging="567"/>
      </w:pPr>
      <w:rPr>
        <w:rFonts w:ascii="Symbol" w:eastAsia="Symbol" w:hAnsi="Symbol" w:cs="Symbol" w:hint="default"/>
        <w:w w:val="100"/>
        <w:sz w:val="22"/>
        <w:szCs w:val="22"/>
        <w:lang w:val="en-US" w:eastAsia="en-US" w:bidi="ar-SA"/>
      </w:rPr>
    </w:lvl>
    <w:lvl w:ilvl="2" w:tplc="D70EE6B8">
      <w:numFmt w:val="bullet"/>
      <w:lvlText w:val="•"/>
      <w:lvlJc w:val="left"/>
      <w:pPr>
        <w:ind w:left="3096" w:hanging="567"/>
      </w:pPr>
      <w:rPr>
        <w:rFonts w:hint="default"/>
        <w:lang w:val="en-US" w:eastAsia="en-US" w:bidi="ar-SA"/>
      </w:rPr>
    </w:lvl>
    <w:lvl w:ilvl="3" w:tplc="9DD6A94C">
      <w:numFmt w:val="bullet"/>
      <w:lvlText w:val="•"/>
      <w:lvlJc w:val="left"/>
      <w:pPr>
        <w:ind w:left="4032" w:hanging="567"/>
      </w:pPr>
      <w:rPr>
        <w:rFonts w:hint="default"/>
        <w:lang w:val="en-US" w:eastAsia="en-US" w:bidi="ar-SA"/>
      </w:rPr>
    </w:lvl>
    <w:lvl w:ilvl="4" w:tplc="46F6BC6C">
      <w:numFmt w:val="bullet"/>
      <w:lvlText w:val="•"/>
      <w:lvlJc w:val="left"/>
      <w:pPr>
        <w:ind w:left="4968" w:hanging="567"/>
      </w:pPr>
      <w:rPr>
        <w:rFonts w:hint="default"/>
        <w:lang w:val="en-US" w:eastAsia="en-US" w:bidi="ar-SA"/>
      </w:rPr>
    </w:lvl>
    <w:lvl w:ilvl="5" w:tplc="1D444236">
      <w:numFmt w:val="bullet"/>
      <w:lvlText w:val="•"/>
      <w:lvlJc w:val="left"/>
      <w:pPr>
        <w:ind w:left="5905" w:hanging="567"/>
      </w:pPr>
      <w:rPr>
        <w:rFonts w:hint="default"/>
        <w:lang w:val="en-US" w:eastAsia="en-US" w:bidi="ar-SA"/>
      </w:rPr>
    </w:lvl>
    <w:lvl w:ilvl="6" w:tplc="951A8EE4">
      <w:numFmt w:val="bullet"/>
      <w:lvlText w:val="•"/>
      <w:lvlJc w:val="left"/>
      <w:pPr>
        <w:ind w:left="6841" w:hanging="567"/>
      </w:pPr>
      <w:rPr>
        <w:rFonts w:hint="default"/>
        <w:lang w:val="en-US" w:eastAsia="en-US" w:bidi="ar-SA"/>
      </w:rPr>
    </w:lvl>
    <w:lvl w:ilvl="7" w:tplc="627814CE">
      <w:numFmt w:val="bullet"/>
      <w:lvlText w:val="•"/>
      <w:lvlJc w:val="left"/>
      <w:pPr>
        <w:ind w:left="7777" w:hanging="567"/>
      </w:pPr>
      <w:rPr>
        <w:rFonts w:hint="default"/>
        <w:lang w:val="en-US" w:eastAsia="en-US" w:bidi="ar-SA"/>
      </w:rPr>
    </w:lvl>
    <w:lvl w:ilvl="8" w:tplc="A700539A">
      <w:numFmt w:val="bullet"/>
      <w:lvlText w:val="•"/>
      <w:lvlJc w:val="left"/>
      <w:pPr>
        <w:ind w:left="8713" w:hanging="567"/>
      </w:pPr>
      <w:rPr>
        <w:rFonts w:hint="default"/>
        <w:lang w:val="en-US" w:eastAsia="en-US" w:bidi="ar-SA"/>
      </w:rPr>
    </w:lvl>
  </w:abstractNum>
  <w:abstractNum w:abstractNumId="128" w15:restartNumberingAfterBreak="0">
    <w:nsid w:val="7854712F"/>
    <w:multiLevelType w:val="hybridMultilevel"/>
    <w:tmpl w:val="D8A84436"/>
    <w:lvl w:ilvl="0" w:tplc="16BC8702">
      <w:start w:val="1"/>
      <w:numFmt w:val="decimal"/>
      <w:lvlText w:val="(%1)"/>
      <w:lvlJc w:val="left"/>
      <w:pPr>
        <w:ind w:left="311" w:hanging="226"/>
      </w:pPr>
      <w:rPr>
        <w:rFonts w:ascii="Times New Roman" w:eastAsia="Times New Roman" w:hAnsi="Times New Roman" w:cs="Times New Roman" w:hint="default"/>
        <w:w w:val="99"/>
        <w:sz w:val="18"/>
        <w:szCs w:val="18"/>
        <w:lang w:val="en-US" w:eastAsia="en-US" w:bidi="ar-SA"/>
      </w:rPr>
    </w:lvl>
    <w:lvl w:ilvl="1" w:tplc="F2D8F90C">
      <w:numFmt w:val="bullet"/>
      <w:lvlText w:val="•"/>
      <w:lvlJc w:val="left"/>
      <w:pPr>
        <w:ind w:left="1067" w:hanging="226"/>
      </w:pPr>
      <w:rPr>
        <w:rFonts w:hint="default"/>
        <w:lang w:val="en-US" w:eastAsia="en-US" w:bidi="ar-SA"/>
      </w:rPr>
    </w:lvl>
    <w:lvl w:ilvl="2" w:tplc="C344A5AC">
      <w:numFmt w:val="bullet"/>
      <w:lvlText w:val="•"/>
      <w:lvlJc w:val="left"/>
      <w:pPr>
        <w:ind w:left="1815" w:hanging="226"/>
      </w:pPr>
      <w:rPr>
        <w:rFonts w:hint="default"/>
        <w:lang w:val="en-US" w:eastAsia="en-US" w:bidi="ar-SA"/>
      </w:rPr>
    </w:lvl>
    <w:lvl w:ilvl="3" w:tplc="36023DAA">
      <w:numFmt w:val="bullet"/>
      <w:lvlText w:val="•"/>
      <w:lvlJc w:val="left"/>
      <w:pPr>
        <w:ind w:left="2563" w:hanging="226"/>
      </w:pPr>
      <w:rPr>
        <w:rFonts w:hint="default"/>
        <w:lang w:val="en-US" w:eastAsia="en-US" w:bidi="ar-SA"/>
      </w:rPr>
    </w:lvl>
    <w:lvl w:ilvl="4" w:tplc="2E361A48">
      <w:numFmt w:val="bullet"/>
      <w:lvlText w:val="•"/>
      <w:lvlJc w:val="left"/>
      <w:pPr>
        <w:ind w:left="3311" w:hanging="226"/>
      </w:pPr>
      <w:rPr>
        <w:rFonts w:hint="default"/>
        <w:lang w:val="en-US" w:eastAsia="en-US" w:bidi="ar-SA"/>
      </w:rPr>
    </w:lvl>
    <w:lvl w:ilvl="5" w:tplc="97309780">
      <w:numFmt w:val="bullet"/>
      <w:lvlText w:val="•"/>
      <w:lvlJc w:val="left"/>
      <w:pPr>
        <w:ind w:left="4059" w:hanging="226"/>
      </w:pPr>
      <w:rPr>
        <w:rFonts w:hint="default"/>
        <w:lang w:val="en-US" w:eastAsia="en-US" w:bidi="ar-SA"/>
      </w:rPr>
    </w:lvl>
    <w:lvl w:ilvl="6" w:tplc="B6405E04">
      <w:numFmt w:val="bullet"/>
      <w:lvlText w:val="•"/>
      <w:lvlJc w:val="left"/>
      <w:pPr>
        <w:ind w:left="4807" w:hanging="226"/>
      </w:pPr>
      <w:rPr>
        <w:rFonts w:hint="default"/>
        <w:lang w:val="en-US" w:eastAsia="en-US" w:bidi="ar-SA"/>
      </w:rPr>
    </w:lvl>
    <w:lvl w:ilvl="7" w:tplc="2C9A67E6">
      <w:numFmt w:val="bullet"/>
      <w:lvlText w:val="•"/>
      <w:lvlJc w:val="left"/>
      <w:pPr>
        <w:ind w:left="5555" w:hanging="226"/>
      </w:pPr>
      <w:rPr>
        <w:rFonts w:hint="default"/>
        <w:lang w:val="en-US" w:eastAsia="en-US" w:bidi="ar-SA"/>
      </w:rPr>
    </w:lvl>
    <w:lvl w:ilvl="8" w:tplc="47B44C54">
      <w:numFmt w:val="bullet"/>
      <w:lvlText w:val="•"/>
      <w:lvlJc w:val="left"/>
      <w:pPr>
        <w:ind w:left="6303" w:hanging="226"/>
      </w:pPr>
      <w:rPr>
        <w:rFonts w:hint="default"/>
        <w:lang w:val="en-US" w:eastAsia="en-US" w:bidi="ar-SA"/>
      </w:rPr>
    </w:lvl>
  </w:abstractNum>
  <w:abstractNum w:abstractNumId="129" w15:restartNumberingAfterBreak="0">
    <w:nsid w:val="799B715A"/>
    <w:multiLevelType w:val="hybridMultilevel"/>
    <w:tmpl w:val="EA600ECC"/>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15:restartNumberingAfterBreak="0">
    <w:nsid w:val="7B3618E2"/>
    <w:multiLevelType w:val="hybridMultilevel"/>
    <w:tmpl w:val="6A1C2ED6"/>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E7CE9140">
      <w:numFmt w:val="bullet"/>
      <w:lvlText w:val="•"/>
      <w:lvlJc w:val="left"/>
      <w:pPr>
        <w:ind w:left="591" w:hanging="252"/>
      </w:pPr>
      <w:rPr>
        <w:rFonts w:hint="default"/>
        <w:lang w:val="en-GB" w:eastAsia="en-GB" w:bidi="en-GB"/>
      </w:rPr>
    </w:lvl>
    <w:lvl w:ilvl="2" w:tplc="C458EB76">
      <w:numFmt w:val="bullet"/>
      <w:lvlText w:val="•"/>
      <w:lvlJc w:val="left"/>
      <w:pPr>
        <w:ind w:left="762" w:hanging="252"/>
      </w:pPr>
      <w:rPr>
        <w:rFonts w:hint="default"/>
        <w:lang w:val="en-GB" w:eastAsia="en-GB" w:bidi="en-GB"/>
      </w:rPr>
    </w:lvl>
    <w:lvl w:ilvl="3" w:tplc="ADDA0228">
      <w:numFmt w:val="bullet"/>
      <w:lvlText w:val="•"/>
      <w:lvlJc w:val="left"/>
      <w:pPr>
        <w:ind w:left="933" w:hanging="252"/>
      </w:pPr>
      <w:rPr>
        <w:rFonts w:hint="default"/>
        <w:lang w:val="en-GB" w:eastAsia="en-GB" w:bidi="en-GB"/>
      </w:rPr>
    </w:lvl>
    <w:lvl w:ilvl="4" w:tplc="2E78F8B6">
      <w:numFmt w:val="bullet"/>
      <w:lvlText w:val="•"/>
      <w:lvlJc w:val="left"/>
      <w:pPr>
        <w:ind w:left="1105" w:hanging="252"/>
      </w:pPr>
      <w:rPr>
        <w:rFonts w:hint="default"/>
        <w:lang w:val="en-GB" w:eastAsia="en-GB" w:bidi="en-GB"/>
      </w:rPr>
    </w:lvl>
    <w:lvl w:ilvl="5" w:tplc="07162866">
      <w:numFmt w:val="bullet"/>
      <w:lvlText w:val="•"/>
      <w:lvlJc w:val="left"/>
      <w:pPr>
        <w:ind w:left="1276" w:hanging="252"/>
      </w:pPr>
      <w:rPr>
        <w:rFonts w:hint="default"/>
        <w:lang w:val="en-GB" w:eastAsia="en-GB" w:bidi="en-GB"/>
      </w:rPr>
    </w:lvl>
    <w:lvl w:ilvl="6" w:tplc="5D9EFE22">
      <w:numFmt w:val="bullet"/>
      <w:lvlText w:val="•"/>
      <w:lvlJc w:val="left"/>
      <w:pPr>
        <w:ind w:left="1447" w:hanging="252"/>
      </w:pPr>
      <w:rPr>
        <w:rFonts w:hint="default"/>
        <w:lang w:val="en-GB" w:eastAsia="en-GB" w:bidi="en-GB"/>
      </w:rPr>
    </w:lvl>
    <w:lvl w:ilvl="7" w:tplc="0C3A6906">
      <w:numFmt w:val="bullet"/>
      <w:lvlText w:val="•"/>
      <w:lvlJc w:val="left"/>
      <w:pPr>
        <w:ind w:left="1619" w:hanging="252"/>
      </w:pPr>
      <w:rPr>
        <w:rFonts w:hint="default"/>
        <w:lang w:val="en-GB" w:eastAsia="en-GB" w:bidi="en-GB"/>
      </w:rPr>
    </w:lvl>
    <w:lvl w:ilvl="8" w:tplc="735AC982">
      <w:numFmt w:val="bullet"/>
      <w:lvlText w:val="•"/>
      <w:lvlJc w:val="left"/>
      <w:pPr>
        <w:ind w:left="1790" w:hanging="252"/>
      </w:pPr>
      <w:rPr>
        <w:rFonts w:hint="default"/>
        <w:lang w:val="en-GB" w:eastAsia="en-GB" w:bidi="en-GB"/>
      </w:rPr>
    </w:lvl>
  </w:abstractNum>
  <w:abstractNum w:abstractNumId="131" w15:restartNumberingAfterBreak="0">
    <w:nsid w:val="7B9D77DF"/>
    <w:multiLevelType w:val="multilevel"/>
    <w:tmpl w:val="0E0ADFE6"/>
    <w:lvl w:ilvl="0">
      <w:start w:val="1"/>
      <w:numFmt w:val="decimal"/>
      <w:lvlText w:val="%1."/>
      <w:lvlJc w:val="left"/>
      <w:pPr>
        <w:ind w:left="812" w:hanging="360"/>
      </w:pPr>
      <w:rPr>
        <w:rFonts w:hint="default"/>
      </w:rPr>
    </w:lvl>
    <w:lvl w:ilvl="1">
      <w:start w:val="3"/>
      <w:numFmt w:val="decimal"/>
      <w:isLgl/>
      <w:lvlText w:val="%1.%2."/>
      <w:lvlJc w:val="left"/>
      <w:pPr>
        <w:ind w:left="1172"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32" w:hanging="108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892" w:hanging="1440"/>
      </w:pPr>
      <w:rPr>
        <w:rFonts w:hint="default"/>
      </w:rPr>
    </w:lvl>
    <w:lvl w:ilvl="6">
      <w:start w:val="1"/>
      <w:numFmt w:val="decimal"/>
      <w:isLgl/>
      <w:lvlText w:val="%1.%2.%3.%4.%5.%6.%7."/>
      <w:lvlJc w:val="left"/>
      <w:pPr>
        <w:ind w:left="1892" w:hanging="1440"/>
      </w:pPr>
      <w:rPr>
        <w:rFonts w:hint="default"/>
      </w:rPr>
    </w:lvl>
    <w:lvl w:ilvl="7">
      <w:start w:val="1"/>
      <w:numFmt w:val="decimal"/>
      <w:isLgl/>
      <w:lvlText w:val="%1.%2.%3.%4.%5.%6.%7.%8."/>
      <w:lvlJc w:val="left"/>
      <w:pPr>
        <w:ind w:left="2252" w:hanging="1800"/>
      </w:pPr>
      <w:rPr>
        <w:rFonts w:hint="default"/>
      </w:rPr>
    </w:lvl>
    <w:lvl w:ilvl="8">
      <w:start w:val="1"/>
      <w:numFmt w:val="decimal"/>
      <w:isLgl/>
      <w:lvlText w:val="%1.%2.%3.%4.%5.%6.%7.%8.%9."/>
      <w:lvlJc w:val="left"/>
      <w:pPr>
        <w:ind w:left="2612" w:hanging="2160"/>
      </w:pPr>
      <w:rPr>
        <w:rFonts w:hint="default"/>
      </w:rPr>
    </w:lvl>
  </w:abstractNum>
  <w:abstractNum w:abstractNumId="132" w15:restartNumberingAfterBreak="0">
    <w:nsid w:val="7C6322D4"/>
    <w:multiLevelType w:val="hybridMultilevel"/>
    <w:tmpl w:val="C302A5F2"/>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5BF2C258">
      <w:numFmt w:val="bullet"/>
      <w:lvlText w:val="•"/>
      <w:lvlJc w:val="left"/>
      <w:pPr>
        <w:ind w:left="1194" w:hanging="284"/>
      </w:pPr>
      <w:rPr>
        <w:rFonts w:hint="default"/>
        <w:lang w:val="en-GB" w:eastAsia="en-GB" w:bidi="en-GB"/>
      </w:rPr>
    </w:lvl>
    <w:lvl w:ilvl="2" w:tplc="2098B4EC">
      <w:numFmt w:val="bullet"/>
      <w:lvlText w:val="•"/>
      <w:lvlJc w:val="left"/>
      <w:pPr>
        <w:ind w:left="1829" w:hanging="284"/>
      </w:pPr>
      <w:rPr>
        <w:rFonts w:hint="default"/>
        <w:lang w:val="en-GB" w:eastAsia="en-GB" w:bidi="en-GB"/>
      </w:rPr>
    </w:lvl>
    <w:lvl w:ilvl="3" w:tplc="54C8DC30">
      <w:numFmt w:val="bullet"/>
      <w:lvlText w:val="•"/>
      <w:lvlJc w:val="left"/>
      <w:pPr>
        <w:ind w:left="2463" w:hanging="284"/>
      </w:pPr>
      <w:rPr>
        <w:rFonts w:hint="default"/>
        <w:lang w:val="en-GB" w:eastAsia="en-GB" w:bidi="en-GB"/>
      </w:rPr>
    </w:lvl>
    <w:lvl w:ilvl="4" w:tplc="BE22B53E">
      <w:numFmt w:val="bullet"/>
      <w:lvlText w:val="•"/>
      <w:lvlJc w:val="left"/>
      <w:pPr>
        <w:ind w:left="3098" w:hanging="284"/>
      </w:pPr>
      <w:rPr>
        <w:rFonts w:hint="default"/>
        <w:lang w:val="en-GB" w:eastAsia="en-GB" w:bidi="en-GB"/>
      </w:rPr>
    </w:lvl>
    <w:lvl w:ilvl="5" w:tplc="BAE8DB48">
      <w:numFmt w:val="bullet"/>
      <w:lvlText w:val="•"/>
      <w:lvlJc w:val="left"/>
      <w:pPr>
        <w:ind w:left="3732" w:hanging="284"/>
      </w:pPr>
      <w:rPr>
        <w:rFonts w:hint="default"/>
        <w:lang w:val="en-GB" w:eastAsia="en-GB" w:bidi="en-GB"/>
      </w:rPr>
    </w:lvl>
    <w:lvl w:ilvl="6" w:tplc="0AE66334">
      <w:numFmt w:val="bullet"/>
      <w:lvlText w:val="•"/>
      <w:lvlJc w:val="left"/>
      <w:pPr>
        <w:ind w:left="4367" w:hanging="284"/>
      </w:pPr>
      <w:rPr>
        <w:rFonts w:hint="default"/>
        <w:lang w:val="en-GB" w:eastAsia="en-GB" w:bidi="en-GB"/>
      </w:rPr>
    </w:lvl>
    <w:lvl w:ilvl="7" w:tplc="1A3A780A">
      <w:numFmt w:val="bullet"/>
      <w:lvlText w:val="•"/>
      <w:lvlJc w:val="left"/>
      <w:pPr>
        <w:ind w:left="5001" w:hanging="284"/>
      </w:pPr>
      <w:rPr>
        <w:rFonts w:hint="default"/>
        <w:lang w:val="en-GB" w:eastAsia="en-GB" w:bidi="en-GB"/>
      </w:rPr>
    </w:lvl>
    <w:lvl w:ilvl="8" w:tplc="AC3E3C3E">
      <w:numFmt w:val="bullet"/>
      <w:lvlText w:val="•"/>
      <w:lvlJc w:val="left"/>
      <w:pPr>
        <w:ind w:left="5636" w:hanging="284"/>
      </w:pPr>
      <w:rPr>
        <w:rFonts w:hint="default"/>
        <w:lang w:val="en-GB" w:eastAsia="en-GB" w:bidi="en-GB"/>
      </w:rPr>
    </w:lvl>
  </w:abstractNum>
  <w:abstractNum w:abstractNumId="133" w15:restartNumberingAfterBreak="0">
    <w:nsid w:val="7C65779E"/>
    <w:multiLevelType w:val="hybridMultilevel"/>
    <w:tmpl w:val="B504F5B6"/>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D1206220">
      <w:numFmt w:val="bullet"/>
      <w:lvlText w:val="•"/>
      <w:lvlJc w:val="left"/>
      <w:pPr>
        <w:ind w:left="1194" w:hanging="284"/>
      </w:pPr>
      <w:rPr>
        <w:rFonts w:hint="default"/>
        <w:lang w:val="en-GB" w:eastAsia="en-GB" w:bidi="en-GB"/>
      </w:rPr>
    </w:lvl>
    <w:lvl w:ilvl="2" w:tplc="D39CAB62">
      <w:numFmt w:val="bullet"/>
      <w:lvlText w:val="•"/>
      <w:lvlJc w:val="left"/>
      <w:pPr>
        <w:ind w:left="1829" w:hanging="284"/>
      </w:pPr>
      <w:rPr>
        <w:rFonts w:hint="default"/>
        <w:lang w:val="en-GB" w:eastAsia="en-GB" w:bidi="en-GB"/>
      </w:rPr>
    </w:lvl>
    <w:lvl w:ilvl="3" w:tplc="760E6E4A">
      <w:numFmt w:val="bullet"/>
      <w:lvlText w:val="•"/>
      <w:lvlJc w:val="left"/>
      <w:pPr>
        <w:ind w:left="2463" w:hanging="284"/>
      </w:pPr>
      <w:rPr>
        <w:rFonts w:hint="default"/>
        <w:lang w:val="en-GB" w:eastAsia="en-GB" w:bidi="en-GB"/>
      </w:rPr>
    </w:lvl>
    <w:lvl w:ilvl="4" w:tplc="80EA00B4">
      <w:numFmt w:val="bullet"/>
      <w:lvlText w:val="•"/>
      <w:lvlJc w:val="left"/>
      <w:pPr>
        <w:ind w:left="3098" w:hanging="284"/>
      </w:pPr>
      <w:rPr>
        <w:rFonts w:hint="default"/>
        <w:lang w:val="en-GB" w:eastAsia="en-GB" w:bidi="en-GB"/>
      </w:rPr>
    </w:lvl>
    <w:lvl w:ilvl="5" w:tplc="40EE7B52">
      <w:numFmt w:val="bullet"/>
      <w:lvlText w:val="•"/>
      <w:lvlJc w:val="left"/>
      <w:pPr>
        <w:ind w:left="3732" w:hanging="284"/>
      </w:pPr>
      <w:rPr>
        <w:rFonts w:hint="default"/>
        <w:lang w:val="en-GB" w:eastAsia="en-GB" w:bidi="en-GB"/>
      </w:rPr>
    </w:lvl>
    <w:lvl w:ilvl="6" w:tplc="6A5010D0">
      <w:numFmt w:val="bullet"/>
      <w:lvlText w:val="•"/>
      <w:lvlJc w:val="left"/>
      <w:pPr>
        <w:ind w:left="4367" w:hanging="284"/>
      </w:pPr>
      <w:rPr>
        <w:rFonts w:hint="default"/>
        <w:lang w:val="en-GB" w:eastAsia="en-GB" w:bidi="en-GB"/>
      </w:rPr>
    </w:lvl>
    <w:lvl w:ilvl="7" w:tplc="7ED2AC16">
      <w:numFmt w:val="bullet"/>
      <w:lvlText w:val="•"/>
      <w:lvlJc w:val="left"/>
      <w:pPr>
        <w:ind w:left="5001" w:hanging="284"/>
      </w:pPr>
      <w:rPr>
        <w:rFonts w:hint="default"/>
        <w:lang w:val="en-GB" w:eastAsia="en-GB" w:bidi="en-GB"/>
      </w:rPr>
    </w:lvl>
    <w:lvl w:ilvl="8" w:tplc="75662AFE">
      <w:numFmt w:val="bullet"/>
      <w:lvlText w:val="•"/>
      <w:lvlJc w:val="left"/>
      <w:pPr>
        <w:ind w:left="5636" w:hanging="284"/>
      </w:pPr>
      <w:rPr>
        <w:rFonts w:hint="default"/>
        <w:lang w:val="en-GB" w:eastAsia="en-GB" w:bidi="en-GB"/>
      </w:rPr>
    </w:lvl>
  </w:abstractNum>
  <w:abstractNum w:abstractNumId="134" w15:restartNumberingAfterBreak="0">
    <w:nsid w:val="7CDF5073"/>
    <w:multiLevelType w:val="hybridMultilevel"/>
    <w:tmpl w:val="C494E34E"/>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7D740C34"/>
    <w:multiLevelType w:val="hybridMultilevel"/>
    <w:tmpl w:val="52CE0F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7E5F64C7"/>
    <w:multiLevelType w:val="hybridMultilevel"/>
    <w:tmpl w:val="ECB0D700"/>
    <w:lvl w:ilvl="0" w:tplc="08669392">
      <w:start w:val="1"/>
      <w:numFmt w:val="bullet"/>
      <w:lvlText w:val=""/>
      <w:lvlJc w:val="left"/>
      <w:pPr>
        <w:ind w:left="471" w:hanging="361"/>
      </w:pPr>
      <w:rPr>
        <w:rFonts w:ascii="Symbol" w:hAnsi="Symbol" w:hint="default"/>
        <w:w w:val="99"/>
        <w:sz w:val="20"/>
        <w:szCs w:val="20"/>
        <w:lang w:val="en-GB" w:eastAsia="en-GB" w:bidi="en-GB"/>
      </w:rPr>
    </w:lvl>
    <w:lvl w:ilvl="1" w:tplc="FC32D764">
      <w:numFmt w:val="bullet"/>
      <w:lvlText w:val="•"/>
      <w:lvlJc w:val="left"/>
      <w:pPr>
        <w:ind w:left="1094" w:hanging="361"/>
      </w:pPr>
      <w:rPr>
        <w:rFonts w:hint="default"/>
        <w:lang w:val="en-GB" w:eastAsia="en-GB" w:bidi="en-GB"/>
      </w:rPr>
    </w:lvl>
    <w:lvl w:ilvl="2" w:tplc="D4C2AF8C">
      <w:numFmt w:val="bullet"/>
      <w:lvlText w:val="•"/>
      <w:lvlJc w:val="left"/>
      <w:pPr>
        <w:ind w:left="1708" w:hanging="361"/>
      </w:pPr>
      <w:rPr>
        <w:rFonts w:hint="default"/>
        <w:lang w:val="en-GB" w:eastAsia="en-GB" w:bidi="en-GB"/>
      </w:rPr>
    </w:lvl>
    <w:lvl w:ilvl="3" w:tplc="1FB4A39E">
      <w:numFmt w:val="bullet"/>
      <w:lvlText w:val="•"/>
      <w:lvlJc w:val="left"/>
      <w:pPr>
        <w:ind w:left="2322" w:hanging="361"/>
      </w:pPr>
      <w:rPr>
        <w:rFonts w:hint="default"/>
        <w:lang w:val="en-GB" w:eastAsia="en-GB" w:bidi="en-GB"/>
      </w:rPr>
    </w:lvl>
    <w:lvl w:ilvl="4" w:tplc="558C5CD4">
      <w:numFmt w:val="bullet"/>
      <w:lvlText w:val="•"/>
      <w:lvlJc w:val="left"/>
      <w:pPr>
        <w:ind w:left="2936" w:hanging="361"/>
      </w:pPr>
      <w:rPr>
        <w:rFonts w:hint="default"/>
        <w:lang w:val="en-GB" w:eastAsia="en-GB" w:bidi="en-GB"/>
      </w:rPr>
    </w:lvl>
    <w:lvl w:ilvl="5" w:tplc="C58E4A2A">
      <w:numFmt w:val="bullet"/>
      <w:lvlText w:val="•"/>
      <w:lvlJc w:val="left"/>
      <w:pPr>
        <w:ind w:left="3550" w:hanging="361"/>
      </w:pPr>
      <w:rPr>
        <w:rFonts w:hint="default"/>
        <w:lang w:val="en-GB" w:eastAsia="en-GB" w:bidi="en-GB"/>
      </w:rPr>
    </w:lvl>
    <w:lvl w:ilvl="6" w:tplc="8EF839AA">
      <w:numFmt w:val="bullet"/>
      <w:lvlText w:val="•"/>
      <w:lvlJc w:val="left"/>
      <w:pPr>
        <w:ind w:left="4164" w:hanging="361"/>
      </w:pPr>
      <w:rPr>
        <w:rFonts w:hint="default"/>
        <w:lang w:val="en-GB" w:eastAsia="en-GB" w:bidi="en-GB"/>
      </w:rPr>
    </w:lvl>
    <w:lvl w:ilvl="7" w:tplc="8878EF52">
      <w:numFmt w:val="bullet"/>
      <w:lvlText w:val="•"/>
      <w:lvlJc w:val="left"/>
      <w:pPr>
        <w:ind w:left="4778" w:hanging="361"/>
      </w:pPr>
      <w:rPr>
        <w:rFonts w:hint="default"/>
        <w:lang w:val="en-GB" w:eastAsia="en-GB" w:bidi="en-GB"/>
      </w:rPr>
    </w:lvl>
    <w:lvl w:ilvl="8" w:tplc="B0DC84D6">
      <w:numFmt w:val="bullet"/>
      <w:lvlText w:val="•"/>
      <w:lvlJc w:val="left"/>
      <w:pPr>
        <w:ind w:left="5392" w:hanging="361"/>
      </w:pPr>
      <w:rPr>
        <w:rFonts w:hint="default"/>
        <w:lang w:val="en-GB" w:eastAsia="en-GB" w:bidi="en-GB"/>
      </w:rPr>
    </w:lvl>
  </w:abstractNum>
  <w:abstractNum w:abstractNumId="137" w15:restartNumberingAfterBreak="0">
    <w:nsid w:val="7EF8345D"/>
    <w:multiLevelType w:val="hybridMultilevel"/>
    <w:tmpl w:val="E876A7DE"/>
    <w:lvl w:ilvl="0" w:tplc="0B96F998">
      <w:numFmt w:val="bullet"/>
      <w:lvlText w:val="—"/>
      <w:lvlJc w:val="left"/>
      <w:pPr>
        <w:ind w:left="108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8" w15:restartNumberingAfterBreak="0">
    <w:nsid w:val="7F3A3909"/>
    <w:multiLevelType w:val="hybridMultilevel"/>
    <w:tmpl w:val="AEB4BC70"/>
    <w:lvl w:ilvl="0" w:tplc="C004DC2E">
      <w:numFmt w:val="bullet"/>
      <w:lvlText w:val=""/>
      <w:lvlJc w:val="left"/>
      <w:pPr>
        <w:ind w:left="479" w:hanging="360"/>
      </w:pPr>
      <w:rPr>
        <w:rFonts w:ascii="Symbol" w:eastAsia="Symbol" w:hAnsi="Symbol" w:cs="Symbol" w:hint="default"/>
        <w:w w:val="99"/>
        <w:sz w:val="20"/>
        <w:szCs w:val="20"/>
        <w:lang w:val="en-US" w:eastAsia="en-US" w:bidi="ar-SA"/>
      </w:rPr>
    </w:lvl>
    <w:lvl w:ilvl="1" w:tplc="599E63B0">
      <w:numFmt w:val="bullet"/>
      <w:lvlText w:val="•"/>
      <w:lvlJc w:val="left"/>
      <w:pPr>
        <w:ind w:left="1050" w:hanging="360"/>
      </w:pPr>
      <w:rPr>
        <w:rFonts w:hint="default"/>
        <w:lang w:val="en-US" w:eastAsia="en-US" w:bidi="ar-SA"/>
      </w:rPr>
    </w:lvl>
    <w:lvl w:ilvl="2" w:tplc="F216BBB0">
      <w:numFmt w:val="bullet"/>
      <w:lvlText w:val="•"/>
      <w:lvlJc w:val="left"/>
      <w:pPr>
        <w:ind w:left="1620" w:hanging="360"/>
      </w:pPr>
      <w:rPr>
        <w:rFonts w:hint="default"/>
        <w:lang w:val="en-US" w:eastAsia="en-US" w:bidi="ar-SA"/>
      </w:rPr>
    </w:lvl>
    <w:lvl w:ilvl="3" w:tplc="F244C13E">
      <w:numFmt w:val="bullet"/>
      <w:lvlText w:val="•"/>
      <w:lvlJc w:val="left"/>
      <w:pPr>
        <w:ind w:left="2190" w:hanging="360"/>
      </w:pPr>
      <w:rPr>
        <w:rFonts w:hint="default"/>
        <w:lang w:val="en-US" w:eastAsia="en-US" w:bidi="ar-SA"/>
      </w:rPr>
    </w:lvl>
    <w:lvl w:ilvl="4" w:tplc="F9225592">
      <w:numFmt w:val="bullet"/>
      <w:lvlText w:val="•"/>
      <w:lvlJc w:val="left"/>
      <w:pPr>
        <w:ind w:left="2761" w:hanging="360"/>
      </w:pPr>
      <w:rPr>
        <w:rFonts w:hint="default"/>
        <w:lang w:val="en-US" w:eastAsia="en-US" w:bidi="ar-SA"/>
      </w:rPr>
    </w:lvl>
    <w:lvl w:ilvl="5" w:tplc="311EB51C">
      <w:numFmt w:val="bullet"/>
      <w:lvlText w:val="•"/>
      <w:lvlJc w:val="left"/>
      <w:pPr>
        <w:ind w:left="3331" w:hanging="360"/>
      </w:pPr>
      <w:rPr>
        <w:rFonts w:hint="default"/>
        <w:lang w:val="en-US" w:eastAsia="en-US" w:bidi="ar-SA"/>
      </w:rPr>
    </w:lvl>
    <w:lvl w:ilvl="6" w:tplc="8B689CE2">
      <w:numFmt w:val="bullet"/>
      <w:lvlText w:val="•"/>
      <w:lvlJc w:val="left"/>
      <w:pPr>
        <w:ind w:left="3901" w:hanging="360"/>
      </w:pPr>
      <w:rPr>
        <w:rFonts w:hint="default"/>
        <w:lang w:val="en-US" w:eastAsia="en-US" w:bidi="ar-SA"/>
      </w:rPr>
    </w:lvl>
    <w:lvl w:ilvl="7" w:tplc="FCE2F2BE">
      <w:numFmt w:val="bullet"/>
      <w:lvlText w:val="•"/>
      <w:lvlJc w:val="left"/>
      <w:pPr>
        <w:ind w:left="4472" w:hanging="360"/>
      </w:pPr>
      <w:rPr>
        <w:rFonts w:hint="default"/>
        <w:lang w:val="en-US" w:eastAsia="en-US" w:bidi="ar-SA"/>
      </w:rPr>
    </w:lvl>
    <w:lvl w:ilvl="8" w:tplc="E208F2D6">
      <w:numFmt w:val="bullet"/>
      <w:lvlText w:val="•"/>
      <w:lvlJc w:val="left"/>
      <w:pPr>
        <w:ind w:left="5042" w:hanging="360"/>
      </w:pPr>
      <w:rPr>
        <w:rFonts w:hint="default"/>
        <w:lang w:val="en-US" w:eastAsia="en-US" w:bidi="ar-SA"/>
      </w:rPr>
    </w:lvl>
  </w:abstractNum>
  <w:abstractNum w:abstractNumId="139" w15:restartNumberingAfterBreak="0">
    <w:nsid w:val="7FD56D1D"/>
    <w:multiLevelType w:val="hybridMultilevel"/>
    <w:tmpl w:val="7F740062"/>
    <w:lvl w:ilvl="0" w:tplc="08669392">
      <w:start w:val="1"/>
      <w:numFmt w:val="bullet"/>
      <w:lvlText w:val=""/>
      <w:lvlJc w:val="left"/>
      <w:pPr>
        <w:ind w:left="523" w:hanging="360"/>
      </w:pPr>
      <w:rPr>
        <w:rFonts w:ascii="Symbol" w:hAnsi="Symbol" w:hint="default"/>
        <w:w w:val="99"/>
        <w:sz w:val="20"/>
        <w:szCs w:val="20"/>
        <w:lang w:val="en-GB" w:eastAsia="en-GB" w:bidi="en-GB"/>
      </w:rPr>
    </w:lvl>
    <w:lvl w:ilvl="1" w:tplc="041F0003" w:tentative="1">
      <w:start w:val="1"/>
      <w:numFmt w:val="bullet"/>
      <w:lvlText w:val="o"/>
      <w:lvlJc w:val="left"/>
      <w:pPr>
        <w:ind w:left="883" w:hanging="360"/>
      </w:pPr>
      <w:rPr>
        <w:rFonts w:ascii="Courier New" w:hAnsi="Courier New" w:cs="Courier New" w:hint="default"/>
      </w:rPr>
    </w:lvl>
    <w:lvl w:ilvl="2" w:tplc="041F0005" w:tentative="1">
      <w:start w:val="1"/>
      <w:numFmt w:val="bullet"/>
      <w:lvlText w:val=""/>
      <w:lvlJc w:val="left"/>
      <w:pPr>
        <w:ind w:left="1603" w:hanging="360"/>
      </w:pPr>
      <w:rPr>
        <w:rFonts w:ascii="Wingdings" w:hAnsi="Wingdings" w:hint="default"/>
      </w:rPr>
    </w:lvl>
    <w:lvl w:ilvl="3" w:tplc="041F0001" w:tentative="1">
      <w:start w:val="1"/>
      <w:numFmt w:val="bullet"/>
      <w:lvlText w:val=""/>
      <w:lvlJc w:val="left"/>
      <w:pPr>
        <w:ind w:left="2323" w:hanging="360"/>
      </w:pPr>
      <w:rPr>
        <w:rFonts w:ascii="Symbol" w:hAnsi="Symbol" w:hint="default"/>
      </w:rPr>
    </w:lvl>
    <w:lvl w:ilvl="4" w:tplc="041F0003" w:tentative="1">
      <w:start w:val="1"/>
      <w:numFmt w:val="bullet"/>
      <w:lvlText w:val="o"/>
      <w:lvlJc w:val="left"/>
      <w:pPr>
        <w:ind w:left="3043" w:hanging="360"/>
      </w:pPr>
      <w:rPr>
        <w:rFonts w:ascii="Courier New" w:hAnsi="Courier New" w:cs="Courier New" w:hint="default"/>
      </w:rPr>
    </w:lvl>
    <w:lvl w:ilvl="5" w:tplc="041F0005" w:tentative="1">
      <w:start w:val="1"/>
      <w:numFmt w:val="bullet"/>
      <w:lvlText w:val=""/>
      <w:lvlJc w:val="left"/>
      <w:pPr>
        <w:ind w:left="3763" w:hanging="360"/>
      </w:pPr>
      <w:rPr>
        <w:rFonts w:ascii="Wingdings" w:hAnsi="Wingdings" w:hint="default"/>
      </w:rPr>
    </w:lvl>
    <w:lvl w:ilvl="6" w:tplc="041F0001" w:tentative="1">
      <w:start w:val="1"/>
      <w:numFmt w:val="bullet"/>
      <w:lvlText w:val=""/>
      <w:lvlJc w:val="left"/>
      <w:pPr>
        <w:ind w:left="4483" w:hanging="360"/>
      </w:pPr>
      <w:rPr>
        <w:rFonts w:ascii="Symbol" w:hAnsi="Symbol" w:hint="default"/>
      </w:rPr>
    </w:lvl>
    <w:lvl w:ilvl="7" w:tplc="041F0003" w:tentative="1">
      <w:start w:val="1"/>
      <w:numFmt w:val="bullet"/>
      <w:lvlText w:val="o"/>
      <w:lvlJc w:val="left"/>
      <w:pPr>
        <w:ind w:left="5203" w:hanging="360"/>
      </w:pPr>
      <w:rPr>
        <w:rFonts w:ascii="Courier New" w:hAnsi="Courier New" w:cs="Courier New" w:hint="default"/>
      </w:rPr>
    </w:lvl>
    <w:lvl w:ilvl="8" w:tplc="041F0005" w:tentative="1">
      <w:start w:val="1"/>
      <w:numFmt w:val="bullet"/>
      <w:lvlText w:val=""/>
      <w:lvlJc w:val="left"/>
      <w:pPr>
        <w:ind w:left="5923" w:hanging="360"/>
      </w:pPr>
      <w:rPr>
        <w:rFonts w:ascii="Wingdings" w:hAnsi="Wingdings" w:hint="default"/>
      </w:rPr>
    </w:lvl>
  </w:abstractNum>
  <w:num w:numId="1">
    <w:abstractNumId w:val="106"/>
  </w:num>
  <w:num w:numId="2">
    <w:abstractNumId w:val="51"/>
  </w:num>
  <w:num w:numId="3">
    <w:abstractNumId w:val="97"/>
  </w:num>
  <w:num w:numId="4">
    <w:abstractNumId w:val="21"/>
  </w:num>
  <w:num w:numId="5">
    <w:abstractNumId w:val="5"/>
  </w:num>
  <w:num w:numId="6">
    <w:abstractNumId w:val="44"/>
  </w:num>
  <w:num w:numId="7">
    <w:abstractNumId w:val="34"/>
  </w:num>
  <w:num w:numId="8">
    <w:abstractNumId w:val="88"/>
  </w:num>
  <w:num w:numId="9">
    <w:abstractNumId w:val="113"/>
  </w:num>
  <w:num w:numId="10">
    <w:abstractNumId w:val="43"/>
  </w:num>
  <w:num w:numId="11">
    <w:abstractNumId w:val="38"/>
  </w:num>
  <w:num w:numId="12">
    <w:abstractNumId w:val="95"/>
  </w:num>
  <w:num w:numId="13">
    <w:abstractNumId w:val="1"/>
  </w:num>
  <w:num w:numId="14">
    <w:abstractNumId w:val="25"/>
  </w:num>
  <w:num w:numId="15">
    <w:abstractNumId w:val="46"/>
  </w:num>
  <w:num w:numId="16">
    <w:abstractNumId w:val="48"/>
  </w:num>
  <w:num w:numId="17">
    <w:abstractNumId w:val="136"/>
  </w:num>
  <w:num w:numId="18">
    <w:abstractNumId w:val="134"/>
  </w:num>
  <w:num w:numId="19">
    <w:abstractNumId w:val="93"/>
  </w:num>
  <w:num w:numId="20">
    <w:abstractNumId w:val="129"/>
  </w:num>
  <w:num w:numId="21">
    <w:abstractNumId w:val="77"/>
  </w:num>
  <w:num w:numId="22">
    <w:abstractNumId w:val="117"/>
  </w:num>
  <w:num w:numId="23">
    <w:abstractNumId w:val="71"/>
  </w:num>
  <w:num w:numId="24">
    <w:abstractNumId w:val="24"/>
  </w:num>
  <w:num w:numId="25">
    <w:abstractNumId w:val="119"/>
  </w:num>
  <w:num w:numId="26">
    <w:abstractNumId w:val="90"/>
  </w:num>
  <w:num w:numId="27">
    <w:abstractNumId w:val="67"/>
  </w:num>
  <w:num w:numId="28">
    <w:abstractNumId w:val="73"/>
  </w:num>
  <w:num w:numId="29">
    <w:abstractNumId w:val="52"/>
  </w:num>
  <w:num w:numId="30">
    <w:abstractNumId w:val="115"/>
  </w:num>
  <w:num w:numId="31">
    <w:abstractNumId w:val="65"/>
  </w:num>
  <w:num w:numId="32">
    <w:abstractNumId w:val="16"/>
  </w:num>
  <w:num w:numId="33">
    <w:abstractNumId w:val="72"/>
  </w:num>
  <w:num w:numId="34">
    <w:abstractNumId w:val="78"/>
  </w:num>
  <w:num w:numId="35">
    <w:abstractNumId w:val="9"/>
  </w:num>
  <w:num w:numId="36">
    <w:abstractNumId w:val="49"/>
  </w:num>
  <w:num w:numId="37">
    <w:abstractNumId w:val="107"/>
  </w:num>
  <w:num w:numId="38">
    <w:abstractNumId w:val="110"/>
  </w:num>
  <w:num w:numId="39">
    <w:abstractNumId w:val="22"/>
  </w:num>
  <w:num w:numId="40">
    <w:abstractNumId w:val="70"/>
  </w:num>
  <w:num w:numId="41">
    <w:abstractNumId w:val="60"/>
  </w:num>
  <w:num w:numId="42">
    <w:abstractNumId w:val="26"/>
  </w:num>
  <w:num w:numId="43">
    <w:abstractNumId w:val="19"/>
  </w:num>
  <w:num w:numId="44">
    <w:abstractNumId w:val="104"/>
  </w:num>
  <w:num w:numId="45">
    <w:abstractNumId w:val="130"/>
  </w:num>
  <w:num w:numId="46">
    <w:abstractNumId w:val="83"/>
  </w:num>
  <w:num w:numId="47">
    <w:abstractNumId w:val="10"/>
  </w:num>
  <w:num w:numId="48">
    <w:abstractNumId w:val="98"/>
  </w:num>
  <w:num w:numId="49">
    <w:abstractNumId w:val="99"/>
  </w:num>
  <w:num w:numId="50">
    <w:abstractNumId w:val="7"/>
  </w:num>
  <w:num w:numId="51">
    <w:abstractNumId w:val="121"/>
  </w:num>
  <w:num w:numId="52">
    <w:abstractNumId w:val="133"/>
  </w:num>
  <w:num w:numId="53">
    <w:abstractNumId w:val="132"/>
  </w:num>
  <w:num w:numId="54">
    <w:abstractNumId w:val="108"/>
  </w:num>
  <w:num w:numId="55">
    <w:abstractNumId w:val="45"/>
  </w:num>
  <w:num w:numId="56">
    <w:abstractNumId w:val="85"/>
  </w:num>
  <w:num w:numId="57">
    <w:abstractNumId w:val="68"/>
  </w:num>
  <w:num w:numId="58">
    <w:abstractNumId w:val="39"/>
  </w:num>
  <w:num w:numId="59">
    <w:abstractNumId w:val="76"/>
  </w:num>
  <w:num w:numId="60">
    <w:abstractNumId w:val="63"/>
  </w:num>
  <w:num w:numId="61">
    <w:abstractNumId w:val="111"/>
  </w:num>
  <w:num w:numId="62">
    <w:abstractNumId w:val="79"/>
  </w:num>
  <w:num w:numId="63">
    <w:abstractNumId w:val="74"/>
  </w:num>
  <w:num w:numId="64">
    <w:abstractNumId w:val="41"/>
  </w:num>
  <w:num w:numId="65">
    <w:abstractNumId w:val="135"/>
  </w:num>
  <w:num w:numId="66">
    <w:abstractNumId w:val="2"/>
  </w:num>
  <w:num w:numId="67">
    <w:abstractNumId w:val="125"/>
  </w:num>
  <w:num w:numId="68">
    <w:abstractNumId w:val="137"/>
  </w:num>
  <w:num w:numId="69">
    <w:abstractNumId w:val="37"/>
  </w:num>
  <w:num w:numId="70">
    <w:abstractNumId w:val="87"/>
  </w:num>
  <w:num w:numId="71">
    <w:abstractNumId w:val="139"/>
  </w:num>
  <w:num w:numId="72">
    <w:abstractNumId w:val="14"/>
  </w:num>
  <w:num w:numId="73">
    <w:abstractNumId w:val="58"/>
  </w:num>
  <w:num w:numId="74">
    <w:abstractNumId w:val="35"/>
  </w:num>
  <w:num w:numId="75">
    <w:abstractNumId w:val="11"/>
  </w:num>
  <w:num w:numId="76">
    <w:abstractNumId w:val="15"/>
  </w:num>
  <w:num w:numId="77">
    <w:abstractNumId w:val="105"/>
  </w:num>
  <w:num w:numId="78">
    <w:abstractNumId w:val="124"/>
  </w:num>
  <w:num w:numId="79">
    <w:abstractNumId w:val="80"/>
  </w:num>
  <w:num w:numId="80">
    <w:abstractNumId w:val="138"/>
  </w:num>
  <w:num w:numId="81">
    <w:abstractNumId w:val="89"/>
  </w:num>
  <w:num w:numId="82">
    <w:abstractNumId w:val="114"/>
  </w:num>
  <w:num w:numId="83">
    <w:abstractNumId w:val="69"/>
  </w:num>
  <w:num w:numId="84">
    <w:abstractNumId w:val="18"/>
  </w:num>
  <w:num w:numId="85">
    <w:abstractNumId w:val="112"/>
  </w:num>
  <w:num w:numId="86">
    <w:abstractNumId w:val="17"/>
  </w:num>
  <w:num w:numId="87">
    <w:abstractNumId w:val="57"/>
  </w:num>
  <w:num w:numId="88">
    <w:abstractNumId w:val="66"/>
  </w:num>
  <w:num w:numId="89">
    <w:abstractNumId w:val="59"/>
  </w:num>
  <w:num w:numId="90">
    <w:abstractNumId w:val="127"/>
  </w:num>
  <w:num w:numId="91">
    <w:abstractNumId w:val="96"/>
  </w:num>
  <w:num w:numId="92">
    <w:abstractNumId w:val="54"/>
  </w:num>
  <w:num w:numId="93">
    <w:abstractNumId w:val="120"/>
  </w:num>
  <w:num w:numId="94">
    <w:abstractNumId w:val="29"/>
  </w:num>
  <w:num w:numId="95">
    <w:abstractNumId w:val="27"/>
  </w:num>
  <w:num w:numId="96">
    <w:abstractNumId w:val="61"/>
  </w:num>
  <w:num w:numId="97">
    <w:abstractNumId w:val="36"/>
  </w:num>
  <w:num w:numId="98">
    <w:abstractNumId w:val="50"/>
  </w:num>
  <w:num w:numId="99">
    <w:abstractNumId w:val="8"/>
  </w:num>
  <w:num w:numId="100">
    <w:abstractNumId w:val="116"/>
  </w:num>
  <w:num w:numId="101">
    <w:abstractNumId w:val="128"/>
  </w:num>
  <w:num w:numId="102">
    <w:abstractNumId w:val="101"/>
  </w:num>
  <w:num w:numId="103">
    <w:abstractNumId w:val="47"/>
  </w:num>
  <w:num w:numId="104">
    <w:abstractNumId w:val="109"/>
  </w:num>
  <w:num w:numId="105">
    <w:abstractNumId w:val="122"/>
  </w:num>
  <w:num w:numId="106">
    <w:abstractNumId w:val="56"/>
  </w:num>
  <w:num w:numId="107">
    <w:abstractNumId w:val="75"/>
  </w:num>
  <w:num w:numId="108">
    <w:abstractNumId w:val="86"/>
  </w:num>
  <w:num w:numId="109">
    <w:abstractNumId w:val="92"/>
  </w:num>
  <w:num w:numId="110">
    <w:abstractNumId w:val="0"/>
  </w:num>
  <w:num w:numId="111">
    <w:abstractNumId w:val="131"/>
  </w:num>
  <w:num w:numId="112">
    <w:abstractNumId w:val="62"/>
  </w:num>
  <w:num w:numId="113">
    <w:abstractNumId w:val="13"/>
  </w:num>
  <w:num w:numId="114">
    <w:abstractNumId w:val="30"/>
  </w:num>
  <w:num w:numId="115">
    <w:abstractNumId w:val="91"/>
  </w:num>
  <w:num w:numId="116">
    <w:abstractNumId w:val="28"/>
  </w:num>
  <w:num w:numId="117">
    <w:abstractNumId w:val="103"/>
  </w:num>
  <w:num w:numId="118">
    <w:abstractNumId w:val="4"/>
  </w:num>
  <w:num w:numId="119">
    <w:abstractNumId w:val="55"/>
  </w:num>
  <w:num w:numId="120">
    <w:abstractNumId w:val="118"/>
  </w:num>
  <w:num w:numId="121">
    <w:abstractNumId w:val="40"/>
  </w:num>
  <w:num w:numId="122">
    <w:abstractNumId w:val="23"/>
  </w:num>
  <w:num w:numId="123">
    <w:abstractNumId w:val="126"/>
  </w:num>
  <w:num w:numId="124">
    <w:abstractNumId w:val="84"/>
  </w:num>
  <w:num w:numId="125">
    <w:abstractNumId w:val="42"/>
  </w:num>
  <w:num w:numId="126">
    <w:abstractNumId w:val="20"/>
  </w:num>
  <w:num w:numId="127">
    <w:abstractNumId w:val="123"/>
  </w:num>
  <w:num w:numId="128">
    <w:abstractNumId w:val="3"/>
  </w:num>
  <w:num w:numId="129">
    <w:abstractNumId w:val="12"/>
  </w:num>
  <w:num w:numId="130">
    <w:abstractNumId w:val="100"/>
  </w:num>
  <w:num w:numId="131">
    <w:abstractNumId w:val="94"/>
  </w:num>
  <w:num w:numId="132">
    <w:abstractNumId w:val="64"/>
  </w:num>
  <w:num w:numId="133">
    <w:abstractNumId w:val="81"/>
  </w:num>
  <w:num w:numId="134">
    <w:abstractNumId w:val="53"/>
  </w:num>
  <w:num w:numId="135">
    <w:abstractNumId w:val="32"/>
  </w:num>
  <w:num w:numId="136">
    <w:abstractNumId w:val="102"/>
  </w:num>
  <w:num w:numId="137">
    <w:abstractNumId w:val="33"/>
  </w:num>
  <w:num w:numId="138">
    <w:abstractNumId w:val="31"/>
  </w:num>
  <w:num w:numId="139">
    <w:abstractNumId w:val="82"/>
  </w:num>
  <w:num w:numId="140">
    <w:abstractNumId w:val="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MDQytAAiS0tzMyUdpeDU4uLM/DyQAkOjWgAb6FhILQAAAA=="/>
  </w:docVars>
  <w:rsids>
    <w:rsidRoot w:val="00CA443F"/>
    <w:rsid w:val="00000168"/>
    <w:rsid w:val="0000052A"/>
    <w:rsid w:val="000006E1"/>
    <w:rsid w:val="000008A3"/>
    <w:rsid w:val="0000096C"/>
    <w:rsid w:val="00000EC5"/>
    <w:rsid w:val="000014A8"/>
    <w:rsid w:val="000014BF"/>
    <w:rsid w:val="00001D67"/>
    <w:rsid w:val="00002266"/>
    <w:rsid w:val="00002E6B"/>
    <w:rsid w:val="00003C06"/>
    <w:rsid w:val="00003DB8"/>
    <w:rsid w:val="000047A1"/>
    <w:rsid w:val="00004830"/>
    <w:rsid w:val="00004ADF"/>
    <w:rsid w:val="00004B9A"/>
    <w:rsid w:val="00004F52"/>
    <w:rsid w:val="0000535E"/>
    <w:rsid w:val="0000556B"/>
    <w:rsid w:val="00005A83"/>
    <w:rsid w:val="00005ACD"/>
    <w:rsid w:val="00006953"/>
    <w:rsid w:val="00006AFF"/>
    <w:rsid w:val="000071F5"/>
    <w:rsid w:val="000074C5"/>
    <w:rsid w:val="00007783"/>
    <w:rsid w:val="00007807"/>
    <w:rsid w:val="0000795B"/>
    <w:rsid w:val="00007980"/>
    <w:rsid w:val="00007DDB"/>
    <w:rsid w:val="00010216"/>
    <w:rsid w:val="00010399"/>
    <w:rsid w:val="000103D4"/>
    <w:rsid w:val="0001063B"/>
    <w:rsid w:val="000109DD"/>
    <w:rsid w:val="00010A8E"/>
    <w:rsid w:val="000115EB"/>
    <w:rsid w:val="0001191F"/>
    <w:rsid w:val="0001220D"/>
    <w:rsid w:val="0001252B"/>
    <w:rsid w:val="00012B38"/>
    <w:rsid w:val="00012BD9"/>
    <w:rsid w:val="000132DE"/>
    <w:rsid w:val="000134BF"/>
    <w:rsid w:val="0001356D"/>
    <w:rsid w:val="00013610"/>
    <w:rsid w:val="00013839"/>
    <w:rsid w:val="00013AE4"/>
    <w:rsid w:val="0001409C"/>
    <w:rsid w:val="00014B63"/>
    <w:rsid w:val="00015753"/>
    <w:rsid w:val="00015A0A"/>
    <w:rsid w:val="00015CED"/>
    <w:rsid w:val="0001610F"/>
    <w:rsid w:val="00016489"/>
    <w:rsid w:val="00016873"/>
    <w:rsid w:val="000169BA"/>
    <w:rsid w:val="00016E18"/>
    <w:rsid w:val="00016FCD"/>
    <w:rsid w:val="00017130"/>
    <w:rsid w:val="0001751B"/>
    <w:rsid w:val="00017647"/>
    <w:rsid w:val="00020872"/>
    <w:rsid w:val="0002088C"/>
    <w:rsid w:val="00021459"/>
    <w:rsid w:val="00021468"/>
    <w:rsid w:val="00021B76"/>
    <w:rsid w:val="0002257B"/>
    <w:rsid w:val="000226F6"/>
    <w:rsid w:val="00023773"/>
    <w:rsid w:val="000245ED"/>
    <w:rsid w:val="00024D1F"/>
    <w:rsid w:val="00024D2C"/>
    <w:rsid w:val="00025161"/>
    <w:rsid w:val="000252EB"/>
    <w:rsid w:val="000253CB"/>
    <w:rsid w:val="00025666"/>
    <w:rsid w:val="000259E9"/>
    <w:rsid w:val="0002605B"/>
    <w:rsid w:val="000260F7"/>
    <w:rsid w:val="00026592"/>
    <w:rsid w:val="0002710B"/>
    <w:rsid w:val="0002737C"/>
    <w:rsid w:val="000275AF"/>
    <w:rsid w:val="00027720"/>
    <w:rsid w:val="00027914"/>
    <w:rsid w:val="00027C6A"/>
    <w:rsid w:val="0003013F"/>
    <w:rsid w:val="000307D7"/>
    <w:rsid w:val="0003095F"/>
    <w:rsid w:val="00030DA3"/>
    <w:rsid w:val="00030F0A"/>
    <w:rsid w:val="00031032"/>
    <w:rsid w:val="00031151"/>
    <w:rsid w:val="00031C19"/>
    <w:rsid w:val="00031CB5"/>
    <w:rsid w:val="000320D1"/>
    <w:rsid w:val="00032781"/>
    <w:rsid w:val="0003280E"/>
    <w:rsid w:val="00032FF0"/>
    <w:rsid w:val="000333F2"/>
    <w:rsid w:val="000335F0"/>
    <w:rsid w:val="00033B83"/>
    <w:rsid w:val="00033CBD"/>
    <w:rsid w:val="00033CF9"/>
    <w:rsid w:val="00033E32"/>
    <w:rsid w:val="000343EF"/>
    <w:rsid w:val="00034C82"/>
    <w:rsid w:val="00034DC3"/>
    <w:rsid w:val="00035454"/>
    <w:rsid w:val="00035D06"/>
    <w:rsid w:val="00035D31"/>
    <w:rsid w:val="00035DC8"/>
    <w:rsid w:val="0003603D"/>
    <w:rsid w:val="00036388"/>
    <w:rsid w:val="0003682C"/>
    <w:rsid w:val="000369FA"/>
    <w:rsid w:val="0003756F"/>
    <w:rsid w:val="00037F70"/>
    <w:rsid w:val="00041813"/>
    <w:rsid w:val="00041B5C"/>
    <w:rsid w:val="00041BA1"/>
    <w:rsid w:val="000420FE"/>
    <w:rsid w:val="00042733"/>
    <w:rsid w:val="00042F4A"/>
    <w:rsid w:val="00043269"/>
    <w:rsid w:val="00043625"/>
    <w:rsid w:val="000439CC"/>
    <w:rsid w:val="00043B4C"/>
    <w:rsid w:val="00043CEC"/>
    <w:rsid w:val="00043EA1"/>
    <w:rsid w:val="00043FEC"/>
    <w:rsid w:val="00044122"/>
    <w:rsid w:val="00045DC1"/>
    <w:rsid w:val="00046685"/>
    <w:rsid w:val="00046F6A"/>
    <w:rsid w:val="00047364"/>
    <w:rsid w:val="0004753A"/>
    <w:rsid w:val="00047573"/>
    <w:rsid w:val="000477CA"/>
    <w:rsid w:val="000479D7"/>
    <w:rsid w:val="00047E5F"/>
    <w:rsid w:val="0005017A"/>
    <w:rsid w:val="000509C2"/>
    <w:rsid w:val="00050D27"/>
    <w:rsid w:val="0005145D"/>
    <w:rsid w:val="000518C7"/>
    <w:rsid w:val="000519F2"/>
    <w:rsid w:val="00052553"/>
    <w:rsid w:val="00052877"/>
    <w:rsid w:val="000528E1"/>
    <w:rsid w:val="00052958"/>
    <w:rsid w:val="00052DC2"/>
    <w:rsid w:val="00052DCC"/>
    <w:rsid w:val="00052DEB"/>
    <w:rsid w:val="00053336"/>
    <w:rsid w:val="000533ED"/>
    <w:rsid w:val="00053532"/>
    <w:rsid w:val="00053871"/>
    <w:rsid w:val="00053DCD"/>
    <w:rsid w:val="00053EAC"/>
    <w:rsid w:val="00053ECD"/>
    <w:rsid w:val="00055597"/>
    <w:rsid w:val="000557C0"/>
    <w:rsid w:val="000563DD"/>
    <w:rsid w:val="000566B1"/>
    <w:rsid w:val="000569B2"/>
    <w:rsid w:val="00056C9B"/>
    <w:rsid w:val="00056D91"/>
    <w:rsid w:val="00056E45"/>
    <w:rsid w:val="000570DF"/>
    <w:rsid w:val="0005798F"/>
    <w:rsid w:val="00057AEF"/>
    <w:rsid w:val="00060048"/>
    <w:rsid w:val="00060055"/>
    <w:rsid w:val="000601F2"/>
    <w:rsid w:val="00060DEE"/>
    <w:rsid w:val="00061015"/>
    <w:rsid w:val="00061221"/>
    <w:rsid w:val="00061C3F"/>
    <w:rsid w:val="00061ED6"/>
    <w:rsid w:val="00062017"/>
    <w:rsid w:val="00062661"/>
    <w:rsid w:val="00062910"/>
    <w:rsid w:val="00062B4E"/>
    <w:rsid w:val="000630B0"/>
    <w:rsid w:val="0006342C"/>
    <w:rsid w:val="00063A51"/>
    <w:rsid w:val="00063E43"/>
    <w:rsid w:val="00063F9C"/>
    <w:rsid w:val="0006416A"/>
    <w:rsid w:val="00064368"/>
    <w:rsid w:val="0006448D"/>
    <w:rsid w:val="000645E3"/>
    <w:rsid w:val="000646DD"/>
    <w:rsid w:val="00064905"/>
    <w:rsid w:val="00064F70"/>
    <w:rsid w:val="00065C7A"/>
    <w:rsid w:val="0006609C"/>
    <w:rsid w:val="000660F3"/>
    <w:rsid w:val="00066133"/>
    <w:rsid w:val="00066456"/>
    <w:rsid w:val="0006680A"/>
    <w:rsid w:val="00066BF8"/>
    <w:rsid w:val="00067125"/>
    <w:rsid w:val="0006712A"/>
    <w:rsid w:val="0006716C"/>
    <w:rsid w:val="0006727D"/>
    <w:rsid w:val="00067310"/>
    <w:rsid w:val="0006748F"/>
    <w:rsid w:val="000679B9"/>
    <w:rsid w:val="00067A63"/>
    <w:rsid w:val="00070507"/>
    <w:rsid w:val="00070701"/>
    <w:rsid w:val="00070C29"/>
    <w:rsid w:val="00071507"/>
    <w:rsid w:val="000715D3"/>
    <w:rsid w:val="0007194A"/>
    <w:rsid w:val="00071BC7"/>
    <w:rsid w:val="0007213D"/>
    <w:rsid w:val="0007227D"/>
    <w:rsid w:val="000722D7"/>
    <w:rsid w:val="000723D7"/>
    <w:rsid w:val="00072E22"/>
    <w:rsid w:val="00072F98"/>
    <w:rsid w:val="000731F4"/>
    <w:rsid w:val="00073965"/>
    <w:rsid w:val="0007398C"/>
    <w:rsid w:val="00073B0D"/>
    <w:rsid w:val="00073C10"/>
    <w:rsid w:val="00073D7D"/>
    <w:rsid w:val="00073FA5"/>
    <w:rsid w:val="0007454E"/>
    <w:rsid w:val="00074898"/>
    <w:rsid w:val="00074910"/>
    <w:rsid w:val="00074B93"/>
    <w:rsid w:val="00074BA8"/>
    <w:rsid w:val="00074EDB"/>
    <w:rsid w:val="00074F91"/>
    <w:rsid w:val="00075082"/>
    <w:rsid w:val="00075A13"/>
    <w:rsid w:val="00075A14"/>
    <w:rsid w:val="00077599"/>
    <w:rsid w:val="00077FC8"/>
    <w:rsid w:val="000802E5"/>
    <w:rsid w:val="000805C0"/>
    <w:rsid w:val="000808B2"/>
    <w:rsid w:val="00080E90"/>
    <w:rsid w:val="0008159D"/>
    <w:rsid w:val="000816D0"/>
    <w:rsid w:val="0008172F"/>
    <w:rsid w:val="000817F9"/>
    <w:rsid w:val="00081E47"/>
    <w:rsid w:val="00082025"/>
    <w:rsid w:val="00082052"/>
    <w:rsid w:val="000826F2"/>
    <w:rsid w:val="000828A9"/>
    <w:rsid w:val="00082D62"/>
    <w:rsid w:val="00082F04"/>
    <w:rsid w:val="00083792"/>
    <w:rsid w:val="00083BE8"/>
    <w:rsid w:val="00084248"/>
    <w:rsid w:val="00084420"/>
    <w:rsid w:val="00084B16"/>
    <w:rsid w:val="00084D8D"/>
    <w:rsid w:val="000851F0"/>
    <w:rsid w:val="000854D7"/>
    <w:rsid w:val="00085CCD"/>
    <w:rsid w:val="000861AB"/>
    <w:rsid w:val="0008625D"/>
    <w:rsid w:val="00086D74"/>
    <w:rsid w:val="00086EEC"/>
    <w:rsid w:val="000873D9"/>
    <w:rsid w:val="00087445"/>
    <w:rsid w:val="00087520"/>
    <w:rsid w:val="00090007"/>
    <w:rsid w:val="000909C9"/>
    <w:rsid w:val="00090AC5"/>
    <w:rsid w:val="00090B91"/>
    <w:rsid w:val="00090BF0"/>
    <w:rsid w:val="00090E3E"/>
    <w:rsid w:val="00090EEC"/>
    <w:rsid w:val="000913CE"/>
    <w:rsid w:val="00091831"/>
    <w:rsid w:val="000918CE"/>
    <w:rsid w:val="000925CA"/>
    <w:rsid w:val="00092607"/>
    <w:rsid w:val="00092C10"/>
    <w:rsid w:val="00092F5F"/>
    <w:rsid w:val="0009360D"/>
    <w:rsid w:val="0009397D"/>
    <w:rsid w:val="00093A21"/>
    <w:rsid w:val="00094F17"/>
    <w:rsid w:val="00094F4A"/>
    <w:rsid w:val="0009514E"/>
    <w:rsid w:val="00095AD4"/>
    <w:rsid w:val="00095D54"/>
    <w:rsid w:val="000961FF"/>
    <w:rsid w:val="000968EA"/>
    <w:rsid w:val="00096AEA"/>
    <w:rsid w:val="00096BCE"/>
    <w:rsid w:val="00096D8A"/>
    <w:rsid w:val="00096F94"/>
    <w:rsid w:val="000979F8"/>
    <w:rsid w:val="00097B63"/>
    <w:rsid w:val="00097BAE"/>
    <w:rsid w:val="00097C53"/>
    <w:rsid w:val="00097E98"/>
    <w:rsid w:val="000A00DD"/>
    <w:rsid w:val="000A10CA"/>
    <w:rsid w:val="000A1194"/>
    <w:rsid w:val="000A1BD2"/>
    <w:rsid w:val="000A2101"/>
    <w:rsid w:val="000A2D74"/>
    <w:rsid w:val="000A2F7F"/>
    <w:rsid w:val="000A3023"/>
    <w:rsid w:val="000A30A6"/>
    <w:rsid w:val="000A3419"/>
    <w:rsid w:val="000A361A"/>
    <w:rsid w:val="000A38AD"/>
    <w:rsid w:val="000A3C7B"/>
    <w:rsid w:val="000A4128"/>
    <w:rsid w:val="000A4B38"/>
    <w:rsid w:val="000A4BA9"/>
    <w:rsid w:val="000A52B0"/>
    <w:rsid w:val="000A5740"/>
    <w:rsid w:val="000A58BF"/>
    <w:rsid w:val="000A58EA"/>
    <w:rsid w:val="000A64C7"/>
    <w:rsid w:val="000A6D78"/>
    <w:rsid w:val="000A70A3"/>
    <w:rsid w:val="000A73D1"/>
    <w:rsid w:val="000A7D1F"/>
    <w:rsid w:val="000B01D2"/>
    <w:rsid w:val="000B0296"/>
    <w:rsid w:val="000B0BAA"/>
    <w:rsid w:val="000B0DF0"/>
    <w:rsid w:val="000B0DFA"/>
    <w:rsid w:val="000B1266"/>
    <w:rsid w:val="000B1321"/>
    <w:rsid w:val="000B1398"/>
    <w:rsid w:val="000B19FF"/>
    <w:rsid w:val="000B1ED1"/>
    <w:rsid w:val="000B1EE6"/>
    <w:rsid w:val="000B219C"/>
    <w:rsid w:val="000B28F1"/>
    <w:rsid w:val="000B30C6"/>
    <w:rsid w:val="000B3302"/>
    <w:rsid w:val="000B393C"/>
    <w:rsid w:val="000B4011"/>
    <w:rsid w:val="000B4271"/>
    <w:rsid w:val="000B42E5"/>
    <w:rsid w:val="000B4482"/>
    <w:rsid w:val="000B46DD"/>
    <w:rsid w:val="000B53EE"/>
    <w:rsid w:val="000B54E1"/>
    <w:rsid w:val="000B57BE"/>
    <w:rsid w:val="000B5971"/>
    <w:rsid w:val="000B5A42"/>
    <w:rsid w:val="000B5C4D"/>
    <w:rsid w:val="000B6214"/>
    <w:rsid w:val="000B6241"/>
    <w:rsid w:val="000B6BBB"/>
    <w:rsid w:val="000B7186"/>
    <w:rsid w:val="000B7954"/>
    <w:rsid w:val="000C01E6"/>
    <w:rsid w:val="000C05D1"/>
    <w:rsid w:val="000C076F"/>
    <w:rsid w:val="000C0B83"/>
    <w:rsid w:val="000C0D6C"/>
    <w:rsid w:val="000C1102"/>
    <w:rsid w:val="000C1587"/>
    <w:rsid w:val="000C18E9"/>
    <w:rsid w:val="000C20F7"/>
    <w:rsid w:val="000C2549"/>
    <w:rsid w:val="000C275A"/>
    <w:rsid w:val="000C2796"/>
    <w:rsid w:val="000C2FAE"/>
    <w:rsid w:val="000C31CD"/>
    <w:rsid w:val="000C3C5B"/>
    <w:rsid w:val="000C42D2"/>
    <w:rsid w:val="000C475F"/>
    <w:rsid w:val="000C4857"/>
    <w:rsid w:val="000C4928"/>
    <w:rsid w:val="000C4B28"/>
    <w:rsid w:val="000C59D6"/>
    <w:rsid w:val="000C5CD2"/>
    <w:rsid w:val="000C603D"/>
    <w:rsid w:val="000C6C60"/>
    <w:rsid w:val="000C6E5B"/>
    <w:rsid w:val="000C6F21"/>
    <w:rsid w:val="000C73D0"/>
    <w:rsid w:val="000D0FF4"/>
    <w:rsid w:val="000D1198"/>
    <w:rsid w:val="000D12B9"/>
    <w:rsid w:val="000D1302"/>
    <w:rsid w:val="000D22BC"/>
    <w:rsid w:val="000D243B"/>
    <w:rsid w:val="000D28A7"/>
    <w:rsid w:val="000D2E3C"/>
    <w:rsid w:val="000D2ECE"/>
    <w:rsid w:val="000D2F28"/>
    <w:rsid w:val="000D31C3"/>
    <w:rsid w:val="000D3360"/>
    <w:rsid w:val="000D3536"/>
    <w:rsid w:val="000D3A8F"/>
    <w:rsid w:val="000D48B5"/>
    <w:rsid w:val="000D4A3D"/>
    <w:rsid w:val="000D4B29"/>
    <w:rsid w:val="000D4C56"/>
    <w:rsid w:val="000D525C"/>
    <w:rsid w:val="000D529F"/>
    <w:rsid w:val="000D662E"/>
    <w:rsid w:val="000D66B6"/>
    <w:rsid w:val="000D69F5"/>
    <w:rsid w:val="000D6D4D"/>
    <w:rsid w:val="000D7293"/>
    <w:rsid w:val="000D77A8"/>
    <w:rsid w:val="000D78E7"/>
    <w:rsid w:val="000E013D"/>
    <w:rsid w:val="000E074E"/>
    <w:rsid w:val="000E0770"/>
    <w:rsid w:val="000E0ACD"/>
    <w:rsid w:val="000E0CD4"/>
    <w:rsid w:val="000E198B"/>
    <w:rsid w:val="000E1F9E"/>
    <w:rsid w:val="000E217C"/>
    <w:rsid w:val="000E2182"/>
    <w:rsid w:val="000E226F"/>
    <w:rsid w:val="000E2405"/>
    <w:rsid w:val="000E2C36"/>
    <w:rsid w:val="000E365E"/>
    <w:rsid w:val="000E3679"/>
    <w:rsid w:val="000E4B1A"/>
    <w:rsid w:val="000E4E48"/>
    <w:rsid w:val="000E551E"/>
    <w:rsid w:val="000E5609"/>
    <w:rsid w:val="000E5718"/>
    <w:rsid w:val="000E5B78"/>
    <w:rsid w:val="000E5D5B"/>
    <w:rsid w:val="000E5DBB"/>
    <w:rsid w:val="000E5E74"/>
    <w:rsid w:val="000E62B8"/>
    <w:rsid w:val="000E657F"/>
    <w:rsid w:val="000E66EE"/>
    <w:rsid w:val="000E67AD"/>
    <w:rsid w:val="000E6960"/>
    <w:rsid w:val="000E6D76"/>
    <w:rsid w:val="000E6EC8"/>
    <w:rsid w:val="000E6F1F"/>
    <w:rsid w:val="000E7600"/>
    <w:rsid w:val="000E7CD5"/>
    <w:rsid w:val="000E7DAB"/>
    <w:rsid w:val="000F02B1"/>
    <w:rsid w:val="000F0795"/>
    <w:rsid w:val="000F0D1F"/>
    <w:rsid w:val="000F0ECD"/>
    <w:rsid w:val="000F132D"/>
    <w:rsid w:val="000F2F2E"/>
    <w:rsid w:val="000F33B0"/>
    <w:rsid w:val="000F3495"/>
    <w:rsid w:val="000F34C0"/>
    <w:rsid w:val="000F3F5F"/>
    <w:rsid w:val="000F424A"/>
    <w:rsid w:val="000F44EF"/>
    <w:rsid w:val="000F5B2B"/>
    <w:rsid w:val="000F5DE3"/>
    <w:rsid w:val="000F644D"/>
    <w:rsid w:val="000F6F7A"/>
    <w:rsid w:val="000F735E"/>
    <w:rsid w:val="000F73D3"/>
    <w:rsid w:val="000F7454"/>
    <w:rsid w:val="000F7641"/>
    <w:rsid w:val="000F7ACC"/>
    <w:rsid w:val="000F7B07"/>
    <w:rsid w:val="0010038E"/>
    <w:rsid w:val="001005F9"/>
    <w:rsid w:val="00100CA9"/>
    <w:rsid w:val="00100F32"/>
    <w:rsid w:val="001020B7"/>
    <w:rsid w:val="001022AD"/>
    <w:rsid w:val="001023A3"/>
    <w:rsid w:val="00102E1F"/>
    <w:rsid w:val="001031EE"/>
    <w:rsid w:val="00103254"/>
    <w:rsid w:val="00103DA4"/>
    <w:rsid w:val="00104154"/>
    <w:rsid w:val="001043BC"/>
    <w:rsid w:val="001046FE"/>
    <w:rsid w:val="00104D7A"/>
    <w:rsid w:val="00105C26"/>
    <w:rsid w:val="00105D34"/>
    <w:rsid w:val="00106D30"/>
    <w:rsid w:val="0010750F"/>
    <w:rsid w:val="00107EB4"/>
    <w:rsid w:val="0011041B"/>
    <w:rsid w:val="001106DB"/>
    <w:rsid w:val="0011070D"/>
    <w:rsid w:val="00110E7C"/>
    <w:rsid w:val="00111076"/>
    <w:rsid w:val="00111119"/>
    <w:rsid w:val="001114A1"/>
    <w:rsid w:val="00111832"/>
    <w:rsid w:val="001118AC"/>
    <w:rsid w:val="00111CE0"/>
    <w:rsid w:val="00112064"/>
    <w:rsid w:val="001123D3"/>
    <w:rsid w:val="00112B4F"/>
    <w:rsid w:val="00112C84"/>
    <w:rsid w:val="0011313A"/>
    <w:rsid w:val="00113204"/>
    <w:rsid w:val="001134D1"/>
    <w:rsid w:val="00113D5C"/>
    <w:rsid w:val="00113E30"/>
    <w:rsid w:val="00113E38"/>
    <w:rsid w:val="00113E63"/>
    <w:rsid w:val="001141CB"/>
    <w:rsid w:val="00114485"/>
    <w:rsid w:val="00114C30"/>
    <w:rsid w:val="001150BA"/>
    <w:rsid w:val="0011521B"/>
    <w:rsid w:val="00115F9B"/>
    <w:rsid w:val="00116043"/>
    <w:rsid w:val="00116125"/>
    <w:rsid w:val="0011622B"/>
    <w:rsid w:val="00117116"/>
    <w:rsid w:val="00117A2C"/>
    <w:rsid w:val="00117B47"/>
    <w:rsid w:val="00117B67"/>
    <w:rsid w:val="00117BD5"/>
    <w:rsid w:val="0012016E"/>
    <w:rsid w:val="001205A7"/>
    <w:rsid w:val="00120B11"/>
    <w:rsid w:val="00120B93"/>
    <w:rsid w:val="00121421"/>
    <w:rsid w:val="001214E4"/>
    <w:rsid w:val="00121AB2"/>
    <w:rsid w:val="00122129"/>
    <w:rsid w:val="00122645"/>
    <w:rsid w:val="00122869"/>
    <w:rsid w:val="00122BB0"/>
    <w:rsid w:val="00122BB1"/>
    <w:rsid w:val="00122BC3"/>
    <w:rsid w:val="00122C74"/>
    <w:rsid w:val="001233BA"/>
    <w:rsid w:val="00123459"/>
    <w:rsid w:val="001234A1"/>
    <w:rsid w:val="00123719"/>
    <w:rsid w:val="001238E0"/>
    <w:rsid w:val="00124438"/>
    <w:rsid w:val="00124B97"/>
    <w:rsid w:val="0012536C"/>
    <w:rsid w:val="001258CA"/>
    <w:rsid w:val="00125C28"/>
    <w:rsid w:val="00125CF7"/>
    <w:rsid w:val="00125D37"/>
    <w:rsid w:val="00126710"/>
    <w:rsid w:val="0012701F"/>
    <w:rsid w:val="00127027"/>
    <w:rsid w:val="00127523"/>
    <w:rsid w:val="0013015C"/>
    <w:rsid w:val="001301FA"/>
    <w:rsid w:val="00130339"/>
    <w:rsid w:val="00130685"/>
    <w:rsid w:val="00130C8A"/>
    <w:rsid w:val="001310AD"/>
    <w:rsid w:val="0013135B"/>
    <w:rsid w:val="001316A6"/>
    <w:rsid w:val="00131A25"/>
    <w:rsid w:val="00131D47"/>
    <w:rsid w:val="00131E86"/>
    <w:rsid w:val="001329F2"/>
    <w:rsid w:val="00132B9B"/>
    <w:rsid w:val="00133293"/>
    <w:rsid w:val="001337BA"/>
    <w:rsid w:val="00133A68"/>
    <w:rsid w:val="00133D64"/>
    <w:rsid w:val="0013420E"/>
    <w:rsid w:val="0013448D"/>
    <w:rsid w:val="00135040"/>
    <w:rsid w:val="0013514E"/>
    <w:rsid w:val="00135263"/>
    <w:rsid w:val="001353AC"/>
    <w:rsid w:val="00135620"/>
    <w:rsid w:val="001357A0"/>
    <w:rsid w:val="00135AC7"/>
    <w:rsid w:val="00136063"/>
    <w:rsid w:val="001361A3"/>
    <w:rsid w:val="001363E9"/>
    <w:rsid w:val="0013680C"/>
    <w:rsid w:val="00136A64"/>
    <w:rsid w:val="00136B36"/>
    <w:rsid w:val="00136D9C"/>
    <w:rsid w:val="00136EB7"/>
    <w:rsid w:val="0013726C"/>
    <w:rsid w:val="00137467"/>
    <w:rsid w:val="001375CB"/>
    <w:rsid w:val="0013782B"/>
    <w:rsid w:val="00137BCC"/>
    <w:rsid w:val="00141673"/>
    <w:rsid w:val="001419DF"/>
    <w:rsid w:val="00141A9A"/>
    <w:rsid w:val="00141ADC"/>
    <w:rsid w:val="00141F14"/>
    <w:rsid w:val="00141F8D"/>
    <w:rsid w:val="00142776"/>
    <w:rsid w:val="00142805"/>
    <w:rsid w:val="00142DBB"/>
    <w:rsid w:val="001435B5"/>
    <w:rsid w:val="00143A4E"/>
    <w:rsid w:val="00143DB4"/>
    <w:rsid w:val="001441A8"/>
    <w:rsid w:val="00144C6F"/>
    <w:rsid w:val="001452E0"/>
    <w:rsid w:val="00145C08"/>
    <w:rsid w:val="00145DCA"/>
    <w:rsid w:val="001468B4"/>
    <w:rsid w:val="00147102"/>
    <w:rsid w:val="00147261"/>
    <w:rsid w:val="001477A4"/>
    <w:rsid w:val="0014784A"/>
    <w:rsid w:val="00150046"/>
    <w:rsid w:val="001501E3"/>
    <w:rsid w:val="00150B31"/>
    <w:rsid w:val="0015173A"/>
    <w:rsid w:val="001519EC"/>
    <w:rsid w:val="00151ED7"/>
    <w:rsid w:val="001526E6"/>
    <w:rsid w:val="0015285E"/>
    <w:rsid w:val="00153240"/>
    <w:rsid w:val="001534AD"/>
    <w:rsid w:val="00153D53"/>
    <w:rsid w:val="00153ECF"/>
    <w:rsid w:val="001540BE"/>
    <w:rsid w:val="001549E1"/>
    <w:rsid w:val="00155318"/>
    <w:rsid w:val="001553BF"/>
    <w:rsid w:val="0015590B"/>
    <w:rsid w:val="001559F0"/>
    <w:rsid w:val="00155D63"/>
    <w:rsid w:val="00156313"/>
    <w:rsid w:val="00156338"/>
    <w:rsid w:val="001566D3"/>
    <w:rsid w:val="00156A39"/>
    <w:rsid w:val="001571EB"/>
    <w:rsid w:val="00157208"/>
    <w:rsid w:val="0015735B"/>
    <w:rsid w:val="00157661"/>
    <w:rsid w:val="00157831"/>
    <w:rsid w:val="00157CDE"/>
    <w:rsid w:val="00157F2D"/>
    <w:rsid w:val="00157F9E"/>
    <w:rsid w:val="00160531"/>
    <w:rsid w:val="00161388"/>
    <w:rsid w:val="001613C0"/>
    <w:rsid w:val="00161448"/>
    <w:rsid w:val="00161454"/>
    <w:rsid w:val="00161502"/>
    <w:rsid w:val="00161863"/>
    <w:rsid w:val="001623AB"/>
    <w:rsid w:val="00162638"/>
    <w:rsid w:val="00162EF1"/>
    <w:rsid w:val="00163590"/>
    <w:rsid w:val="00163D10"/>
    <w:rsid w:val="00163D38"/>
    <w:rsid w:val="00163DCB"/>
    <w:rsid w:val="0016447C"/>
    <w:rsid w:val="001644A7"/>
    <w:rsid w:val="00164F16"/>
    <w:rsid w:val="001653D4"/>
    <w:rsid w:val="001656D0"/>
    <w:rsid w:val="00165808"/>
    <w:rsid w:val="00166A2C"/>
    <w:rsid w:val="00167159"/>
    <w:rsid w:val="001679C3"/>
    <w:rsid w:val="00167B16"/>
    <w:rsid w:val="00170238"/>
    <w:rsid w:val="001702A6"/>
    <w:rsid w:val="0017061C"/>
    <w:rsid w:val="00170642"/>
    <w:rsid w:val="001706FE"/>
    <w:rsid w:val="00170D97"/>
    <w:rsid w:val="00170EE3"/>
    <w:rsid w:val="00171102"/>
    <w:rsid w:val="001713D3"/>
    <w:rsid w:val="001719C6"/>
    <w:rsid w:val="00172787"/>
    <w:rsid w:val="00172836"/>
    <w:rsid w:val="00172FD8"/>
    <w:rsid w:val="00173A4E"/>
    <w:rsid w:val="00173A97"/>
    <w:rsid w:val="00174AFF"/>
    <w:rsid w:val="0017530B"/>
    <w:rsid w:val="0017686C"/>
    <w:rsid w:val="00176877"/>
    <w:rsid w:val="00177335"/>
    <w:rsid w:val="001773BB"/>
    <w:rsid w:val="00177722"/>
    <w:rsid w:val="001777C2"/>
    <w:rsid w:val="001778F7"/>
    <w:rsid w:val="00177B90"/>
    <w:rsid w:val="00177BCB"/>
    <w:rsid w:val="00177D3E"/>
    <w:rsid w:val="00177D8C"/>
    <w:rsid w:val="00177E22"/>
    <w:rsid w:val="001802DB"/>
    <w:rsid w:val="00180496"/>
    <w:rsid w:val="0018055F"/>
    <w:rsid w:val="00180AA5"/>
    <w:rsid w:val="00180C79"/>
    <w:rsid w:val="00180DB1"/>
    <w:rsid w:val="001819D2"/>
    <w:rsid w:val="001820D6"/>
    <w:rsid w:val="00182CE4"/>
    <w:rsid w:val="00182D1B"/>
    <w:rsid w:val="001832D2"/>
    <w:rsid w:val="00183343"/>
    <w:rsid w:val="00183C65"/>
    <w:rsid w:val="00185283"/>
    <w:rsid w:val="0018545A"/>
    <w:rsid w:val="0018587F"/>
    <w:rsid w:val="00185C5E"/>
    <w:rsid w:val="001864E0"/>
    <w:rsid w:val="001871EE"/>
    <w:rsid w:val="001872EB"/>
    <w:rsid w:val="00187527"/>
    <w:rsid w:val="00190104"/>
    <w:rsid w:val="00190C11"/>
    <w:rsid w:val="00190CA3"/>
    <w:rsid w:val="00190F9B"/>
    <w:rsid w:val="00191122"/>
    <w:rsid w:val="001919F6"/>
    <w:rsid w:val="00191AD4"/>
    <w:rsid w:val="00192513"/>
    <w:rsid w:val="0019265D"/>
    <w:rsid w:val="00193194"/>
    <w:rsid w:val="00193395"/>
    <w:rsid w:val="0019371C"/>
    <w:rsid w:val="00193720"/>
    <w:rsid w:val="00193A24"/>
    <w:rsid w:val="00193C31"/>
    <w:rsid w:val="00193DB8"/>
    <w:rsid w:val="00194ACE"/>
    <w:rsid w:val="00194C7F"/>
    <w:rsid w:val="001950BF"/>
    <w:rsid w:val="0019554C"/>
    <w:rsid w:val="00195F5B"/>
    <w:rsid w:val="00196202"/>
    <w:rsid w:val="00196730"/>
    <w:rsid w:val="001968F5"/>
    <w:rsid w:val="00196ADD"/>
    <w:rsid w:val="00197211"/>
    <w:rsid w:val="00197363"/>
    <w:rsid w:val="00197724"/>
    <w:rsid w:val="00197F55"/>
    <w:rsid w:val="001A00E5"/>
    <w:rsid w:val="001A0764"/>
    <w:rsid w:val="001A0EBB"/>
    <w:rsid w:val="001A0F30"/>
    <w:rsid w:val="001A18B5"/>
    <w:rsid w:val="001A1FFA"/>
    <w:rsid w:val="001A22DC"/>
    <w:rsid w:val="001A250F"/>
    <w:rsid w:val="001A257D"/>
    <w:rsid w:val="001A28D0"/>
    <w:rsid w:val="001A2E1E"/>
    <w:rsid w:val="001A3748"/>
    <w:rsid w:val="001A3E18"/>
    <w:rsid w:val="001A3F05"/>
    <w:rsid w:val="001A407A"/>
    <w:rsid w:val="001A4266"/>
    <w:rsid w:val="001A42F5"/>
    <w:rsid w:val="001A4314"/>
    <w:rsid w:val="001A46ED"/>
    <w:rsid w:val="001A484A"/>
    <w:rsid w:val="001A4A19"/>
    <w:rsid w:val="001A4C14"/>
    <w:rsid w:val="001A4DD6"/>
    <w:rsid w:val="001A5353"/>
    <w:rsid w:val="001A5848"/>
    <w:rsid w:val="001A6094"/>
    <w:rsid w:val="001A69C2"/>
    <w:rsid w:val="001A6A6D"/>
    <w:rsid w:val="001A6DF1"/>
    <w:rsid w:val="001A72AE"/>
    <w:rsid w:val="001A7634"/>
    <w:rsid w:val="001A78E7"/>
    <w:rsid w:val="001A7AFD"/>
    <w:rsid w:val="001A7F3C"/>
    <w:rsid w:val="001B07CB"/>
    <w:rsid w:val="001B0BAF"/>
    <w:rsid w:val="001B0E1B"/>
    <w:rsid w:val="001B1636"/>
    <w:rsid w:val="001B1729"/>
    <w:rsid w:val="001B17E2"/>
    <w:rsid w:val="001B19CF"/>
    <w:rsid w:val="001B1D88"/>
    <w:rsid w:val="001B1E5E"/>
    <w:rsid w:val="001B1E9D"/>
    <w:rsid w:val="001B1FCC"/>
    <w:rsid w:val="001B215A"/>
    <w:rsid w:val="001B21FB"/>
    <w:rsid w:val="001B2465"/>
    <w:rsid w:val="001B2958"/>
    <w:rsid w:val="001B2A69"/>
    <w:rsid w:val="001B2AA9"/>
    <w:rsid w:val="001B307E"/>
    <w:rsid w:val="001B30CE"/>
    <w:rsid w:val="001B4124"/>
    <w:rsid w:val="001B4BA1"/>
    <w:rsid w:val="001B4CA5"/>
    <w:rsid w:val="001B518F"/>
    <w:rsid w:val="001B540E"/>
    <w:rsid w:val="001B5672"/>
    <w:rsid w:val="001B5729"/>
    <w:rsid w:val="001B57A6"/>
    <w:rsid w:val="001B57F0"/>
    <w:rsid w:val="001B5B3E"/>
    <w:rsid w:val="001B5BD6"/>
    <w:rsid w:val="001B5E92"/>
    <w:rsid w:val="001B5F2B"/>
    <w:rsid w:val="001B60CA"/>
    <w:rsid w:val="001B6152"/>
    <w:rsid w:val="001B61CF"/>
    <w:rsid w:val="001B63DB"/>
    <w:rsid w:val="001B65BF"/>
    <w:rsid w:val="001B6780"/>
    <w:rsid w:val="001B67D1"/>
    <w:rsid w:val="001B6D60"/>
    <w:rsid w:val="001B7038"/>
    <w:rsid w:val="001B70B3"/>
    <w:rsid w:val="001B738D"/>
    <w:rsid w:val="001B78FD"/>
    <w:rsid w:val="001B7B35"/>
    <w:rsid w:val="001B7E2E"/>
    <w:rsid w:val="001B7E42"/>
    <w:rsid w:val="001B7F4E"/>
    <w:rsid w:val="001C0497"/>
    <w:rsid w:val="001C04E4"/>
    <w:rsid w:val="001C06D2"/>
    <w:rsid w:val="001C1084"/>
    <w:rsid w:val="001C1879"/>
    <w:rsid w:val="001C24FC"/>
    <w:rsid w:val="001C2717"/>
    <w:rsid w:val="001C2AD7"/>
    <w:rsid w:val="001C2CA5"/>
    <w:rsid w:val="001C32BB"/>
    <w:rsid w:val="001C35A5"/>
    <w:rsid w:val="001C3CA2"/>
    <w:rsid w:val="001C4BAD"/>
    <w:rsid w:val="001C4F85"/>
    <w:rsid w:val="001C55F9"/>
    <w:rsid w:val="001C5703"/>
    <w:rsid w:val="001C5856"/>
    <w:rsid w:val="001C5B37"/>
    <w:rsid w:val="001C5EDE"/>
    <w:rsid w:val="001C61FD"/>
    <w:rsid w:val="001C6985"/>
    <w:rsid w:val="001C6A1F"/>
    <w:rsid w:val="001C6A7B"/>
    <w:rsid w:val="001C6E17"/>
    <w:rsid w:val="001C713C"/>
    <w:rsid w:val="001C7764"/>
    <w:rsid w:val="001C7826"/>
    <w:rsid w:val="001C7CD0"/>
    <w:rsid w:val="001C7D5E"/>
    <w:rsid w:val="001D00E5"/>
    <w:rsid w:val="001D0493"/>
    <w:rsid w:val="001D1183"/>
    <w:rsid w:val="001D1235"/>
    <w:rsid w:val="001D131E"/>
    <w:rsid w:val="001D216E"/>
    <w:rsid w:val="001D253C"/>
    <w:rsid w:val="001D26E4"/>
    <w:rsid w:val="001D2887"/>
    <w:rsid w:val="001D2A09"/>
    <w:rsid w:val="001D2B3B"/>
    <w:rsid w:val="001D2C26"/>
    <w:rsid w:val="001D2E33"/>
    <w:rsid w:val="001D3150"/>
    <w:rsid w:val="001D364B"/>
    <w:rsid w:val="001D368F"/>
    <w:rsid w:val="001D3CD8"/>
    <w:rsid w:val="001D433F"/>
    <w:rsid w:val="001D436F"/>
    <w:rsid w:val="001D4884"/>
    <w:rsid w:val="001D4946"/>
    <w:rsid w:val="001D4B5D"/>
    <w:rsid w:val="001D5794"/>
    <w:rsid w:val="001D58BE"/>
    <w:rsid w:val="001D596D"/>
    <w:rsid w:val="001D5AB0"/>
    <w:rsid w:val="001D5B7A"/>
    <w:rsid w:val="001D5C3D"/>
    <w:rsid w:val="001D5FF8"/>
    <w:rsid w:val="001D77C5"/>
    <w:rsid w:val="001D787A"/>
    <w:rsid w:val="001E017E"/>
    <w:rsid w:val="001E07D3"/>
    <w:rsid w:val="001E0AAC"/>
    <w:rsid w:val="001E0C79"/>
    <w:rsid w:val="001E0D8A"/>
    <w:rsid w:val="001E0E7D"/>
    <w:rsid w:val="001E122A"/>
    <w:rsid w:val="001E1974"/>
    <w:rsid w:val="001E1E46"/>
    <w:rsid w:val="001E2849"/>
    <w:rsid w:val="001E2CCD"/>
    <w:rsid w:val="001E2EB9"/>
    <w:rsid w:val="001E31BD"/>
    <w:rsid w:val="001E3517"/>
    <w:rsid w:val="001E3A57"/>
    <w:rsid w:val="001E413A"/>
    <w:rsid w:val="001E41C7"/>
    <w:rsid w:val="001E46E1"/>
    <w:rsid w:val="001E46F8"/>
    <w:rsid w:val="001E48E0"/>
    <w:rsid w:val="001E49AB"/>
    <w:rsid w:val="001E4A0F"/>
    <w:rsid w:val="001E4A6B"/>
    <w:rsid w:val="001E4B4C"/>
    <w:rsid w:val="001E508F"/>
    <w:rsid w:val="001E58DB"/>
    <w:rsid w:val="001E5BD8"/>
    <w:rsid w:val="001E5C1D"/>
    <w:rsid w:val="001E5C29"/>
    <w:rsid w:val="001E61F9"/>
    <w:rsid w:val="001E6739"/>
    <w:rsid w:val="001E6796"/>
    <w:rsid w:val="001E67D0"/>
    <w:rsid w:val="001E689D"/>
    <w:rsid w:val="001E6D26"/>
    <w:rsid w:val="001E74EA"/>
    <w:rsid w:val="001E777C"/>
    <w:rsid w:val="001E791A"/>
    <w:rsid w:val="001E7CAA"/>
    <w:rsid w:val="001E7E74"/>
    <w:rsid w:val="001F0295"/>
    <w:rsid w:val="001F03B0"/>
    <w:rsid w:val="001F06AD"/>
    <w:rsid w:val="001F0AB0"/>
    <w:rsid w:val="001F0D69"/>
    <w:rsid w:val="001F1E27"/>
    <w:rsid w:val="001F21FC"/>
    <w:rsid w:val="001F222B"/>
    <w:rsid w:val="001F22A0"/>
    <w:rsid w:val="001F3033"/>
    <w:rsid w:val="001F3147"/>
    <w:rsid w:val="001F31BE"/>
    <w:rsid w:val="001F349F"/>
    <w:rsid w:val="001F3508"/>
    <w:rsid w:val="001F3845"/>
    <w:rsid w:val="001F393C"/>
    <w:rsid w:val="001F474E"/>
    <w:rsid w:val="001F486E"/>
    <w:rsid w:val="001F4B2D"/>
    <w:rsid w:val="001F53F3"/>
    <w:rsid w:val="001F56C0"/>
    <w:rsid w:val="001F5CE2"/>
    <w:rsid w:val="001F618E"/>
    <w:rsid w:val="001F6553"/>
    <w:rsid w:val="001F6E8C"/>
    <w:rsid w:val="001F70FB"/>
    <w:rsid w:val="001F7422"/>
    <w:rsid w:val="001F74BB"/>
    <w:rsid w:val="001F7675"/>
    <w:rsid w:val="001F7B56"/>
    <w:rsid w:val="001F7C9C"/>
    <w:rsid w:val="00200159"/>
    <w:rsid w:val="00200303"/>
    <w:rsid w:val="002006B7"/>
    <w:rsid w:val="00200A84"/>
    <w:rsid w:val="00200B7B"/>
    <w:rsid w:val="00200DA6"/>
    <w:rsid w:val="00200E60"/>
    <w:rsid w:val="00201223"/>
    <w:rsid w:val="002018A3"/>
    <w:rsid w:val="00202007"/>
    <w:rsid w:val="0020207C"/>
    <w:rsid w:val="00202476"/>
    <w:rsid w:val="0020293A"/>
    <w:rsid w:val="00202EC8"/>
    <w:rsid w:val="0020344B"/>
    <w:rsid w:val="00203904"/>
    <w:rsid w:val="00203C0B"/>
    <w:rsid w:val="00204306"/>
    <w:rsid w:val="0020500F"/>
    <w:rsid w:val="00205467"/>
    <w:rsid w:val="0020574E"/>
    <w:rsid w:val="00205914"/>
    <w:rsid w:val="00205EE2"/>
    <w:rsid w:val="00206091"/>
    <w:rsid w:val="002061EE"/>
    <w:rsid w:val="00206F0A"/>
    <w:rsid w:val="002070CB"/>
    <w:rsid w:val="0020757E"/>
    <w:rsid w:val="00207789"/>
    <w:rsid w:val="00207B50"/>
    <w:rsid w:val="00207BB3"/>
    <w:rsid w:val="00207FA5"/>
    <w:rsid w:val="002105B6"/>
    <w:rsid w:val="00210E3F"/>
    <w:rsid w:val="002113C9"/>
    <w:rsid w:val="00211EA8"/>
    <w:rsid w:val="00211F6A"/>
    <w:rsid w:val="0021208C"/>
    <w:rsid w:val="00212254"/>
    <w:rsid w:val="00212710"/>
    <w:rsid w:val="00212CCE"/>
    <w:rsid w:val="00212E74"/>
    <w:rsid w:val="00213433"/>
    <w:rsid w:val="00213AE4"/>
    <w:rsid w:val="00213C9C"/>
    <w:rsid w:val="00214456"/>
    <w:rsid w:val="0021479C"/>
    <w:rsid w:val="00214B0F"/>
    <w:rsid w:val="00214ED1"/>
    <w:rsid w:val="00215008"/>
    <w:rsid w:val="0021502A"/>
    <w:rsid w:val="002152E7"/>
    <w:rsid w:val="00215ACF"/>
    <w:rsid w:val="002161F9"/>
    <w:rsid w:val="002163F3"/>
    <w:rsid w:val="00216701"/>
    <w:rsid w:val="00216729"/>
    <w:rsid w:val="00216EA7"/>
    <w:rsid w:val="0021740A"/>
    <w:rsid w:val="00217D12"/>
    <w:rsid w:val="00217F1D"/>
    <w:rsid w:val="002200C6"/>
    <w:rsid w:val="002203FD"/>
    <w:rsid w:val="00220F29"/>
    <w:rsid w:val="002218C2"/>
    <w:rsid w:val="00221A40"/>
    <w:rsid w:val="00221C7C"/>
    <w:rsid w:val="00221CD9"/>
    <w:rsid w:val="00222154"/>
    <w:rsid w:val="0022237D"/>
    <w:rsid w:val="00222405"/>
    <w:rsid w:val="00222A21"/>
    <w:rsid w:val="00222A9D"/>
    <w:rsid w:val="002233BC"/>
    <w:rsid w:val="00223484"/>
    <w:rsid w:val="0022359C"/>
    <w:rsid w:val="00223762"/>
    <w:rsid w:val="00223892"/>
    <w:rsid w:val="002238D0"/>
    <w:rsid w:val="00223A58"/>
    <w:rsid w:val="00223CCF"/>
    <w:rsid w:val="002244F2"/>
    <w:rsid w:val="0022499E"/>
    <w:rsid w:val="002250E1"/>
    <w:rsid w:val="00225568"/>
    <w:rsid w:val="00225D74"/>
    <w:rsid w:val="00226013"/>
    <w:rsid w:val="0022637F"/>
    <w:rsid w:val="002265F9"/>
    <w:rsid w:val="00226825"/>
    <w:rsid w:val="00226A3D"/>
    <w:rsid w:val="00227529"/>
    <w:rsid w:val="00227613"/>
    <w:rsid w:val="00230003"/>
    <w:rsid w:val="002302B9"/>
    <w:rsid w:val="00230782"/>
    <w:rsid w:val="00230AAB"/>
    <w:rsid w:val="00230C48"/>
    <w:rsid w:val="002310E6"/>
    <w:rsid w:val="0023138D"/>
    <w:rsid w:val="00231630"/>
    <w:rsid w:val="00231B6C"/>
    <w:rsid w:val="00231FDE"/>
    <w:rsid w:val="002320B6"/>
    <w:rsid w:val="0023248C"/>
    <w:rsid w:val="00232634"/>
    <w:rsid w:val="0023269F"/>
    <w:rsid w:val="0023275F"/>
    <w:rsid w:val="00232ADC"/>
    <w:rsid w:val="00232C77"/>
    <w:rsid w:val="00232D95"/>
    <w:rsid w:val="00232E00"/>
    <w:rsid w:val="00232E53"/>
    <w:rsid w:val="00233AF7"/>
    <w:rsid w:val="00233F5D"/>
    <w:rsid w:val="0023410F"/>
    <w:rsid w:val="0023418F"/>
    <w:rsid w:val="00234430"/>
    <w:rsid w:val="0023445F"/>
    <w:rsid w:val="00234BF2"/>
    <w:rsid w:val="00234F0A"/>
    <w:rsid w:val="00235C5C"/>
    <w:rsid w:val="002365DA"/>
    <w:rsid w:val="002365DF"/>
    <w:rsid w:val="002366DF"/>
    <w:rsid w:val="00236953"/>
    <w:rsid w:val="002369B3"/>
    <w:rsid w:val="00236A69"/>
    <w:rsid w:val="00236AA8"/>
    <w:rsid w:val="00237292"/>
    <w:rsid w:val="002375DF"/>
    <w:rsid w:val="0023787C"/>
    <w:rsid w:val="002378C8"/>
    <w:rsid w:val="002378F7"/>
    <w:rsid w:val="0023792D"/>
    <w:rsid w:val="00237E73"/>
    <w:rsid w:val="00240122"/>
    <w:rsid w:val="0024068A"/>
    <w:rsid w:val="00240F39"/>
    <w:rsid w:val="002413DC"/>
    <w:rsid w:val="00241711"/>
    <w:rsid w:val="00241B77"/>
    <w:rsid w:val="0024260D"/>
    <w:rsid w:val="00242F6D"/>
    <w:rsid w:val="00242FDD"/>
    <w:rsid w:val="00243501"/>
    <w:rsid w:val="002435D7"/>
    <w:rsid w:val="0024362C"/>
    <w:rsid w:val="002437EE"/>
    <w:rsid w:val="00243B37"/>
    <w:rsid w:val="00245C0E"/>
    <w:rsid w:val="00245C90"/>
    <w:rsid w:val="0024636A"/>
    <w:rsid w:val="00246435"/>
    <w:rsid w:val="00246484"/>
    <w:rsid w:val="002479AB"/>
    <w:rsid w:val="00247CC4"/>
    <w:rsid w:val="00247F15"/>
    <w:rsid w:val="00250242"/>
    <w:rsid w:val="002504EE"/>
    <w:rsid w:val="00250F6D"/>
    <w:rsid w:val="0025158E"/>
    <w:rsid w:val="00251DAF"/>
    <w:rsid w:val="00252784"/>
    <w:rsid w:val="002527E5"/>
    <w:rsid w:val="00252E71"/>
    <w:rsid w:val="00252F93"/>
    <w:rsid w:val="0025313B"/>
    <w:rsid w:val="0025347B"/>
    <w:rsid w:val="0025363D"/>
    <w:rsid w:val="0025419F"/>
    <w:rsid w:val="0025437A"/>
    <w:rsid w:val="00254499"/>
    <w:rsid w:val="00254886"/>
    <w:rsid w:val="002549C8"/>
    <w:rsid w:val="002554A5"/>
    <w:rsid w:val="00255C2C"/>
    <w:rsid w:val="00255CA0"/>
    <w:rsid w:val="00255E01"/>
    <w:rsid w:val="00256080"/>
    <w:rsid w:val="002564F2"/>
    <w:rsid w:val="0025694B"/>
    <w:rsid w:val="002569CB"/>
    <w:rsid w:val="00256D9F"/>
    <w:rsid w:val="002572DD"/>
    <w:rsid w:val="002575FC"/>
    <w:rsid w:val="00257609"/>
    <w:rsid w:val="00257EF7"/>
    <w:rsid w:val="00257FEC"/>
    <w:rsid w:val="00260343"/>
    <w:rsid w:val="00260764"/>
    <w:rsid w:val="00260881"/>
    <w:rsid w:val="002609ED"/>
    <w:rsid w:val="002610C6"/>
    <w:rsid w:val="00261140"/>
    <w:rsid w:val="0026157E"/>
    <w:rsid w:val="00261780"/>
    <w:rsid w:val="00261795"/>
    <w:rsid w:val="002617A1"/>
    <w:rsid w:val="002627DC"/>
    <w:rsid w:val="0026291D"/>
    <w:rsid w:val="00262C8E"/>
    <w:rsid w:val="002630BE"/>
    <w:rsid w:val="00263724"/>
    <w:rsid w:val="00263956"/>
    <w:rsid w:val="00264070"/>
    <w:rsid w:val="002644B4"/>
    <w:rsid w:val="002651A2"/>
    <w:rsid w:val="002653A1"/>
    <w:rsid w:val="00265653"/>
    <w:rsid w:val="00265B3F"/>
    <w:rsid w:val="00266270"/>
    <w:rsid w:val="00266674"/>
    <w:rsid w:val="00266A32"/>
    <w:rsid w:val="00267393"/>
    <w:rsid w:val="0026741B"/>
    <w:rsid w:val="00267725"/>
    <w:rsid w:val="00270274"/>
    <w:rsid w:val="00270455"/>
    <w:rsid w:val="002706B3"/>
    <w:rsid w:val="002706B5"/>
    <w:rsid w:val="002707A2"/>
    <w:rsid w:val="00270D91"/>
    <w:rsid w:val="00270DB8"/>
    <w:rsid w:val="00271552"/>
    <w:rsid w:val="00271AC1"/>
    <w:rsid w:val="0027228D"/>
    <w:rsid w:val="00272706"/>
    <w:rsid w:val="00272A83"/>
    <w:rsid w:val="00272F18"/>
    <w:rsid w:val="0027304B"/>
    <w:rsid w:val="002746D8"/>
    <w:rsid w:val="00274C87"/>
    <w:rsid w:val="00274DAA"/>
    <w:rsid w:val="0027510A"/>
    <w:rsid w:val="00275143"/>
    <w:rsid w:val="00275197"/>
    <w:rsid w:val="0027556C"/>
    <w:rsid w:val="00275665"/>
    <w:rsid w:val="0027574E"/>
    <w:rsid w:val="0027586D"/>
    <w:rsid w:val="00275CBF"/>
    <w:rsid w:val="00275CDA"/>
    <w:rsid w:val="00275D22"/>
    <w:rsid w:val="00275E3D"/>
    <w:rsid w:val="0027607C"/>
    <w:rsid w:val="002760B2"/>
    <w:rsid w:val="002762E3"/>
    <w:rsid w:val="00276ADF"/>
    <w:rsid w:val="00276BAC"/>
    <w:rsid w:val="0027713F"/>
    <w:rsid w:val="00277303"/>
    <w:rsid w:val="002775C4"/>
    <w:rsid w:val="00277874"/>
    <w:rsid w:val="00277B8B"/>
    <w:rsid w:val="00277C4D"/>
    <w:rsid w:val="00280248"/>
    <w:rsid w:val="00280361"/>
    <w:rsid w:val="00280BF7"/>
    <w:rsid w:val="00281080"/>
    <w:rsid w:val="002812FC"/>
    <w:rsid w:val="0028189C"/>
    <w:rsid w:val="00281A00"/>
    <w:rsid w:val="0028213F"/>
    <w:rsid w:val="0028235C"/>
    <w:rsid w:val="00282884"/>
    <w:rsid w:val="00282927"/>
    <w:rsid w:val="00282A9F"/>
    <w:rsid w:val="00282BA8"/>
    <w:rsid w:val="00282DB0"/>
    <w:rsid w:val="002832B1"/>
    <w:rsid w:val="0028372A"/>
    <w:rsid w:val="00283740"/>
    <w:rsid w:val="002837AD"/>
    <w:rsid w:val="0028416E"/>
    <w:rsid w:val="00284479"/>
    <w:rsid w:val="002847CD"/>
    <w:rsid w:val="00284D9F"/>
    <w:rsid w:val="00285791"/>
    <w:rsid w:val="00285D93"/>
    <w:rsid w:val="00285F27"/>
    <w:rsid w:val="00286784"/>
    <w:rsid w:val="00287442"/>
    <w:rsid w:val="002875AF"/>
    <w:rsid w:val="002878DC"/>
    <w:rsid w:val="0029076F"/>
    <w:rsid w:val="0029079A"/>
    <w:rsid w:val="00290E80"/>
    <w:rsid w:val="00291189"/>
    <w:rsid w:val="0029165E"/>
    <w:rsid w:val="00291776"/>
    <w:rsid w:val="00291D22"/>
    <w:rsid w:val="00292253"/>
    <w:rsid w:val="0029252D"/>
    <w:rsid w:val="00292853"/>
    <w:rsid w:val="0029298A"/>
    <w:rsid w:val="00292CB8"/>
    <w:rsid w:val="00293003"/>
    <w:rsid w:val="00293037"/>
    <w:rsid w:val="002937F2"/>
    <w:rsid w:val="00293C16"/>
    <w:rsid w:val="00294139"/>
    <w:rsid w:val="00294EEF"/>
    <w:rsid w:val="00295015"/>
    <w:rsid w:val="00295912"/>
    <w:rsid w:val="00296220"/>
    <w:rsid w:val="00296DBE"/>
    <w:rsid w:val="00297388"/>
    <w:rsid w:val="002978D7"/>
    <w:rsid w:val="002A01D9"/>
    <w:rsid w:val="002A0977"/>
    <w:rsid w:val="002A0AA3"/>
    <w:rsid w:val="002A140D"/>
    <w:rsid w:val="002A14F3"/>
    <w:rsid w:val="002A1726"/>
    <w:rsid w:val="002A184E"/>
    <w:rsid w:val="002A1DAD"/>
    <w:rsid w:val="002A3159"/>
    <w:rsid w:val="002A32A5"/>
    <w:rsid w:val="002A37AE"/>
    <w:rsid w:val="002A3C45"/>
    <w:rsid w:val="002A3D3E"/>
    <w:rsid w:val="002A3FC6"/>
    <w:rsid w:val="002A4F32"/>
    <w:rsid w:val="002A5261"/>
    <w:rsid w:val="002A531F"/>
    <w:rsid w:val="002A55DC"/>
    <w:rsid w:val="002A562E"/>
    <w:rsid w:val="002A5CF1"/>
    <w:rsid w:val="002A643D"/>
    <w:rsid w:val="002A64A2"/>
    <w:rsid w:val="002A67BA"/>
    <w:rsid w:val="002A6AA1"/>
    <w:rsid w:val="002A6D88"/>
    <w:rsid w:val="002A72BF"/>
    <w:rsid w:val="002A77C2"/>
    <w:rsid w:val="002A7874"/>
    <w:rsid w:val="002B07A6"/>
    <w:rsid w:val="002B1A91"/>
    <w:rsid w:val="002B29A8"/>
    <w:rsid w:val="002B301B"/>
    <w:rsid w:val="002B3257"/>
    <w:rsid w:val="002B3FC9"/>
    <w:rsid w:val="002B41AA"/>
    <w:rsid w:val="002B41F5"/>
    <w:rsid w:val="002B4A46"/>
    <w:rsid w:val="002B4FA0"/>
    <w:rsid w:val="002B4FFE"/>
    <w:rsid w:val="002B5C66"/>
    <w:rsid w:val="002B60AB"/>
    <w:rsid w:val="002B6776"/>
    <w:rsid w:val="002B6AF8"/>
    <w:rsid w:val="002B6C11"/>
    <w:rsid w:val="002B6C85"/>
    <w:rsid w:val="002B6E03"/>
    <w:rsid w:val="002B718D"/>
    <w:rsid w:val="002B75FA"/>
    <w:rsid w:val="002B78C3"/>
    <w:rsid w:val="002B7B66"/>
    <w:rsid w:val="002B7DC0"/>
    <w:rsid w:val="002B7F4E"/>
    <w:rsid w:val="002B7FA6"/>
    <w:rsid w:val="002C04E3"/>
    <w:rsid w:val="002C0FD7"/>
    <w:rsid w:val="002C1877"/>
    <w:rsid w:val="002C1996"/>
    <w:rsid w:val="002C1C51"/>
    <w:rsid w:val="002C2210"/>
    <w:rsid w:val="002C2415"/>
    <w:rsid w:val="002C2A6E"/>
    <w:rsid w:val="002C2C61"/>
    <w:rsid w:val="002C2E1A"/>
    <w:rsid w:val="002C3288"/>
    <w:rsid w:val="002C333B"/>
    <w:rsid w:val="002C34D0"/>
    <w:rsid w:val="002C36C1"/>
    <w:rsid w:val="002C3925"/>
    <w:rsid w:val="002C4667"/>
    <w:rsid w:val="002C4709"/>
    <w:rsid w:val="002C47B6"/>
    <w:rsid w:val="002C4948"/>
    <w:rsid w:val="002C4DD6"/>
    <w:rsid w:val="002C4FD9"/>
    <w:rsid w:val="002C55E4"/>
    <w:rsid w:val="002C56DC"/>
    <w:rsid w:val="002C5FB5"/>
    <w:rsid w:val="002C6240"/>
    <w:rsid w:val="002C6A36"/>
    <w:rsid w:val="002C6D65"/>
    <w:rsid w:val="002C7758"/>
    <w:rsid w:val="002D0B35"/>
    <w:rsid w:val="002D0BBD"/>
    <w:rsid w:val="002D0E82"/>
    <w:rsid w:val="002D11BA"/>
    <w:rsid w:val="002D1588"/>
    <w:rsid w:val="002D17E3"/>
    <w:rsid w:val="002D1C18"/>
    <w:rsid w:val="002D1C53"/>
    <w:rsid w:val="002D20D8"/>
    <w:rsid w:val="002D21A8"/>
    <w:rsid w:val="002D3109"/>
    <w:rsid w:val="002D324D"/>
    <w:rsid w:val="002D388D"/>
    <w:rsid w:val="002D42AB"/>
    <w:rsid w:val="002D46FC"/>
    <w:rsid w:val="002D48FC"/>
    <w:rsid w:val="002D4A6E"/>
    <w:rsid w:val="002D4B59"/>
    <w:rsid w:val="002D4CCB"/>
    <w:rsid w:val="002D4FA2"/>
    <w:rsid w:val="002D516B"/>
    <w:rsid w:val="002D5BA3"/>
    <w:rsid w:val="002D5CC7"/>
    <w:rsid w:val="002D68A4"/>
    <w:rsid w:val="002D6B14"/>
    <w:rsid w:val="002D6BA4"/>
    <w:rsid w:val="002D6D0B"/>
    <w:rsid w:val="002D6F56"/>
    <w:rsid w:val="002D701A"/>
    <w:rsid w:val="002D733A"/>
    <w:rsid w:val="002D76DA"/>
    <w:rsid w:val="002D774A"/>
    <w:rsid w:val="002D788C"/>
    <w:rsid w:val="002D7AE6"/>
    <w:rsid w:val="002D7EAE"/>
    <w:rsid w:val="002E0195"/>
    <w:rsid w:val="002E01BB"/>
    <w:rsid w:val="002E05B1"/>
    <w:rsid w:val="002E07CC"/>
    <w:rsid w:val="002E14AF"/>
    <w:rsid w:val="002E15D4"/>
    <w:rsid w:val="002E17AA"/>
    <w:rsid w:val="002E18F3"/>
    <w:rsid w:val="002E1907"/>
    <w:rsid w:val="002E19A3"/>
    <w:rsid w:val="002E19BB"/>
    <w:rsid w:val="002E1B84"/>
    <w:rsid w:val="002E1D6C"/>
    <w:rsid w:val="002E1EBD"/>
    <w:rsid w:val="002E21DB"/>
    <w:rsid w:val="002E24B0"/>
    <w:rsid w:val="002E25B1"/>
    <w:rsid w:val="002E25D6"/>
    <w:rsid w:val="002E269B"/>
    <w:rsid w:val="002E269D"/>
    <w:rsid w:val="002E295E"/>
    <w:rsid w:val="002E2A71"/>
    <w:rsid w:val="002E2BDB"/>
    <w:rsid w:val="002E3CB4"/>
    <w:rsid w:val="002E3F44"/>
    <w:rsid w:val="002E4111"/>
    <w:rsid w:val="002E4664"/>
    <w:rsid w:val="002E48D9"/>
    <w:rsid w:val="002E4BB0"/>
    <w:rsid w:val="002E4D76"/>
    <w:rsid w:val="002E4DB7"/>
    <w:rsid w:val="002E4FA2"/>
    <w:rsid w:val="002E53B0"/>
    <w:rsid w:val="002E56BF"/>
    <w:rsid w:val="002E594E"/>
    <w:rsid w:val="002E64C1"/>
    <w:rsid w:val="002E6803"/>
    <w:rsid w:val="002E71F9"/>
    <w:rsid w:val="002E726B"/>
    <w:rsid w:val="002E7AD6"/>
    <w:rsid w:val="002F01A1"/>
    <w:rsid w:val="002F086A"/>
    <w:rsid w:val="002F0946"/>
    <w:rsid w:val="002F0AC4"/>
    <w:rsid w:val="002F0CB2"/>
    <w:rsid w:val="002F0D6D"/>
    <w:rsid w:val="002F13F2"/>
    <w:rsid w:val="002F197F"/>
    <w:rsid w:val="002F1E00"/>
    <w:rsid w:val="002F2430"/>
    <w:rsid w:val="002F2950"/>
    <w:rsid w:val="002F2B41"/>
    <w:rsid w:val="002F2B7A"/>
    <w:rsid w:val="002F2F07"/>
    <w:rsid w:val="002F354D"/>
    <w:rsid w:val="002F3A46"/>
    <w:rsid w:val="002F3FBB"/>
    <w:rsid w:val="002F3FD3"/>
    <w:rsid w:val="002F413C"/>
    <w:rsid w:val="002F4649"/>
    <w:rsid w:val="002F477A"/>
    <w:rsid w:val="002F4EA0"/>
    <w:rsid w:val="002F5298"/>
    <w:rsid w:val="002F537A"/>
    <w:rsid w:val="002F574F"/>
    <w:rsid w:val="002F58C8"/>
    <w:rsid w:val="002F5CD8"/>
    <w:rsid w:val="002F5D54"/>
    <w:rsid w:val="002F610B"/>
    <w:rsid w:val="002F618A"/>
    <w:rsid w:val="002F61D8"/>
    <w:rsid w:val="002F62F6"/>
    <w:rsid w:val="002F63EC"/>
    <w:rsid w:val="002F666E"/>
    <w:rsid w:val="002F68AB"/>
    <w:rsid w:val="002F729D"/>
    <w:rsid w:val="002F7417"/>
    <w:rsid w:val="002F7445"/>
    <w:rsid w:val="002F7ACA"/>
    <w:rsid w:val="002F7DA9"/>
    <w:rsid w:val="002F7F84"/>
    <w:rsid w:val="003004F1"/>
    <w:rsid w:val="00301559"/>
    <w:rsid w:val="0030166F"/>
    <w:rsid w:val="00301812"/>
    <w:rsid w:val="00301913"/>
    <w:rsid w:val="00301F32"/>
    <w:rsid w:val="00302450"/>
    <w:rsid w:val="003029E7"/>
    <w:rsid w:val="003029FB"/>
    <w:rsid w:val="0030311C"/>
    <w:rsid w:val="00304275"/>
    <w:rsid w:val="00304BD0"/>
    <w:rsid w:val="00304C6F"/>
    <w:rsid w:val="00305077"/>
    <w:rsid w:val="00305921"/>
    <w:rsid w:val="00305B85"/>
    <w:rsid w:val="00305C7C"/>
    <w:rsid w:val="003061B4"/>
    <w:rsid w:val="00306951"/>
    <w:rsid w:val="00306A01"/>
    <w:rsid w:val="00306D0C"/>
    <w:rsid w:val="00306DA1"/>
    <w:rsid w:val="00307160"/>
    <w:rsid w:val="0030777A"/>
    <w:rsid w:val="00307FCD"/>
    <w:rsid w:val="0031075C"/>
    <w:rsid w:val="003107E0"/>
    <w:rsid w:val="00310FB4"/>
    <w:rsid w:val="00311355"/>
    <w:rsid w:val="003114CF"/>
    <w:rsid w:val="00311612"/>
    <w:rsid w:val="003116F0"/>
    <w:rsid w:val="003118ED"/>
    <w:rsid w:val="00311B9D"/>
    <w:rsid w:val="00311D5B"/>
    <w:rsid w:val="0031215A"/>
    <w:rsid w:val="003125CC"/>
    <w:rsid w:val="003128C4"/>
    <w:rsid w:val="00313064"/>
    <w:rsid w:val="00313205"/>
    <w:rsid w:val="003133C9"/>
    <w:rsid w:val="003135C7"/>
    <w:rsid w:val="00313872"/>
    <w:rsid w:val="00313AD3"/>
    <w:rsid w:val="0031435B"/>
    <w:rsid w:val="00314C14"/>
    <w:rsid w:val="00314D4E"/>
    <w:rsid w:val="003151A5"/>
    <w:rsid w:val="003154F3"/>
    <w:rsid w:val="00315571"/>
    <w:rsid w:val="0031616B"/>
    <w:rsid w:val="0031618C"/>
    <w:rsid w:val="003161C7"/>
    <w:rsid w:val="00316427"/>
    <w:rsid w:val="00316F1B"/>
    <w:rsid w:val="00317288"/>
    <w:rsid w:val="00317348"/>
    <w:rsid w:val="0032080F"/>
    <w:rsid w:val="00320D81"/>
    <w:rsid w:val="00320F83"/>
    <w:rsid w:val="00321377"/>
    <w:rsid w:val="00321A40"/>
    <w:rsid w:val="00321B41"/>
    <w:rsid w:val="00321C93"/>
    <w:rsid w:val="00322164"/>
    <w:rsid w:val="003223B3"/>
    <w:rsid w:val="003224FF"/>
    <w:rsid w:val="00322AFE"/>
    <w:rsid w:val="0032371B"/>
    <w:rsid w:val="003242A1"/>
    <w:rsid w:val="003251D8"/>
    <w:rsid w:val="003252CA"/>
    <w:rsid w:val="003254A0"/>
    <w:rsid w:val="003254AB"/>
    <w:rsid w:val="003255D2"/>
    <w:rsid w:val="00326119"/>
    <w:rsid w:val="003262EB"/>
    <w:rsid w:val="0032639F"/>
    <w:rsid w:val="00326CF8"/>
    <w:rsid w:val="00326DF6"/>
    <w:rsid w:val="0032720A"/>
    <w:rsid w:val="0032757B"/>
    <w:rsid w:val="003305B2"/>
    <w:rsid w:val="00330A3A"/>
    <w:rsid w:val="00330BE3"/>
    <w:rsid w:val="0033189E"/>
    <w:rsid w:val="00331D2F"/>
    <w:rsid w:val="003322E0"/>
    <w:rsid w:val="003328F9"/>
    <w:rsid w:val="0033297F"/>
    <w:rsid w:val="00332D35"/>
    <w:rsid w:val="00332EA6"/>
    <w:rsid w:val="003331A4"/>
    <w:rsid w:val="0033370C"/>
    <w:rsid w:val="00333E95"/>
    <w:rsid w:val="00334402"/>
    <w:rsid w:val="00334832"/>
    <w:rsid w:val="0033486B"/>
    <w:rsid w:val="0033507D"/>
    <w:rsid w:val="00335344"/>
    <w:rsid w:val="0033534D"/>
    <w:rsid w:val="003363C8"/>
    <w:rsid w:val="003367A8"/>
    <w:rsid w:val="00337882"/>
    <w:rsid w:val="00340060"/>
    <w:rsid w:val="00340585"/>
    <w:rsid w:val="00340BF1"/>
    <w:rsid w:val="00340C0B"/>
    <w:rsid w:val="00341CA7"/>
    <w:rsid w:val="00341F6A"/>
    <w:rsid w:val="00342A01"/>
    <w:rsid w:val="0034317A"/>
    <w:rsid w:val="00343C0C"/>
    <w:rsid w:val="003443A7"/>
    <w:rsid w:val="003443D4"/>
    <w:rsid w:val="003444EA"/>
    <w:rsid w:val="00344A14"/>
    <w:rsid w:val="003451B4"/>
    <w:rsid w:val="00345E9E"/>
    <w:rsid w:val="00345EDA"/>
    <w:rsid w:val="00345F52"/>
    <w:rsid w:val="0034604F"/>
    <w:rsid w:val="00346129"/>
    <w:rsid w:val="00346625"/>
    <w:rsid w:val="00346FA9"/>
    <w:rsid w:val="00347605"/>
    <w:rsid w:val="00347CEF"/>
    <w:rsid w:val="00350248"/>
    <w:rsid w:val="0035047D"/>
    <w:rsid w:val="003506D1"/>
    <w:rsid w:val="00350AFF"/>
    <w:rsid w:val="00350EBF"/>
    <w:rsid w:val="003510A7"/>
    <w:rsid w:val="00351A0A"/>
    <w:rsid w:val="00351E52"/>
    <w:rsid w:val="0035201F"/>
    <w:rsid w:val="0035215F"/>
    <w:rsid w:val="00352181"/>
    <w:rsid w:val="00352A55"/>
    <w:rsid w:val="00352FE4"/>
    <w:rsid w:val="00353734"/>
    <w:rsid w:val="00353848"/>
    <w:rsid w:val="00354200"/>
    <w:rsid w:val="0035445C"/>
    <w:rsid w:val="00354658"/>
    <w:rsid w:val="00354923"/>
    <w:rsid w:val="00354DA8"/>
    <w:rsid w:val="00355365"/>
    <w:rsid w:val="00355488"/>
    <w:rsid w:val="00355745"/>
    <w:rsid w:val="00355AB2"/>
    <w:rsid w:val="00355FE7"/>
    <w:rsid w:val="003561C2"/>
    <w:rsid w:val="003566BB"/>
    <w:rsid w:val="00356C33"/>
    <w:rsid w:val="00356F73"/>
    <w:rsid w:val="0035707C"/>
    <w:rsid w:val="00357CBF"/>
    <w:rsid w:val="00357DE8"/>
    <w:rsid w:val="00360069"/>
    <w:rsid w:val="00360778"/>
    <w:rsid w:val="0036078A"/>
    <w:rsid w:val="00360D29"/>
    <w:rsid w:val="003610B9"/>
    <w:rsid w:val="00361A5C"/>
    <w:rsid w:val="00361DF2"/>
    <w:rsid w:val="00361E4B"/>
    <w:rsid w:val="0036209E"/>
    <w:rsid w:val="00362126"/>
    <w:rsid w:val="00362127"/>
    <w:rsid w:val="003629A7"/>
    <w:rsid w:val="003630B5"/>
    <w:rsid w:val="00363CA4"/>
    <w:rsid w:val="00363FFC"/>
    <w:rsid w:val="0036412A"/>
    <w:rsid w:val="00364159"/>
    <w:rsid w:val="0036457C"/>
    <w:rsid w:val="003647B3"/>
    <w:rsid w:val="00364DE5"/>
    <w:rsid w:val="00364E4F"/>
    <w:rsid w:val="00364E72"/>
    <w:rsid w:val="003655B1"/>
    <w:rsid w:val="003657BE"/>
    <w:rsid w:val="00365BE5"/>
    <w:rsid w:val="00365C60"/>
    <w:rsid w:val="00365D37"/>
    <w:rsid w:val="00365D7F"/>
    <w:rsid w:val="00365FAD"/>
    <w:rsid w:val="00366239"/>
    <w:rsid w:val="00366425"/>
    <w:rsid w:val="00366ABD"/>
    <w:rsid w:val="00366BED"/>
    <w:rsid w:val="003672E3"/>
    <w:rsid w:val="003675AD"/>
    <w:rsid w:val="00367C11"/>
    <w:rsid w:val="00367CD2"/>
    <w:rsid w:val="00367E21"/>
    <w:rsid w:val="003709E0"/>
    <w:rsid w:val="00370D09"/>
    <w:rsid w:val="00370EF5"/>
    <w:rsid w:val="00370F63"/>
    <w:rsid w:val="0037197E"/>
    <w:rsid w:val="00371F68"/>
    <w:rsid w:val="00372075"/>
    <w:rsid w:val="003721E6"/>
    <w:rsid w:val="003722E6"/>
    <w:rsid w:val="00372F0F"/>
    <w:rsid w:val="00373C56"/>
    <w:rsid w:val="00373D39"/>
    <w:rsid w:val="0037406E"/>
    <w:rsid w:val="0037423E"/>
    <w:rsid w:val="00375008"/>
    <w:rsid w:val="003753E5"/>
    <w:rsid w:val="00375E4F"/>
    <w:rsid w:val="00376688"/>
    <w:rsid w:val="003766B3"/>
    <w:rsid w:val="00376814"/>
    <w:rsid w:val="00376946"/>
    <w:rsid w:val="0037726F"/>
    <w:rsid w:val="00377553"/>
    <w:rsid w:val="003776F7"/>
    <w:rsid w:val="00377735"/>
    <w:rsid w:val="003801C1"/>
    <w:rsid w:val="00380380"/>
    <w:rsid w:val="0038053E"/>
    <w:rsid w:val="003808CD"/>
    <w:rsid w:val="00380C16"/>
    <w:rsid w:val="00381100"/>
    <w:rsid w:val="00381373"/>
    <w:rsid w:val="00381969"/>
    <w:rsid w:val="00381A90"/>
    <w:rsid w:val="00381B45"/>
    <w:rsid w:val="00381D95"/>
    <w:rsid w:val="00381F32"/>
    <w:rsid w:val="00382012"/>
    <w:rsid w:val="00382999"/>
    <w:rsid w:val="00382E37"/>
    <w:rsid w:val="003834E2"/>
    <w:rsid w:val="0038360E"/>
    <w:rsid w:val="00383AAA"/>
    <w:rsid w:val="00383AF0"/>
    <w:rsid w:val="00383F61"/>
    <w:rsid w:val="00383F70"/>
    <w:rsid w:val="003840A8"/>
    <w:rsid w:val="0038420C"/>
    <w:rsid w:val="003842CC"/>
    <w:rsid w:val="003847D0"/>
    <w:rsid w:val="00384C59"/>
    <w:rsid w:val="0038503B"/>
    <w:rsid w:val="00385229"/>
    <w:rsid w:val="0038549D"/>
    <w:rsid w:val="003855F0"/>
    <w:rsid w:val="0038562E"/>
    <w:rsid w:val="00385AA4"/>
    <w:rsid w:val="003867E5"/>
    <w:rsid w:val="00387B3D"/>
    <w:rsid w:val="00387F24"/>
    <w:rsid w:val="003901E7"/>
    <w:rsid w:val="00390625"/>
    <w:rsid w:val="00390922"/>
    <w:rsid w:val="00390A1C"/>
    <w:rsid w:val="00390C59"/>
    <w:rsid w:val="00391320"/>
    <w:rsid w:val="003915E8"/>
    <w:rsid w:val="003916B7"/>
    <w:rsid w:val="00391B54"/>
    <w:rsid w:val="00391B7D"/>
    <w:rsid w:val="00391D2D"/>
    <w:rsid w:val="00391DB2"/>
    <w:rsid w:val="00391F6C"/>
    <w:rsid w:val="003923A4"/>
    <w:rsid w:val="0039265F"/>
    <w:rsid w:val="003928F2"/>
    <w:rsid w:val="003932AF"/>
    <w:rsid w:val="00393725"/>
    <w:rsid w:val="00393E6C"/>
    <w:rsid w:val="00393FD0"/>
    <w:rsid w:val="003940C4"/>
    <w:rsid w:val="00394A1E"/>
    <w:rsid w:val="00394CA0"/>
    <w:rsid w:val="003951CD"/>
    <w:rsid w:val="00395574"/>
    <w:rsid w:val="003955C3"/>
    <w:rsid w:val="0039586B"/>
    <w:rsid w:val="00395AA5"/>
    <w:rsid w:val="00395CA3"/>
    <w:rsid w:val="00395E74"/>
    <w:rsid w:val="003961AD"/>
    <w:rsid w:val="003964EE"/>
    <w:rsid w:val="00396832"/>
    <w:rsid w:val="00396E4F"/>
    <w:rsid w:val="0039708A"/>
    <w:rsid w:val="00397B7D"/>
    <w:rsid w:val="003A0EBD"/>
    <w:rsid w:val="003A16E5"/>
    <w:rsid w:val="003A1A54"/>
    <w:rsid w:val="003A1B1C"/>
    <w:rsid w:val="003A1D08"/>
    <w:rsid w:val="003A2325"/>
    <w:rsid w:val="003A24B2"/>
    <w:rsid w:val="003A2B25"/>
    <w:rsid w:val="003A2E12"/>
    <w:rsid w:val="003A2E76"/>
    <w:rsid w:val="003A3270"/>
    <w:rsid w:val="003A34F1"/>
    <w:rsid w:val="003A35DA"/>
    <w:rsid w:val="003A3731"/>
    <w:rsid w:val="003A3B23"/>
    <w:rsid w:val="003A3CD9"/>
    <w:rsid w:val="003A3E7F"/>
    <w:rsid w:val="003A3EA9"/>
    <w:rsid w:val="003A41D2"/>
    <w:rsid w:val="003A43F4"/>
    <w:rsid w:val="003A4711"/>
    <w:rsid w:val="003A48FD"/>
    <w:rsid w:val="003A4BF7"/>
    <w:rsid w:val="003A4D15"/>
    <w:rsid w:val="003A4EE4"/>
    <w:rsid w:val="003A5113"/>
    <w:rsid w:val="003A521D"/>
    <w:rsid w:val="003A5AEC"/>
    <w:rsid w:val="003A5FD3"/>
    <w:rsid w:val="003A5FEF"/>
    <w:rsid w:val="003A634E"/>
    <w:rsid w:val="003A6AF6"/>
    <w:rsid w:val="003A6D16"/>
    <w:rsid w:val="003A6EFB"/>
    <w:rsid w:val="003A7536"/>
    <w:rsid w:val="003A78E7"/>
    <w:rsid w:val="003A7F7F"/>
    <w:rsid w:val="003B056B"/>
    <w:rsid w:val="003B0A33"/>
    <w:rsid w:val="003B1243"/>
    <w:rsid w:val="003B12A7"/>
    <w:rsid w:val="003B1C45"/>
    <w:rsid w:val="003B2A2E"/>
    <w:rsid w:val="003B2B57"/>
    <w:rsid w:val="003B3717"/>
    <w:rsid w:val="003B37AF"/>
    <w:rsid w:val="003B3AEA"/>
    <w:rsid w:val="003B3B94"/>
    <w:rsid w:val="003B3C44"/>
    <w:rsid w:val="003B3E36"/>
    <w:rsid w:val="003B4130"/>
    <w:rsid w:val="003B48C6"/>
    <w:rsid w:val="003B4F17"/>
    <w:rsid w:val="003B4FE8"/>
    <w:rsid w:val="003B5513"/>
    <w:rsid w:val="003B582F"/>
    <w:rsid w:val="003B5C0E"/>
    <w:rsid w:val="003B633E"/>
    <w:rsid w:val="003B6521"/>
    <w:rsid w:val="003B69FD"/>
    <w:rsid w:val="003B6D7C"/>
    <w:rsid w:val="003B706E"/>
    <w:rsid w:val="003B78F2"/>
    <w:rsid w:val="003C021A"/>
    <w:rsid w:val="003C0223"/>
    <w:rsid w:val="003C085C"/>
    <w:rsid w:val="003C08E4"/>
    <w:rsid w:val="003C0BD1"/>
    <w:rsid w:val="003C0E22"/>
    <w:rsid w:val="003C135F"/>
    <w:rsid w:val="003C1553"/>
    <w:rsid w:val="003C19F9"/>
    <w:rsid w:val="003C1AA9"/>
    <w:rsid w:val="003C227B"/>
    <w:rsid w:val="003C24F0"/>
    <w:rsid w:val="003C27CD"/>
    <w:rsid w:val="003C28B1"/>
    <w:rsid w:val="003C2DFC"/>
    <w:rsid w:val="003C3105"/>
    <w:rsid w:val="003C32A0"/>
    <w:rsid w:val="003C3910"/>
    <w:rsid w:val="003C3BA3"/>
    <w:rsid w:val="003C4234"/>
    <w:rsid w:val="003C42D1"/>
    <w:rsid w:val="003C4870"/>
    <w:rsid w:val="003C4B19"/>
    <w:rsid w:val="003C4CAB"/>
    <w:rsid w:val="003C4FA6"/>
    <w:rsid w:val="003C5006"/>
    <w:rsid w:val="003C562D"/>
    <w:rsid w:val="003C566E"/>
    <w:rsid w:val="003C5761"/>
    <w:rsid w:val="003C5E04"/>
    <w:rsid w:val="003C62EA"/>
    <w:rsid w:val="003C661C"/>
    <w:rsid w:val="003C6859"/>
    <w:rsid w:val="003C6D88"/>
    <w:rsid w:val="003C707D"/>
    <w:rsid w:val="003C721F"/>
    <w:rsid w:val="003C77F7"/>
    <w:rsid w:val="003D00EE"/>
    <w:rsid w:val="003D015D"/>
    <w:rsid w:val="003D0493"/>
    <w:rsid w:val="003D0E75"/>
    <w:rsid w:val="003D120A"/>
    <w:rsid w:val="003D1574"/>
    <w:rsid w:val="003D1657"/>
    <w:rsid w:val="003D1ACA"/>
    <w:rsid w:val="003D1FA4"/>
    <w:rsid w:val="003D2471"/>
    <w:rsid w:val="003D2B5D"/>
    <w:rsid w:val="003D2E45"/>
    <w:rsid w:val="003D2F96"/>
    <w:rsid w:val="003D3343"/>
    <w:rsid w:val="003D34D0"/>
    <w:rsid w:val="003D36C8"/>
    <w:rsid w:val="003D3D3A"/>
    <w:rsid w:val="003D40AD"/>
    <w:rsid w:val="003D4525"/>
    <w:rsid w:val="003D4716"/>
    <w:rsid w:val="003D49CC"/>
    <w:rsid w:val="003D4BBB"/>
    <w:rsid w:val="003D5444"/>
    <w:rsid w:val="003D5E7F"/>
    <w:rsid w:val="003D64CE"/>
    <w:rsid w:val="003D6737"/>
    <w:rsid w:val="003D7028"/>
    <w:rsid w:val="003D7331"/>
    <w:rsid w:val="003E02AC"/>
    <w:rsid w:val="003E0AD2"/>
    <w:rsid w:val="003E0D94"/>
    <w:rsid w:val="003E0F42"/>
    <w:rsid w:val="003E10D3"/>
    <w:rsid w:val="003E1478"/>
    <w:rsid w:val="003E1E0A"/>
    <w:rsid w:val="003E1FD4"/>
    <w:rsid w:val="003E2B25"/>
    <w:rsid w:val="003E2C2D"/>
    <w:rsid w:val="003E309F"/>
    <w:rsid w:val="003E3156"/>
    <w:rsid w:val="003E328D"/>
    <w:rsid w:val="003E3CDC"/>
    <w:rsid w:val="003E3F71"/>
    <w:rsid w:val="003E3FA2"/>
    <w:rsid w:val="003E3FD5"/>
    <w:rsid w:val="003E40BF"/>
    <w:rsid w:val="003E4DF1"/>
    <w:rsid w:val="003E5694"/>
    <w:rsid w:val="003E5AAF"/>
    <w:rsid w:val="003E63DC"/>
    <w:rsid w:val="003E64EE"/>
    <w:rsid w:val="003E64FB"/>
    <w:rsid w:val="003E653D"/>
    <w:rsid w:val="003E679A"/>
    <w:rsid w:val="003E69FD"/>
    <w:rsid w:val="003E6D07"/>
    <w:rsid w:val="003E73CB"/>
    <w:rsid w:val="003E740A"/>
    <w:rsid w:val="003E7485"/>
    <w:rsid w:val="003E7C12"/>
    <w:rsid w:val="003F0200"/>
    <w:rsid w:val="003F03EC"/>
    <w:rsid w:val="003F0543"/>
    <w:rsid w:val="003F06B1"/>
    <w:rsid w:val="003F0996"/>
    <w:rsid w:val="003F0E40"/>
    <w:rsid w:val="003F1223"/>
    <w:rsid w:val="003F126C"/>
    <w:rsid w:val="003F1598"/>
    <w:rsid w:val="003F24A0"/>
    <w:rsid w:val="003F281A"/>
    <w:rsid w:val="003F2A40"/>
    <w:rsid w:val="003F2B6D"/>
    <w:rsid w:val="003F2C53"/>
    <w:rsid w:val="003F2FBA"/>
    <w:rsid w:val="003F31F5"/>
    <w:rsid w:val="003F3216"/>
    <w:rsid w:val="003F35F8"/>
    <w:rsid w:val="003F3A58"/>
    <w:rsid w:val="003F3C32"/>
    <w:rsid w:val="003F3D99"/>
    <w:rsid w:val="003F3EF5"/>
    <w:rsid w:val="003F3F4E"/>
    <w:rsid w:val="003F44E2"/>
    <w:rsid w:val="003F44F7"/>
    <w:rsid w:val="003F454F"/>
    <w:rsid w:val="003F4859"/>
    <w:rsid w:val="003F4E96"/>
    <w:rsid w:val="003F514D"/>
    <w:rsid w:val="003F5245"/>
    <w:rsid w:val="003F53F5"/>
    <w:rsid w:val="003F5A06"/>
    <w:rsid w:val="003F5B4E"/>
    <w:rsid w:val="003F6F3A"/>
    <w:rsid w:val="003F75FE"/>
    <w:rsid w:val="003F7629"/>
    <w:rsid w:val="003F790F"/>
    <w:rsid w:val="004001BE"/>
    <w:rsid w:val="00400640"/>
    <w:rsid w:val="0040074B"/>
    <w:rsid w:val="00400A57"/>
    <w:rsid w:val="00400D37"/>
    <w:rsid w:val="00400F2A"/>
    <w:rsid w:val="00400FEA"/>
    <w:rsid w:val="00401185"/>
    <w:rsid w:val="00401259"/>
    <w:rsid w:val="00401404"/>
    <w:rsid w:val="004017A0"/>
    <w:rsid w:val="00401B06"/>
    <w:rsid w:val="00401C74"/>
    <w:rsid w:val="00401E27"/>
    <w:rsid w:val="00402719"/>
    <w:rsid w:val="0040277A"/>
    <w:rsid w:val="00402AD1"/>
    <w:rsid w:val="00402D1C"/>
    <w:rsid w:val="00403120"/>
    <w:rsid w:val="00403143"/>
    <w:rsid w:val="00403179"/>
    <w:rsid w:val="004032C1"/>
    <w:rsid w:val="004039C9"/>
    <w:rsid w:val="00403F38"/>
    <w:rsid w:val="004041F2"/>
    <w:rsid w:val="00404596"/>
    <w:rsid w:val="004049FA"/>
    <w:rsid w:val="00404C23"/>
    <w:rsid w:val="00404DD5"/>
    <w:rsid w:val="004052C7"/>
    <w:rsid w:val="00405C33"/>
    <w:rsid w:val="00405C78"/>
    <w:rsid w:val="00406313"/>
    <w:rsid w:val="0040641B"/>
    <w:rsid w:val="004067AD"/>
    <w:rsid w:val="004067E5"/>
    <w:rsid w:val="00406A70"/>
    <w:rsid w:val="00406C92"/>
    <w:rsid w:val="00406DEB"/>
    <w:rsid w:val="00407904"/>
    <w:rsid w:val="00407B68"/>
    <w:rsid w:val="00407C7B"/>
    <w:rsid w:val="00407F8D"/>
    <w:rsid w:val="00410453"/>
    <w:rsid w:val="004107A5"/>
    <w:rsid w:val="004109D2"/>
    <w:rsid w:val="00410B3A"/>
    <w:rsid w:val="00410DFE"/>
    <w:rsid w:val="00410F14"/>
    <w:rsid w:val="00411716"/>
    <w:rsid w:val="00411C70"/>
    <w:rsid w:val="00411E6E"/>
    <w:rsid w:val="0041226D"/>
    <w:rsid w:val="00412394"/>
    <w:rsid w:val="0041250E"/>
    <w:rsid w:val="00412BA1"/>
    <w:rsid w:val="00412CB9"/>
    <w:rsid w:val="00412D2B"/>
    <w:rsid w:val="00412E81"/>
    <w:rsid w:val="0041320D"/>
    <w:rsid w:val="00414CF9"/>
    <w:rsid w:val="0041526E"/>
    <w:rsid w:val="004155B1"/>
    <w:rsid w:val="00415655"/>
    <w:rsid w:val="004156D0"/>
    <w:rsid w:val="00415C96"/>
    <w:rsid w:val="00415CFB"/>
    <w:rsid w:val="00415E8D"/>
    <w:rsid w:val="00417757"/>
    <w:rsid w:val="0041786D"/>
    <w:rsid w:val="00417C53"/>
    <w:rsid w:val="00417CA5"/>
    <w:rsid w:val="00417D27"/>
    <w:rsid w:val="00417D50"/>
    <w:rsid w:val="00420108"/>
    <w:rsid w:val="0042011D"/>
    <w:rsid w:val="0042054D"/>
    <w:rsid w:val="004205D0"/>
    <w:rsid w:val="00420746"/>
    <w:rsid w:val="004207B1"/>
    <w:rsid w:val="00420C72"/>
    <w:rsid w:val="00420EFB"/>
    <w:rsid w:val="004210EB"/>
    <w:rsid w:val="004211D8"/>
    <w:rsid w:val="00421806"/>
    <w:rsid w:val="00421B33"/>
    <w:rsid w:val="00421B6E"/>
    <w:rsid w:val="00421BB6"/>
    <w:rsid w:val="0042259C"/>
    <w:rsid w:val="004228AD"/>
    <w:rsid w:val="00422A5B"/>
    <w:rsid w:val="00422C93"/>
    <w:rsid w:val="00423026"/>
    <w:rsid w:val="004234F0"/>
    <w:rsid w:val="0042360F"/>
    <w:rsid w:val="00423AAE"/>
    <w:rsid w:val="00423BC5"/>
    <w:rsid w:val="00423BF9"/>
    <w:rsid w:val="00423C25"/>
    <w:rsid w:val="00423C8D"/>
    <w:rsid w:val="00424402"/>
    <w:rsid w:val="00424B4A"/>
    <w:rsid w:val="00425203"/>
    <w:rsid w:val="0042574B"/>
    <w:rsid w:val="00425B99"/>
    <w:rsid w:val="00425BA9"/>
    <w:rsid w:val="0042611B"/>
    <w:rsid w:val="0042617E"/>
    <w:rsid w:val="00426D74"/>
    <w:rsid w:val="00426F8F"/>
    <w:rsid w:val="004270E1"/>
    <w:rsid w:val="00427D19"/>
    <w:rsid w:val="00427DC1"/>
    <w:rsid w:val="00430D57"/>
    <w:rsid w:val="00430EDC"/>
    <w:rsid w:val="0043240F"/>
    <w:rsid w:val="0043292E"/>
    <w:rsid w:val="00432D49"/>
    <w:rsid w:val="00432DF5"/>
    <w:rsid w:val="0043322D"/>
    <w:rsid w:val="0043350A"/>
    <w:rsid w:val="0043394E"/>
    <w:rsid w:val="004344AA"/>
    <w:rsid w:val="0043479A"/>
    <w:rsid w:val="0043482B"/>
    <w:rsid w:val="004351FF"/>
    <w:rsid w:val="00435310"/>
    <w:rsid w:val="00435A6E"/>
    <w:rsid w:val="00435CD5"/>
    <w:rsid w:val="00436D1D"/>
    <w:rsid w:val="00436D66"/>
    <w:rsid w:val="00437196"/>
    <w:rsid w:val="004372F9"/>
    <w:rsid w:val="00437363"/>
    <w:rsid w:val="004374FE"/>
    <w:rsid w:val="00437926"/>
    <w:rsid w:val="00437993"/>
    <w:rsid w:val="00437BD5"/>
    <w:rsid w:val="00440500"/>
    <w:rsid w:val="004417F7"/>
    <w:rsid w:val="00441C29"/>
    <w:rsid w:val="004427BF"/>
    <w:rsid w:val="00442B56"/>
    <w:rsid w:val="00442CF8"/>
    <w:rsid w:val="00442E25"/>
    <w:rsid w:val="00442FF5"/>
    <w:rsid w:val="00443098"/>
    <w:rsid w:val="004430A9"/>
    <w:rsid w:val="00443158"/>
    <w:rsid w:val="00443A5B"/>
    <w:rsid w:val="00443C6F"/>
    <w:rsid w:val="00444A1C"/>
    <w:rsid w:val="00444CB5"/>
    <w:rsid w:val="004453EB"/>
    <w:rsid w:val="00445AF2"/>
    <w:rsid w:val="00445B7D"/>
    <w:rsid w:val="00446041"/>
    <w:rsid w:val="0044636D"/>
    <w:rsid w:val="0044689E"/>
    <w:rsid w:val="00446D36"/>
    <w:rsid w:val="00447942"/>
    <w:rsid w:val="0045047E"/>
    <w:rsid w:val="0045087C"/>
    <w:rsid w:val="0045091D"/>
    <w:rsid w:val="00450A1B"/>
    <w:rsid w:val="00450C7E"/>
    <w:rsid w:val="004512B4"/>
    <w:rsid w:val="00451321"/>
    <w:rsid w:val="00451379"/>
    <w:rsid w:val="00451953"/>
    <w:rsid w:val="004525B7"/>
    <w:rsid w:val="004525F7"/>
    <w:rsid w:val="004527F0"/>
    <w:rsid w:val="00452BA7"/>
    <w:rsid w:val="00453196"/>
    <w:rsid w:val="004536D0"/>
    <w:rsid w:val="00453DFE"/>
    <w:rsid w:val="00453EDD"/>
    <w:rsid w:val="00454146"/>
    <w:rsid w:val="0045427B"/>
    <w:rsid w:val="00454C0A"/>
    <w:rsid w:val="00454E44"/>
    <w:rsid w:val="00455067"/>
    <w:rsid w:val="00455B78"/>
    <w:rsid w:val="00455E6F"/>
    <w:rsid w:val="00455EE3"/>
    <w:rsid w:val="00456010"/>
    <w:rsid w:val="00456548"/>
    <w:rsid w:val="00456C29"/>
    <w:rsid w:val="00456F71"/>
    <w:rsid w:val="00457174"/>
    <w:rsid w:val="004575CC"/>
    <w:rsid w:val="004579C4"/>
    <w:rsid w:val="00457D18"/>
    <w:rsid w:val="00457F1D"/>
    <w:rsid w:val="00460386"/>
    <w:rsid w:val="00460537"/>
    <w:rsid w:val="00460B68"/>
    <w:rsid w:val="00460BBF"/>
    <w:rsid w:val="004612BC"/>
    <w:rsid w:val="00461552"/>
    <w:rsid w:val="0046172A"/>
    <w:rsid w:val="00462BDC"/>
    <w:rsid w:val="00462C2C"/>
    <w:rsid w:val="00462EBF"/>
    <w:rsid w:val="00463721"/>
    <w:rsid w:val="00463A32"/>
    <w:rsid w:val="00463EE0"/>
    <w:rsid w:val="00464102"/>
    <w:rsid w:val="004648FA"/>
    <w:rsid w:val="00464D5D"/>
    <w:rsid w:val="00464DAE"/>
    <w:rsid w:val="00465119"/>
    <w:rsid w:val="004655F5"/>
    <w:rsid w:val="00465742"/>
    <w:rsid w:val="00465744"/>
    <w:rsid w:val="00465B59"/>
    <w:rsid w:val="00465EC6"/>
    <w:rsid w:val="0046649A"/>
    <w:rsid w:val="0046654E"/>
    <w:rsid w:val="00466E48"/>
    <w:rsid w:val="00466FE6"/>
    <w:rsid w:val="0046723B"/>
    <w:rsid w:val="00467333"/>
    <w:rsid w:val="004673A1"/>
    <w:rsid w:val="0046740C"/>
    <w:rsid w:val="0046743E"/>
    <w:rsid w:val="00467615"/>
    <w:rsid w:val="004677FA"/>
    <w:rsid w:val="0046780E"/>
    <w:rsid w:val="00470337"/>
    <w:rsid w:val="004704D1"/>
    <w:rsid w:val="00471B92"/>
    <w:rsid w:val="00471CFF"/>
    <w:rsid w:val="0047230A"/>
    <w:rsid w:val="00472372"/>
    <w:rsid w:val="00472467"/>
    <w:rsid w:val="004726F0"/>
    <w:rsid w:val="00472A01"/>
    <w:rsid w:val="00472CE2"/>
    <w:rsid w:val="00472EE6"/>
    <w:rsid w:val="004734F2"/>
    <w:rsid w:val="004738AC"/>
    <w:rsid w:val="00473AAB"/>
    <w:rsid w:val="00473BC1"/>
    <w:rsid w:val="004740AE"/>
    <w:rsid w:val="004741AD"/>
    <w:rsid w:val="0047464E"/>
    <w:rsid w:val="00474902"/>
    <w:rsid w:val="00474B19"/>
    <w:rsid w:val="00474DA7"/>
    <w:rsid w:val="0047538B"/>
    <w:rsid w:val="00475501"/>
    <w:rsid w:val="004757A1"/>
    <w:rsid w:val="00476332"/>
    <w:rsid w:val="0047665A"/>
    <w:rsid w:val="00476999"/>
    <w:rsid w:val="00476DF6"/>
    <w:rsid w:val="00476F25"/>
    <w:rsid w:val="00476F71"/>
    <w:rsid w:val="00476FFF"/>
    <w:rsid w:val="0047716C"/>
    <w:rsid w:val="004779D9"/>
    <w:rsid w:val="004779F3"/>
    <w:rsid w:val="00480050"/>
    <w:rsid w:val="0048009F"/>
    <w:rsid w:val="004801F8"/>
    <w:rsid w:val="00480C29"/>
    <w:rsid w:val="00480F35"/>
    <w:rsid w:val="00481CBC"/>
    <w:rsid w:val="00481D63"/>
    <w:rsid w:val="0048224F"/>
    <w:rsid w:val="0048253E"/>
    <w:rsid w:val="0048395C"/>
    <w:rsid w:val="0048464E"/>
    <w:rsid w:val="004846E9"/>
    <w:rsid w:val="0048542E"/>
    <w:rsid w:val="0048672A"/>
    <w:rsid w:val="004867B5"/>
    <w:rsid w:val="00486C5D"/>
    <w:rsid w:val="00487724"/>
    <w:rsid w:val="00487D38"/>
    <w:rsid w:val="0049012F"/>
    <w:rsid w:val="004902CE"/>
    <w:rsid w:val="00490A95"/>
    <w:rsid w:val="00490E87"/>
    <w:rsid w:val="0049104C"/>
    <w:rsid w:val="00491AC6"/>
    <w:rsid w:val="00491D28"/>
    <w:rsid w:val="00491EAF"/>
    <w:rsid w:val="00491F33"/>
    <w:rsid w:val="00492305"/>
    <w:rsid w:val="0049238A"/>
    <w:rsid w:val="00492681"/>
    <w:rsid w:val="00492BA2"/>
    <w:rsid w:val="00492C01"/>
    <w:rsid w:val="00493499"/>
    <w:rsid w:val="00493808"/>
    <w:rsid w:val="00493DA6"/>
    <w:rsid w:val="0049418C"/>
    <w:rsid w:val="00494319"/>
    <w:rsid w:val="004944C4"/>
    <w:rsid w:val="0049477A"/>
    <w:rsid w:val="00494A2C"/>
    <w:rsid w:val="00494BA0"/>
    <w:rsid w:val="00494EA2"/>
    <w:rsid w:val="00495AE2"/>
    <w:rsid w:val="00496428"/>
    <w:rsid w:val="0049666F"/>
    <w:rsid w:val="004973F1"/>
    <w:rsid w:val="0049775C"/>
    <w:rsid w:val="004978D9"/>
    <w:rsid w:val="00497C1F"/>
    <w:rsid w:val="00497DF2"/>
    <w:rsid w:val="004A04C2"/>
    <w:rsid w:val="004A0642"/>
    <w:rsid w:val="004A07AC"/>
    <w:rsid w:val="004A0C6B"/>
    <w:rsid w:val="004A102B"/>
    <w:rsid w:val="004A2092"/>
    <w:rsid w:val="004A21AD"/>
    <w:rsid w:val="004A21EA"/>
    <w:rsid w:val="004A2201"/>
    <w:rsid w:val="004A2F52"/>
    <w:rsid w:val="004A2F74"/>
    <w:rsid w:val="004A2FEB"/>
    <w:rsid w:val="004A3303"/>
    <w:rsid w:val="004A3577"/>
    <w:rsid w:val="004A3662"/>
    <w:rsid w:val="004A37D3"/>
    <w:rsid w:val="004A3839"/>
    <w:rsid w:val="004A38EB"/>
    <w:rsid w:val="004A3CF5"/>
    <w:rsid w:val="004A3EBA"/>
    <w:rsid w:val="004A4139"/>
    <w:rsid w:val="004A49CF"/>
    <w:rsid w:val="004A5076"/>
    <w:rsid w:val="004A50FF"/>
    <w:rsid w:val="004A51BA"/>
    <w:rsid w:val="004A5881"/>
    <w:rsid w:val="004A64DE"/>
    <w:rsid w:val="004A6BA2"/>
    <w:rsid w:val="004A6DE9"/>
    <w:rsid w:val="004A780B"/>
    <w:rsid w:val="004A793F"/>
    <w:rsid w:val="004B00DB"/>
    <w:rsid w:val="004B0136"/>
    <w:rsid w:val="004B01BC"/>
    <w:rsid w:val="004B03FC"/>
    <w:rsid w:val="004B07D9"/>
    <w:rsid w:val="004B0AE8"/>
    <w:rsid w:val="004B0B42"/>
    <w:rsid w:val="004B135C"/>
    <w:rsid w:val="004B15AB"/>
    <w:rsid w:val="004B1779"/>
    <w:rsid w:val="004B2217"/>
    <w:rsid w:val="004B23E4"/>
    <w:rsid w:val="004B2658"/>
    <w:rsid w:val="004B27E0"/>
    <w:rsid w:val="004B28EF"/>
    <w:rsid w:val="004B2F10"/>
    <w:rsid w:val="004B40A2"/>
    <w:rsid w:val="004B4D39"/>
    <w:rsid w:val="004B4D50"/>
    <w:rsid w:val="004B4F7C"/>
    <w:rsid w:val="004B4F86"/>
    <w:rsid w:val="004B56B2"/>
    <w:rsid w:val="004B5717"/>
    <w:rsid w:val="004B5C01"/>
    <w:rsid w:val="004B5DA5"/>
    <w:rsid w:val="004B5E12"/>
    <w:rsid w:val="004B6A8B"/>
    <w:rsid w:val="004B73B5"/>
    <w:rsid w:val="004B7551"/>
    <w:rsid w:val="004B7696"/>
    <w:rsid w:val="004C0670"/>
    <w:rsid w:val="004C08B0"/>
    <w:rsid w:val="004C0FF8"/>
    <w:rsid w:val="004C13E4"/>
    <w:rsid w:val="004C1AFF"/>
    <w:rsid w:val="004C1B62"/>
    <w:rsid w:val="004C2394"/>
    <w:rsid w:val="004C23E7"/>
    <w:rsid w:val="004C2550"/>
    <w:rsid w:val="004C2E96"/>
    <w:rsid w:val="004C322E"/>
    <w:rsid w:val="004C360D"/>
    <w:rsid w:val="004C3A05"/>
    <w:rsid w:val="004C3F50"/>
    <w:rsid w:val="004C497D"/>
    <w:rsid w:val="004C4B34"/>
    <w:rsid w:val="004C4B65"/>
    <w:rsid w:val="004C4B90"/>
    <w:rsid w:val="004C4E00"/>
    <w:rsid w:val="004C4E7F"/>
    <w:rsid w:val="004C4FB4"/>
    <w:rsid w:val="004C52A7"/>
    <w:rsid w:val="004C613B"/>
    <w:rsid w:val="004C61CB"/>
    <w:rsid w:val="004C63F5"/>
    <w:rsid w:val="004C670F"/>
    <w:rsid w:val="004C6864"/>
    <w:rsid w:val="004C6BFB"/>
    <w:rsid w:val="004C6D90"/>
    <w:rsid w:val="004C7156"/>
    <w:rsid w:val="004C72C4"/>
    <w:rsid w:val="004C7337"/>
    <w:rsid w:val="004C7AF3"/>
    <w:rsid w:val="004C7CDC"/>
    <w:rsid w:val="004D0157"/>
    <w:rsid w:val="004D018C"/>
    <w:rsid w:val="004D01D9"/>
    <w:rsid w:val="004D03A3"/>
    <w:rsid w:val="004D03B7"/>
    <w:rsid w:val="004D19D6"/>
    <w:rsid w:val="004D1A97"/>
    <w:rsid w:val="004D1DC6"/>
    <w:rsid w:val="004D2456"/>
    <w:rsid w:val="004D2468"/>
    <w:rsid w:val="004D29F9"/>
    <w:rsid w:val="004D2E48"/>
    <w:rsid w:val="004D308D"/>
    <w:rsid w:val="004D3386"/>
    <w:rsid w:val="004D361D"/>
    <w:rsid w:val="004D3C73"/>
    <w:rsid w:val="004D4074"/>
    <w:rsid w:val="004D43F4"/>
    <w:rsid w:val="004D45F5"/>
    <w:rsid w:val="004D48B2"/>
    <w:rsid w:val="004D496F"/>
    <w:rsid w:val="004D4A22"/>
    <w:rsid w:val="004D4A35"/>
    <w:rsid w:val="004D4B9D"/>
    <w:rsid w:val="004D5A70"/>
    <w:rsid w:val="004D6349"/>
    <w:rsid w:val="004D6526"/>
    <w:rsid w:val="004D6AD5"/>
    <w:rsid w:val="004D7545"/>
    <w:rsid w:val="004E013A"/>
    <w:rsid w:val="004E0AE0"/>
    <w:rsid w:val="004E0DA8"/>
    <w:rsid w:val="004E159E"/>
    <w:rsid w:val="004E1D7B"/>
    <w:rsid w:val="004E1F0A"/>
    <w:rsid w:val="004E2478"/>
    <w:rsid w:val="004E28C3"/>
    <w:rsid w:val="004E2A5A"/>
    <w:rsid w:val="004E2D0F"/>
    <w:rsid w:val="004E2D79"/>
    <w:rsid w:val="004E3002"/>
    <w:rsid w:val="004E336F"/>
    <w:rsid w:val="004E342E"/>
    <w:rsid w:val="004E3F1F"/>
    <w:rsid w:val="004E4106"/>
    <w:rsid w:val="004E44C6"/>
    <w:rsid w:val="004E47CC"/>
    <w:rsid w:val="004E4BA7"/>
    <w:rsid w:val="004E4CBD"/>
    <w:rsid w:val="004E5136"/>
    <w:rsid w:val="004E53D3"/>
    <w:rsid w:val="004E551F"/>
    <w:rsid w:val="004E5540"/>
    <w:rsid w:val="004E5860"/>
    <w:rsid w:val="004E5E88"/>
    <w:rsid w:val="004E5FE9"/>
    <w:rsid w:val="004E61B7"/>
    <w:rsid w:val="004E649D"/>
    <w:rsid w:val="004E65EA"/>
    <w:rsid w:val="004E663B"/>
    <w:rsid w:val="004E6856"/>
    <w:rsid w:val="004E68DB"/>
    <w:rsid w:val="004E75A1"/>
    <w:rsid w:val="004E7E94"/>
    <w:rsid w:val="004F03EC"/>
    <w:rsid w:val="004F054B"/>
    <w:rsid w:val="004F0BB0"/>
    <w:rsid w:val="004F1037"/>
    <w:rsid w:val="004F10A4"/>
    <w:rsid w:val="004F167B"/>
    <w:rsid w:val="004F1CE3"/>
    <w:rsid w:val="004F22DC"/>
    <w:rsid w:val="004F2996"/>
    <w:rsid w:val="004F397D"/>
    <w:rsid w:val="004F3A55"/>
    <w:rsid w:val="004F3AA3"/>
    <w:rsid w:val="004F4264"/>
    <w:rsid w:val="004F445C"/>
    <w:rsid w:val="004F4845"/>
    <w:rsid w:val="004F4C08"/>
    <w:rsid w:val="004F4FAE"/>
    <w:rsid w:val="004F5635"/>
    <w:rsid w:val="004F68DA"/>
    <w:rsid w:val="004F7877"/>
    <w:rsid w:val="004F792B"/>
    <w:rsid w:val="004F7F97"/>
    <w:rsid w:val="005007BC"/>
    <w:rsid w:val="00500B34"/>
    <w:rsid w:val="00500D03"/>
    <w:rsid w:val="00500D51"/>
    <w:rsid w:val="00501B5C"/>
    <w:rsid w:val="00502318"/>
    <w:rsid w:val="00502356"/>
    <w:rsid w:val="0050246E"/>
    <w:rsid w:val="005029DE"/>
    <w:rsid w:val="00502ABB"/>
    <w:rsid w:val="00502CC1"/>
    <w:rsid w:val="00503046"/>
    <w:rsid w:val="005035CA"/>
    <w:rsid w:val="005036DA"/>
    <w:rsid w:val="0050381C"/>
    <w:rsid w:val="00503920"/>
    <w:rsid w:val="00503C4D"/>
    <w:rsid w:val="005045F1"/>
    <w:rsid w:val="00504723"/>
    <w:rsid w:val="00504899"/>
    <w:rsid w:val="005049DC"/>
    <w:rsid w:val="00504A5B"/>
    <w:rsid w:val="005051C1"/>
    <w:rsid w:val="005051D4"/>
    <w:rsid w:val="0050559B"/>
    <w:rsid w:val="005061F5"/>
    <w:rsid w:val="005063CB"/>
    <w:rsid w:val="00506740"/>
    <w:rsid w:val="00506F93"/>
    <w:rsid w:val="00507337"/>
    <w:rsid w:val="0050739C"/>
    <w:rsid w:val="00507849"/>
    <w:rsid w:val="0050788C"/>
    <w:rsid w:val="0050789A"/>
    <w:rsid w:val="00510382"/>
    <w:rsid w:val="00510618"/>
    <w:rsid w:val="00510DB9"/>
    <w:rsid w:val="00510FAF"/>
    <w:rsid w:val="00511C0D"/>
    <w:rsid w:val="00511D2F"/>
    <w:rsid w:val="00511E35"/>
    <w:rsid w:val="00512A3D"/>
    <w:rsid w:val="00513027"/>
    <w:rsid w:val="0051381C"/>
    <w:rsid w:val="00513A71"/>
    <w:rsid w:val="00513D45"/>
    <w:rsid w:val="00513DBF"/>
    <w:rsid w:val="00513EEE"/>
    <w:rsid w:val="0051436A"/>
    <w:rsid w:val="0051449E"/>
    <w:rsid w:val="0051463E"/>
    <w:rsid w:val="00515008"/>
    <w:rsid w:val="00515A56"/>
    <w:rsid w:val="00515BB0"/>
    <w:rsid w:val="00515EDD"/>
    <w:rsid w:val="00516151"/>
    <w:rsid w:val="005161E9"/>
    <w:rsid w:val="005161FF"/>
    <w:rsid w:val="00516FDE"/>
    <w:rsid w:val="00517C4D"/>
    <w:rsid w:val="005201FF"/>
    <w:rsid w:val="0052097B"/>
    <w:rsid w:val="00520B1E"/>
    <w:rsid w:val="00521325"/>
    <w:rsid w:val="00521F16"/>
    <w:rsid w:val="005222CB"/>
    <w:rsid w:val="005227D1"/>
    <w:rsid w:val="00522E7E"/>
    <w:rsid w:val="005234DE"/>
    <w:rsid w:val="0052378B"/>
    <w:rsid w:val="0052388A"/>
    <w:rsid w:val="0052388B"/>
    <w:rsid w:val="00523A08"/>
    <w:rsid w:val="005247A6"/>
    <w:rsid w:val="0052530C"/>
    <w:rsid w:val="0052572F"/>
    <w:rsid w:val="00525CA2"/>
    <w:rsid w:val="00525CCD"/>
    <w:rsid w:val="00526085"/>
    <w:rsid w:val="0052615F"/>
    <w:rsid w:val="0052663D"/>
    <w:rsid w:val="00526666"/>
    <w:rsid w:val="0052676C"/>
    <w:rsid w:val="005268F5"/>
    <w:rsid w:val="00526C21"/>
    <w:rsid w:val="00526CFD"/>
    <w:rsid w:val="005275B3"/>
    <w:rsid w:val="00527ADA"/>
    <w:rsid w:val="00527C45"/>
    <w:rsid w:val="005300BE"/>
    <w:rsid w:val="0053055C"/>
    <w:rsid w:val="005306F5"/>
    <w:rsid w:val="00530823"/>
    <w:rsid w:val="00530B37"/>
    <w:rsid w:val="00530CE2"/>
    <w:rsid w:val="00530D03"/>
    <w:rsid w:val="00530E8E"/>
    <w:rsid w:val="00531506"/>
    <w:rsid w:val="00531729"/>
    <w:rsid w:val="005317E5"/>
    <w:rsid w:val="00531C03"/>
    <w:rsid w:val="00531EAE"/>
    <w:rsid w:val="005322C9"/>
    <w:rsid w:val="0053285E"/>
    <w:rsid w:val="00532A72"/>
    <w:rsid w:val="00532B30"/>
    <w:rsid w:val="00532D2B"/>
    <w:rsid w:val="00532E63"/>
    <w:rsid w:val="00533166"/>
    <w:rsid w:val="005334FF"/>
    <w:rsid w:val="005335E0"/>
    <w:rsid w:val="0053366C"/>
    <w:rsid w:val="00533806"/>
    <w:rsid w:val="00533A54"/>
    <w:rsid w:val="00533D21"/>
    <w:rsid w:val="00533DD3"/>
    <w:rsid w:val="005341D9"/>
    <w:rsid w:val="00534288"/>
    <w:rsid w:val="00534318"/>
    <w:rsid w:val="005346E5"/>
    <w:rsid w:val="0053470C"/>
    <w:rsid w:val="00534FBE"/>
    <w:rsid w:val="00535014"/>
    <w:rsid w:val="00535046"/>
    <w:rsid w:val="0053534E"/>
    <w:rsid w:val="00535765"/>
    <w:rsid w:val="005359BB"/>
    <w:rsid w:val="005359DF"/>
    <w:rsid w:val="00535D05"/>
    <w:rsid w:val="00535D98"/>
    <w:rsid w:val="0053659D"/>
    <w:rsid w:val="00536DD6"/>
    <w:rsid w:val="0053707C"/>
    <w:rsid w:val="0053747A"/>
    <w:rsid w:val="005376D2"/>
    <w:rsid w:val="00537E8F"/>
    <w:rsid w:val="00537FFE"/>
    <w:rsid w:val="00540352"/>
    <w:rsid w:val="00540A32"/>
    <w:rsid w:val="00540AE4"/>
    <w:rsid w:val="00540C63"/>
    <w:rsid w:val="00541C42"/>
    <w:rsid w:val="00541EC4"/>
    <w:rsid w:val="005421A2"/>
    <w:rsid w:val="005422CD"/>
    <w:rsid w:val="0054242B"/>
    <w:rsid w:val="00542914"/>
    <w:rsid w:val="00543084"/>
    <w:rsid w:val="005430E4"/>
    <w:rsid w:val="00543888"/>
    <w:rsid w:val="005443D9"/>
    <w:rsid w:val="00544A77"/>
    <w:rsid w:val="00544B87"/>
    <w:rsid w:val="005455BE"/>
    <w:rsid w:val="00545E9E"/>
    <w:rsid w:val="00546252"/>
    <w:rsid w:val="0054652F"/>
    <w:rsid w:val="005468C4"/>
    <w:rsid w:val="00546B0D"/>
    <w:rsid w:val="00546BCD"/>
    <w:rsid w:val="00546D7E"/>
    <w:rsid w:val="00547369"/>
    <w:rsid w:val="0054751D"/>
    <w:rsid w:val="00547B68"/>
    <w:rsid w:val="00547E74"/>
    <w:rsid w:val="00547EAE"/>
    <w:rsid w:val="0055001E"/>
    <w:rsid w:val="005513A6"/>
    <w:rsid w:val="00551797"/>
    <w:rsid w:val="005517A7"/>
    <w:rsid w:val="00551A6F"/>
    <w:rsid w:val="00552199"/>
    <w:rsid w:val="0055311A"/>
    <w:rsid w:val="00553856"/>
    <w:rsid w:val="00553B6C"/>
    <w:rsid w:val="005541E0"/>
    <w:rsid w:val="00554237"/>
    <w:rsid w:val="005549D9"/>
    <w:rsid w:val="005551EE"/>
    <w:rsid w:val="005556C9"/>
    <w:rsid w:val="00555764"/>
    <w:rsid w:val="00555A45"/>
    <w:rsid w:val="00555AC0"/>
    <w:rsid w:val="0055648F"/>
    <w:rsid w:val="005565AD"/>
    <w:rsid w:val="005566A1"/>
    <w:rsid w:val="00556814"/>
    <w:rsid w:val="005568B1"/>
    <w:rsid w:val="005568FF"/>
    <w:rsid w:val="00556B59"/>
    <w:rsid w:val="00556FCB"/>
    <w:rsid w:val="005574F8"/>
    <w:rsid w:val="00557688"/>
    <w:rsid w:val="00557C97"/>
    <w:rsid w:val="00560690"/>
    <w:rsid w:val="00560809"/>
    <w:rsid w:val="00560B10"/>
    <w:rsid w:val="00560CF1"/>
    <w:rsid w:val="00560DF9"/>
    <w:rsid w:val="0056123E"/>
    <w:rsid w:val="005617A3"/>
    <w:rsid w:val="00561888"/>
    <w:rsid w:val="005623E6"/>
    <w:rsid w:val="00562417"/>
    <w:rsid w:val="00562433"/>
    <w:rsid w:val="0056298C"/>
    <w:rsid w:val="00562B55"/>
    <w:rsid w:val="00563E96"/>
    <w:rsid w:val="00564399"/>
    <w:rsid w:val="005647C9"/>
    <w:rsid w:val="00564B7B"/>
    <w:rsid w:val="0056534C"/>
    <w:rsid w:val="005663F5"/>
    <w:rsid w:val="005664D3"/>
    <w:rsid w:val="0056696C"/>
    <w:rsid w:val="005669E7"/>
    <w:rsid w:val="00566B10"/>
    <w:rsid w:val="00566C8D"/>
    <w:rsid w:val="00566D97"/>
    <w:rsid w:val="0056751E"/>
    <w:rsid w:val="00567A52"/>
    <w:rsid w:val="00567DF0"/>
    <w:rsid w:val="00567FBC"/>
    <w:rsid w:val="00567FF7"/>
    <w:rsid w:val="005700A5"/>
    <w:rsid w:val="0057019C"/>
    <w:rsid w:val="0057046B"/>
    <w:rsid w:val="00570906"/>
    <w:rsid w:val="00570979"/>
    <w:rsid w:val="00570EF5"/>
    <w:rsid w:val="005715A9"/>
    <w:rsid w:val="00571788"/>
    <w:rsid w:val="0057190A"/>
    <w:rsid w:val="00571A5D"/>
    <w:rsid w:val="00571C73"/>
    <w:rsid w:val="005720C2"/>
    <w:rsid w:val="005723B7"/>
    <w:rsid w:val="0057270F"/>
    <w:rsid w:val="00572A27"/>
    <w:rsid w:val="00572AC2"/>
    <w:rsid w:val="0057313C"/>
    <w:rsid w:val="00573E6C"/>
    <w:rsid w:val="005743E1"/>
    <w:rsid w:val="005746AA"/>
    <w:rsid w:val="005746D2"/>
    <w:rsid w:val="00574CEF"/>
    <w:rsid w:val="005752CB"/>
    <w:rsid w:val="00575575"/>
    <w:rsid w:val="00575596"/>
    <w:rsid w:val="005758D7"/>
    <w:rsid w:val="005759E9"/>
    <w:rsid w:val="00575A3E"/>
    <w:rsid w:val="00575A55"/>
    <w:rsid w:val="00575EB4"/>
    <w:rsid w:val="00576097"/>
    <w:rsid w:val="00576B08"/>
    <w:rsid w:val="00576B11"/>
    <w:rsid w:val="00576E8F"/>
    <w:rsid w:val="00576F69"/>
    <w:rsid w:val="005771BF"/>
    <w:rsid w:val="005776FE"/>
    <w:rsid w:val="0057773E"/>
    <w:rsid w:val="00577BC6"/>
    <w:rsid w:val="00577F07"/>
    <w:rsid w:val="005800F9"/>
    <w:rsid w:val="00580925"/>
    <w:rsid w:val="00580F62"/>
    <w:rsid w:val="005811D3"/>
    <w:rsid w:val="00581449"/>
    <w:rsid w:val="00581468"/>
    <w:rsid w:val="00581833"/>
    <w:rsid w:val="00581A58"/>
    <w:rsid w:val="00581CD5"/>
    <w:rsid w:val="00582003"/>
    <w:rsid w:val="00582BBE"/>
    <w:rsid w:val="00583B0F"/>
    <w:rsid w:val="00583D94"/>
    <w:rsid w:val="005840AA"/>
    <w:rsid w:val="00584406"/>
    <w:rsid w:val="005849E2"/>
    <w:rsid w:val="00584B89"/>
    <w:rsid w:val="00584EA6"/>
    <w:rsid w:val="00585009"/>
    <w:rsid w:val="0058500C"/>
    <w:rsid w:val="00585073"/>
    <w:rsid w:val="00585923"/>
    <w:rsid w:val="0058688F"/>
    <w:rsid w:val="005868A2"/>
    <w:rsid w:val="005869E0"/>
    <w:rsid w:val="00586B42"/>
    <w:rsid w:val="0058722A"/>
    <w:rsid w:val="005876B8"/>
    <w:rsid w:val="00587BAB"/>
    <w:rsid w:val="00587F3B"/>
    <w:rsid w:val="00590067"/>
    <w:rsid w:val="00590218"/>
    <w:rsid w:val="005906BE"/>
    <w:rsid w:val="00590716"/>
    <w:rsid w:val="00590A66"/>
    <w:rsid w:val="00590BF8"/>
    <w:rsid w:val="005917F3"/>
    <w:rsid w:val="005918C3"/>
    <w:rsid w:val="00591919"/>
    <w:rsid w:val="00591CA0"/>
    <w:rsid w:val="00591D3F"/>
    <w:rsid w:val="00592177"/>
    <w:rsid w:val="00592CC5"/>
    <w:rsid w:val="00592F3B"/>
    <w:rsid w:val="00593940"/>
    <w:rsid w:val="00593D69"/>
    <w:rsid w:val="00593D96"/>
    <w:rsid w:val="0059410F"/>
    <w:rsid w:val="00594431"/>
    <w:rsid w:val="0059443E"/>
    <w:rsid w:val="005944B1"/>
    <w:rsid w:val="00594C03"/>
    <w:rsid w:val="00595282"/>
    <w:rsid w:val="00595343"/>
    <w:rsid w:val="005953B9"/>
    <w:rsid w:val="005955A7"/>
    <w:rsid w:val="00595D4B"/>
    <w:rsid w:val="00595DBC"/>
    <w:rsid w:val="005964E2"/>
    <w:rsid w:val="00596884"/>
    <w:rsid w:val="0059696A"/>
    <w:rsid w:val="005973DB"/>
    <w:rsid w:val="00597933"/>
    <w:rsid w:val="0059795E"/>
    <w:rsid w:val="00597966"/>
    <w:rsid w:val="00597C95"/>
    <w:rsid w:val="005A08CC"/>
    <w:rsid w:val="005A0E48"/>
    <w:rsid w:val="005A1437"/>
    <w:rsid w:val="005A152C"/>
    <w:rsid w:val="005A16F3"/>
    <w:rsid w:val="005A215A"/>
    <w:rsid w:val="005A21FC"/>
    <w:rsid w:val="005A23D5"/>
    <w:rsid w:val="005A25A4"/>
    <w:rsid w:val="005A274A"/>
    <w:rsid w:val="005A28FB"/>
    <w:rsid w:val="005A29C4"/>
    <w:rsid w:val="005A3606"/>
    <w:rsid w:val="005A3628"/>
    <w:rsid w:val="005A39DD"/>
    <w:rsid w:val="005A3A8D"/>
    <w:rsid w:val="005A3AC1"/>
    <w:rsid w:val="005A3E56"/>
    <w:rsid w:val="005A434E"/>
    <w:rsid w:val="005A4911"/>
    <w:rsid w:val="005A511B"/>
    <w:rsid w:val="005A53A6"/>
    <w:rsid w:val="005A543F"/>
    <w:rsid w:val="005A58DA"/>
    <w:rsid w:val="005A5A0F"/>
    <w:rsid w:val="005A6335"/>
    <w:rsid w:val="005A6562"/>
    <w:rsid w:val="005A69A8"/>
    <w:rsid w:val="005A6B5F"/>
    <w:rsid w:val="005A6BE2"/>
    <w:rsid w:val="005A6CD5"/>
    <w:rsid w:val="005A7A36"/>
    <w:rsid w:val="005A7F29"/>
    <w:rsid w:val="005B1260"/>
    <w:rsid w:val="005B12A4"/>
    <w:rsid w:val="005B13B7"/>
    <w:rsid w:val="005B18AB"/>
    <w:rsid w:val="005B1A40"/>
    <w:rsid w:val="005B2E3C"/>
    <w:rsid w:val="005B3283"/>
    <w:rsid w:val="005B3ACE"/>
    <w:rsid w:val="005B46CC"/>
    <w:rsid w:val="005B4704"/>
    <w:rsid w:val="005B488A"/>
    <w:rsid w:val="005B4CC4"/>
    <w:rsid w:val="005B4E57"/>
    <w:rsid w:val="005B5071"/>
    <w:rsid w:val="005B50C7"/>
    <w:rsid w:val="005B51A4"/>
    <w:rsid w:val="005B55BD"/>
    <w:rsid w:val="005B568B"/>
    <w:rsid w:val="005B56A9"/>
    <w:rsid w:val="005B57D1"/>
    <w:rsid w:val="005B59C6"/>
    <w:rsid w:val="005B5B42"/>
    <w:rsid w:val="005B5EA0"/>
    <w:rsid w:val="005B5EC8"/>
    <w:rsid w:val="005B647E"/>
    <w:rsid w:val="005B66D2"/>
    <w:rsid w:val="005B70D5"/>
    <w:rsid w:val="005B720D"/>
    <w:rsid w:val="005B72EA"/>
    <w:rsid w:val="005B7383"/>
    <w:rsid w:val="005B73E9"/>
    <w:rsid w:val="005C007D"/>
    <w:rsid w:val="005C05C8"/>
    <w:rsid w:val="005C0935"/>
    <w:rsid w:val="005C0937"/>
    <w:rsid w:val="005C0F93"/>
    <w:rsid w:val="005C120B"/>
    <w:rsid w:val="005C144D"/>
    <w:rsid w:val="005C1A5B"/>
    <w:rsid w:val="005C28B9"/>
    <w:rsid w:val="005C2AA5"/>
    <w:rsid w:val="005C2C99"/>
    <w:rsid w:val="005C2E8A"/>
    <w:rsid w:val="005C365F"/>
    <w:rsid w:val="005C3D03"/>
    <w:rsid w:val="005C3D8D"/>
    <w:rsid w:val="005C41F6"/>
    <w:rsid w:val="005C5ADC"/>
    <w:rsid w:val="005C5B85"/>
    <w:rsid w:val="005C5C0D"/>
    <w:rsid w:val="005C5C8B"/>
    <w:rsid w:val="005C6527"/>
    <w:rsid w:val="005C69F7"/>
    <w:rsid w:val="005C6AA8"/>
    <w:rsid w:val="005C6DDE"/>
    <w:rsid w:val="005C7033"/>
    <w:rsid w:val="005C73EA"/>
    <w:rsid w:val="005C7488"/>
    <w:rsid w:val="005C7831"/>
    <w:rsid w:val="005C79E8"/>
    <w:rsid w:val="005C7D1F"/>
    <w:rsid w:val="005D0203"/>
    <w:rsid w:val="005D05EA"/>
    <w:rsid w:val="005D06C7"/>
    <w:rsid w:val="005D0800"/>
    <w:rsid w:val="005D0F8A"/>
    <w:rsid w:val="005D146E"/>
    <w:rsid w:val="005D1E2E"/>
    <w:rsid w:val="005D278E"/>
    <w:rsid w:val="005D317A"/>
    <w:rsid w:val="005D3366"/>
    <w:rsid w:val="005D3CB2"/>
    <w:rsid w:val="005D4316"/>
    <w:rsid w:val="005D4484"/>
    <w:rsid w:val="005D46F9"/>
    <w:rsid w:val="005D534F"/>
    <w:rsid w:val="005D5F16"/>
    <w:rsid w:val="005D6381"/>
    <w:rsid w:val="005D6A4B"/>
    <w:rsid w:val="005D6C3C"/>
    <w:rsid w:val="005D6EF4"/>
    <w:rsid w:val="005D7910"/>
    <w:rsid w:val="005D7FE9"/>
    <w:rsid w:val="005E09D5"/>
    <w:rsid w:val="005E0B75"/>
    <w:rsid w:val="005E0FFE"/>
    <w:rsid w:val="005E18C8"/>
    <w:rsid w:val="005E19B6"/>
    <w:rsid w:val="005E1AAD"/>
    <w:rsid w:val="005E1BCB"/>
    <w:rsid w:val="005E1F11"/>
    <w:rsid w:val="005E2F2A"/>
    <w:rsid w:val="005E33FE"/>
    <w:rsid w:val="005E3C5C"/>
    <w:rsid w:val="005E3C7D"/>
    <w:rsid w:val="005E3D83"/>
    <w:rsid w:val="005E3EE1"/>
    <w:rsid w:val="005E4D0E"/>
    <w:rsid w:val="005E4F88"/>
    <w:rsid w:val="005E5AC9"/>
    <w:rsid w:val="005E5CC1"/>
    <w:rsid w:val="005E5E5A"/>
    <w:rsid w:val="005E5F5E"/>
    <w:rsid w:val="005E61D7"/>
    <w:rsid w:val="005E6292"/>
    <w:rsid w:val="005E62CA"/>
    <w:rsid w:val="005E6752"/>
    <w:rsid w:val="005E6993"/>
    <w:rsid w:val="005E73B9"/>
    <w:rsid w:val="005E7D51"/>
    <w:rsid w:val="005E7E6E"/>
    <w:rsid w:val="005F0128"/>
    <w:rsid w:val="005F132B"/>
    <w:rsid w:val="005F1376"/>
    <w:rsid w:val="005F1561"/>
    <w:rsid w:val="005F1595"/>
    <w:rsid w:val="005F1720"/>
    <w:rsid w:val="005F22F5"/>
    <w:rsid w:val="005F24F3"/>
    <w:rsid w:val="005F2870"/>
    <w:rsid w:val="005F3158"/>
    <w:rsid w:val="005F330E"/>
    <w:rsid w:val="005F35F3"/>
    <w:rsid w:val="005F4133"/>
    <w:rsid w:val="005F4F2A"/>
    <w:rsid w:val="005F5D82"/>
    <w:rsid w:val="005F5F7D"/>
    <w:rsid w:val="005F624E"/>
    <w:rsid w:val="005F6514"/>
    <w:rsid w:val="005F66B6"/>
    <w:rsid w:val="005F694C"/>
    <w:rsid w:val="005F75B1"/>
    <w:rsid w:val="005F76C4"/>
    <w:rsid w:val="00600364"/>
    <w:rsid w:val="0060041C"/>
    <w:rsid w:val="006005DA"/>
    <w:rsid w:val="006005F5"/>
    <w:rsid w:val="00600C61"/>
    <w:rsid w:val="0060129C"/>
    <w:rsid w:val="006012C5"/>
    <w:rsid w:val="00601519"/>
    <w:rsid w:val="00602327"/>
    <w:rsid w:val="0060321A"/>
    <w:rsid w:val="006032BC"/>
    <w:rsid w:val="006037B1"/>
    <w:rsid w:val="00604072"/>
    <w:rsid w:val="006056CE"/>
    <w:rsid w:val="0060598E"/>
    <w:rsid w:val="00605D80"/>
    <w:rsid w:val="00606765"/>
    <w:rsid w:val="00606A16"/>
    <w:rsid w:val="00606E59"/>
    <w:rsid w:val="00606E8C"/>
    <w:rsid w:val="00607020"/>
    <w:rsid w:val="0060706B"/>
    <w:rsid w:val="006073F4"/>
    <w:rsid w:val="00607C82"/>
    <w:rsid w:val="0061015A"/>
    <w:rsid w:val="006106BB"/>
    <w:rsid w:val="00610CDA"/>
    <w:rsid w:val="006118BA"/>
    <w:rsid w:val="00612439"/>
    <w:rsid w:val="006128D9"/>
    <w:rsid w:val="006133A3"/>
    <w:rsid w:val="00613552"/>
    <w:rsid w:val="00613A00"/>
    <w:rsid w:val="00613A0A"/>
    <w:rsid w:val="00613EFD"/>
    <w:rsid w:val="0061425A"/>
    <w:rsid w:val="00614604"/>
    <w:rsid w:val="006146A0"/>
    <w:rsid w:val="0061478E"/>
    <w:rsid w:val="00614A55"/>
    <w:rsid w:val="00614BF6"/>
    <w:rsid w:val="006155A9"/>
    <w:rsid w:val="006157F1"/>
    <w:rsid w:val="006160C0"/>
    <w:rsid w:val="006165E9"/>
    <w:rsid w:val="006169DF"/>
    <w:rsid w:val="00617283"/>
    <w:rsid w:val="00617752"/>
    <w:rsid w:val="0061775C"/>
    <w:rsid w:val="006179D4"/>
    <w:rsid w:val="00617F42"/>
    <w:rsid w:val="006200FE"/>
    <w:rsid w:val="006201FC"/>
    <w:rsid w:val="00620D41"/>
    <w:rsid w:val="006219AC"/>
    <w:rsid w:val="00621D17"/>
    <w:rsid w:val="00621EB0"/>
    <w:rsid w:val="00622061"/>
    <w:rsid w:val="0062210A"/>
    <w:rsid w:val="00622140"/>
    <w:rsid w:val="00622206"/>
    <w:rsid w:val="00622857"/>
    <w:rsid w:val="0062326F"/>
    <w:rsid w:val="00623CF3"/>
    <w:rsid w:val="00624BD1"/>
    <w:rsid w:val="0062511B"/>
    <w:rsid w:val="006256FD"/>
    <w:rsid w:val="006257E8"/>
    <w:rsid w:val="0062584F"/>
    <w:rsid w:val="00625DD0"/>
    <w:rsid w:val="006260C7"/>
    <w:rsid w:val="0062612E"/>
    <w:rsid w:val="006265D8"/>
    <w:rsid w:val="00627072"/>
    <w:rsid w:val="0062783F"/>
    <w:rsid w:val="00627945"/>
    <w:rsid w:val="00630520"/>
    <w:rsid w:val="00630749"/>
    <w:rsid w:val="00630F06"/>
    <w:rsid w:val="00631013"/>
    <w:rsid w:val="0063120A"/>
    <w:rsid w:val="0063137F"/>
    <w:rsid w:val="0063189D"/>
    <w:rsid w:val="00631952"/>
    <w:rsid w:val="0063196D"/>
    <w:rsid w:val="00631C6C"/>
    <w:rsid w:val="006327BC"/>
    <w:rsid w:val="006327E5"/>
    <w:rsid w:val="00632DD6"/>
    <w:rsid w:val="006336BE"/>
    <w:rsid w:val="00633889"/>
    <w:rsid w:val="00633AA1"/>
    <w:rsid w:val="00633B41"/>
    <w:rsid w:val="0063444E"/>
    <w:rsid w:val="0063468F"/>
    <w:rsid w:val="006346F6"/>
    <w:rsid w:val="006348B1"/>
    <w:rsid w:val="00634E81"/>
    <w:rsid w:val="006350BD"/>
    <w:rsid w:val="006352A5"/>
    <w:rsid w:val="006357F0"/>
    <w:rsid w:val="00635D09"/>
    <w:rsid w:val="00635ECA"/>
    <w:rsid w:val="006360BA"/>
    <w:rsid w:val="006361B5"/>
    <w:rsid w:val="0063670C"/>
    <w:rsid w:val="006367C5"/>
    <w:rsid w:val="0063720B"/>
    <w:rsid w:val="0063755F"/>
    <w:rsid w:val="006378CD"/>
    <w:rsid w:val="00640852"/>
    <w:rsid w:val="00640D95"/>
    <w:rsid w:val="00640FD4"/>
    <w:rsid w:val="0064113C"/>
    <w:rsid w:val="0064186C"/>
    <w:rsid w:val="00641CF0"/>
    <w:rsid w:val="00642406"/>
    <w:rsid w:val="00642626"/>
    <w:rsid w:val="00642A17"/>
    <w:rsid w:val="00642D14"/>
    <w:rsid w:val="00643271"/>
    <w:rsid w:val="006436A4"/>
    <w:rsid w:val="00643D06"/>
    <w:rsid w:val="00643F8B"/>
    <w:rsid w:val="006440AA"/>
    <w:rsid w:val="0064457B"/>
    <w:rsid w:val="006449B8"/>
    <w:rsid w:val="00644D38"/>
    <w:rsid w:val="00644E9B"/>
    <w:rsid w:val="00645020"/>
    <w:rsid w:val="006454A7"/>
    <w:rsid w:val="00645A40"/>
    <w:rsid w:val="0064641F"/>
    <w:rsid w:val="0064676B"/>
    <w:rsid w:val="0064686D"/>
    <w:rsid w:val="0064687F"/>
    <w:rsid w:val="006468E5"/>
    <w:rsid w:val="0064757C"/>
    <w:rsid w:val="0064769D"/>
    <w:rsid w:val="0064779F"/>
    <w:rsid w:val="006478EF"/>
    <w:rsid w:val="006479FD"/>
    <w:rsid w:val="00647A55"/>
    <w:rsid w:val="0065000E"/>
    <w:rsid w:val="006505E2"/>
    <w:rsid w:val="00650F3C"/>
    <w:rsid w:val="00651015"/>
    <w:rsid w:val="00651295"/>
    <w:rsid w:val="006512A4"/>
    <w:rsid w:val="00651643"/>
    <w:rsid w:val="00651D88"/>
    <w:rsid w:val="00651F67"/>
    <w:rsid w:val="00652198"/>
    <w:rsid w:val="006523AA"/>
    <w:rsid w:val="00652600"/>
    <w:rsid w:val="00652895"/>
    <w:rsid w:val="00652CE8"/>
    <w:rsid w:val="006534F3"/>
    <w:rsid w:val="00653ABD"/>
    <w:rsid w:val="00653AFC"/>
    <w:rsid w:val="00653B5B"/>
    <w:rsid w:val="00653DF8"/>
    <w:rsid w:val="00653F6B"/>
    <w:rsid w:val="006541CA"/>
    <w:rsid w:val="0065447D"/>
    <w:rsid w:val="006547A1"/>
    <w:rsid w:val="00655888"/>
    <w:rsid w:val="00655D52"/>
    <w:rsid w:val="00656489"/>
    <w:rsid w:val="006567C6"/>
    <w:rsid w:val="00656B23"/>
    <w:rsid w:val="006570DB"/>
    <w:rsid w:val="006573AC"/>
    <w:rsid w:val="0065759C"/>
    <w:rsid w:val="006577C3"/>
    <w:rsid w:val="0065780D"/>
    <w:rsid w:val="00657837"/>
    <w:rsid w:val="006578A1"/>
    <w:rsid w:val="00657D63"/>
    <w:rsid w:val="00657F53"/>
    <w:rsid w:val="00657FE6"/>
    <w:rsid w:val="00660625"/>
    <w:rsid w:val="00660857"/>
    <w:rsid w:val="00661483"/>
    <w:rsid w:val="0066150B"/>
    <w:rsid w:val="00661979"/>
    <w:rsid w:val="00661991"/>
    <w:rsid w:val="00661AFA"/>
    <w:rsid w:val="00661F43"/>
    <w:rsid w:val="00663B8B"/>
    <w:rsid w:val="0066431F"/>
    <w:rsid w:val="00664629"/>
    <w:rsid w:val="00664730"/>
    <w:rsid w:val="006648BA"/>
    <w:rsid w:val="00664C30"/>
    <w:rsid w:val="00664EF3"/>
    <w:rsid w:val="00664F74"/>
    <w:rsid w:val="00665307"/>
    <w:rsid w:val="00665880"/>
    <w:rsid w:val="006659EB"/>
    <w:rsid w:val="00665BBB"/>
    <w:rsid w:val="00665D9A"/>
    <w:rsid w:val="006666AA"/>
    <w:rsid w:val="00666A8C"/>
    <w:rsid w:val="00666B70"/>
    <w:rsid w:val="00667462"/>
    <w:rsid w:val="006674D0"/>
    <w:rsid w:val="006674D3"/>
    <w:rsid w:val="006677B5"/>
    <w:rsid w:val="00667908"/>
    <w:rsid w:val="00667924"/>
    <w:rsid w:val="00667AFA"/>
    <w:rsid w:val="00667C67"/>
    <w:rsid w:val="00667D42"/>
    <w:rsid w:val="00667F61"/>
    <w:rsid w:val="00670D06"/>
    <w:rsid w:val="00671246"/>
    <w:rsid w:val="00671562"/>
    <w:rsid w:val="0067188D"/>
    <w:rsid w:val="006736E7"/>
    <w:rsid w:val="00673A90"/>
    <w:rsid w:val="00673BDB"/>
    <w:rsid w:val="006749DE"/>
    <w:rsid w:val="00674C0F"/>
    <w:rsid w:val="00675148"/>
    <w:rsid w:val="006751EA"/>
    <w:rsid w:val="00675453"/>
    <w:rsid w:val="0067547B"/>
    <w:rsid w:val="0067562B"/>
    <w:rsid w:val="00675C96"/>
    <w:rsid w:val="00675D71"/>
    <w:rsid w:val="00675E1E"/>
    <w:rsid w:val="006760C5"/>
    <w:rsid w:val="00676503"/>
    <w:rsid w:val="006765D0"/>
    <w:rsid w:val="00676A4D"/>
    <w:rsid w:val="00676C29"/>
    <w:rsid w:val="00677074"/>
    <w:rsid w:val="0067731C"/>
    <w:rsid w:val="006773A9"/>
    <w:rsid w:val="00677BDF"/>
    <w:rsid w:val="00677FDE"/>
    <w:rsid w:val="00680160"/>
    <w:rsid w:val="00680523"/>
    <w:rsid w:val="0068061B"/>
    <w:rsid w:val="006808E8"/>
    <w:rsid w:val="00680BBD"/>
    <w:rsid w:val="00680E79"/>
    <w:rsid w:val="00681A64"/>
    <w:rsid w:val="00681D93"/>
    <w:rsid w:val="00681EBE"/>
    <w:rsid w:val="006821DA"/>
    <w:rsid w:val="006822F9"/>
    <w:rsid w:val="006833C3"/>
    <w:rsid w:val="006837DF"/>
    <w:rsid w:val="00683C1E"/>
    <w:rsid w:val="00684316"/>
    <w:rsid w:val="006846FE"/>
    <w:rsid w:val="00685529"/>
    <w:rsid w:val="006859BF"/>
    <w:rsid w:val="00685C07"/>
    <w:rsid w:val="00685C92"/>
    <w:rsid w:val="006860FE"/>
    <w:rsid w:val="00686109"/>
    <w:rsid w:val="006863E4"/>
    <w:rsid w:val="0068669C"/>
    <w:rsid w:val="00686A58"/>
    <w:rsid w:val="00687030"/>
    <w:rsid w:val="00687071"/>
    <w:rsid w:val="00687677"/>
    <w:rsid w:val="00687C0B"/>
    <w:rsid w:val="006901F7"/>
    <w:rsid w:val="00690330"/>
    <w:rsid w:val="00690A35"/>
    <w:rsid w:val="00690EA1"/>
    <w:rsid w:val="0069104D"/>
    <w:rsid w:val="006917F8"/>
    <w:rsid w:val="00691A50"/>
    <w:rsid w:val="006920B9"/>
    <w:rsid w:val="0069222B"/>
    <w:rsid w:val="006924DB"/>
    <w:rsid w:val="00692DB6"/>
    <w:rsid w:val="00692F0D"/>
    <w:rsid w:val="00692F21"/>
    <w:rsid w:val="0069336C"/>
    <w:rsid w:val="006934EE"/>
    <w:rsid w:val="00693D2E"/>
    <w:rsid w:val="006940FB"/>
    <w:rsid w:val="006944D6"/>
    <w:rsid w:val="0069450B"/>
    <w:rsid w:val="006949A1"/>
    <w:rsid w:val="00694BEB"/>
    <w:rsid w:val="00694D59"/>
    <w:rsid w:val="00695351"/>
    <w:rsid w:val="006957C2"/>
    <w:rsid w:val="00695881"/>
    <w:rsid w:val="00695A84"/>
    <w:rsid w:val="00695B44"/>
    <w:rsid w:val="00695B87"/>
    <w:rsid w:val="00695DD4"/>
    <w:rsid w:val="00696A42"/>
    <w:rsid w:val="00696B34"/>
    <w:rsid w:val="00696D6D"/>
    <w:rsid w:val="006972DD"/>
    <w:rsid w:val="00697300"/>
    <w:rsid w:val="006974C7"/>
    <w:rsid w:val="0069791E"/>
    <w:rsid w:val="00697F14"/>
    <w:rsid w:val="006A03C9"/>
    <w:rsid w:val="006A063D"/>
    <w:rsid w:val="006A06DC"/>
    <w:rsid w:val="006A0720"/>
    <w:rsid w:val="006A138A"/>
    <w:rsid w:val="006A1A34"/>
    <w:rsid w:val="006A1C38"/>
    <w:rsid w:val="006A1F8D"/>
    <w:rsid w:val="006A2128"/>
    <w:rsid w:val="006A289A"/>
    <w:rsid w:val="006A290D"/>
    <w:rsid w:val="006A3169"/>
    <w:rsid w:val="006A33BC"/>
    <w:rsid w:val="006A3E83"/>
    <w:rsid w:val="006A49BC"/>
    <w:rsid w:val="006A50C4"/>
    <w:rsid w:val="006A5338"/>
    <w:rsid w:val="006A5AF5"/>
    <w:rsid w:val="006A5C86"/>
    <w:rsid w:val="006A5CFD"/>
    <w:rsid w:val="006A6248"/>
    <w:rsid w:val="006A69E2"/>
    <w:rsid w:val="006A6AE1"/>
    <w:rsid w:val="006A6C75"/>
    <w:rsid w:val="006A7AEE"/>
    <w:rsid w:val="006A7D48"/>
    <w:rsid w:val="006A7FBF"/>
    <w:rsid w:val="006B0626"/>
    <w:rsid w:val="006B06BF"/>
    <w:rsid w:val="006B0B02"/>
    <w:rsid w:val="006B0CC0"/>
    <w:rsid w:val="006B10DB"/>
    <w:rsid w:val="006B16F5"/>
    <w:rsid w:val="006B1794"/>
    <w:rsid w:val="006B18B5"/>
    <w:rsid w:val="006B22FD"/>
    <w:rsid w:val="006B2432"/>
    <w:rsid w:val="006B2679"/>
    <w:rsid w:val="006B26EB"/>
    <w:rsid w:val="006B2E17"/>
    <w:rsid w:val="006B387B"/>
    <w:rsid w:val="006B3918"/>
    <w:rsid w:val="006B3C0E"/>
    <w:rsid w:val="006B3C56"/>
    <w:rsid w:val="006B43EF"/>
    <w:rsid w:val="006B45A2"/>
    <w:rsid w:val="006B45B0"/>
    <w:rsid w:val="006B4679"/>
    <w:rsid w:val="006B480C"/>
    <w:rsid w:val="006B493F"/>
    <w:rsid w:val="006B4C4B"/>
    <w:rsid w:val="006B519F"/>
    <w:rsid w:val="006B62D2"/>
    <w:rsid w:val="006B6598"/>
    <w:rsid w:val="006B65B5"/>
    <w:rsid w:val="006B6925"/>
    <w:rsid w:val="006B6D62"/>
    <w:rsid w:val="006B6FCC"/>
    <w:rsid w:val="006B78A5"/>
    <w:rsid w:val="006B7A99"/>
    <w:rsid w:val="006B7B92"/>
    <w:rsid w:val="006B7F9C"/>
    <w:rsid w:val="006C00D2"/>
    <w:rsid w:val="006C080B"/>
    <w:rsid w:val="006C0DDB"/>
    <w:rsid w:val="006C0EA8"/>
    <w:rsid w:val="006C10F2"/>
    <w:rsid w:val="006C1717"/>
    <w:rsid w:val="006C19DA"/>
    <w:rsid w:val="006C1CAD"/>
    <w:rsid w:val="006C1D2C"/>
    <w:rsid w:val="006C2023"/>
    <w:rsid w:val="006C221C"/>
    <w:rsid w:val="006C23B5"/>
    <w:rsid w:val="006C2415"/>
    <w:rsid w:val="006C247A"/>
    <w:rsid w:val="006C26B1"/>
    <w:rsid w:val="006C2BF4"/>
    <w:rsid w:val="006C2C11"/>
    <w:rsid w:val="006C2E64"/>
    <w:rsid w:val="006C30AD"/>
    <w:rsid w:val="006C30C6"/>
    <w:rsid w:val="006C3532"/>
    <w:rsid w:val="006C3897"/>
    <w:rsid w:val="006C3EAF"/>
    <w:rsid w:val="006C4DC0"/>
    <w:rsid w:val="006C4E91"/>
    <w:rsid w:val="006C5BA8"/>
    <w:rsid w:val="006C5D46"/>
    <w:rsid w:val="006C6602"/>
    <w:rsid w:val="006C6D02"/>
    <w:rsid w:val="006C7230"/>
    <w:rsid w:val="006C795B"/>
    <w:rsid w:val="006C7A3C"/>
    <w:rsid w:val="006C7A6F"/>
    <w:rsid w:val="006C7BF5"/>
    <w:rsid w:val="006D022D"/>
    <w:rsid w:val="006D1429"/>
    <w:rsid w:val="006D143C"/>
    <w:rsid w:val="006D14BA"/>
    <w:rsid w:val="006D15C6"/>
    <w:rsid w:val="006D1A2D"/>
    <w:rsid w:val="006D1A49"/>
    <w:rsid w:val="006D1CA0"/>
    <w:rsid w:val="006D202F"/>
    <w:rsid w:val="006D2DC5"/>
    <w:rsid w:val="006D3B78"/>
    <w:rsid w:val="006D3FD3"/>
    <w:rsid w:val="006D45AC"/>
    <w:rsid w:val="006D471A"/>
    <w:rsid w:val="006D5812"/>
    <w:rsid w:val="006D5A47"/>
    <w:rsid w:val="006D5FA5"/>
    <w:rsid w:val="006D6AA1"/>
    <w:rsid w:val="006D7364"/>
    <w:rsid w:val="006D7697"/>
    <w:rsid w:val="006D775E"/>
    <w:rsid w:val="006D7989"/>
    <w:rsid w:val="006D7999"/>
    <w:rsid w:val="006D79A0"/>
    <w:rsid w:val="006D7D01"/>
    <w:rsid w:val="006D7E0F"/>
    <w:rsid w:val="006E00C6"/>
    <w:rsid w:val="006E02A6"/>
    <w:rsid w:val="006E05EA"/>
    <w:rsid w:val="006E126E"/>
    <w:rsid w:val="006E1692"/>
    <w:rsid w:val="006E19DC"/>
    <w:rsid w:val="006E19E2"/>
    <w:rsid w:val="006E1B52"/>
    <w:rsid w:val="006E1C07"/>
    <w:rsid w:val="006E1F11"/>
    <w:rsid w:val="006E212F"/>
    <w:rsid w:val="006E2412"/>
    <w:rsid w:val="006E25D4"/>
    <w:rsid w:val="006E288D"/>
    <w:rsid w:val="006E2F87"/>
    <w:rsid w:val="006E33AA"/>
    <w:rsid w:val="006E3697"/>
    <w:rsid w:val="006E3881"/>
    <w:rsid w:val="006E39FA"/>
    <w:rsid w:val="006E4A40"/>
    <w:rsid w:val="006E4ADE"/>
    <w:rsid w:val="006E520A"/>
    <w:rsid w:val="006E5463"/>
    <w:rsid w:val="006E596D"/>
    <w:rsid w:val="006E5C13"/>
    <w:rsid w:val="006E5EC3"/>
    <w:rsid w:val="006E5FC5"/>
    <w:rsid w:val="006E60F0"/>
    <w:rsid w:val="006E6195"/>
    <w:rsid w:val="006E65A6"/>
    <w:rsid w:val="006E6897"/>
    <w:rsid w:val="006E6BB8"/>
    <w:rsid w:val="006E75F9"/>
    <w:rsid w:val="006E76DE"/>
    <w:rsid w:val="006F0059"/>
    <w:rsid w:val="006F04C2"/>
    <w:rsid w:val="006F0898"/>
    <w:rsid w:val="006F197A"/>
    <w:rsid w:val="006F1F5A"/>
    <w:rsid w:val="006F21E7"/>
    <w:rsid w:val="006F31F2"/>
    <w:rsid w:val="006F39AE"/>
    <w:rsid w:val="006F3F21"/>
    <w:rsid w:val="006F4221"/>
    <w:rsid w:val="006F5AF0"/>
    <w:rsid w:val="006F5E8F"/>
    <w:rsid w:val="006F60B8"/>
    <w:rsid w:val="006F62F0"/>
    <w:rsid w:val="006F69EA"/>
    <w:rsid w:val="006F6DB6"/>
    <w:rsid w:val="006F6E2C"/>
    <w:rsid w:val="006F7C3C"/>
    <w:rsid w:val="006F7E8B"/>
    <w:rsid w:val="007001DA"/>
    <w:rsid w:val="007006F7"/>
    <w:rsid w:val="00700850"/>
    <w:rsid w:val="0070095F"/>
    <w:rsid w:val="007011C2"/>
    <w:rsid w:val="0070132C"/>
    <w:rsid w:val="007013C7"/>
    <w:rsid w:val="0070189F"/>
    <w:rsid w:val="0070193D"/>
    <w:rsid w:val="007020B2"/>
    <w:rsid w:val="007025D4"/>
    <w:rsid w:val="0070265F"/>
    <w:rsid w:val="007029F9"/>
    <w:rsid w:val="00702D8B"/>
    <w:rsid w:val="00702E95"/>
    <w:rsid w:val="00702F80"/>
    <w:rsid w:val="007030C0"/>
    <w:rsid w:val="007038E7"/>
    <w:rsid w:val="00703FBA"/>
    <w:rsid w:val="00704475"/>
    <w:rsid w:val="00704D4D"/>
    <w:rsid w:val="00704E90"/>
    <w:rsid w:val="00704EB0"/>
    <w:rsid w:val="00705189"/>
    <w:rsid w:val="0070547D"/>
    <w:rsid w:val="00705AEE"/>
    <w:rsid w:val="00706401"/>
    <w:rsid w:val="0070644C"/>
    <w:rsid w:val="007064FD"/>
    <w:rsid w:val="0070732F"/>
    <w:rsid w:val="00707B6F"/>
    <w:rsid w:val="00707BF6"/>
    <w:rsid w:val="00707C1F"/>
    <w:rsid w:val="007102D4"/>
    <w:rsid w:val="00710AFD"/>
    <w:rsid w:val="00710BF0"/>
    <w:rsid w:val="00710E04"/>
    <w:rsid w:val="00710FD1"/>
    <w:rsid w:val="0071145E"/>
    <w:rsid w:val="007119E6"/>
    <w:rsid w:val="00711BEF"/>
    <w:rsid w:val="0071224A"/>
    <w:rsid w:val="00712409"/>
    <w:rsid w:val="007124A5"/>
    <w:rsid w:val="00712647"/>
    <w:rsid w:val="00712A01"/>
    <w:rsid w:val="00712E61"/>
    <w:rsid w:val="00713467"/>
    <w:rsid w:val="00713860"/>
    <w:rsid w:val="00713F27"/>
    <w:rsid w:val="0071489B"/>
    <w:rsid w:val="00714E1B"/>
    <w:rsid w:val="007150C5"/>
    <w:rsid w:val="007156FD"/>
    <w:rsid w:val="0071617B"/>
    <w:rsid w:val="0071630A"/>
    <w:rsid w:val="0071673D"/>
    <w:rsid w:val="00716C52"/>
    <w:rsid w:val="00716D2E"/>
    <w:rsid w:val="00716D46"/>
    <w:rsid w:val="00716F96"/>
    <w:rsid w:val="00717012"/>
    <w:rsid w:val="00717F34"/>
    <w:rsid w:val="00720211"/>
    <w:rsid w:val="0072064A"/>
    <w:rsid w:val="00720FF2"/>
    <w:rsid w:val="00721318"/>
    <w:rsid w:val="007216F2"/>
    <w:rsid w:val="00721908"/>
    <w:rsid w:val="00721FA8"/>
    <w:rsid w:val="007226C8"/>
    <w:rsid w:val="0072275F"/>
    <w:rsid w:val="00723069"/>
    <w:rsid w:val="007237E3"/>
    <w:rsid w:val="007242C9"/>
    <w:rsid w:val="0072457D"/>
    <w:rsid w:val="00724887"/>
    <w:rsid w:val="00724957"/>
    <w:rsid w:val="00724EDD"/>
    <w:rsid w:val="00725416"/>
    <w:rsid w:val="00725442"/>
    <w:rsid w:val="00725549"/>
    <w:rsid w:val="00725D79"/>
    <w:rsid w:val="00726404"/>
    <w:rsid w:val="00726425"/>
    <w:rsid w:val="007265EE"/>
    <w:rsid w:val="007268CB"/>
    <w:rsid w:val="00726B25"/>
    <w:rsid w:val="00726E7A"/>
    <w:rsid w:val="00726F75"/>
    <w:rsid w:val="00727697"/>
    <w:rsid w:val="007277E0"/>
    <w:rsid w:val="007279F2"/>
    <w:rsid w:val="00727B18"/>
    <w:rsid w:val="007305BA"/>
    <w:rsid w:val="00730801"/>
    <w:rsid w:val="00731030"/>
    <w:rsid w:val="00731099"/>
    <w:rsid w:val="00731791"/>
    <w:rsid w:val="00732890"/>
    <w:rsid w:val="00732FA4"/>
    <w:rsid w:val="00732FF2"/>
    <w:rsid w:val="00733484"/>
    <w:rsid w:val="0073372F"/>
    <w:rsid w:val="007337AC"/>
    <w:rsid w:val="00733C93"/>
    <w:rsid w:val="007348F0"/>
    <w:rsid w:val="00734BA9"/>
    <w:rsid w:val="0073553E"/>
    <w:rsid w:val="007357E5"/>
    <w:rsid w:val="007358CB"/>
    <w:rsid w:val="007358CD"/>
    <w:rsid w:val="00735A66"/>
    <w:rsid w:val="00735B1A"/>
    <w:rsid w:val="00735B5A"/>
    <w:rsid w:val="0073615C"/>
    <w:rsid w:val="00736287"/>
    <w:rsid w:val="007377F5"/>
    <w:rsid w:val="007378FC"/>
    <w:rsid w:val="00737F1D"/>
    <w:rsid w:val="007405F1"/>
    <w:rsid w:val="007408B4"/>
    <w:rsid w:val="00740B32"/>
    <w:rsid w:val="00741070"/>
    <w:rsid w:val="007413B3"/>
    <w:rsid w:val="00741E58"/>
    <w:rsid w:val="00742488"/>
    <w:rsid w:val="00742987"/>
    <w:rsid w:val="00742A93"/>
    <w:rsid w:val="00742C17"/>
    <w:rsid w:val="00743049"/>
    <w:rsid w:val="0074373C"/>
    <w:rsid w:val="007438DC"/>
    <w:rsid w:val="00743B37"/>
    <w:rsid w:val="00743DF1"/>
    <w:rsid w:val="00743F9D"/>
    <w:rsid w:val="007445CF"/>
    <w:rsid w:val="0074479C"/>
    <w:rsid w:val="00744A7F"/>
    <w:rsid w:val="007451BA"/>
    <w:rsid w:val="00745370"/>
    <w:rsid w:val="007454FB"/>
    <w:rsid w:val="00745F16"/>
    <w:rsid w:val="00745F92"/>
    <w:rsid w:val="00746059"/>
    <w:rsid w:val="0074615D"/>
    <w:rsid w:val="007465B2"/>
    <w:rsid w:val="00746C62"/>
    <w:rsid w:val="00746CA7"/>
    <w:rsid w:val="00746DA3"/>
    <w:rsid w:val="007474C4"/>
    <w:rsid w:val="007479BE"/>
    <w:rsid w:val="00747DFA"/>
    <w:rsid w:val="007502BA"/>
    <w:rsid w:val="00750777"/>
    <w:rsid w:val="00750C0F"/>
    <w:rsid w:val="00750D1D"/>
    <w:rsid w:val="00751245"/>
    <w:rsid w:val="007512CA"/>
    <w:rsid w:val="00751420"/>
    <w:rsid w:val="00751790"/>
    <w:rsid w:val="00751965"/>
    <w:rsid w:val="00751D0C"/>
    <w:rsid w:val="00751F35"/>
    <w:rsid w:val="007522A3"/>
    <w:rsid w:val="007522C6"/>
    <w:rsid w:val="007536B0"/>
    <w:rsid w:val="007539C7"/>
    <w:rsid w:val="00753E64"/>
    <w:rsid w:val="0075466F"/>
    <w:rsid w:val="00755176"/>
    <w:rsid w:val="007554CB"/>
    <w:rsid w:val="0075562D"/>
    <w:rsid w:val="0075571B"/>
    <w:rsid w:val="007558EC"/>
    <w:rsid w:val="00755928"/>
    <w:rsid w:val="007559EC"/>
    <w:rsid w:val="00755E21"/>
    <w:rsid w:val="007569E0"/>
    <w:rsid w:val="00756CC1"/>
    <w:rsid w:val="00756E59"/>
    <w:rsid w:val="00757048"/>
    <w:rsid w:val="00757560"/>
    <w:rsid w:val="00757A91"/>
    <w:rsid w:val="00757B2C"/>
    <w:rsid w:val="00760066"/>
    <w:rsid w:val="00760593"/>
    <w:rsid w:val="00760A9B"/>
    <w:rsid w:val="00761257"/>
    <w:rsid w:val="0076132D"/>
    <w:rsid w:val="007614C4"/>
    <w:rsid w:val="007616E1"/>
    <w:rsid w:val="007626A3"/>
    <w:rsid w:val="00762D40"/>
    <w:rsid w:val="00762E18"/>
    <w:rsid w:val="00762F27"/>
    <w:rsid w:val="00763304"/>
    <w:rsid w:val="007639A3"/>
    <w:rsid w:val="0076411D"/>
    <w:rsid w:val="007642F1"/>
    <w:rsid w:val="00764594"/>
    <w:rsid w:val="00764CB4"/>
    <w:rsid w:val="00765271"/>
    <w:rsid w:val="00765434"/>
    <w:rsid w:val="00765516"/>
    <w:rsid w:val="0076562B"/>
    <w:rsid w:val="00766085"/>
    <w:rsid w:val="0076643C"/>
    <w:rsid w:val="00766997"/>
    <w:rsid w:val="00766C19"/>
    <w:rsid w:val="00767315"/>
    <w:rsid w:val="00767455"/>
    <w:rsid w:val="007675AD"/>
    <w:rsid w:val="0076792E"/>
    <w:rsid w:val="00767A3F"/>
    <w:rsid w:val="00767AC1"/>
    <w:rsid w:val="0077018F"/>
    <w:rsid w:val="0077027E"/>
    <w:rsid w:val="007702F5"/>
    <w:rsid w:val="007708CE"/>
    <w:rsid w:val="00770FBA"/>
    <w:rsid w:val="007712FC"/>
    <w:rsid w:val="00771867"/>
    <w:rsid w:val="00772A9B"/>
    <w:rsid w:val="007731ED"/>
    <w:rsid w:val="00773390"/>
    <w:rsid w:val="00773466"/>
    <w:rsid w:val="0077389C"/>
    <w:rsid w:val="00773A01"/>
    <w:rsid w:val="00773E95"/>
    <w:rsid w:val="00773F28"/>
    <w:rsid w:val="00773FF7"/>
    <w:rsid w:val="007744DC"/>
    <w:rsid w:val="0077461F"/>
    <w:rsid w:val="00775B37"/>
    <w:rsid w:val="00775E73"/>
    <w:rsid w:val="0077689D"/>
    <w:rsid w:val="00776954"/>
    <w:rsid w:val="00776BC6"/>
    <w:rsid w:val="0077718C"/>
    <w:rsid w:val="0077731E"/>
    <w:rsid w:val="0077790C"/>
    <w:rsid w:val="00777ECE"/>
    <w:rsid w:val="007800D5"/>
    <w:rsid w:val="0078066C"/>
    <w:rsid w:val="00780F22"/>
    <w:rsid w:val="00780FF2"/>
    <w:rsid w:val="00781241"/>
    <w:rsid w:val="00781863"/>
    <w:rsid w:val="00782596"/>
    <w:rsid w:val="00782DBF"/>
    <w:rsid w:val="007832E0"/>
    <w:rsid w:val="007834F3"/>
    <w:rsid w:val="0078369F"/>
    <w:rsid w:val="007836CB"/>
    <w:rsid w:val="00783849"/>
    <w:rsid w:val="00783AFF"/>
    <w:rsid w:val="00783ED0"/>
    <w:rsid w:val="007843FA"/>
    <w:rsid w:val="007852FC"/>
    <w:rsid w:val="00785896"/>
    <w:rsid w:val="007858A0"/>
    <w:rsid w:val="00785C93"/>
    <w:rsid w:val="00786411"/>
    <w:rsid w:val="00786659"/>
    <w:rsid w:val="00786BC8"/>
    <w:rsid w:val="00787A02"/>
    <w:rsid w:val="00787B3F"/>
    <w:rsid w:val="007901F7"/>
    <w:rsid w:val="00790237"/>
    <w:rsid w:val="007909DF"/>
    <w:rsid w:val="00790C70"/>
    <w:rsid w:val="00790DCF"/>
    <w:rsid w:val="00790F08"/>
    <w:rsid w:val="00790F25"/>
    <w:rsid w:val="00790FE6"/>
    <w:rsid w:val="0079129D"/>
    <w:rsid w:val="00791390"/>
    <w:rsid w:val="00791797"/>
    <w:rsid w:val="00791B2A"/>
    <w:rsid w:val="007925B3"/>
    <w:rsid w:val="007925B9"/>
    <w:rsid w:val="007926A9"/>
    <w:rsid w:val="0079297B"/>
    <w:rsid w:val="00792C08"/>
    <w:rsid w:val="00792C3D"/>
    <w:rsid w:val="00792F1B"/>
    <w:rsid w:val="00793B3B"/>
    <w:rsid w:val="00793F82"/>
    <w:rsid w:val="00794D67"/>
    <w:rsid w:val="00794E22"/>
    <w:rsid w:val="007950E4"/>
    <w:rsid w:val="00795F0C"/>
    <w:rsid w:val="00796404"/>
    <w:rsid w:val="00796700"/>
    <w:rsid w:val="00796806"/>
    <w:rsid w:val="00796BD0"/>
    <w:rsid w:val="00796C68"/>
    <w:rsid w:val="007A00A4"/>
    <w:rsid w:val="007A015B"/>
    <w:rsid w:val="007A029E"/>
    <w:rsid w:val="007A02B3"/>
    <w:rsid w:val="007A0428"/>
    <w:rsid w:val="007A0719"/>
    <w:rsid w:val="007A0A04"/>
    <w:rsid w:val="007A129D"/>
    <w:rsid w:val="007A1873"/>
    <w:rsid w:val="007A1D99"/>
    <w:rsid w:val="007A2307"/>
    <w:rsid w:val="007A2BEF"/>
    <w:rsid w:val="007A2D75"/>
    <w:rsid w:val="007A46E8"/>
    <w:rsid w:val="007A46ED"/>
    <w:rsid w:val="007A4A15"/>
    <w:rsid w:val="007A5137"/>
    <w:rsid w:val="007A58BD"/>
    <w:rsid w:val="007A6783"/>
    <w:rsid w:val="007A6A5D"/>
    <w:rsid w:val="007A6AC4"/>
    <w:rsid w:val="007A7400"/>
    <w:rsid w:val="007A795F"/>
    <w:rsid w:val="007B017B"/>
    <w:rsid w:val="007B087E"/>
    <w:rsid w:val="007B0FDF"/>
    <w:rsid w:val="007B11FD"/>
    <w:rsid w:val="007B17F2"/>
    <w:rsid w:val="007B1AAF"/>
    <w:rsid w:val="007B1AE7"/>
    <w:rsid w:val="007B21E6"/>
    <w:rsid w:val="007B2359"/>
    <w:rsid w:val="007B2941"/>
    <w:rsid w:val="007B2987"/>
    <w:rsid w:val="007B2F78"/>
    <w:rsid w:val="007B36EE"/>
    <w:rsid w:val="007B37DA"/>
    <w:rsid w:val="007B3813"/>
    <w:rsid w:val="007B38E7"/>
    <w:rsid w:val="007B3AD5"/>
    <w:rsid w:val="007B4672"/>
    <w:rsid w:val="007B491E"/>
    <w:rsid w:val="007B4A13"/>
    <w:rsid w:val="007B4D89"/>
    <w:rsid w:val="007B5557"/>
    <w:rsid w:val="007B5603"/>
    <w:rsid w:val="007B5DC3"/>
    <w:rsid w:val="007B6120"/>
    <w:rsid w:val="007B6669"/>
    <w:rsid w:val="007B6B2C"/>
    <w:rsid w:val="007B6BA4"/>
    <w:rsid w:val="007B6F5C"/>
    <w:rsid w:val="007B7082"/>
    <w:rsid w:val="007B79EC"/>
    <w:rsid w:val="007C0093"/>
    <w:rsid w:val="007C0339"/>
    <w:rsid w:val="007C0BB7"/>
    <w:rsid w:val="007C0C55"/>
    <w:rsid w:val="007C0E19"/>
    <w:rsid w:val="007C13A1"/>
    <w:rsid w:val="007C18DF"/>
    <w:rsid w:val="007C2128"/>
    <w:rsid w:val="007C26C8"/>
    <w:rsid w:val="007C2759"/>
    <w:rsid w:val="007C2A78"/>
    <w:rsid w:val="007C2D59"/>
    <w:rsid w:val="007C376A"/>
    <w:rsid w:val="007C3859"/>
    <w:rsid w:val="007C3CDC"/>
    <w:rsid w:val="007C40CA"/>
    <w:rsid w:val="007C4385"/>
    <w:rsid w:val="007C43EB"/>
    <w:rsid w:val="007C489E"/>
    <w:rsid w:val="007C49BA"/>
    <w:rsid w:val="007C4D39"/>
    <w:rsid w:val="007C4D71"/>
    <w:rsid w:val="007C4E1A"/>
    <w:rsid w:val="007C591C"/>
    <w:rsid w:val="007C5D0C"/>
    <w:rsid w:val="007C6405"/>
    <w:rsid w:val="007C66E9"/>
    <w:rsid w:val="007C68A7"/>
    <w:rsid w:val="007C6F5A"/>
    <w:rsid w:val="007C71DB"/>
    <w:rsid w:val="007C7A79"/>
    <w:rsid w:val="007C7D18"/>
    <w:rsid w:val="007D090E"/>
    <w:rsid w:val="007D108A"/>
    <w:rsid w:val="007D115F"/>
    <w:rsid w:val="007D1271"/>
    <w:rsid w:val="007D13BA"/>
    <w:rsid w:val="007D1D59"/>
    <w:rsid w:val="007D2C43"/>
    <w:rsid w:val="007D2F75"/>
    <w:rsid w:val="007D383E"/>
    <w:rsid w:val="007D39A4"/>
    <w:rsid w:val="007D39D0"/>
    <w:rsid w:val="007D4010"/>
    <w:rsid w:val="007D4601"/>
    <w:rsid w:val="007D4A8E"/>
    <w:rsid w:val="007D4B60"/>
    <w:rsid w:val="007D4E06"/>
    <w:rsid w:val="007D4EED"/>
    <w:rsid w:val="007D5195"/>
    <w:rsid w:val="007D53B2"/>
    <w:rsid w:val="007D5750"/>
    <w:rsid w:val="007D5EB4"/>
    <w:rsid w:val="007D6210"/>
    <w:rsid w:val="007D6734"/>
    <w:rsid w:val="007D6B35"/>
    <w:rsid w:val="007D7613"/>
    <w:rsid w:val="007E0303"/>
    <w:rsid w:val="007E052E"/>
    <w:rsid w:val="007E063C"/>
    <w:rsid w:val="007E0A7A"/>
    <w:rsid w:val="007E0C4D"/>
    <w:rsid w:val="007E118E"/>
    <w:rsid w:val="007E1FF8"/>
    <w:rsid w:val="007E2A00"/>
    <w:rsid w:val="007E2B42"/>
    <w:rsid w:val="007E3377"/>
    <w:rsid w:val="007E360B"/>
    <w:rsid w:val="007E3E35"/>
    <w:rsid w:val="007E488B"/>
    <w:rsid w:val="007E4998"/>
    <w:rsid w:val="007E4D3F"/>
    <w:rsid w:val="007E4E0A"/>
    <w:rsid w:val="007E50C9"/>
    <w:rsid w:val="007E5141"/>
    <w:rsid w:val="007E5493"/>
    <w:rsid w:val="007E58D0"/>
    <w:rsid w:val="007E5B98"/>
    <w:rsid w:val="007E61FC"/>
    <w:rsid w:val="007E68A3"/>
    <w:rsid w:val="007E7DE9"/>
    <w:rsid w:val="007F0016"/>
    <w:rsid w:val="007F0255"/>
    <w:rsid w:val="007F07FF"/>
    <w:rsid w:val="007F0A2C"/>
    <w:rsid w:val="007F1167"/>
    <w:rsid w:val="007F1260"/>
    <w:rsid w:val="007F1329"/>
    <w:rsid w:val="007F1333"/>
    <w:rsid w:val="007F143A"/>
    <w:rsid w:val="007F1913"/>
    <w:rsid w:val="007F29BA"/>
    <w:rsid w:val="007F3078"/>
    <w:rsid w:val="007F3924"/>
    <w:rsid w:val="007F3EFF"/>
    <w:rsid w:val="007F3FB0"/>
    <w:rsid w:val="007F4B1E"/>
    <w:rsid w:val="007F4D6A"/>
    <w:rsid w:val="007F5AD6"/>
    <w:rsid w:val="007F5E85"/>
    <w:rsid w:val="007F5F5E"/>
    <w:rsid w:val="007F630E"/>
    <w:rsid w:val="007F66DB"/>
    <w:rsid w:val="007F674A"/>
    <w:rsid w:val="007F786E"/>
    <w:rsid w:val="007F7896"/>
    <w:rsid w:val="008001B7"/>
    <w:rsid w:val="008004A5"/>
    <w:rsid w:val="00800CA2"/>
    <w:rsid w:val="00800E53"/>
    <w:rsid w:val="00801964"/>
    <w:rsid w:val="00801CD4"/>
    <w:rsid w:val="00801DBC"/>
    <w:rsid w:val="00801F4D"/>
    <w:rsid w:val="00802400"/>
    <w:rsid w:val="00802FD0"/>
    <w:rsid w:val="00803064"/>
    <w:rsid w:val="00803128"/>
    <w:rsid w:val="008039F5"/>
    <w:rsid w:val="00803EA1"/>
    <w:rsid w:val="0080478D"/>
    <w:rsid w:val="00804AA8"/>
    <w:rsid w:val="0080507B"/>
    <w:rsid w:val="0080528E"/>
    <w:rsid w:val="00805C17"/>
    <w:rsid w:val="00805C48"/>
    <w:rsid w:val="00805CFE"/>
    <w:rsid w:val="0080650D"/>
    <w:rsid w:val="00806599"/>
    <w:rsid w:val="00806780"/>
    <w:rsid w:val="00806916"/>
    <w:rsid w:val="00806CD5"/>
    <w:rsid w:val="0080701A"/>
    <w:rsid w:val="00807E44"/>
    <w:rsid w:val="00807F65"/>
    <w:rsid w:val="00810654"/>
    <w:rsid w:val="008106CE"/>
    <w:rsid w:val="00810E2A"/>
    <w:rsid w:val="00810F60"/>
    <w:rsid w:val="0081109D"/>
    <w:rsid w:val="00811181"/>
    <w:rsid w:val="008112FF"/>
    <w:rsid w:val="008115A2"/>
    <w:rsid w:val="00812378"/>
    <w:rsid w:val="008123F2"/>
    <w:rsid w:val="00812A3A"/>
    <w:rsid w:val="00813196"/>
    <w:rsid w:val="008137E2"/>
    <w:rsid w:val="00813CC2"/>
    <w:rsid w:val="00813FF3"/>
    <w:rsid w:val="00813FFD"/>
    <w:rsid w:val="00814198"/>
    <w:rsid w:val="008141C2"/>
    <w:rsid w:val="008146E9"/>
    <w:rsid w:val="0081482F"/>
    <w:rsid w:val="00814890"/>
    <w:rsid w:val="008148FA"/>
    <w:rsid w:val="008149A7"/>
    <w:rsid w:val="00814B9F"/>
    <w:rsid w:val="00814C45"/>
    <w:rsid w:val="00814EEB"/>
    <w:rsid w:val="00815052"/>
    <w:rsid w:val="00815500"/>
    <w:rsid w:val="00815568"/>
    <w:rsid w:val="008158E3"/>
    <w:rsid w:val="00815ADD"/>
    <w:rsid w:val="00815C74"/>
    <w:rsid w:val="00816257"/>
    <w:rsid w:val="0081675C"/>
    <w:rsid w:val="00817164"/>
    <w:rsid w:val="00817CC6"/>
    <w:rsid w:val="00817DD8"/>
    <w:rsid w:val="00820F88"/>
    <w:rsid w:val="008213EF"/>
    <w:rsid w:val="008214A3"/>
    <w:rsid w:val="0082166F"/>
    <w:rsid w:val="008219F2"/>
    <w:rsid w:val="0082201B"/>
    <w:rsid w:val="0082225F"/>
    <w:rsid w:val="00822B7E"/>
    <w:rsid w:val="00822E9D"/>
    <w:rsid w:val="008231C3"/>
    <w:rsid w:val="00823203"/>
    <w:rsid w:val="0082322A"/>
    <w:rsid w:val="00823466"/>
    <w:rsid w:val="008235AD"/>
    <w:rsid w:val="008238C3"/>
    <w:rsid w:val="00823D23"/>
    <w:rsid w:val="00823E11"/>
    <w:rsid w:val="0082403F"/>
    <w:rsid w:val="00824496"/>
    <w:rsid w:val="0082452F"/>
    <w:rsid w:val="00824660"/>
    <w:rsid w:val="0082480B"/>
    <w:rsid w:val="00824C40"/>
    <w:rsid w:val="0082539B"/>
    <w:rsid w:val="00825623"/>
    <w:rsid w:val="00825729"/>
    <w:rsid w:val="00825987"/>
    <w:rsid w:val="008259B4"/>
    <w:rsid w:val="00825FCB"/>
    <w:rsid w:val="0082602F"/>
    <w:rsid w:val="008261A9"/>
    <w:rsid w:val="008262B1"/>
    <w:rsid w:val="00826430"/>
    <w:rsid w:val="00826698"/>
    <w:rsid w:val="00826E48"/>
    <w:rsid w:val="008275F3"/>
    <w:rsid w:val="008279CF"/>
    <w:rsid w:val="00830119"/>
    <w:rsid w:val="00830691"/>
    <w:rsid w:val="00830925"/>
    <w:rsid w:val="008309B8"/>
    <w:rsid w:val="00831798"/>
    <w:rsid w:val="00832291"/>
    <w:rsid w:val="008323C4"/>
    <w:rsid w:val="008324C4"/>
    <w:rsid w:val="008328E8"/>
    <w:rsid w:val="00832986"/>
    <w:rsid w:val="00832ADC"/>
    <w:rsid w:val="00832F0F"/>
    <w:rsid w:val="00833136"/>
    <w:rsid w:val="00833195"/>
    <w:rsid w:val="00833322"/>
    <w:rsid w:val="00833654"/>
    <w:rsid w:val="00834302"/>
    <w:rsid w:val="008348CB"/>
    <w:rsid w:val="00834994"/>
    <w:rsid w:val="00834AE5"/>
    <w:rsid w:val="00835074"/>
    <w:rsid w:val="00835411"/>
    <w:rsid w:val="008359D5"/>
    <w:rsid w:val="00835AE5"/>
    <w:rsid w:val="00835E1C"/>
    <w:rsid w:val="0083601F"/>
    <w:rsid w:val="008360BA"/>
    <w:rsid w:val="00836AFE"/>
    <w:rsid w:val="00836D81"/>
    <w:rsid w:val="0083771A"/>
    <w:rsid w:val="008378E7"/>
    <w:rsid w:val="00837A88"/>
    <w:rsid w:val="00837C96"/>
    <w:rsid w:val="00840106"/>
    <w:rsid w:val="00840201"/>
    <w:rsid w:val="0084067D"/>
    <w:rsid w:val="0084115E"/>
    <w:rsid w:val="008428B7"/>
    <w:rsid w:val="008431E1"/>
    <w:rsid w:val="00843645"/>
    <w:rsid w:val="008436CC"/>
    <w:rsid w:val="0084388A"/>
    <w:rsid w:val="00843C49"/>
    <w:rsid w:val="00843C63"/>
    <w:rsid w:val="00843DD3"/>
    <w:rsid w:val="00843EE8"/>
    <w:rsid w:val="008442EE"/>
    <w:rsid w:val="00844994"/>
    <w:rsid w:val="00845468"/>
    <w:rsid w:val="00845851"/>
    <w:rsid w:val="00845F45"/>
    <w:rsid w:val="00845F55"/>
    <w:rsid w:val="0084600B"/>
    <w:rsid w:val="0084611C"/>
    <w:rsid w:val="008468E5"/>
    <w:rsid w:val="00847211"/>
    <w:rsid w:val="00847394"/>
    <w:rsid w:val="00847DA2"/>
    <w:rsid w:val="00847DF2"/>
    <w:rsid w:val="00847E7D"/>
    <w:rsid w:val="00850933"/>
    <w:rsid w:val="00851011"/>
    <w:rsid w:val="0085108C"/>
    <w:rsid w:val="008511AA"/>
    <w:rsid w:val="00851A90"/>
    <w:rsid w:val="00851D66"/>
    <w:rsid w:val="0085210D"/>
    <w:rsid w:val="00852168"/>
    <w:rsid w:val="008523E0"/>
    <w:rsid w:val="00852A65"/>
    <w:rsid w:val="008539C0"/>
    <w:rsid w:val="00854091"/>
    <w:rsid w:val="00854809"/>
    <w:rsid w:val="00854B1D"/>
    <w:rsid w:val="00854B30"/>
    <w:rsid w:val="00855239"/>
    <w:rsid w:val="008553F5"/>
    <w:rsid w:val="0085574F"/>
    <w:rsid w:val="00855794"/>
    <w:rsid w:val="00855AD4"/>
    <w:rsid w:val="00855C88"/>
    <w:rsid w:val="00855D7E"/>
    <w:rsid w:val="00855DBC"/>
    <w:rsid w:val="008561BA"/>
    <w:rsid w:val="008562E2"/>
    <w:rsid w:val="00857709"/>
    <w:rsid w:val="008601E4"/>
    <w:rsid w:val="00860269"/>
    <w:rsid w:val="00860940"/>
    <w:rsid w:val="00860A8B"/>
    <w:rsid w:val="00860BA7"/>
    <w:rsid w:val="00860E83"/>
    <w:rsid w:val="00860F4D"/>
    <w:rsid w:val="00861841"/>
    <w:rsid w:val="00861B3C"/>
    <w:rsid w:val="00861B8F"/>
    <w:rsid w:val="00861D9F"/>
    <w:rsid w:val="00861E16"/>
    <w:rsid w:val="00862E87"/>
    <w:rsid w:val="00863949"/>
    <w:rsid w:val="00863A01"/>
    <w:rsid w:val="00863E6F"/>
    <w:rsid w:val="008642EB"/>
    <w:rsid w:val="0086457E"/>
    <w:rsid w:val="008656D4"/>
    <w:rsid w:val="0086596F"/>
    <w:rsid w:val="0086615E"/>
    <w:rsid w:val="008666FB"/>
    <w:rsid w:val="00866831"/>
    <w:rsid w:val="00866CA8"/>
    <w:rsid w:val="00866EDD"/>
    <w:rsid w:val="00866F7E"/>
    <w:rsid w:val="00870162"/>
    <w:rsid w:val="00870245"/>
    <w:rsid w:val="00870317"/>
    <w:rsid w:val="00870841"/>
    <w:rsid w:val="00870AE9"/>
    <w:rsid w:val="00870D7D"/>
    <w:rsid w:val="00871671"/>
    <w:rsid w:val="0087169E"/>
    <w:rsid w:val="008717DB"/>
    <w:rsid w:val="0087189B"/>
    <w:rsid w:val="00871F47"/>
    <w:rsid w:val="00872309"/>
    <w:rsid w:val="00872585"/>
    <w:rsid w:val="008729B8"/>
    <w:rsid w:val="00872A43"/>
    <w:rsid w:val="00872C77"/>
    <w:rsid w:val="00872E7F"/>
    <w:rsid w:val="00873144"/>
    <w:rsid w:val="00874984"/>
    <w:rsid w:val="00874BC6"/>
    <w:rsid w:val="00874E0A"/>
    <w:rsid w:val="0087512E"/>
    <w:rsid w:val="008756A8"/>
    <w:rsid w:val="00875A63"/>
    <w:rsid w:val="00875C0A"/>
    <w:rsid w:val="00875DDE"/>
    <w:rsid w:val="00876D2F"/>
    <w:rsid w:val="00877275"/>
    <w:rsid w:val="00877446"/>
    <w:rsid w:val="0087795E"/>
    <w:rsid w:val="00877BE9"/>
    <w:rsid w:val="00880287"/>
    <w:rsid w:val="008804A7"/>
    <w:rsid w:val="00881175"/>
    <w:rsid w:val="00881359"/>
    <w:rsid w:val="008813D9"/>
    <w:rsid w:val="00881411"/>
    <w:rsid w:val="00881451"/>
    <w:rsid w:val="00881853"/>
    <w:rsid w:val="008818C3"/>
    <w:rsid w:val="008818D1"/>
    <w:rsid w:val="00881E93"/>
    <w:rsid w:val="008822BC"/>
    <w:rsid w:val="00882AC0"/>
    <w:rsid w:val="00882F30"/>
    <w:rsid w:val="008832B0"/>
    <w:rsid w:val="008832D1"/>
    <w:rsid w:val="00883D6A"/>
    <w:rsid w:val="008843F3"/>
    <w:rsid w:val="0088450F"/>
    <w:rsid w:val="00884976"/>
    <w:rsid w:val="00884DEF"/>
    <w:rsid w:val="00885375"/>
    <w:rsid w:val="0088542E"/>
    <w:rsid w:val="00885659"/>
    <w:rsid w:val="00885796"/>
    <w:rsid w:val="00885A93"/>
    <w:rsid w:val="00885B80"/>
    <w:rsid w:val="00886687"/>
    <w:rsid w:val="008866D3"/>
    <w:rsid w:val="008876E1"/>
    <w:rsid w:val="0088778C"/>
    <w:rsid w:val="00887954"/>
    <w:rsid w:val="0088797C"/>
    <w:rsid w:val="0089084E"/>
    <w:rsid w:val="008909B1"/>
    <w:rsid w:val="00890E02"/>
    <w:rsid w:val="0089142E"/>
    <w:rsid w:val="008914D6"/>
    <w:rsid w:val="008918F6"/>
    <w:rsid w:val="008923DB"/>
    <w:rsid w:val="008926A2"/>
    <w:rsid w:val="00892D9F"/>
    <w:rsid w:val="008930C9"/>
    <w:rsid w:val="00893AB6"/>
    <w:rsid w:val="00893B6F"/>
    <w:rsid w:val="00893DD5"/>
    <w:rsid w:val="00893F76"/>
    <w:rsid w:val="00894139"/>
    <w:rsid w:val="00895020"/>
    <w:rsid w:val="00895722"/>
    <w:rsid w:val="00895EFE"/>
    <w:rsid w:val="0089604B"/>
    <w:rsid w:val="00896137"/>
    <w:rsid w:val="008962C1"/>
    <w:rsid w:val="0089640E"/>
    <w:rsid w:val="008966B3"/>
    <w:rsid w:val="00896D4D"/>
    <w:rsid w:val="00897DDF"/>
    <w:rsid w:val="008A01A4"/>
    <w:rsid w:val="008A0704"/>
    <w:rsid w:val="008A08BB"/>
    <w:rsid w:val="008A1102"/>
    <w:rsid w:val="008A129E"/>
    <w:rsid w:val="008A1323"/>
    <w:rsid w:val="008A17E3"/>
    <w:rsid w:val="008A1955"/>
    <w:rsid w:val="008A1A08"/>
    <w:rsid w:val="008A1A15"/>
    <w:rsid w:val="008A1DBA"/>
    <w:rsid w:val="008A2505"/>
    <w:rsid w:val="008A2962"/>
    <w:rsid w:val="008A2AFE"/>
    <w:rsid w:val="008A2D49"/>
    <w:rsid w:val="008A3AD8"/>
    <w:rsid w:val="008A4F2B"/>
    <w:rsid w:val="008A5CB4"/>
    <w:rsid w:val="008A621E"/>
    <w:rsid w:val="008A6393"/>
    <w:rsid w:val="008A6E98"/>
    <w:rsid w:val="008A76A2"/>
    <w:rsid w:val="008B0127"/>
    <w:rsid w:val="008B0419"/>
    <w:rsid w:val="008B0F75"/>
    <w:rsid w:val="008B1444"/>
    <w:rsid w:val="008B1573"/>
    <w:rsid w:val="008B1C94"/>
    <w:rsid w:val="008B1EEE"/>
    <w:rsid w:val="008B2351"/>
    <w:rsid w:val="008B253D"/>
    <w:rsid w:val="008B2F54"/>
    <w:rsid w:val="008B2FD0"/>
    <w:rsid w:val="008B318D"/>
    <w:rsid w:val="008B3352"/>
    <w:rsid w:val="008B3377"/>
    <w:rsid w:val="008B34E0"/>
    <w:rsid w:val="008B3E86"/>
    <w:rsid w:val="008B4B17"/>
    <w:rsid w:val="008B4DEB"/>
    <w:rsid w:val="008B51B3"/>
    <w:rsid w:val="008B57F9"/>
    <w:rsid w:val="008B5991"/>
    <w:rsid w:val="008B5A2C"/>
    <w:rsid w:val="008B6120"/>
    <w:rsid w:val="008B62A6"/>
    <w:rsid w:val="008B6A1F"/>
    <w:rsid w:val="008B6BB4"/>
    <w:rsid w:val="008B73A3"/>
    <w:rsid w:val="008B7C8D"/>
    <w:rsid w:val="008C08A4"/>
    <w:rsid w:val="008C0C26"/>
    <w:rsid w:val="008C0C99"/>
    <w:rsid w:val="008C0EC1"/>
    <w:rsid w:val="008C0FA3"/>
    <w:rsid w:val="008C1B19"/>
    <w:rsid w:val="008C1CB6"/>
    <w:rsid w:val="008C1EA3"/>
    <w:rsid w:val="008C219F"/>
    <w:rsid w:val="008C2ED1"/>
    <w:rsid w:val="008C38F9"/>
    <w:rsid w:val="008C3C0C"/>
    <w:rsid w:val="008C3EB9"/>
    <w:rsid w:val="008C4A01"/>
    <w:rsid w:val="008C4B40"/>
    <w:rsid w:val="008C4CFD"/>
    <w:rsid w:val="008C4E6A"/>
    <w:rsid w:val="008C4F48"/>
    <w:rsid w:val="008C55EE"/>
    <w:rsid w:val="008C5619"/>
    <w:rsid w:val="008C5752"/>
    <w:rsid w:val="008C5AAA"/>
    <w:rsid w:val="008C5B8C"/>
    <w:rsid w:val="008C5E96"/>
    <w:rsid w:val="008C6078"/>
    <w:rsid w:val="008C61B2"/>
    <w:rsid w:val="008C64AC"/>
    <w:rsid w:val="008C72DD"/>
    <w:rsid w:val="008C74D6"/>
    <w:rsid w:val="008C74F5"/>
    <w:rsid w:val="008C75DB"/>
    <w:rsid w:val="008C78D7"/>
    <w:rsid w:val="008C7F4A"/>
    <w:rsid w:val="008D052B"/>
    <w:rsid w:val="008D093C"/>
    <w:rsid w:val="008D0B29"/>
    <w:rsid w:val="008D0DC3"/>
    <w:rsid w:val="008D1564"/>
    <w:rsid w:val="008D1698"/>
    <w:rsid w:val="008D18CD"/>
    <w:rsid w:val="008D1D5D"/>
    <w:rsid w:val="008D21E0"/>
    <w:rsid w:val="008D2229"/>
    <w:rsid w:val="008D2D0E"/>
    <w:rsid w:val="008D2DB9"/>
    <w:rsid w:val="008D2E3B"/>
    <w:rsid w:val="008D313E"/>
    <w:rsid w:val="008D3321"/>
    <w:rsid w:val="008D3480"/>
    <w:rsid w:val="008D3F75"/>
    <w:rsid w:val="008D45BF"/>
    <w:rsid w:val="008D4A4A"/>
    <w:rsid w:val="008D4BD6"/>
    <w:rsid w:val="008D4C09"/>
    <w:rsid w:val="008D4E89"/>
    <w:rsid w:val="008D507E"/>
    <w:rsid w:val="008D51D3"/>
    <w:rsid w:val="008D565A"/>
    <w:rsid w:val="008D61F3"/>
    <w:rsid w:val="008D6439"/>
    <w:rsid w:val="008D64F5"/>
    <w:rsid w:val="008D6641"/>
    <w:rsid w:val="008D6B5C"/>
    <w:rsid w:val="008D6F42"/>
    <w:rsid w:val="008D7054"/>
    <w:rsid w:val="008D7196"/>
    <w:rsid w:val="008D791C"/>
    <w:rsid w:val="008D7CDB"/>
    <w:rsid w:val="008D7DE6"/>
    <w:rsid w:val="008E00B8"/>
    <w:rsid w:val="008E08E2"/>
    <w:rsid w:val="008E1708"/>
    <w:rsid w:val="008E1E5A"/>
    <w:rsid w:val="008E20AC"/>
    <w:rsid w:val="008E22FF"/>
    <w:rsid w:val="008E278A"/>
    <w:rsid w:val="008E2974"/>
    <w:rsid w:val="008E2BA0"/>
    <w:rsid w:val="008E2EA9"/>
    <w:rsid w:val="008E319C"/>
    <w:rsid w:val="008E31E5"/>
    <w:rsid w:val="008E320D"/>
    <w:rsid w:val="008E3338"/>
    <w:rsid w:val="008E34D8"/>
    <w:rsid w:val="008E368C"/>
    <w:rsid w:val="008E3D03"/>
    <w:rsid w:val="008E3D0F"/>
    <w:rsid w:val="008E4625"/>
    <w:rsid w:val="008E481C"/>
    <w:rsid w:val="008E4BAF"/>
    <w:rsid w:val="008E4D05"/>
    <w:rsid w:val="008E51CB"/>
    <w:rsid w:val="008E53F5"/>
    <w:rsid w:val="008E5B36"/>
    <w:rsid w:val="008E5BC7"/>
    <w:rsid w:val="008E6174"/>
    <w:rsid w:val="008E6861"/>
    <w:rsid w:val="008E6B11"/>
    <w:rsid w:val="008E6B47"/>
    <w:rsid w:val="008E6DA5"/>
    <w:rsid w:val="008E715C"/>
    <w:rsid w:val="008E79A5"/>
    <w:rsid w:val="008E7EC7"/>
    <w:rsid w:val="008F09CA"/>
    <w:rsid w:val="008F0AFD"/>
    <w:rsid w:val="008F0F9A"/>
    <w:rsid w:val="008F15D9"/>
    <w:rsid w:val="008F16F9"/>
    <w:rsid w:val="008F1811"/>
    <w:rsid w:val="008F2C35"/>
    <w:rsid w:val="008F2F9E"/>
    <w:rsid w:val="008F3255"/>
    <w:rsid w:val="008F3350"/>
    <w:rsid w:val="008F3473"/>
    <w:rsid w:val="008F37F9"/>
    <w:rsid w:val="008F3DB1"/>
    <w:rsid w:val="008F435A"/>
    <w:rsid w:val="008F45BA"/>
    <w:rsid w:val="008F48C5"/>
    <w:rsid w:val="008F583B"/>
    <w:rsid w:val="008F5E0E"/>
    <w:rsid w:val="008F5E6B"/>
    <w:rsid w:val="008F629E"/>
    <w:rsid w:val="008F67C8"/>
    <w:rsid w:val="008F7592"/>
    <w:rsid w:val="008F76FC"/>
    <w:rsid w:val="008F7DF3"/>
    <w:rsid w:val="0090026B"/>
    <w:rsid w:val="00900A81"/>
    <w:rsid w:val="009013C4"/>
    <w:rsid w:val="009016D3"/>
    <w:rsid w:val="0090183B"/>
    <w:rsid w:val="00901BD1"/>
    <w:rsid w:val="00901F48"/>
    <w:rsid w:val="009024B7"/>
    <w:rsid w:val="00902542"/>
    <w:rsid w:val="00902AB9"/>
    <w:rsid w:val="00902BDC"/>
    <w:rsid w:val="00902CE6"/>
    <w:rsid w:val="00902E70"/>
    <w:rsid w:val="00902F94"/>
    <w:rsid w:val="0090303E"/>
    <w:rsid w:val="0090328C"/>
    <w:rsid w:val="00903A89"/>
    <w:rsid w:val="00903AA5"/>
    <w:rsid w:val="00903D7A"/>
    <w:rsid w:val="00903E14"/>
    <w:rsid w:val="0090414F"/>
    <w:rsid w:val="009041E0"/>
    <w:rsid w:val="0090425F"/>
    <w:rsid w:val="00904578"/>
    <w:rsid w:val="00904876"/>
    <w:rsid w:val="00904891"/>
    <w:rsid w:val="0090523A"/>
    <w:rsid w:val="00905456"/>
    <w:rsid w:val="00905513"/>
    <w:rsid w:val="00905B21"/>
    <w:rsid w:val="009060E9"/>
    <w:rsid w:val="0090786A"/>
    <w:rsid w:val="00907B4B"/>
    <w:rsid w:val="00912551"/>
    <w:rsid w:val="00912B5C"/>
    <w:rsid w:val="0091354F"/>
    <w:rsid w:val="00913665"/>
    <w:rsid w:val="00913E20"/>
    <w:rsid w:val="009144B5"/>
    <w:rsid w:val="009149B3"/>
    <w:rsid w:val="009150F9"/>
    <w:rsid w:val="0091591F"/>
    <w:rsid w:val="00915B80"/>
    <w:rsid w:val="00915E8A"/>
    <w:rsid w:val="00915F0C"/>
    <w:rsid w:val="00916A3D"/>
    <w:rsid w:val="00916D6A"/>
    <w:rsid w:val="0091700A"/>
    <w:rsid w:val="00917628"/>
    <w:rsid w:val="00920459"/>
    <w:rsid w:val="00920477"/>
    <w:rsid w:val="00920950"/>
    <w:rsid w:val="00920998"/>
    <w:rsid w:val="00920C10"/>
    <w:rsid w:val="00921E35"/>
    <w:rsid w:val="0092285B"/>
    <w:rsid w:val="00922FD5"/>
    <w:rsid w:val="00923226"/>
    <w:rsid w:val="009232E6"/>
    <w:rsid w:val="00923873"/>
    <w:rsid w:val="00923A51"/>
    <w:rsid w:val="0092413A"/>
    <w:rsid w:val="0092414F"/>
    <w:rsid w:val="0092460C"/>
    <w:rsid w:val="00924D5C"/>
    <w:rsid w:val="00924D66"/>
    <w:rsid w:val="00924F06"/>
    <w:rsid w:val="00925130"/>
    <w:rsid w:val="009251E3"/>
    <w:rsid w:val="00925493"/>
    <w:rsid w:val="009259E2"/>
    <w:rsid w:val="00925ED5"/>
    <w:rsid w:val="00925F62"/>
    <w:rsid w:val="00926FE0"/>
    <w:rsid w:val="00930465"/>
    <w:rsid w:val="009306BF"/>
    <w:rsid w:val="009309A0"/>
    <w:rsid w:val="00930F5E"/>
    <w:rsid w:val="0093133C"/>
    <w:rsid w:val="00931438"/>
    <w:rsid w:val="00931E65"/>
    <w:rsid w:val="00931EC5"/>
    <w:rsid w:val="0093280D"/>
    <w:rsid w:val="00932A14"/>
    <w:rsid w:val="00932F4E"/>
    <w:rsid w:val="0093329A"/>
    <w:rsid w:val="00933372"/>
    <w:rsid w:val="009333AC"/>
    <w:rsid w:val="009334E8"/>
    <w:rsid w:val="00933638"/>
    <w:rsid w:val="00933834"/>
    <w:rsid w:val="00933CD2"/>
    <w:rsid w:val="00933D7F"/>
    <w:rsid w:val="00933F30"/>
    <w:rsid w:val="00934449"/>
    <w:rsid w:val="00934549"/>
    <w:rsid w:val="009346C8"/>
    <w:rsid w:val="009348AB"/>
    <w:rsid w:val="009351BB"/>
    <w:rsid w:val="0093533D"/>
    <w:rsid w:val="00935B4B"/>
    <w:rsid w:val="00935B97"/>
    <w:rsid w:val="00935C79"/>
    <w:rsid w:val="00935DC9"/>
    <w:rsid w:val="0093609E"/>
    <w:rsid w:val="009370B7"/>
    <w:rsid w:val="00940095"/>
    <w:rsid w:val="0094038E"/>
    <w:rsid w:val="009406A0"/>
    <w:rsid w:val="00940BB8"/>
    <w:rsid w:val="00940D10"/>
    <w:rsid w:val="00940D8C"/>
    <w:rsid w:val="009411E7"/>
    <w:rsid w:val="009414D6"/>
    <w:rsid w:val="00941C1A"/>
    <w:rsid w:val="00942977"/>
    <w:rsid w:val="009434BC"/>
    <w:rsid w:val="00943653"/>
    <w:rsid w:val="00943888"/>
    <w:rsid w:val="00943F88"/>
    <w:rsid w:val="00943FF9"/>
    <w:rsid w:val="009442E7"/>
    <w:rsid w:val="00944921"/>
    <w:rsid w:val="00944BA2"/>
    <w:rsid w:val="00945FF0"/>
    <w:rsid w:val="009467B8"/>
    <w:rsid w:val="00946875"/>
    <w:rsid w:val="00946950"/>
    <w:rsid w:val="009504C9"/>
    <w:rsid w:val="00950900"/>
    <w:rsid w:val="0095093E"/>
    <w:rsid w:val="00950CED"/>
    <w:rsid w:val="00950EEE"/>
    <w:rsid w:val="0095145A"/>
    <w:rsid w:val="009518C0"/>
    <w:rsid w:val="00952437"/>
    <w:rsid w:val="00952EE1"/>
    <w:rsid w:val="00953108"/>
    <w:rsid w:val="00953D2F"/>
    <w:rsid w:val="00953EB7"/>
    <w:rsid w:val="009541C9"/>
    <w:rsid w:val="009549BB"/>
    <w:rsid w:val="00954A01"/>
    <w:rsid w:val="00954B70"/>
    <w:rsid w:val="009558EF"/>
    <w:rsid w:val="009558F7"/>
    <w:rsid w:val="00955941"/>
    <w:rsid w:val="00955CDD"/>
    <w:rsid w:val="00955E85"/>
    <w:rsid w:val="009567E4"/>
    <w:rsid w:val="00956803"/>
    <w:rsid w:val="00956828"/>
    <w:rsid w:val="00956BCD"/>
    <w:rsid w:val="00956DAF"/>
    <w:rsid w:val="00957027"/>
    <w:rsid w:val="00960202"/>
    <w:rsid w:val="00960321"/>
    <w:rsid w:val="009604E6"/>
    <w:rsid w:val="00960D74"/>
    <w:rsid w:val="00960EAF"/>
    <w:rsid w:val="00961009"/>
    <w:rsid w:val="00961535"/>
    <w:rsid w:val="009615CB"/>
    <w:rsid w:val="009615FB"/>
    <w:rsid w:val="009619AC"/>
    <w:rsid w:val="00961EEC"/>
    <w:rsid w:val="00961F65"/>
    <w:rsid w:val="00962192"/>
    <w:rsid w:val="0096222F"/>
    <w:rsid w:val="00962445"/>
    <w:rsid w:val="00962796"/>
    <w:rsid w:val="00962DD4"/>
    <w:rsid w:val="009631A1"/>
    <w:rsid w:val="009645D3"/>
    <w:rsid w:val="00965F75"/>
    <w:rsid w:val="009661ED"/>
    <w:rsid w:val="0096672C"/>
    <w:rsid w:val="00966C8C"/>
    <w:rsid w:val="00966DA2"/>
    <w:rsid w:val="00966F62"/>
    <w:rsid w:val="0096736E"/>
    <w:rsid w:val="00967859"/>
    <w:rsid w:val="00967F54"/>
    <w:rsid w:val="009703C9"/>
    <w:rsid w:val="00970590"/>
    <w:rsid w:val="00970650"/>
    <w:rsid w:val="009706BD"/>
    <w:rsid w:val="00971709"/>
    <w:rsid w:val="009717CC"/>
    <w:rsid w:val="00971819"/>
    <w:rsid w:val="0097185C"/>
    <w:rsid w:val="00971E02"/>
    <w:rsid w:val="00971F01"/>
    <w:rsid w:val="00972026"/>
    <w:rsid w:val="00972295"/>
    <w:rsid w:val="00972454"/>
    <w:rsid w:val="00972469"/>
    <w:rsid w:val="00972D5D"/>
    <w:rsid w:val="00972E04"/>
    <w:rsid w:val="009739DF"/>
    <w:rsid w:val="00973C76"/>
    <w:rsid w:val="0097471B"/>
    <w:rsid w:val="00974D7A"/>
    <w:rsid w:val="00975366"/>
    <w:rsid w:val="0097551D"/>
    <w:rsid w:val="0097583B"/>
    <w:rsid w:val="00975954"/>
    <w:rsid w:val="00975CE0"/>
    <w:rsid w:val="009760C7"/>
    <w:rsid w:val="009767C9"/>
    <w:rsid w:val="00976A1A"/>
    <w:rsid w:val="00976D59"/>
    <w:rsid w:val="00976EA2"/>
    <w:rsid w:val="00977366"/>
    <w:rsid w:val="009802D7"/>
    <w:rsid w:val="00980301"/>
    <w:rsid w:val="00980310"/>
    <w:rsid w:val="00980370"/>
    <w:rsid w:val="00980EE5"/>
    <w:rsid w:val="009812D4"/>
    <w:rsid w:val="009813E3"/>
    <w:rsid w:val="00981470"/>
    <w:rsid w:val="009814FD"/>
    <w:rsid w:val="0098195D"/>
    <w:rsid w:val="00981A9B"/>
    <w:rsid w:val="00982277"/>
    <w:rsid w:val="0098247C"/>
    <w:rsid w:val="0098251C"/>
    <w:rsid w:val="0098277B"/>
    <w:rsid w:val="0098291D"/>
    <w:rsid w:val="00982A78"/>
    <w:rsid w:val="00982FF8"/>
    <w:rsid w:val="00983701"/>
    <w:rsid w:val="00983A57"/>
    <w:rsid w:val="00983C04"/>
    <w:rsid w:val="00983CFE"/>
    <w:rsid w:val="00983F34"/>
    <w:rsid w:val="00984162"/>
    <w:rsid w:val="009844BD"/>
    <w:rsid w:val="009844C2"/>
    <w:rsid w:val="009845F9"/>
    <w:rsid w:val="0098483D"/>
    <w:rsid w:val="00984CCC"/>
    <w:rsid w:val="00984DAD"/>
    <w:rsid w:val="00984E76"/>
    <w:rsid w:val="009850CC"/>
    <w:rsid w:val="00985654"/>
    <w:rsid w:val="009856BF"/>
    <w:rsid w:val="00985EE7"/>
    <w:rsid w:val="00986B4C"/>
    <w:rsid w:val="00986E4B"/>
    <w:rsid w:val="00987494"/>
    <w:rsid w:val="009876A7"/>
    <w:rsid w:val="0098795D"/>
    <w:rsid w:val="00987A05"/>
    <w:rsid w:val="0099046B"/>
    <w:rsid w:val="009914A2"/>
    <w:rsid w:val="0099161F"/>
    <w:rsid w:val="0099179B"/>
    <w:rsid w:val="009917D2"/>
    <w:rsid w:val="00991839"/>
    <w:rsid w:val="00991C40"/>
    <w:rsid w:val="00991D86"/>
    <w:rsid w:val="0099244E"/>
    <w:rsid w:val="009924C2"/>
    <w:rsid w:val="0099256E"/>
    <w:rsid w:val="00992677"/>
    <w:rsid w:val="00992882"/>
    <w:rsid w:val="00992DFD"/>
    <w:rsid w:val="00993427"/>
    <w:rsid w:val="00995055"/>
    <w:rsid w:val="009950D2"/>
    <w:rsid w:val="009950EB"/>
    <w:rsid w:val="009953F5"/>
    <w:rsid w:val="00995564"/>
    <w:rsid w:val="00995725"/>
    <w:rsid w:val="00996288"/>
    <w:rsid w:val="009966F0"/>
    <w:rsid w:val="00996834"/>
    <w:rsid w:val="00996871"/>
    <w:rsid w:val="00996946"/>
    <w:rsid w:val="00996974"/>
    <w:rsid w:val="00996ADA"/>
    <w:rsid w:val="0099714C"/>
    <w:rsid w:val="009972F9"/>
    <w:rsid w:val="009974B8"/>
    <w:rsid w:val="009977E3"/>
    <w:rsid w:val="009A008B"/>
    <w:rsid w:val="009A00FD"/>
    <w:rsid w:val="009A0A6C"/>
    <w:rsid w:val="009A11DB"/>
    <w:rsid w:val="009A12C0"/>
    <w:rsid w:val="009A14F1"/>
    <w:rsid w:val="009A1C85"/>
    <w:rsid w:val="009A218D"/>
    <w:rsid w:val="009A2680"/>
    <w:rsid w:val="009A2853"/>
    <w:rsid w:val="009A29A7"/>
    <w:rsid w:val="009A2C86"/>
    <w:rsid w:val="009A2E8B"/>
    <w:rsid w:val="009A30E5"/>
    <w:rsid w:val="009A3185"/>
    <w:rsid w:val="009A35D9"/>
    <w:rsid w:val="009A37E4"/>
    <w:rsid w:val="009A3DE8"/>
    <w:rsid w:val="009A4215"/>
    <w:rsid w:val="009A45BF"/>
    <w:rsid w:val="009A47B6"/>
    <w:rsid w:val="009A48B2"/>
    <w:rsid w:val="009A4BE0"/>
    <w:rsid w:val="009A53D6"/>
    <w:rsid w:val="009A59A8"/>
    <w:rsid w:val="009A59DE"/>
    <w:rsid w:val="009A5A60"/>
    <w:rsid w:val="009A63B1"/>
    <w:rsid w:val="009A64B3"/>
    <w:rsid w:val="009A6605"/>
    <w:rsid w:val="009A66E2"/>
    <w:rsid w:val="009A6A3D"/>
    <w:rsid w:val="009A70BB"/>
    <w:rsid w:val="009A779A"/>
    <w:rsid w:val="009A7FE7"/>
    <w:rsid w:val="009B0153"/>
    <w:rsid w:val="009B055D"/>
    <w:rsid w:val="009B0C5F"/>
    <w:rsid w:val="009B244C"/>
    <w:rsid w:val="009B2590"/>
    <w:rsid w:val="009B31EC"/>
    <w:rsid w:val="009B335F"/>
    <w:rsid w:val="009B33F7"/>
    <w:rsid w:val="009B344D"/>
    <w:rsid w:val="009B36E1"/>
    <w:rsid w:val="009B38E9"/>
    <w:rsid w:val="009B4061"/>
    <w:rsid w:val="009B4450"/>
    <w:rsid w:val="009B4867"/>
    <w:rsid w:val="009B4CAF"/>
    <w:rsid w:val="009B4DC6"/>
    <w:rsid w:val="009B54B1"/>
    <w:rsid w:val="009B5832"/>
    <w:rsid w:val="009B5D9C"/>
    <w:rsid w:val="009B663D"/>
    <w:rsid w:val="009B66BD"/>
    <w:rsid w:val="009B67E6"/>
    <w:rsid w:val="009B6876"/>
    <w:rsid w:val="009B704B"/>
    <w:rsid w:val="009B76DD"/>
    <w:rsid w:val="009B7737"/>
    <w:rsid w:val="009B7E37"/>
    <w:rsid w:val="009C01BD"/>
    <w:rsid w:val="009C0226"/>
    <w:rsid w:val="009C0302"/>
    <w:rsid w:val="009C12CD"/>
    <w:rsid w:val="009C19F0"/>
    <w:rsid w:val="009C1BA7"/>
    <w:rsid w:val="009C1C72"/>
    <w:rsid w:val="009C1D55"/>
    <w:rsid w:val="009C2001"/>
    <w:rsid w:val="009C2455"/>
    <w:rsid w:val="009C2957"/>
    <w:rsid w:val="009C2A8D"/>
    <w:rsid w:val="009C3356"/>
    <w:rsid w:val="009C3DD1"/>
    <w:rsid w:val="009C41A6"/>
    <w:rsid w:val="009C49C4"/>
    <w:rsid w:val="009C4BA0"/>
    <w:rsid w:val="009C50DD"/>
    <w:rsid w:val="009C5A90"/>
    <w:rsid w:val="009C5C71"/>
    <w:rsid w:val="009C61EE"/>
    <w:rsid w:val="009C6423"/>
    <w:rsid w:val="009C665E"/>
    <w:rsid w:val="009C6C6F"/>
    <w:rsid w:val="009C73C8"/>
    <w:rsid w:val="009C7D63"/>
    <w:rsid w:val="009D0F4B"/>
    <w:rsid w:val="009D10D5"/>
    <w:rsid w:val="009D13A9"/>
    <w:rsid w:val="009D13D1"/>
    <w:rsid w:val="009D13FA"/>
    <w:rsid w:val="009D1417"/>
    <w:rsid w:val="009D172E"/>
    <w:rsid w:val="009D1B97"/>
    <w:rsid w:val="009D2334"/>
    <w:rsid w:val="009D272F"/>
    <w:rsid w:val="009D2816"/>
    <w:rsid w:val="009D2947"/>
    <w:rsid w:val="009D3011"/>
    <w:rsid w:val="009D34FD"/>
    <w:rsid w:val="009D4988"/>
    <w:rsid w:val="009D5061"/>
    <w:rsid w:val="009D5127"/>
    <w:rsid w:val="009D51F2"/>
    <w:rsid w:val="009D560A"/>
    <w:rsid w:val="009D5A58"/>
    <w:rsid w:val="009D5B9A"/>
    <w:rsid w:val="009D5BC5"/>
    <w:rsid w:val="009D63D8"/>
    <w:rsid w:val="009D6FF9"/>
    <w:rsid w:val="009D729D"/>
    <w:rsid w:val="009D741C"/>
    <w:rsid w:val="009E0565"/>
    <w:rsid w:val="009E06E5"/>
    <w:rsid w:val="009E0D2D"/>
    <w:rsid w:val="009E1353"/>
    <w:rsid w:val="009E1543"/>
    <w:rsid w:val="009E1AC4"/>
    <w:rsid w:val="009E1C9E"/>
    <w:rsid w:val="009E2111"/>
    <w:rsid w:val="009E26F0"/>
    <w:rsid w:val="009E29BD"/>
    <w:rsid w:val="009E2ACB"/>
    <w:rsid w:val="009E2CAB"/>
    <w:rsid w:val="009E2E7A"/>
    <w:rsid w:val="009E45D9"/>
    <w:rsid w:val="009E478B"/>
    <w:rsid w:val="009E5BF7"/>
    <w:rsid w:val="009E626F"/>
    <w:rsid w:val="009E6754"/>
    <w:rsid w:val="009E7089"/>
    <w:rsid w:val="009E7306"/>
    <w:rsid w:val="009E76D7"/>
    <w:rsid w:val="009E7982"/>
    <w:rsid w:val="009F00B2"/>
    <w:rsid w:val="009F067D"/>
    <w:rsid w:val="009F0862"/>
    <w:rsid w:val="009F1124"/>
    <w:rsid w:val="009F15B6"/>
    <w:rsid w:val="009F29D9"/>
    <w:rsid w:val="009F2E1E"/>
    <w:rsid w:val="009F34AB"/>
    <w:rsid w:val="009F418F"/>
    <w:rsid w:val="009F4487"/>
    <w:rsid w:val="009F4793"/>
    <w:rsid w:val="009F4986"/>
    <w:rsid w:val="009F4A62"/>
    <w:rsid w:val="009F4BFE"/>
    <w:rsid w:val="009F4C35"/>
    <w:rsid w:val="009F5296"/>
    <w:rsid w:val="009F52DA"/>
    <w:rsid w:val="009F5693"/>
    <w:rsid w:val="009F57B7"/>
    <w:rsid w:val="009F58B8"/>
    <w:rsid w:val="009F65E4"/>
    <w:rsid w:val="009F6730"/>
    <w:rsid w:val="009F6752"/>
    <w:rsid w:val="009F6C44"/>
    <w:rsid w:val="009F72F3"/>
    <w:rsid w:val="009F76D1"/>
    <w:rsid w:val="009F7773"/>
    <w:rsid w:val="009F7792"/>
    <w:rsid w:val="00A00400"/>
    <w:rsid w:val="00A00753"/>
    <w:rsid w:val="00A00788"/>
    <w:rsid w:val="00A0084B"/>
    <w:rsid w:val="00A00975"/>
    <w:rsid w:val="00A00A81"/>
    <w:rsid w:val="00A00AFD"/>
    <w:rsid w:val="00A00D44"/>
    <w:rsid w:val="00A01560"/>
    <w:rsid w:val="00A015B0"/>
    <w:rsid w:val="00A0206A"/>
    <w:rsid w:val="00A02675"/>
    <w:rsid w:val="00A026A3"/>
    <w:rsid w:val="00A02B63"/>
    <w:rsid w:val="00A02F12"/>
    <w:rsid w:val="00A0303E"/>
    <w:rsid w:val="00A0305B"/>
    <w:rsid w:val="00A03598"/>
    <w:rsid w:val="00A03815"/>
    <w:rsid w:val="00A038A9"/>
    <w:rsid w:val="00A03B81"/>
    <w:rsid w:val="00A03B88"/>
    <w:rsid w:val="00A03FC3"/>
    <w:rsid w:val="00A049FA"/>
    <w:rsid w:val="00A04FF7"/>
    <w:rsid w:val="00A0597D"/>
    <w:rsid w:val="00A05992"/>
    <w:rsid w:val="00A05B84"/>
    <w:rsid w:val="00A05C48"/>
    <w:rsid w:val="00A05FAE"/>
    <w:rsid w:val="00A06A95"/>
    <w:rsid w:val="00A06EFF"/>
    <w:rsid w:val="00A06F7B"/>
    <w:rsid w:val="00A074E7"/>
    <w:rsid w:val="00A07CF2"/>
    <w:rsid w:val="00A10867"/>
    <w:rsid w:val="00A108C9"/>
    <w:rsid w:val="00A10C1B"/>
    <w:rsid w:val="00A1122B"/>
    <w:rsid w:val="00A1128B"/>
    <w:rsid w:val="00A12A70"/>
    <w:rsid w:val="00A12ED1"/>
    <w:rsid w:val="00A1320A"/>
    <w:rsid w:val="00A1329F"/>
    <w:rsid w:val="00A13ADC"/>
    <w:rsid w:val="00A13BD5"/>
    <w:rsid w:val="00A13BD9"/>
    <w:rsid w:val="00A13CCB"/>
    <w:rsid w:val="00A14072"/>
    <w:rsid w:val="00A142DE"/>
    <w:rsid w:val="00A14672"/>
    <w:rsid w:val="00A14B70"/>
    <w:rsid w:val="00A15379"/>
    <w:rsid w:val="00A155E0"/>
    <w:rsid w:val="00A1583D"/>
    <w:rsid w:val="00A15D69"/>
    <w:rsid w:val="00A16566"/>
    <w:rsid w:val="00A16924"/>
    <w:rsid w:val="00A16990"/>
    <w:rsid w:val="00A16C81"/>
    <w:rsid w:val="00A16F43"/>
    <w:rsid w:val="00A16FCC"/>
    <w:rsid w:val="00A171C7"/>
    <w:rsid w:val="00A175A2"/>
    <w:rsid w:val="00A17B34"/>
    <w:rsid w:val="00A20618"/>
    <w:rsid w:val="00A20AB2"/>
    <w:rsid w:val="00A21E16"/>
    <w:rsid w:val="00A227E6"/>
    <w:rsid w:val="00A231C9"/>
    <w:rsid w:val="00A23358"/>
    <w:rsid w:val="00A233F3"/>
    <w:rsid w:val="00A23748"/>
    <w:rsid w:val="00A23CE4"/>
    <w:rsid w:val="00A24D43"/>
    <w:rsid w:val="00A24D90"/>
    <w:rsid w:val="00A2534C"/>
    <w:rsid w:val="00A254D5"/>
    <w:rsid w:val="00A258AD"/>
    <w:rsid w:val="00A2636E"/>
    <w:rsid w:val="00A2669B"/>
    <w:rsid w:val="00A26A02"/>
    <w:rsid w:val="00A26A12"/>
    <w:rsid w:val="00A26A13"/>
    <w:rsid w:val="00A26AAD"/>
    <w:rsid w:val="00A27485"/>
    <w:rsid w:val="00A274D5"/>
    <w:rsid w:val="00A276BC"/>
    <w:rsid w:val="00A27C5B"/>
    <w:rsid w:val="00A30133"/>
    <w:rsid w:val="00A30270"/>
    <w:rsid w:val="00A302CE"/>
    <w:rsid w:val="00A30427"/>
    <w:rsid w:val="00A3081A"/>
    <w:rsid w:val="00A30998"/>
    <w:rsid w:val="00A31101"/>
    <w:rsid w:val="00A312D0"/>
    <w:rsid w:val="00A3131F"/>
    <w:rsid w:val="00A31708"/>
    <w:rsid w:val="00A31941"/>
    <w:rsid w:val="00A31AB7"/>
    <w:rsid w:val="00A31EB3"/>
    <w:rsid w:val="00A31EB5"/>
    <w:rsid w:val="00A31F1D"/>
    <w:rsid w:val="00A31FF1"/>
    <w:rsid w:val="00A323A0"/>
    <w:rsid w:val="00A32420"/>
    <w:rsid w:val="00A32D89"/>
    <w:rsid w:val="00A33187"/>
    <w:rsid w:val="00A33420"/>
    <w:rsid w:val="00A341BE"/>
    <w:rsid w:val="00A34252"/>
    <w:rsid w:val="00A343FD"/>
    <w:rsid w:val="00A344BD"/>
    <w:rsid w:val="00A3494E"/>
    <w:rsid w:val="00A34980"/>
    <w:rsid w:val="00A34AD7"/>
    <w:rsid w:val="00A34DA9"/>
    <w:rsid w:val="00A34F17"/>
    <w:rsid w:val="00A35058"/>
    <w:rsid w:val="00A3521D"/>
    <w:rsid w:val="00A35492"/>
    <w:rsid w:val="00A35550"/>
    <w:rsid w:val="00A358F6"/>
    <w:rsid w:val="00A35A22"/>
    <w:rsid w:val="00A35A60"/>
    <w:rsid w:val="00A35C27"/>
    <w:rsid w:val="00A3609B"/>
    <w:rsid w:val="00A361E4"/>
    <w:rsid w:val="00A3635D"/>
    <w:rsid w:val="00A364FE"/>
    <w:rsid w:val="00A366A6"/>
    <w:rsid w:val="00A36799"/>
    <w:rsid w:val="00A36BEF"/>
    <w:rsid w:val="00A36CEB"/>
    <w:rsid w:val="00A372E4"/>
    <w:rsid w:val="00A373A6"/>
    <w:rsid w:val="00A37580"/>
    <w:rsid w:val="00A375EB"/>
    <w:rsid w:val="00A378DF"/>
    <w:rsid w:val="00A37CB9"/>
    <w:rsid w:val="00A406D3"/>
    <w:rsid w:val="00A4197D"/>
    <w:rsid w:val="00A424BE"/>
    <w:rsid w:val="00A42595"/>
    <w:rsid w:val="00A42A20"/>
    <w:rsid w:val="00A42BE6"/>
    <w:rsid w:val="00A42CB5"/>
    <w:rsid w:val="00A42FBF"/>
    <w:rsid w:val="00A43763"/>
    <w:rsid w:val="00A438A4"/>
    <w:rsid w:val="00A43E88"/>
    <w:rsid w:val="00A44203"/>
    <w:rsid w:val="00A44D6F"/>
    <w:rsid w:val="00A4532C"/>
    <w:rsid w:val="00A45995"/>
    <w:rsid w:val="00A462A4"/>
    <w:rsid w:val="00A46A45"/>
    <w:rsid w:val="00A47737"/>
    <w:rsid w:val="00A47905"/>
    <w:rsid w:val="00A504E5"/>
    <w:rsid w:val="00A508A2"/>
    <w:rsid w:val="00A50C33"/>
    <w:rsid w:val="00A528C8"/>
    <w:rsid w:val="00A529D9"/>
    <w:rsid w:val="00A52DBB"/>
    <w:rsid w:val="00A53148"/>
    <w:rsid w:val="00A534AE"/>
    <w:rsid w:val="00A53E34"/>
    <w:rsid w:val="00A53E7A"/>
    <w:rsid w:val="00A53F4D"/>
    <w:rsid w:val="00A5403E"/>
    <w:rsid w:val="00A54151"/>
    <w:rsid w:val="00A5438B"/>
    <w:rsid w:val="00A546EA"/>
    <w:rsid w:val="00A548AC"/>
    <w:rsid w:val="00A54AE6"/>
    <w:rsid w:val="00A54EB0"/>
    <w:rsid w:val="00A5530A"/>
    <w:rsid w:val="00A55825"/>
    <w:rsid w:val="00A55A67"/>
    <w:rsid w:val="00A565CA"/>
    <w:rsid w:val="00A568A3"/>
    <w:rsid w:val="00A56A34"/>
    <w:rsid w:val="00A56B57"/>
    <w:rsid w:val="00A57189"/>
    <w:rsid w:val="00A57367"/>
    <w:rsid w:val="00A579B0"/>
    <w:rsid w:val="00A57A4D"/>
    <w:rsid w:val="00A57C46"/>
    <w:rsid w:val="00A602AC"/>
    <w:rsid w:val="00A60F0F"/>
    <w:rsid w:val="00A61C06"/>
    <w:rsid w:val="00A61CB8"/>
    <w:rsid w:val="00A623EB"/>
    <w:rsid w:val="00A62C5E"/>
    <w:rsid w:val="00A62F24"/>
    <w:rsid w:val="00A62FE9"/>
    <w:rsid w:val="00A637BE"/>
    <w:rsid w:val="00A63813"/>
    <w:rsid w:val="00A6387E"/>
    <w:rsid w:val="00A639E5"/>
    <w:rsid w:val="00A63EF9"/>
    <w:rsid w:val="00A64523"/>
    <w:rsid w:val="00A6460A"/>
    <w:rsid w:val="00A646D0"/>
    <w:rsid w:val="00A64BA0"/>
    <w:rsid w:val="00A64CB6"/>
    <w:rsid w:val="00A650CC"/>
    <w:rsid w:val="00A65114"/>
    <w:rsid w:val="00A652A2"/>
    <w:rsid w:val="00A655F9"/>
    <w:rsid w:val="00A65C0C"/>
    <w:rsid w:val="00A65EA6"/>
    <w:rsid w:val="00A66848"/>
    <w:rsid w:val="00A66AE8"/>
    <w:rsid w:val="00A66E82"/>
    <w:rsid w:val="00A66F58"/>
    <w:rsid w:val="00A671EC"/>
    <w:rsid w:val="00A67584"/>
    <w:rsid w:val="00A6771A"/>
    <w:rsid w:val="00A67896"/>
    <w:rsid w:val="00A7008A"/>
    <w:rsid w:val="00A70197"/>
    <w:rsid w:val="00A70C0E"/>
    <w:rsid w:val="00A70E35"/>
    <w:rsid w:val="00A71533"/>
    <w:rsid w:val="00A71838"/>
    <w:rsid w:val="00A71AC0"/>
    <w:rsid w:val="00A71F2E"/>
    <w:rsid w:val="00A7226F"/>
    <w:rsid w:val="00A726BE"/>
    <w:rsid w:val="00A734A1"/>
    <w:rsid w:val="00A738E5"/>
    <w:rsid w:val="00A74255"/>
    <w:rsid w:val="00A743EE"/>
    <w:rsid w:val="00A74961"/>
    <w:rsid w:val="00A74B03"/>
    <w:rsid w:val="00A74FE0"/>
    <w:rsid w:val="00A75259"/>
    <w:rsid w:val="00A752E4"/>
    <w:rsid w:val="00A75382"/>
    <w:rsid w:val="00A75747"/>
    <w:rsid w:val="00A759CF"/>
    <w:rsid w:val="00A75A8F"/>
    <w:rsid w:val="00A76A57"/>
    <w:rsid w:val="00A76EFA"/>
    <w:rsid w:val="00A77C37"/>
    <w:rsid w:val="00A81333"/>
    <w:rsid w:val="00A813DE"/>
    <w:rsid w:val="00A81A1D"/>
    <w:rsid w:val="00A81D59"/>
    <w:rsid w:val="00A81FB1"/>
    <w:rsid w:val="00A821F6"/>
    <w:rsid w:val="00A8256B"/>
    <w:rsid w:val="00A825BE"/>
    <w:rsid w:val="00A826D7"/>
    <w:rsid w:val="00A82908"/>
    <w:rsid w:val="00A82957"/>
    <w:rsid w:val="00A82B0A"/>
    <w:rsid w:val="00A82C1E"/>
    <w:rsid w:val="00A82CF1"/>
    <w:rsid w:val="00A82EA1"/>
    <w:rsid w:val="00A82F54"/>
    <w:rsid w:val="00A8308B"/>
    <w:rsid w:val="00A83245"/>
    <w:rsid w:val="00A832B2"/>
    <w:rsid w:val="00A83B19"/>
    <w:rsid w:val="00A83BED"/>
    <w:rsid w:val="00A84494"/>
    <w:rsid w:val="00A84AC1"/>
    <w:rsid w:val="00A84AE3"/>
    <w:rsid w:val="00A84B1C"/>
    <w:rsid w:val="00A851EF"/>
    <w:rsid w:val="00A85807"/>
    <w:rsid w:val="00A86100"/>
    <w:rsid w:val="00A86132"/>
    <w:rsid w:val="00A86856"/>
    <w:rsid w:val="00A8733D"/>
    <w:rsid w:val="00A87B51"/>
    <w:rsid w:val="00A87BE9"/>
    <w:rsid w:val="00A87D6C"/>
    <w:rsid w:val="00A87E86"/>
    <w:rsid w:val="00A900C1"/>
    <w:rsid w:val="00A906A1"/>
    <w:rsid w:val="00A918DC"/>
    <w:rsid w:val="00A92407"/>
    <w:rsid w:val="00A92BBC"/>
    <w:rsid w:val="00A92C2B"/>
    <w:rsid w:val="00A92FE7"/>
    <w:rsid w:val="00A9311C"/>
    <w:rsid w:val="00A93846"/>
    <w:rsid w:val="00A93875"/>
    <w:rsid w:val="00A9391C"/>
    <w:rsid w:val="00A93A3F"/>
    <w:rsid w:val="00A93D07"/>
    <w:rsid w:val="00A955DD"/>
    <w:rsid w:val="00A9577E"/>
    <w:rsid w:val="00A95DB9"/>
    <w:rsid w:val="00A95EB4"/>
    <w:rsid w:val="00A9669F"/>
    <w:rsid w:val="00A96B7A"/>
    <w:rsid w:val="00A973AC"/>
    <w:rsid w:val="00A97872"/>
    <w:rsid w:val="00A97A68"/>
    <w:rsid w:val="00A97FD8"/>
    <w:rsid w:val="00AA0A91"/>
    <w:rsid w:val="00AA1113"/>
    <w:rsid w:val="00AA182E"/>
    <w:rsid w:val="00AA1AE9"/>
    <w:rsid w:val="00AA1F5E"/>
    <w:rsid w:val="00AA29F9"/>
    <w:rsid w:val="00AA2D1A"/>
    <w:rsid w:val="00AA2DB2"/>
    <w:rsid w:val="00AA3385"/>
    <w:rsid w:val="00AA33F7"/>
    <w:rsid w:val="00AA39C8"/>
    <w:rsid w:val="00AA3DEB"/>
    <w:rsid w:val="00AA3F4E"/>
    <w:rsid w:val="00AA437E"/>
    <w:rsid w:val="00AA4F9A"/>
    <w:rsid w:val="00AA5104"/>
    <w:rsid w:val="00AA6212"/>
    <w:rsid w:val="00AA6297"/>
    <w:rsid w:val="00AA6541"/>
    <w:rsid w:val="00AA65A8"/>
    <w:rsid w:val="00AA696B"/>
    <w:rsid w:val="00AA6E07"/>
    <w:rsid w:val="00AA6F29"/>
    <w:rsid w:val="00AA7071"/>
    <w:rsid w:val="00AA76FC"/>
    <w:rsid w:val="00AA7966"/>
    <w:rsid w:val="00AA7CD4"/>
    <w:rsid w:val="00AA7E73"/>
    <w:rsid w:val="00AB00E6"/>
    <w:rsid w:val="00AB02C9"/>
    <w:rsid w:val="00AB04CF"/>
    <w:rsid w:val="00AB0943"/>
    <w:rsid w:val="00AB0A76"/>
    <w:rsid w:val="00AB0D21"/>
    <w:rsid w:val="00AB104C"/>
    <w:rsid w:val="00AB12AE"/>
    <w:rsid w:val="00AB130F"/>
    <w:rsid w:val="00AB163E"/>
    <w:rsid w:val="00AB1F87"/>
    <w:rsid w:val="00AB2047"/>
    <w:rsid w:val="00AB21DE"/>
    <w:rsid w:val="00AB2A26"/>
    <w:rsid w:val="00AB2BDD"/>
    <w:rsid w:val="00AB2C8E"/>
    <w:rsid w:val="00AB42FF"/>
    <w:rsid w:val="00AB4477"/>
    <w:rsid w:val="00AB458D"/>
    <w:rsid w:val="00AB4813"/>
    <w:rsid w:val="00AB49F3"/>
    <w:rsid w:val="00AB4B28"/>
    <w:rsid w:val="00AB51C8"/>
    <w:rsid w:val="00AB5239"/>
    <w:rsid w:val="00AB52FD"/>
    <w:rsid w:val="00AB53E5"/>
    <w:rsid w:val="00AB57F5"/>
    <w:rsid w:val="00AB5D35"/>
    <w:rsid w:val="00AB706A"/>
    <w:rsid w:val="00AB76EC"/>
    <w:rsid w:val="00AB77A8"/>
    <w:rsid w:val="00AC04FB"/>
    <w:rsid w:val="00AC05F6"/>
    <w:rsid w:val="00AC07E6"/>
    <w:rsid w:val="00AC0F5C"/>
    <w:rsid w:val="00AC1633"/>
    <w:rsid w:val="00AC190D"/>
    <w:rsid w:val="00AC1D6B"/>
    <w:rsid w:val="00AC27B4"/>
    <w:rsid w:val="00AC297B"/>
    <w:rsid w:val="00AC2E11"/>
    <w:rsid w:val="00AC304C"/>
    <w:rsid w:val="00AC492C"/>
    <w:rsid w:val="00AC500D"/>
    <w:rsid w:val="00AC5046"/>
    <w:rsid w:val="00AC50A4"/>
    <w:rsid w:val="00AC5FC6"/>
    <w:rsid w:val="00AC67CB"/>
    <w:rsid w:val="00AC6D4D"/>
    <w:rsid w:val="00AC6D70"/>
    <w:rsid w:val="00AC75C5"/>
    <w:rsid w:val="00AC7DA9"/>
    <w:rsid w:val="00AC7FED"/>
    <w:rsid w:val="00AD0641"/>
    <w:rsid w:val="00AD068F"/>
    <w:rsid w:val="00AD06CD"/>
    <w:rsid w:val="00AD0804"/>
    <w:rsid w:val="00AD0BBF"/>
    <w:rsid w:val="00AD11E2"/>
    <w:rsid w:val="00AD17FD"/>
    <w:rsid w:val="00AD1CBA"/>
    <w:rsid w:val="00AD2076"/>
    <w:rsid w:val="00AD22BA"/>
    <w:rsid w:val="00AD2A56"/>
    <w:rsid w:val="00AD2E0F"/>
    <w:rsid w:val="00AD3961"/>
    <w:rsid w:val="00AD3F33"/>
    <w:rsid w:val="00AD4B94"/>
    <w:rsid w:val="00AD52B2"/>
    <w:rsid w:val="00AD55FA"/>
    <w:rsid w:val="00AD5704"/>
    <w:rsid w:val="00AD58D9"/>
    <w:rsid w:val="00AD5F8E"/>
    <w:rsid w:val="00AD6087"/>
    <w:rsid w:val="00AD61CB"/>
    <w:rsid w:val="00AD62F4"/>
    <w:rsid w:val="00AD6371"/>
    <w:rsid w:val="00AD66BA"/>
    <w:rsid w:val="00AD6C8A"/>
    <w:rsid w:val="00AD6DEC"/>
    <w:rsid w:val="00AD7265"/>
    <w:rsid w:val="00AD729C"/>
    <w:rsid w:val="00AD7581"/>
    <w:rsid w:val="00AD7CEC"/>
    <w:rsid w:val="00AE03F1"/>
    <w:rsid w:val="00AE0591"/>
    <w:rsid w:val="00AE07DE"/>
    <w:rsid w:val="00AE0865"/>
    <w:rsid w:val="00AE0B8D"/>
    <w:rsid w:val="00AE0C0E"/>
    <w:rsid w:val="00AE15D9"/>
    <w:rsid w:val="00AE15FB"/>
    <w:rsid w:val="00AE1835"/>
    <w:rsid w:val="00AE1E6E"/>
    <w:rsid w:val="00AE24FC"/>
    <w:rsid w:val="00AE2836"/>
    <w:rsid w:val="00AE2B77"/>
    <w:rsid w:val="00AE3238"/>
    <w:rsid w:val="00AE3270"/>
    <w:rsid w:val="00AE3608"/>
    <w:rsid w:val="00AE380B"/>
    <w:rsid w:val="00AE382E"/>
    <w:rsid w:val="00AE3AD2"/>
    <w:rsid w:val="00AE3CE9"/>
    <w:rsid w:val="00AE3D9A"/>
    <w:rsid w:val="00AE4828"/>
    <w:rsid w:val="00AE5249"/>
    <w:rsid w:val="00AE52ED"/>
    <w:rsid w:val="00AE544B"/>
    <w:rsid w:val="00AE5669"/>
    <w:rsid w:val="00AE5942"/>
    <w:rsid w:val="00AE5943"/>
    <w:rsid w:val="00AE5B24"/>
    <w:rsid w:val="00AE5DB0"/>
    <w:rsid w:val="00AE62F4"/>
    <w:rsid w:val="00AE6B81"/>
    <w:rsid w:val="00AE6CB4"/>
    <w:rsid w:val="00AE7162"/>
    <w:rsid w:val="00AE7366"/>
    <w:rsid w:val="00AE7645"/>
    <w:rsid w:val="00AE7DA6"/>
    <w:rsid w:val="00AE7DA7"/>
    <w:rsid w:val="00AE7FB4"/>
    <w:rsid w:val="00AF08FF"/>
    <w:rsid w:val="00AF0950"/>
    <w:rsid w:val="00AF0DF8"/>
    <w:rsid w:val="00AF0FE8"/>
    <w:rsid w:val="00AF103C"/>
    <w:rsid w:val="00AF10D4"/>
    <w:rsid w:val="00AF1167"/>
    <w:rsid w:val="00AF127E"/>
    <w:rsid w:val="00AF12B6"/>
    <w:rsid w:val="00AF16D2"/>
    <w:rsid w:val="00AF173B"/>
    <w:rsid w:val="00AF1F94"/>
    <w:rsid w:val="00AF2613"/>
    <w:rsid w:val="00AF28AA"/>
    <w:rsid w:val="00AF2A41"/>
    <w:rsid w:val="00AF2B44"/>
    <w:rsid w:val="00AF2FC2"/>
    <w:rsid w:val="00AF342D"/>
    <w:rsid w:val="00AF394A"/>
    <w:rsid w:val="00AF3C40"/>
    <w:rsid w:val="00AF4024"/>
    <w:rsid w:val="00AF4F92"/>
    <w:rsid w:val="00AF55EF"/>
    <w:rsid w:val="00AF5DA2"/>
    <w:rsid w:val="00AF686A"/>
    <w:rsid w:val="00AF6C93"/>
    <w:rsid w:val="00AF6E98"/>
    <w:rsid w:val="00AF7AB5"/>
    <w:rsid w:val="00AF7B02"/>
    <w:rsid w:val="00AF7F89"/>
    <w:rsid w:val="00B00755"/>
    <w:rsid w:val="00B00A0B"/>
    <w:rsid w:val="00B00BFD"/>
    <w:rsid w:val="00B00ECF"/>
    <w:rsid w:val="00B01287"/>
    <w:rsid w:val="00B0135A"/>
    <w:rsid w:val="00B013AF"/>
    <w:rsid w:val="00B015B0"/>
    <w:rsid w:val="00B01703"/>
    <w:rsid w:val="00B01968"/>
    <w:rsid w:val="00B02713"/>
    <w:rsid w:val="00B02C7C"/>
    <w:rsid w:val="00B02DA7"/>
    <w:rsid w:val="00B034A4"/>
    <w:rsid w:val="00B03A7F"/>
    <w:rsid w:val="00B03E24"/>
    <w:rsid w:val="00B041B2"/>
    <w:rsid w:val="00B043C6"/>
    <w:rsid w:val="00B045DC"/>
    <w:rsid w:val="00B0461A"/>
    <w:rsid w:val="00B04A8F"/>
    <w:rsid w:val="00B05327"/>
    <w:rsid w:val="00B05468"/>
    <w:rsid w:val="00B0572A"/>
    <w:rsid w:val="00B0631D"/>
    <w:rsid w:val="00B06530"/>
    <w:rsid w:val="00B06CC4"/>
    <w:rsid w:val="00B06FC8"/>
    <w:rsid w:val="00B070B3"/>
    <w:rsid w:val="00B0749E"/>
    <w:rsid w:val="00B076AE"/>
    <w:rsid w:val="00B108A4"/>
    <w:rsid w:val="00B111C5"/>
    <w:rsid w:val="00B1191E"/>
    <w:rsid w:val="00B1193D"/>
    <w:rsid w:val="00B11A7C"/>
    <w:rsid w:val="00B12166"/>
    <w:rsid w:val="00B12223"/>
    <w:rsid w:val="00B12374"/>
    <w:rsid w:val="00B126B0"/>
    <w:rsid w:val="00B12BEE"/>
    <w:rsid w:val="00B12F6A"/>
    <w:rsid w:val="00B13112"/>
    <w:rsid w:val="00B1345F"/>
    <w:rsid w:val="00B13893"/>
    <w:rsid w:val="00B13AE0"/>
    <w:rsid w:val="00B13DD5"/>
    <w:rsid w:val="00B140EA"/>
    <w:rsid w:val="00B14BCA"/>
    <w:rsid w:val="00B158B5"/>
    <w:rsid w:val="00B15AD6"/>
    <w:rsid w:val="00B16679"/>
    <w:rsid w:val="00B16D97"/>
    <w:rsid w:val="00B200C1"/>
    <w:rsid w:val="00B20575"/>
    <w:rsid w:val="00B20832"/>
    <w:rsid w:val="00B20BE2"/>
    <w:rsid w:val="00B21006"/>
    <w:rsid w:val="00B2100E"/>
    <w:rsid w:val="00B21338"/>
    <w:rsid w:val="00B214F3"/>
    <w:rsid w:val="00B217C7"/>
    <w:rsid w:val="00B21814"/>
    <w:rsid w:val="00B21935"/>
    <w:rsid w:val="00B21972"/>
    <w:rsid w:val="00B21BE9"/>
    <w:rsid w:val="00B21BED"/>
    <w:rsid w:val="00B21E1B"/>
    <w:rsid w:val="00B22944"/>
    <w:rsid w:val="00B22AB8"/>
    <w:rsid w:val="00B235AF"/>
    <w:rsid w:val="00B23B45"/>
    <w:rsid w:val="00B23C10"/>
    <w:rsid w:val="00B240D0"/>
    <w:rsid w:val="00B24281"/>
    <w:rsid w:val="00B24503"/>
    <w:rsid w:val="00B2456A"/>
    <w:rsid w:val="00B24982"/>
    <w:rsid w:val="00B2498C"/>
    <w:rsid w:val="00B24B79"/>
    <w:rsid w:val="00B24D2D"/>
    <w:rsid w:val="00B24EDF"/>
    <w:rsid w:val="00B2532D"/>
    <w:rsid w:val="00B2555A"/>
    <w:rsid w:val="00B25CEB"/>
    <w:rsid w:val="00B265FF"/>
    <w:rsid w:val="00B26D08"/>
    <w:rsid w:val="00B2733D"/>
    <w:rsid w:val="00B30C9B"/>
    <w:rsid w:val="00B30EFA"/>
    <w:rsid w:val="00B310D5"/>
    <w:rsid w:val="00B31274"/>
    <w:rsid w:val="00B312CF"/>
    <w:rsid w:val="00B31D50"/>
    <w:rsid w:val="00B31D75"/>
    <w:rsid w:val="00B31E9E"/>
    <w:rsid w:val="00B31F64"/>
    <w:rsid w:val="00B32134"/>
    <w:rsid w:val="00B32C94"/>
    <w:rsid w:val="00B32E6A"/>
    <w:rsid w:val="00B336D7"/>
    <w:rsid w:val="00B33855"/>
    <w:rsid w:val="00B33E57"/>
    <w:rsid w:val="00B33F81"/>
    <w:rsid w:val="00B34162"/>
    <w:rsid w:val="00B34AB7"/>
    <w:rsid w:val="00B34DA2"/>
    <w:rsid w:val="00B34DC9"/>
    <w:rsid w:val="00B353DB"/>
    <w:rsid w:val="00B3580C"/>
    <w:rsid w:val="00B35AC5"/>
    <w:rsid w:val="00B360A2"/>
    <w:rsid w:val="00B36760"/>
    <w:rsid w:val="00B367B9"/>
    <w:rsid w:val="00B367EC"/>
    <w:rsid w:val="00B36B62"/>
    <w:rsid w:val="00B36F2C"/>
    <w:rsid w:val="00B37093"/>
    <w:rsid w:val="00B373C7"/>
    <w:rsid w:val="00B40188"/>
    <w:rsid w:val="00B401F7"/>
    <w:rsid w:val="00B406FB"/>
    <w:rsid w:val="00B40765"/>
    <w:rsid w:val="00B408D3"/>
    <w:rsid w:val="00B40AA3"/>
    <w:rsid w:val="00B40E57"/>
    <w:rsid w:val="00B415E3"/>
    <w:rsid w:val="00B416B9"/>
    <w:rsid w:val="00B41D3B"/>
    <w:rsid w:val="00B41FAA"/>
    <w:rsid w:val="00B420F5"/>
    <w:rsid w:val="00B4284E"/>
    <w:rsid w:val="00B42BE3"/>
    <w:rsid w:val="00B4339D"/>
    <w:rsid w:val="00B43694"/>
    <w:rsid w:val="00B43769"/>
    <w:rsid w:val="00B43A9C"/>
    <w:rsid w:val="00B43CD0"/>
    <w:rsid w:val="00B450E1"/>
    <w:rsid w:val="00B45445"/>
    <w:rsid w:val="00B45DF8"/>
    <w:rsid w:val="00B45E5F"/>
    <w:rsid w:val="00B45F03"/>
    <w:rsid w:val="00B460EB"/>
    <w:rsid w:val="00B461B3"/>
    <w:rsid w:val="00B464BA"/>
    <w:rsid w:val="00B46BD6"/>
    <w:rsid w:val="00B46E19"/>
    <w:rsid w:val="00B47824"/>
    <w:rsid w:val="00B478F9"/>
    <w:rsid w:val="00B479A0"/>
    <w:rsid w:val="00B47FE8"/>
    <w:rsid w:val="00B503B5"/>
    <w:rsid w:val="00B50420"/>
    <w:rsid w:val="00B507C7"/>
    <w:rsid w:val="00B513EE"/>
    <w:rsid w:val="00B51410"/>
    <w:rsid w:val="00B5212A"/>
    <w:rsid w:val="00B522DD"/>
    <w:rsid w:val="00B5247E"/>
    <w:rsid w:val="00B52649"/>
    <w:rsid w:val="00B527E8"/>
    <w:rsid w:val="00B529BB"/>
    <w:rsid w:val="00B52E96"/>
    <w:rsid w:val="00B53123"/>
    <w:rsid w:val="00B53590"/>
    <w:rsid w:val="00B53E9C"/>
    <w:rsid w:val="00B541D5"/>
    <w:rsid w:val="00B541F5"/>
    <w:rsid w:val="00B542F1"/>
    <w:rsid w:val="00B54828"/>
    <w:rsid w:val="00B54867"/>
    <w:rsid w:val="00B54A23"/>
    <w:rsid w:val="00B54C95"/>
    <w:rsid w:val="00B54FF2"/>
    <w:rsid w:val="00B55019"/>
    <w:rsid w:val="00B550E5"/>
    <w:rsid w:val="00B552E0"/>
    <w:rsid w:val="00B5532D"/>
    <w:rsid w:val="00B566C7"/>
    <w:rsid w:val="00B567BF"/>
    <w:rsid w:val="00B56AB1"/>
    <w:rsid w:val="00B56B92"/>
    <w:rsid w:val="00B56EB5"/>
    <w:rsid w:val="00B56EF8"/>
    <w:rsid w:val="00B5734C"/>
    <w:rsid w:val="00B575AC"/>
    <w:rsid w:val="00B5791E"/>
    <w:rsid w:val="00B57A0F"/>
    <w:rsid w:val="00B57B41"/>
    <w:rsid w:val="00B57E17"/>
    <w:rsid w:val="00B6025A"/>
    <w:rsid w:val="00B6069A"/>
    <w:rsid w:val="00B60936"/>
    <w:rsid w:val="00B62A7D"/>
    <w:rsid w:val="00B62DF9"/>
    <w:rsid w:val="00B631E9"/>
    <w:rsid w:val="00B63493"/>
    <w:rsid w:val="00B637CF"/>
    <w:rsid w:val="00B63964"/>
    <w:rsid w:val="00B639E1"/>
    <w:rsid w:val="00B64056"/>
    <w:rsid w:val="00B64129"/>
    <w:rsid w:val="00B641D6"/>
    <w:rsid w:val="00B64A19"/>
    <w:rsid w:val="00B64AFE"/>
    <w:rsid w:val="00B651BF"/>
    <w:rsid w:val="00B655C7"/>
    <w:rsid w:val="00B65663"/>
    <w:rsid w:val="00B65A1A"/>
    <w:rsid w:val="00B65B3E"/>
    <w:rsid w:val="00B66035"/>
    <w:rsid w:val="00B66367"/>
    <w:rsid w:val="00B66AD6"/>
    <w:rsid w:val="00B66AF4"/>
    <w:rsid w:val="00B66B3C"/>
    <w:rsid w:val="00B66D3F"/>
    <w:rsid w:val="00B67163"/>
    <w:rsid w:val="00B67218"/>
    <w:rsid w:val="00B67238"/>
    <w:rsid w:val="00B673C9"/>
    <w:rsid w:val="00B67744"/>
    <w:rsid w:val="00B7034B"/>
    <w:rsid w:val="00B70749"/>
    <w:rsid w:val="00B70856"/>
    <w:rsid w:val="00B70B3D"/>
    <w:rsid w:val="00B70C87"/>
    <w:rsid w:val="00B70CA3"/>
    <w:rsid w:val="00B71260"/>
    <w:rsid w:val="00B71386"/>
    <w:rsid w:val="00B718F0"/>
    <w:rsid w:val="00B71DC1"/>
    <w:rsid w:val="00B71F72"/>
    <w:rsid w:val="00B722AC"/>
    <w:rsid w:val="00B7246E"/>
    <w:rsid w:val="00B72F95"/>
    <w:rsid w:val="00B73414"/>
    <w:rsid w:val="00B73FD2"/>
    <w:rsid w:val="00B741B0"/>
    <w:rsid w:val="00B746A4"/>
    <w:rsid w:val="00B74985"/>
    <w:rsid w:val="00B74A2F"/>
    <w:rsid w:val="00B74E95"/>
    <w:rsid w:val="00B753F3"/>
    <w:rsid w:val="00B755AB"/>
    <w:rsid w:val="00B759C9"/>
    <w:rsid w:val="00B75C62"/>
    <w:rsid w:val="00B7604C"/>
    <w:rsid w:val="00B760EC"/>
    <w:rsid w:val="00B764EF"/>
    <w:rsid w:val="00B76E6F"/>
    <w:rsid w:val="00B77051"/>
    <w:rsid w:val="00B77361"/>
    <w:rsid w:val="00B77364"/>
    <w:rsid w:val="00B774C2"/>
    <w:rsid w:val="00B77556"/>
    <w:rsid w:val="00B7775C"/>
    <w:rsid w:val="00B80289"/>
    <w:rsid w:val="00B80663"/>
    <w:rsid w:val="00B8076F"/>
    <w:rsid w:val="00B80A19"/>
    <w:rsid w:val="00B80CF9"/>
    <w:rsid w:val="00B817FF"/>
    <w:rsid w:val="00B81B38"/>
    <w:rsid w:val="00B81B76"/>
    <w:rsid w:val="00B82057"/>
    <w:rsid w:val="00B8277B"/>
    <w:rsid w:val="00B82BAD"/>
    <w:rsid w:val="00B830E1"/>
    <w:rsid w:val="00B8326B"/>
    <w:rsid w:val="00B83872"/>
    <w:rsid w:val="00B8415B"/>
    <w:rsid w:val="00B84920"/>
    <w:rsid w:val="00B84C55"/>
    <w:rsid w:val="00B867F5"/>
    <w:rsid w:val="00B86887"/>
    <w:rsid w:val="00B86BD4"/>
    <w:rsid w:val="00B86D4B"/>
    <w:rsid w:val="00B86DB4"/>
    <w:rsid w:val="00B86F26"/>
    <w:rsid w:val="00B870BC"/>
    <w:rsid w:val="00B87183"/>
    <w:rsid w:val="00B87386"/>
    <w:rsid w:val="00B8758A"/>
    <w:rsid w:val="00B878B1"/>
    <w:rsid w:val="00B878DA"/>
    <w:rsid w:val="00B87B22"/>
    <w:rsid w:val="00B9009F"/>
    <w:rsid w:val="00B90212"/>
    <w:rsid w:val="00B905E0"/>
    <w:rsid w:val="00B90762"/>
    <w:rsid w:val="00B9082A"/>
    <w:rsid w:val="00B9102F"/>
    <w:rsid w:val="00B91141"/>
    <w:rsid w:val="00B9120F"/>
    <w:rsid w:val="00B9123A"/>
    <w:rsid w:val="00B9133E"/>
    <w:rsid w:val="00B917D8"/>
    <w:rsid w:val="00B91BF9"/>
    <w:rsid w:val="00B920FD"/>
    <w:rsid w:val="00B9235B"/>
    <w:rsid w:val="00B92A0C"/>
    <w:rsid w:val="00B92BAE"/>
    <w:rsid w:val="00B93169"/>
    <w:rsid w:val="00B9385F"/>
    <w:rsid w:val="00B9388F"/>
    <w:rsid w:val="00B93892"/>
    <w:rsid w:val="00B93AB2"/>
    <w:rsid w:val="00B943CD"/>
    <w:rsid w:val="00B9486B"/>
    <w:rsid w:val="00B9486F"/>
    <w:rsid w:val="00B94BA8"/>
    <w:rsid w:val="00B94C6F"/>
    <w:rsid w:val="00B94DD5"/>
    <w:rsid w:val="00B9515C"/>
    <w:rsid w:val="00B96469"/>
    <w:rsid w:val="00B96779"/>
    <w:rsid w:val="00B96780"/>
    <w:rsid w:val="00B974BC"/>
    <w:rsid w:val="00B976CF"/>
    <w:rsid w:val="00B97C8B"/>
    <w:rsid w:val="00B97CB6"/>
    <w:rsid w:val="00BA003B"/>
    <w:rsid w:val="00BA04A4"/>
    <w:rsid w:val="00BA07F9"/>
    <w:rsid w:val="00BA1A5C"/>
    <w:rsid w:val="00BA1FC0"/>
    <w:rsid w:val="00BA1FD8"/>
    <w:rsid w:val="00BA20A9"/>
    <w:rsid w:val="00BA2247"/>
    <w:rsid w:val="00BA2806"/>
    <w:rsid w:val="00BA338B"/>
    <w:rsid w:val="00BA3D02"/>
    <w:rsid w:val="00BA3DBA"/>
    <w:rsid w:val="00BA408B"/>
    <w:rsid w:val="00BA40FB"/>
    <w:rsid w:val="00BA41AC"/>
    <w:rsid w:val="00BA476B"/>
    <w:rsid w:val="00BA4E87"/>
    <w:rsid w:val="00BA502C"/>
    <w:rsid w:val="00BA59C1"/>
    <w:rsid w:val="00BA5CCC"/>
    <w:rsid w:val="00BA5CED"/>
    <w:rsid w:val="00BA5E9D"/>
    <w:rsid w:val="00BA60C0"/>
    <w:rsid w:val="00BA611F"/>
    <w:rsid w:val="00BA644F"/>
    <w:rsid w:val="00BA64F3"/>
    <w:rsid w:val="00BA672B"/>
    <w:rsid w:val="00BA67DD"/>
    <w:rsid w:val="00BA6812"/>
    <w:rsid w:val="00BA6BC4"/>
    <w:rsid w:val="00BA6C75"/>
    <w:rsid w:val="00BA7217"/>
    <w:rsid w:val="00BA758B"/>
    <w:rsid w:val="00BA7A63"/>
    <w:rsid w:val="00BA7D71"/>
    <w:rsid w:val="00BA7E15"/>
    <w:rsid w:val="00BB04A2"/>
    <w:rsid w:val="00BB07BB"/>
    <w:rsid w:val="00BB0D80"/>
    <w:rsid w:val="00BB1112"/>
    <w:rsid w:val="00BB1390"/>
    <w:rsid w:val="00BB14AB"/>
    <w:rsid w:val="00BB1791"/>
    <w:rsid w:val="00BB1870"/>
    <w:rsid w:val="00BB26CA"/>
    <w:rsid w:val="00BB2AF6"/>
    <w:rsid w:val="00BB4708"/>
    <w:rsid w:val="00BB4948"/>
    <w:rsid w:val="00BB4B14"/>
    <w:rsid w:val="00BB4BEC"/>
    <w:rsid w:val="00BB4D2A"/>
    <w:rsid w:val="00BB56B6"/>
    <w:rsid w:val="00BB59E6"/>
    <w:rsid w:val="00BB5DD2"/>
    <w:rsid w:val="00BB65E9"/>
    <w:rsid w:val="00BB6DD6"/>
    <w:rsid w:val="00BB7019"/>
    <w:rsid w:val="00BB71DD"/>
    <w:rsid w:val="00BB730A"/>
    <w:rsid w:val="00BB75AD"/>
    <w:rsid w:val="00BB7AAB"/>
    <w:rsid w:val="00BB7D49"/>
    <w:rsid w:val="00BB7DC0"/>
    <w:rsid w:val="00BB7E5D"/>
    <w:rsid w:val="00BB7E76"/>
    <w:rsid w:val="00BB7F22"/>
    <w:rsid w:val="00BC02E1"/>
    <w:rsid w:val="00BC038E"/>
    <w:rsid w:val="00BC03F9"/>
    <w:rsid w:val="00BC1C94"/>
    <w:rsid w:val="00BC21A1"/>
    <w:rsid w:val="00BC2CE0"/>
    <w:rsid w:val="00BC35BB"/>
    <w:rsid w:val="00BC3779"/>
    <w:rsid w:val="00BC3873"/>
    <w:rsid w:val="00BC3A33"/>
    <w:rsid w:val="00BC3AF9"/>
    <w:rsid w:val="00BC3EA5"/>
    <w:rsid w:val="00BC429F"/>
    <w:rsid w:val="00BC463A"/>
    <w:rsid w:val="00BC4CA1"/>
    <w:rsid w:val="00BC506C"/>
    <w:rsid w:val="00BC551D"/>
    <w:rsid w:val="00BC5B6B"/>
    <w:rsid w:val="00BC60AE"/>
    <w:rsid w:val="00BC689F"/>
    <w:rsid w:val="00BC6A48"/>
    <w:rsid w:val="00BC6AD9"/>
    <w:rsid w:val="00BC6BA2"/>
    <w:rsid w:val="00BC6D3A"/>
    <w:rsid w:val="00BC6F26"/>
    <w:rsid w:val="00BC7A82"/>
    <w:rsid w:val="00BC7EEE"/>
    <w:rsid w:val="00BC7FC8"/>
    <w:rsid w:val="00BD02DA"/>
    <w:rsid w:val="00BD1083"/>
    <w:rsid w:val="00BD11F2"/>
    <w:rsid w:val="00BD1F8D"/>
    <w:rsid w:val="00BD20DA"/>
    <w:rsid w:val="00BD23DE"/>
    <w:rsid w:val="00BD295A"/>
    <w:rsid w:val="00BD299E"/>
    <w:rsid w:val="00BD2C70"/>
    <w:rsid w:val="00BD2DF0"/>
    <w:rsid w:val="00BD30C9"/>
    <w:rsid w:val="00BD30DA"/>
    <w:rsid w:val="00BD4007"/>
    <w:rsid w:val="00BD45C4"/>
    <w:rsid w:val="00BD4BA7"/>
    <w:rsid w:val="00BD4C1E"/>
    <w:rsid w:val="00BD4EA4"/>
    <w:rsid w:val="00BD50F2"/>
    <w:rsid w:val="00BD53E5"/>
    <w:rsid w:val="00BD5904"/>
    <w:rsid w:val="00BD62E0"/>
    <w:rsid w:val="00BD72D1"/>
    <w:rsid w:val="00BD7723"/>
    <w:rsid w:val="00BD7725"/>
    <w:rsid w:val="00BD780E"/>
    <w:rsid w:val="00BD7837"/>
    <w:rsid w:val="00BD7A43"/>
    <w:rsid w:val="00BD7D09"/>
    <w:rsid w:val="00BD7E45"/>
    <w:rsid w:val="00BE022E"/>
    <w:rsid w:val="00BE039E"/>
    <w:rsid w:val="00BE03AA"/>
    <w:rsid w:val="00BE0828"/>
    <w:rsid w:val="00BE0965"/>
    <w:rsid w:val="00BE0BB6"/>
    <w:rsid w:val="00BE1C28"/>
    <w:rsid w:val="00BE1D71"/>
    <w:rsid w:val="00BE2126"/>
    <w:rsid w:val="00BE2365"/>
    <w:rsid w:val="00BE2ACB"/>
    <w:rsid w:val="00BE2D4B"/>
    <w:rsid w:val="00BE2E5A"/>
    <w:rsid w:val="00BE33FC"/>
    <w:rsid w:val="00BE3788"/>
    <w:rsid w:val="00BE3D93"/>
    <w:rsid w:val="00BE440A"/>
    <w:rsid w:val="00BE457E"/>
    <w:rsid w:val="00BE4873"/>
    <w:rsid w:val="00BE4FF3"/>
    <w:rsid w:val="00BE5073"/>
    <w:rsid w:val="00BE507A"/>
    <w:rsid w:val="00BE56F3"/>
    <w:rsid w:val="00BE6C17"/>
    <w:rsid w:val="00BE6C99"/>
    <w:rsid w:val="00BE6F42"/>
    <w:rsid w:val="00BE7445"/>
    <w:rsid w:val="00BE7E64"/>
    <w:rsid w:val="00BE7EA6"/>
    <w:rsid w:val="00BF125A"/>
    <w:rsid w:val="00BF1297"/>
    <w:rsid w:val="00BF13E4"/>
    <w:rsid w:val="00BF14C8"/>
    <w:rsid w:val="00BF1C6A"/>
    <w:rsid w:val="00BF1CFF"/>
    <w:rsid w:val="00BF2940"/>
    <w:rsid w:val="00BF2966"/>
    <w:rsid w:val="00BF3014"/>
    <w:rsid w:val="00BF37F4"/>
    <w:rsid w:val="00BF380D"/>
    <w:rsid w:val="00BF3A0B"/>
    <w:rsid w:val="00BF3C0F"/>
    <w:rsid w:val="00BF3E09"/>
    <w:rsid w:val="00BF44A5"/>
    <w:rsid w:val="00BF4B1C"/>
    <w:rsid w:val="00BF50CC"/>
    <w:rsid w:val="00BF541E"/>
    <w:rsid w:val="00BF56A0"/>
    <w:rsid w:val="00BF5B77"/>
    <w:rsid w:val="00BF6936"/>
    <w:rsid w:val="00BF69AA"/>
    <w:rsid w:val="00BF6C55"/>
    <w:rsid w:val="00BF6E71"/>
    <w:rsid w:val="00BF7584"/>
    <w:rsid w:val="00BF75B9"/>
    <w:rsid w:val="00BF7958"/>
    <w:rsid w:val="00BF7EE4"/>
    <w:rsid w:val="00C003D4"/>
    <w:rsid w:val="00C0048E"/>
    <w:rsid w:val="00C004A0"/>
    <w:rsid w:val="00C00511"/>
    <w:rsid w:val="00C008EE"/>
    <w:rsid w:val="00C019A6"/>
    <w:rsid w:val="00C02179"/>
    <w:rsid w:val="00C02DF9"/>
    <w:rsid w:val="00C02EC2"/>
    <w:rsid w:val="00C02EFD"/>
    <w:rsid w:val="00C0322F"/>
    <w:rsid w:val="00C0326E"/>
    <w:rsid w:val="00C03461"/>
    <w:rsid w:val="00C03F1E"/>
    <w:rsid w:val="00C044D6"/>
    <w:rsid w:val="00C049CB"/>
    <w:rsid w:val="00C04A48"/>
    <w:rsid w:val="00C04B34"/>
    <w:rsid w:val="00C05097"/>
    <w:rsid w:val="00C0522E"/>
    <w:rsid w:val="00C055D8"/>
    <w:rsid w:val="00C05732"/>
    <w:rsid w:val="00C0576B"/>
    <w:rsid w:val="00C05BC5"/>
    <w:rsid w:val="00C05D0A"/>
    <w:rsid w:val="00C06694"/>
    <w:rsid w:val="00C0674D"/>
    <w:rsid w:val="00C0705C"/>
    <w:rsid w:val="00C0710A"/>
    <w:rsid w:val="00C073C4"/>
    <w:rsid w:val="00C0754B"/>
    <w:rsid w:val="00C103F5"/>
    <w:rsid w:val="00C1064F"/>
    <w:rsid w:val="00C106A9"/>
    <w:rsid w:val="00C10CC5"/>
    <w:rsid w:val="00C10F5A"/>
    <w:rsid w:val="00C11197"/>
    <w:rsid w:val="00C112DC"/>
    <w:rsid w:val="00C11373"/>
    <w:rsid w:val="00C11556"/>
    <w:rsid w:val="00C11BE0"/>
    <w:rsid w:val="00C11C1F"/>
    <w:rsid w:val="00C122F4"/>
    <w:rsid w:val="00C12456"/>
    <w:rsid w:val="00C12A08"/>
    <w:rsid w:val="00C131E8"/>
    <w:rsid w:val="00C13242"/>
    <w:rsid w:val="00C133F7"/>
    <w:rsid w:val="00C137C6"/>
    <w:rsid w:val="00C13958"/>
    <w:rsid w:val="00C1442A"/>
    <w:rsid w:val="00C1454F"/>
    <w:rsid w:val="00C14A22"/>
    <w:rsid w:val="00C14BE9"/>
    <w:rsid w:val="00C14CAE"/>
    <w:rsid w:val="00C1501B"/>
    <w:rsid w:val="00C15041"/>
    <w:rsid w:val="00C15080"/>
    <w:rsid w:val="00C15377"/>
    <w:rsid w:val="00C1579C"/>
    <w:rsid w:val="00C15CC2"/>
    <w:rsid w:val="00C15E3E"/>
    <w:rsid w:val="00C16E10"/>
    <w:rsid w:val="00C16F81"/>
    <w:rsid w:val="00C17107"/>
    <w:rsid w:val="00C172CF"/>
    <w:rsid w:val="00C173E8"/>
    <w:rsid w:val="00C17897"/>
    <w:rsid w:val="00C1797C"/>
    <w:rsid w:val="00C17C6F"/>
    <w:rsid w:val="00C2014A"/>
    <w:rsid w:val="00C203B2"/>
    <w:rsid w:val="00C219EA"/>
    <w:rsid w:val="00C21FD2"/>
    <w:rsid w:val="00C22069"/>
    <w:rsid w:val="00C22780"/>
    <w:rsid w:val="00C228BC"/>
    <w:rsid w:val="00C2290B"/>
    <w:rsid w:val="00C22C4C"/>
    <w:rsid w:val="00C2367B"/>
    <w:rsid w:val="00C23833"/>
    <w:rsid w:val="00C23933"/>
    <w:rsid w:val="00C242B2"/>
    <w:rsid w:val="00C25428"/>
    <w:rsid w:val="00C26469"/>
    <w:rsid w:val="00C265FA"/>
    <w:rsid w:val="00C26675"/>
    <w:rsid w:val="00C268C7"/>
    <w:rsid w:val="00C26BB0"/>
    <w:rsid w:val="00C26DF7"/>
    <w:rsid w:val="00C270CC"/>
    <w:rsid w:val="00C2762A"/>
    <w:rsid w:val="00C27A2F"/>
    <w:rsid w:val="00C27A45"/>
    <w:rsid w:val="00C27BB6"/>
    <w:rsid w:val="00C27FCF"/>
    <w:rsid w:val="00C30B94"/>
    <w:rsid w:val="00C3122C"/>
    <w:rsid w:val="00C319AF"/>
    <w:rsid w:val="00C31AC4"/>
    <w:rsid w:val="00C3202B"/>
    <w:rsid w:val="00C321A9"/>
    <w:rsid w:val="00C3246E"/>
    <w:rsid w:val="00C325BA"/>
    <w:rsid w:val="00C3284B"/>
    <w:rsid w:val="00C32D2F"/>
    <w:rsid w:val="00C32D68"/>
    <w:rsid w:val="00C33828"/>
    <w:rsid w:val="00C33B27"/>
    <w:rsid w:val="00C33B6C"/>
    <w:rsid w:val="00C33D7B"/>
    <w:rsid w:val="00C3447E"/>
    <w:rsid w:val="00C35167"/>
    <w:rsid w:val="00C3533E"/>
    <w:rsid w:val="00C355E2"/>
    <w:rsid w:val="00C355F8"/>
    <w:rsid w:val="00C35B71"/>
    <w:rsid w:val="00C3608F"/>
    <w:rsid w:val="00C367DB"/>
    <w:rsid w:val="00C36827"/>
    <w:rsid w:val="00C37835"/>
    <w:rsid w:val="00C401CF"/>
    <w:rsid w:val="00C40234"/>
    <w:rsid w:val="00C40754"/>
    <w:rsid w:val="00C40E5E"/>
    <w:rsid w:val="00C40E7E"/>
    <w:rsid w:val="00C411BD"/>
    <w:rsid w:val="00C417D0"/>
    <w:rsid w:val="00C41B16"/>
    <w:rsid w:val="00C420C6"/>
    <w:rsid w:val="00C421AA"/>
    <w:rsid w:val="00C421F8"/>
    <w:rsid w:val="00C4227D"/>
    <w:rsid w:val="00C42658"/>
    <w:rsid w:val="00C433CB"/>
    <w:rsid w:val="00C43647"/>
    <w:rsid w:val="00C4379F"/>
    <w:rsid w:val="00C43A06"/>
    <w:rsid w:val="00C44E96"/>
    <w:rsid w:val="00C44ECE"/>
    <w:rsid w:val="00C45162"/>
    <w:rsid w:val="00C452C4"/>
    <w:rsid w:val="00C45782"/>
    <w:rsid w:val="00C45804"/>
    <w:rsid w:val="00C459F6"/>
    <w:rsid w:val="00C45FE1"/>
    <w:rsid w:val="00C4604A"/>
    <w:rsid w:val="00C46668"/>
    <w:rsid w:val="00C4688E"/>
    <w:rsid w:val="00C46AE1"/>
    <w:rsid w:val="00C470E4"/>
    <w:rsid w:val="00C4742D"/>
    <w:rsid w:val="00C4785B"/>
    <w:rsid w:val="00C47FF9"/>
    <w:rsid w:val="00C50502"/>
    <w:rsid w:val="00C5074F"/>
    <w:rsid w:val="00C508FA"/>
    <w:rsid w:val="00C5094A"/>
    <w:rsid w:val="00C50A0F"/>
    <w:rsid w:val="00C50ADF"/>
    <w:rsid w:val="00C50B5E"/>
    <w:rsid w:val="00C50EC4"/>
    <w:rsid w:val="00C51091"/>
    <w:rsid w:val="00C5137C"/>
    <w:rsid w:val="00C51492"/>
    <w:rsid w:val="00C518F5"/>
    <w:rsid w:val="00C51B05"/>
    <w:rsid w:val="00C51F78"/>
    <w:rsid w:val="00C523FB"/>
    <w:rsid w:val="00C526A7"/>
    <w:rsid w:val="00C52FBC"/>
    <w:rsid w:val="00C533DB"/>
    <w:rsid w:val="00C53A29"/>
    <w:rsid w:val="00C53E2A"/>
    <w:rsid w:val="00C53F4F"/>
    <w:rsid w:val="00C54574"/>
    <w:rsid w:val="00C546AE"/>
    <w:rsid w:val="00C5529A"/>
    <w:rsid w:val="00C55DF9"/>
    <w:rsid w:val="00C55FAB"/>
    <w:rsid w:val="00C5729F"/>
    <w:rsid w:val="00C57570"/>
    <w:rsid w:val="00C57727"/>
    <w:rsid w:val="00C579A9"/>
    <w:rsid w:val="00C57BD9"/>
    <w:rsid w:val="00C60644"/>
    <w:rsid w:val="00C6067A"/>
    <w:rsid w:val="00C606E1"/>
    <w:rsid w:val="00C60BFC"/>
    <w:rsid w:val="00C60CE5"/>
    <w:rsid w:val="00C60EB9"/>
    <w:rsid w:val="00C60FBD"/>
    <w:rsid w:val="00C612FF"/>
    <w:rsid w:val="00C6202D"/>
    <w:rsid w:val="00C6207D"/>
    <w:rsid w:val="00C6231C"/>
    <w:rsid w:val="00C62411"/>
    <w:rsid w:val="00C624FE"/>
    <w:rsid w:val="00C62570"/>
    <w:rsid w:val="00C62A65"/>
    <w:rsid w:val="00C634D7"/>
    <w:rsid w:val="00C63B8D"/>
    <w:rsid w:val="00C64E28"/>
    <w:rsid w:val="00C65B09"/>
    <w:rsid w:val="00C6684E"/>
    <w:rsid w:val="00C66850"/>
    <w:rsid w:val="00C66B8C"/>
    <w:rsid w:val="00C66CF8"/>
    <w:rsid w:val="00C66EF8"/>
    <w:rsid w:val="00C67A70"/>
    <w:rsid w:val="00C67D15"/>
    <w:rsid w:val="00C700C7"/>
    <w:rsid w:val="00C700E1"/>
    <w:rsid w:val="00C7035D"/>
    <w:rsid w:val="00C70A3C"/>
    <w:rsid w:val="00C70BD7"/>
    <w:rsid w:val="00C71F8A"/>
    <w:rsid w:val="00C71F8F"/>
    <w:rsid w:val="00C723CC"/>
    <w:rsid w:val="00C72B7F"/>
    <w:rsid w:val="00C732AD"/>
    <w:rsid w:val="00C73E21"/>
    <w:rsid w:val="00C740D9"/>
    <w:rsid w:val="00C7417C"/>
    <w:rsid w:val="00C745CF"/>
    <w:rsid w:val="00C748BB"/>
    <w:rsid w:val="00C74D4E"/>
    <w:rsid w:val="00C74E12"/>
    <w:rsid w:val="00C756A5"/>
    <w:rsid w:val="00C75739"/>
    <w:rsid w:val="00C757E1"/>
    <w:rsid w:val="00C75967"/>
    <w:rsid w:val="00C75B55"/>
    <w:rsid w:val="00C7607E"/>
    <w:rsid w:val="00C76120"/>
    <w:rsid w:val="00C764F4"/>
    <w:rsid w:val="00C76BF6"/>
    <w:rsid w:val="00C76E94"/>
    <w:rsid w:val="00C76FB9"/>
    <w:rsid w:val="00C770D9"/>
    <w:rsid w:val="00C77669"/>
    <w:rsid w:val="00C777DA"/>
    <w:rsid w:val="00C77886"/>
    <w:rsid w:val="00C77D1B"/>
    <w:rsid w:val="00C81218"/>
    <w:rsid w:val="00C81643"/>
    <w:rsid w:val="00C81BB5"/>
    <w:rsid w:val="00C824E7"/>
    <w:rsid w:val="00C829E3"/>
    <w:rsid w:val="00C82D45"/>
    <w:rsid w:val="00C8340B"/>
    <w:rsid w:val="00C836FA"/>
    <w:rsid w:val="00C83E11"/>
    <w:rsid w:val="00C842F3"/>
    <w:rsid w:val="00C843F7"/>
    <w:rsid w:val="00C8478B"/>
    <w:rsid w:val="00C85445"/>
    <w:rsid w:val="00C855CA"/>
    <w:rsid w:val="00C85D16"/>
    <w:rsid w:val="00C86185"/>
    <w:rsid w:val="00C86559"/>
    <w:rsid w:val="00C86B62"/>
    <w:rsid w:val="00C86C7C"/>
    <w:rsid w:val="00C8763A"/>
    <w:rsid w:val="00C87CF0"/>
    <w:rsid w:val="00C87D22"/>
    <w:rsid w:val="00C87D58"/>
    <w:rsid w:val="00C90622"/>
    <w:rsid w:val="00C90A85"/>
    <w:rsid w:val="00C90B9C"/>
    <w:rsid w:val="00C90CB3"/>
    <w:rsid w:val="00C90D1C"/>
    <w:rsid w:val="00C90DB3"/>
    <w:rsid w:val="00C90ED2"/>
    <w:rsid w:val="00C91593"/>
    <w:rsid w:val="00C918A2"/>
    <w:rsid w:val="00C91949"/>
    <w:rsid w:val="00C91DBA"/>
    <w:rsid w:val="00C91E19"/>
    <w:rsid w:val="00C91EE5"/>
    <w:rsid w:val="00C91EF6"/>
    <w:rsid w:val="00C92158"/>
    <w:rsid w:val="00C923DB"/>
    <w:rsid w:val="00C923DC"/>
    <w:rsid w:val="00C937C1"/>
    <w:rsid w:val="00C93B02"/>
    <w:rsid w:val="00C93FA0"/>
    <w:rsid w:val="00C93FE5"/>
    <w:rsid w:val="00C9408B"/>
    <w:rsid w:val="00C9420B"/>
    <w:rsid w:val="00C94276"/>
    <w:rsid w:val="00C944DE"/>
    <w:rsid w:val="00C944E7"/>
    <w:rsid w:val="00C9481E"/>
    <w:rsid w:val="00C948F8"/>
    <w:rsid w:val="00C94D77"/>
    <w:rsid w:val="00C960C0"/>
    <w:rsid w:val="00C9621F"/>
    <w:rsid w:val="00C963AA"/>
    <w:rsid w:val="00C967E4"/>
    <w:rsid w:val="00C96C41"/>
    <w:rsid w:val="00C96C45"/>
    <w:rsid w:val="00C970C0"/>
    <w:rsid w:val="00CA08D2"/>
    <w:rsid w:val="00CA0961"/>
    <w:rsid w:val="00CA1156"/>
    <w:rsid w:val="00CA11D5"/>
    <w:rsid w:val="00CA1F0A"/>
    <w:rsid w:val="00CA1FF0"/>
    <w:rsid w:val="00CA20CC"/>
    <w:rsid w:val="00CA21A8"/>
    <w:rsid w:val="00CA21D8"/>
    <w:rsid w:val="00CA2737"/>
    <w:rsid w:val="00CA38CC"/>
    <w:rsid w:val="00CA39EF"/>
    <w:rsid w:val="00CA3A19"/>
    <w:rsid w:val="00CA3B3A"/>
    <w:rsid w:val="00CA3BD0"/>
    <w:rsid w:val="00CA3E82"/>
    <w:rsid w:val="00CA443F"/>
    <w:rsid w:val="00CA494A"/>
    <w:rsid w:val="00CA4A3E"/>
    <w:rsid w:val="00CA4AA6"/>
    <w:rsid w:val="00CA4F2C"/>
    <w:rsid w:val="00CA53BC"/>
    <w:rsid w:val="00CA545F"/>
    <w:rsid w:val="00CA5B76"/>
    <w:rsid w:val="00CA638F"/>
    <w:rsid w:val="00CA6517"/>
    <w:rsid w:val="00CA6CA4"/>
    <w:rsid w:val="00CA6E5A"/>
    <w:rsid w:val="00CA7087"/>
    <w:rsid w:val="00CA70A9"/>
    <w:rsid w:val="00CA7857"/>
    <w:rsid w:val="00CA79C5"/>
    <w:rsid w:val="00CA7A8A"/>
    <w:rsid w:val="00CA7BEC"/>
    <w:rsid w:val="00CA7FBE"/>
    <w:rsid w:val="00CB093E"/>
    <w:rsid w:val="00CB0E71"/>
    <w:rsid w:val="00CB1946"/>
    <w:rsid w:val="00CB1BF7"/>
    <w:rsid w:val="00CB205C"/>
    <w:rsid w:val="00CB2106"/>
    <w:rsid w:val="00CB26A8"/>
    <w:rsid w:val="00CB335D"/>
    <w:rsid w:val="00CB3539"/>
    <w:rsid w:val="00CB37DA"/>
    <w:rsid w:val="00CB431C"/>
    <w:rsid w:val="00CB4959"/>
    <w:rsid w:val="00CB4C71"/>
    <w:rsid w:val="00CB4DD9"/>
    <w:rsid w:val="00CB4E0E"/>
    <w:rsid w:val="00CB4E20"/>
    <w:rsid w:val="00CB5276"/>
    <w:rsid w:val="00CB5511"/>
    <w:rsid w:val="00CB5A31"/>
    <w:rsid w:val="00CB5B2B"/>
    <w:rsid w:val="00CB5C55"/>
    <w:rsid w:val="00CB5DB5"/>
    <w:rsid w:val="00CB5E3E"/>
    <w:rsid w:val="00CB610B"/>
    <w:rsid w:val="00CB61E3"/>
    <w:rsid w:val="00CB6B13"/>
    <w:rsid w:val="00CB6DA8"/>
    <w:rsid w:val="00CB733B"/>
    <w:rsid w:val="00CB7654"/>
    <w:rsid w:val="00CB7FDC"/>
    <w:rsid w:val="00CC0759"/>
    <w:rsid w:val="00CC0B0C"/>
    <w:rsid w:val="00CC0C4B"/>
    <w:rsid w:val="00CC1093"/>
    <w:rsid w:val="00CC1344"/>
    <w:rsid w:val="00CC1A5E"/>
    <w:rsid w:val="00CC1FC4"/>
    <w:rsid w:val="00CC1FE5"/>
    <w:rsid w:val="00CC1FF5"/>
    <w:rsid w:val="00CC2A09"/>
    <w:rsid w:val="00CC2C42"/>
    <w:rsid w:val="00CC2C9D"/>
    <w:rsid w:val="00CC2EED"/>
    <w:rsid w:val="00CC3165"/>
    <w:rsid w:val="00CC3449"/>
    <w:rsid w:val="00CC3D41"/>
    <w:rsid w:val="00CC3EE1"/>
    <w:rsid w:val="00CC3F1C"/>
    <w:rsid w:val="00CC4034"/>
    <w:rsid w:val="00CC416E"/>
    <w:rsid w:val="00CC42C1"/>
    <w:rsid w:val="00CC4A01"/>
    <w:rsid w:val="00CC4C18"/>
    <w:rsid w:val="00CC4D18"/>
    <w:rsid w:val="00CC5047"/>
    <w:rsid w:val="00CC52C6"/>
    <w:rsid w:val="00CC53A3"/>
    <w:rsid w:val="00CC67C0"/>
    <w:rsid w:val="00CC687C"/>
    <w:rsid w:val="00CC6DAA"/>
    <w:rsid w:val="00CC7979"/>
    <w:rsid w:val="00CC7C68"/>
    <w:rsid w:val="00CD0A4B"/>
    <w:rsid w:val="00CD0B78"/>
    <w:rsid w:val="00CD0F59"/>
    <w:rsid w:val="00CD10B9"/>
    <w:rsid w:val="00CD13DF"/>
    <w:rsid w:val="00CD1616"/>
    <w:rsid w:val="00CD19BF"/>
    <w:rsid w:val="00CD1D70"/>
    <w:rsid w:val="00CD219E"/>
    <w:rsid w:val="00CD24AF"/>
    <w:rsid w:val="00CD29D4"/>
    <w:rsid w:val="00CD3224"/>
    <w:rsid w:val="00CD3598"/>
    <w:rsid w:val="00CD3B8B"/>
    <w:rsid w:val="00CD3C93"/>
    <w:rsid w:val="00CD40E9"/>
    <w:rsid w:val="00CD4601"/>
    <w:rsid w:val="00CD4915"/>
    <w:rsid w:val="00CD49FB"/>
    <w:rsid w:val="00CD4B93"/>
    <w:rsid w:val="00CD4F75"/>
    <w:rsid w:val="00CD5899"/>
    <w:rsid w:val="00CD5A34"/>
    <w:rsid w:val="00CD5AC0"/>
    <w:rsid w:val="00CD5EEE"/>
    <w:rsid w:val="00CD678E"/>
    <w:rsid w:val="00CD69EC"/>
    <w:rsid w:val="00CD6A95"/>
    <w:rsid w:val="00CD6C86"/>
    <w:rsid w:val="00CD756D"/>
    <w:rsid w:val="00CD78D9"/>
    <w:rsid w:val="00CD7DFE"/>
    <w:rsid w:val="00CD7F52"/>
    <w:rsid w:val="00CE05C2"/>
    <w:rsid w:val="00CE07C0"/>
    <w:rsid w:val="00CE0860"/>
    <w:rsid w:val="00CE0A14"/>
    <w:rsid w:val="00CE17FA"/>
    <w:rsid w:val="00CE18E7"/>
    <w:rsid w:val="00CE1E35"/>
    <w:rsid w:val="00CE1E66"/>
    <w:rsid w:val="00CE211B"/>
    <w:rsid w:val="00CE286D"/>
    <w:rsid w:val="00CE2EF4"/>
    <w:rsid w:val="00CE2FF5"/>
    <w:rsid w:val="00CE3C46"/>
    <w:rsid w:val="00CE41BC"/>
    <w:rsid w:val="00CE451B"/>
    <w:rsid w:val="00CE506F"/>
    <w:rsid w:val="00CE539E"/>
    <w:rsid w:val="00CE5D2C"/>
    <w:rsid w:val="00CE5E74"/>
    <w:rsid w:val="00CE608E"/>
    <w:rsid w:val="00CE6561"/>
    <w:rsid w:val="00CE678B"/>
    <w:rsid w:val="00CE686E"/>
    <w:rsid w:val="00CE68C8"/>
    <w:rsid w:val="00CE6900"/>
    <w:rsid w:val="00CE6E71"/>
    <w:rsid w:val="00CE7011"/>
    <w:rsid w:val="00CE7938"/>
    <w:rsid w:val="00CE7C8E"/>
    <w:rsid w:val="00CF0E3C"/>
    <w:rsid w:val="00CF1211"/>
    <w:rsid w:val="00CF18E7"/>
    <w:rsid w:val="00CF1EAE"/>
    <w:rsid w:val="00CF2498"/>
    <w:rsid w:val="00CF2865"/>
    <w:rsid w:val="00CF2EDF"/>
    <w:rsid w:val="00CF3022"/>
    <w:rsid w:val="00CF360A"/>
    <w:rsid w:val="00CF3640"/>
    <w:rsid w:val="00CF38AF"/>
    <w:rsid w:val="00CF39F4"/>
    <w:rsid w:val="00CF3F9C"/>
    <w:rsid w:val="00CF473C"/>
    <w:rsid w:val="00CF4E61"/>
    <w:rsid w:val="00CF4F23"/>
    <w:rsid w:val="00CF515A"/>
    <w:rsid w:val="00CF56AB"/>
    <w:rsid w:val="00CF57E0"/>
    <w:rsid w:val="00CF5C82"/>
    <w:rsid w:val="00CF5FE5"/>
    <w:rsid w:val="00CF63DB"/>
    <w:rsid w:val="00CF66BE"/>
    <w:rsid w:val="00CF68CF"/>
    <w:rsid w:val="00CF69D4"/>
    <w:rsid w:val="00CF6C42"/>
    <w:rsid w:val="00CF7124"/>
    <w:rsid w:val="00CF7477"/>
    <w:rsid w:val="00CF780B"/>
    <w:rsid w:val="00CF7C37"/>
    <w:rsid w:val="00D01A07"/>
    <w:rsid w:val="00D01AF1"/>
    <w:rsid w:val="00D01FD3"/>
    <w:rsid w:val="00D02057"/>
    <w:rsid w:val="00D02247"/>
    <w:rsid w:val="00D024FD"/>
    <w:rsid w:val="00D0282F"/>
    <w:rsid w:val="00D02C62"/>
    <w:rsid w:val="00D02CD1"/>
    <w:rsid w:val="00D033E0"/>
    <w:rsid w:val="00D036CD"/>
    <w:rsid w:val="00D04607"/>
    <w:rsid w:val="00D047E8"/>
    <w:rsid w:val="00D04B11"/>
    <w:rsid w:val="00D05118"/>
    <w:rsid w:val="00D05401"/>
    <w:rsid w:val="00D06324"/>
    <w:rsid w:val="00D06B44"/>
    <w:rsid w:val="00D06E2C"/>
    <w:rsid w:val="00D07919"/>
    <w:rsid w:val="00D07946"/>
    <w:rsid w:val="00D1037C"/>
    <w:rsid w:val="00D1062D"/>
    <w:rsid w:val="00D10850"/>
    <w:rsid w:val="00D10A6F"/>
    <w:rsid w:val="00D10AA3"/>
    <w:rsid w:val="00D10CB9"/>
    <w:rsid w:val="00D119F7"/>
    <w:rsid w:val="00D11D31"/>
    <w:rsid w:val="00D122D5"/>
    <w:rsid w:val="00D12954"/>
    <w:rsid w:val="00D12F2F"/>
    <w:rsid w:val="00D13108"/>
    <w:rsid w:val="00D13234"/>
    <w:rsid w:val="00D13388"/>
    <w:rsid w:val="00D1448C"/>
    <w:rsid w:val="00D14886"/>
    <w:rsid w:val="00D14E92"/>
    <w:rsid w:val="00D151CA"/>
    <w:rsid w:val="00D15533"/>
    <w:rsid w:val="00D15FC3"/>
    <w:rsid w:val="00D16151"/>
    <w:rsid w:val="00D163AA"/>
    <w:rsid w:val="00D163BE"/>
    <w:rsid w:val="00D16503"/>
    <w:rsid w:val="00D169EA"/>
    <w:rsid w:val="00D170F5"/>
    <w:rsid w:val="00D17D45"/>
    <w:rsid w:val="00D2055B"/>
    <w:rsid w:val="00D20E68"/>
    <w:rsid w:val="00D21338"/>
    <w:rsid w:val="00D2159F"/>
    <w:rsid w:val="00D21832"/>
    <w:rsid w:val="00D21C0C"/>
    <w:rsid w:val="00D223F9"/>
    <w:rsid w:val="00D226E6"/>
    <w:rsid w:val="00D22D42"/>
    <w:rsid w:val="00D22FFE"/>
    <w:rsid w:val="00D23894"/>
    <w:rsid w:val="00D23D9A"/>
    <w:rsid w:val="00D2405D"/>
    <w:rsid w:val="00D24E88"/>
    <w:rsid w:val="00D25F6B"/>
    <w:rsid w:val="00D2675C"/>
    <w:rsid w:val="00D268CC"/>
    <w:rsid w:val="00D26B83"/>
    <w:rsid w:val="00D26ED7"/>
    <w:rsid w:val="00D271CC"/>
    <w:rsid w:val="00D2779E"/>
    <w:rsid w:val="00D277E7"/>
    <w:rsid w:val="00D279DC"/>
    <w:rsid w:val="00D27DC0"/>
    <w:rsid w:val="00D30804"/>
    <w:rsid w:val="00D30AC6"/>
    <w:rsid w:val="00D31E1F"/>
    <w:rsid w:val="00D31E39"/>
    <w:rsid w:val="00D329A6"/>
    <w:rsid w:val="00D32A59"/>
    <w:rsid w:val="00D330DA"/>
    <w:rsid w:val="00D33515"/>
    <w:rsid w:val="00D335A1"/>
    <w:rsid w:val="00D33A89"/>
    <w:rsid w:val="00D33D03"/>
    <w:rsid w:val="00D33ED3"/>
    <w:rsid w:val="00D34298"/>
    <w:rsid w:val="00D347D2"/>
    <w:rsid w:val="00D347D5"/>
    <w:rsid w:val="00D34B8B"/>
    <w:rsid w:val="00D34DAC"/>
    <w:rsid w:val="00D351BA"/>
    <w:rsid w:val="00D35344"/>
    <w:rsid w:val="00D359B2"/>
    <w:rsid w:val="00D35DED"/>
    <w:rsid w:val="00D35DFC"/>
    <w:rsid w:val="00D35FC5"/>
    <w:rsid w:val="00D363D8"/>
    <w:rsid w:val="00D364AA"/>
    <w:rsid w:val="00D36618"/>
    <w:rsid w:val="00D36D07"/>
    <w:rsid w:val="00D36ED1"/>
    <w:rsid w:val="00D37071"/>
    <w:rsid w:val="00D37673"/>
    <w:rsid w:val="00D37BEE"/>
    <w:rsid w:val="00D40120"/>
    <w:rsid w:val="00D405FB"/>
    <w:rsid w:val="00D40C40"/>
    <w:rsid w:val="00D41380"/>
    <w:rsid w:val="00D4159E"/>
    <w:rsid w:val="00D417C9"/>
    <w:rsid w:val="00D41AA9"/>
    <w:rsid w:val="00D425A8"/>
    <w:rsid w:val="00D425EA"/>
    <w:rsid w:val="00D429AE"/>
    <w:rsid w:val="00D434B2"/>
    <w:rsid w:val="00D43873"/>
    <w:rsid w:val="00D43B02"/>
    <w:rsid w:val="00D44C62"/>
    <w:rsid w:val="00D4505C"/>
    <w:rsid w:val="00D45687"/>
    <w:rsid w:val="00D456CA"/>
    <w:rsid w:val="00D4581A"/>
    <w:rsid w:val="00D464EC"/>
    <w:rsid w:val="00D46D34"/>
    <w:rsid w:val="00D471CD"/>
    <w:rsid w:val="00D47576"/>
    <w:rsid w:val="00D47A6C"/>
    <w:rsid w:val="00D47DF5"/>
    <w:rsid w:val="00D47F5B"/>
    <w:rsid w:val="00D50167"/>
    <w:rsid w:val="00D50987"/>
    <w:rsid w:val="00D50DE0"/>
    <w:rsid w:val="00D50F9B"/>
    <w:rsid w:val="00D50FA3"/>
    <w:rsid w:val="00D511C3"/>
    <w:rsid w:val="00D518AB"/>
    <w:rsid w:val="00D521C1"/>
    <w:rsid w:val="00D522FD"/>
    <w:rsid w:val="00D52A2D"/>
    <w:rsid w:val="00D53C75"/>
    <w:rsid w:val="00D53D0A"/>
    <w:rsid w:val="00D542BC"/>
    <w:rsid w:val="00D5453B"/>
    <w:rsid w:val="00D5483C"/>
    <w:rsid w:val="00D551F4"/>
    <w:rsid w:val="00D55237"/>
    <w:rsid w:val="00D554E8"/>
    <w:rsid w:val="00D55C82"/>
    <w:rsid w:val="00D5695D"/>
    <w:rsid w:val="00D56F1F"/>
    <w:rsid w:val="00D56FD9"/>
    <w:rsid w:val="00D57395"/>
    <w:rsid w:val="00D5743F"/>
    <w:rsid w:val="00D576E2"/>
    <w:rsid w:val="00D57703"/>
    <w:rsid w:val="00D57AE6"/>
    <w:rsid w:val="00D57CDE"/>
    <w:rsid w:val="00D6035B"/>
    <w:rsid w:val="00D60662"/>
    <w:rsid w:val="00D607F8"/>
    <w:rsid w:val="00D60A9E"/>
    <w:rsid w:val="00D60BE6"/>
    <w:rsid w:val="00D61672"/>
    <w:rsid w:val="00D61913"/>
    <w:rsid w:val="00D61DDC"/>
    <w:rsid w:val="00D61ED3"/>
    <w:rsid w:val="00D61FB5"/>
    <w:rsid w:val="00D62632"/>
    <w:rsid w:val="00D62B24"/>
    <w:rsid w:val="00D62FE3"/>
    <w:rsid w:val="00D6367A"/>
    <w:rsid w:val="00D63D98"/>
    <w:rsid w:val="00D6439D"/>
    <w:rsid w:val="00D645BA"/>
    <w:rsid w:val="00D646F2"/>
    <w:rsid w:val="00D64C52"/>
    <w:rsid w:val="00D64E80"/>
    <w:rsid w:val="00D65216"/>
    <w:rsid w:val="00D65358"/>
    <w:rsid w:val="00D6549C"/>
    <w:rsid w:val="00D657EF"/>
    <w:rsid w:val="00D66B5C"/>
    <w:rsid w:val="00D66D8F"/>
    <w:rsid w:val="00D66FB1"/>
    <w:rsid w:val="00D672E7"/>
    <w:rsid w:val="00D67794"/>
    <w:rsid w:val="00D67B01"/>
    <w:rsid w:val="00D67E60"/>
    <w:rsid w:val="00D67F2D"/>
    <w:rsid w:val="00D67FE4"/>
    <w:rsid w:val="00D7111A"/>
    <w:rsid w:val="00D7115F"/>
    <w:rsid w:val="00D71358"/>
    <w:rsid w:val="00D71866"/>
    <w:rsid w:val="00D718A4"/>
    <w:rsid w:val="00D71991"/>
    <w:rsid w:val="00D71A13"/>
    <w:rsid w:val="00D71A5F"/>
    <w:rsid w:val="00D71C60"/>
    <w:rsid w:val="00D726C6"/>
    <w:rsid w:val="00D72BE3"/>
    <w:rsid w:val="00D737AC"/>
    <w:rsid w:val="00D737C8"/>
    <w:rsid w:val="00D73FCC"/>
    <w:rsid w:val="00D745BD"/>
    <w:rsid w:val="00D74623"/>
    <w:rsid w:val="00D7522D"/>
    <w:rsid w:val="00D75A98"/>
    <w:rsid w:val="00D75E8E"/>
    <w:rsid w:val="00D76051"/>
    <w:rsid w:val="00D764AF"/>
    <w:rsid w:val="00D765D9"/>
    <w:rsid w:val="00D767C9"/>
    <w:rsid w:val="00D7683D"/>
    <w:rsid w:val="00D76AED"/>
    <w:rsid w:val="00D76F24"/>
    <w:rsid w:val="00D779AA"/>
    <w:rsid w:val="00D77B48"/>
    <w:rsid w:val="00D80517"/>
    <w:rsid w:val="00D80D59"/>
    <w:rsid w:val="00D80FDC"/>
    <w:rsid w:val="00D816D7"/>
    <w:rsid w:val="00D81956"/>
    <w:rsid w:val="00D81F85"/>
    <w:rsid w:val="00D821E1"/>
    <w:rsid w:val="00D83073"/>
    <w:rsid w:val="00D83813"/>
    <w:rsid w:val="00D83879"/>
    <w:rsid w:val="00D83AAB"/>
    <w:rsid w:val="00D83C03"/>
    <w:rsid w:val="00D83F38"/>
    <w:rsid w:val="00D8405F"/>
    <w:rsid w:val="00D84FF0"/>
    <w:rsid w:val="00D85513"/>
    <w:rsid w:val="00D85592"/>
    <w:rsid w:val="00D859D9"/>
    <w:rsid w:val="00D862E6"/>
    <w:rsid w:val="00D8722F"/>
    <w:rsid w:val="00D875A9"/>
    <w:rsid w:val="00D875BA"/>
    <w:rsid w:val="00D879ED"/>
    <w:rsid w:val="00D87E45"/>
    <w:rsid w:val="00D87F13"/>
    <w:rsid w:val="00D90844"/>
    <w:rsid w:val="00D909E8"/>
    <w:rsid w:val="00D90BB2"/>
    <w:rsid w:val="00D90BCC"/>
    <w:rsid w:val="00D90CCE"/>
    <w:rsid w:val="00D90D75"/>
    <w:rsid w:val="00D90F8D"/>
    <w:rsid w:val="00D91138"/>
    <w:rsid w:val="00D918AA"/>
    <w:rsid w:val="00D91ABC"/>
    <w:rsid w:val="00D91D93"/>
    <w:rsid w:val="00D91DDC"/>
    <w:rsid w:val="00D91E04"/>
    <w:rsid w:val="00D9226F"/>
    <w:rsid w:val="00D927BC"/>
    <w:rsid w:val="00D92862"/>
    <w:rsid w:val="00D929CB"/>
    <w:rsid w:val="00D92DBD"/>
    <w:rsid w:val="00D92DC8"/>
    <w:rsid w:val="00D92E55"/>
    <w:rsid w:val="00D930DD"/>
    <w:rsid w:val="00D93381"/>
    <w:rsid w:val="00D935EB"/>
    <w:rsid w:val="00D93739"/>
    <w:rsid w:val="00D93A1B"/>
    <w:rsid w:val="00D93EA5"/>
    <w:rsid w:val="00D94600"/>
    <w:rsid w:val="00D947D8"/>
    <w:rsid w:val="00D9492F"/>
    <w:rsid w:val="00D94AC5"/>
    <w:rsid w:val="00D94F9F"/>
    <w:rsid w:val="00D950B2"/>
    <w:rsid w:val="00D956CA"/>
    <w:rsid w:val="00D95A96"/>
    <w:rsid w:val="00D95AC2"/>
    <w:rsid w:val="00D95B74"/>
    <w:rsid w:val="00D96681"/>
    <w:rsid w:val="00D9683F"/>
    <w:rsid w:val="00D9695C"/>
    <w:rsid w:val="00D97839"/>
    <w:rsid w:val="00D97847"/>
    <w:rsid w:val="00D978A1"/>
    <w:rsid w:val="00D979A6"/>
    <w:rsid w:val="00D97A00"/>
    <w:rsid w:val="00D97BF1"/>
    <w:rsid w:val="00D97C6F"/>
    <w:rsid w:val="00DA05CE"/>
    <w:rsid w:val="00DA0B11"/>
    <w:rsid w:val="00DA0BE1"/>
    <w:rsid w:val="00DA1B90"/>
    <w:rsid w:val="00DA1E6A"/>
    <w:rsid w:val="00DA277F"/>
    <w:rsid w:val="00DA2A65"/>
    <w:rsid w:val="00DA2C6A"/>
    <w:rsid w:val="00DA2C8E"/>
    <w:rsid w:val="00DA36D2"/>
    <w:rsid w:val="00DA396F"/>
    <w:rsid w:val="00DA3D2F"/>
    <w:rsid w:val="00DA49C6"/>
    <w:rsid w:val="00DA4B47"/>
    <w:rsid w:val="00DA4BC5"/>
    <w:rsid w:val="00DA55C9"/>
    <w:rsid w:val="00DA576F"/>
    <w:rsid w:val="00DA57A9"/>
    <w:rsid w:val="00DA58CF"/>
    <w:rsid w:val="00DA5BD4"/>
    <w:rsid w:val="00DA5C66"/>
    <w:rsid w:val="00DA5E7E"/>
    <w:rsid w:val="00DA5FC3"/>
    <w:rsid w:val="00DA62E2"/>
    <w:rsid w:val="00DA62EC"/>
    <w:rsid w:val="00DA6592"/>
    <w:rsid w:val="00DA6A4E"/>
    <w:rsid w:val="00DA6D27"/>
    <w:rsid w:val="00DA6E0E"/>
    <w:rsid w:val="00DA6E59"/>
    <w:rsid w:val="00DA7C8F"/>
    <w:rsid w:val="00DB006A"/>
    <w:rsid w:val="00DB03C3"/>
    <w:rsid w:val="00DB05F4"/>
    <w:rsid w:val="00DB096A"/>
    <w:rsid w:val="00DB0DBA"/>
    <w:rsid w:val="00DB104F"/>
    <w:rsid w:val="00DB11B1"/>
    <w:rsid w:val="00DB1665"/>
    <w:rsid w:val="00DB178A"/>
    <w:rsid w:val="00DB1DDD"/>
    <w:rsid w:val="00DB1FC9"/>
    <w:rsid w:val="00DB2192"/>
    <w:rsid w:val="00DB21B3"/>
    <w:rsid w:val="00DB2474"/>
    <w:rsid w:val="00DB25B1"/>
    <w:rsid w:val="00DB28A3"/>
    <w:rsid w:val="00DB30CC"/>
    <w:rsid w:val="00DB3121"/>
    <w:rsid w:val="00DB338F"/>
    <w:rsid w:val="00DB35AF"/>
    <w:rsid w:val="00DB3707"/>
    <w:rsid w:val="00DB3D1D"/>
    <w:rsid w:val="00DB4446"/>
    <w:rsid w:val="00DB4C65"/>
    <w:rsid w:val="00DB4DF2"/>
    <w:rsid w:val="00DB57EB"/>
    <w:rsid w:val="00DB5A68"/>
    <w:rsid w:val="00DB6002"/>
    <w:rsid w:val="00DB6059"/>
    <w:rsid w:val="00DB67D5"/>
    <w:rsid w:val="00DB6A66"/>
    <w:rsid w:val="00DB70CC"/>
    <w:rsid w:val="00DB753D"/>
    <w:rsid w:val="00DB794F"/>
    <w:rsid w:val="00DB7F25"/>
    <w:rsid w:val="00DC013C"/>
    <w:rsid w:val="00DC035A"/>
    <w:rsid w:val="00DC0B12"/>
    <w:rsid w:val="00DC0FE8"/>
    <w:rsid w:val="00DC1399"/>
    <w:rsid w:val="00DC17F0"/>
    <w:rsid w:val="00DC221E"/>
    <w:rsid w:val="00DC26E9"/>
    <w:rsid w:val="00DC328E"/>
    <w:rsid w:val="00DC35BF"/>
    <w:rsid w:val="00DC3797"/>
    <w:rsid w:val="00DC4505"/>
    <w:rsid w:val="00DC4B1A"/>
    <w:rsid w:val="00DC53AB"/>
    <w:rsid w:val="00DC54F9"/>
    <w:rsid w:val="00DC55B1"/>
    <w:rsid w:val="00DC59FE"/>
    <w:rsid w:val="00DC5D67"/>
    <w:rsid w:val="00DC5D8F"/>
    <w:rsid w:val="00DC5E50"/>
    <w:rsid w:val="00DC6479"/>
    <w:rsid w:val="00DC6FFE"/>
    <w:rsid w:val="00DC754A"/>
    <w:rsid w:val="00DC798B"/>
    <w:rsid w:val="00DC7DF5"/>
    <w:rsid w:val="00DD0432"/>
    <w:rsid w:val="00DD0994"/>
    <w:rsid w:val="00DD0A76"/>
    <w:rsid w:val="00DD0B0D"/>
    <w:rsid w:val="00DD0D1F"/>
    <w:rsid w:val="00DD1407"/>
    <w:rsid w:val="00DD1446"/>
    <w:rsid w:val="00DD157B"/>
    <w:rsid w:val="00DD1DC4"/>
    <w:rsid w:val="00DD1DE8"/>
    <w:rsid w:val="00DD1EE3"/>
    <w:rsid w:val="00DD213E"/>
    <w:rsid w:val="00DD22FB"/>
    <w:rsid w:val="00DD2A17"/>
    <w:rsid w:val="00DD3044"/>
    <w:rsid w:val="00DD37F8"/>
    <w:rsid w:val="00DD3953"/>
    <w:rsid w:val="00DD3CDE"/>
    <w:rsid w:val="00DD3E61"/>
    <w:rsid w:val="00DD41A4"/>
    <w:rsid w:val="00DD41B3"/>
    <w:rsid w:val="00DD41BC"/>
    <w:rsid w:val="00DD42D6"/>
    <w:rsid w:val="00DD4442"/>
    <w:rsid w:val="00DD4573"/>
    <w:rsid w:val="00DD4769"/>
    <w:rsid w:val="00DD4D15"/>
    <w:rsid w:val="00DD563F"/>
    <w:rsid w:val="00DD56F2"/>
    <w:rsid w:val="00DD5924"/>
    <w:rsid w:val="00DD5CA8"/>
    <w:rsid w:val="00DD64C3"/>
    <w:rsid w:val="00DD6BCD"/>
    <w:rsid w:val="00DD7388"/>
    <w:rsid w:val="00DD798C"/>
    <w:rsid w:val="00DD7CB1"/>
    <w:rsid w:val="00DD7CB9"/>
    <w:rsid w:val="00DE0432"/>
    <w:rsid w:val="00DE1ADD"/>
    <w:rsid w:val="00DE2082"/>
    <w:rsid w:val="00DE2863"/>
    <w:rsid w:val="00DE2B41"/>
    <w:rsid w:val="00DE34B1"/>
    <w:rsid w:val="00DE3D55"/>
    <w:rsid w:val="00DE3D9C"/>
    <w:rsid w:val="00DE41D3"/>
    <w:rsid w:val="00DE49B1"/>
    <w:rsid w:val="00DE4AAB"/>
    <w:rsid w:val="00DE4B57"/>
    <w:rsid w:val="00DE506F"/>
    <w:rsid w:val="00DE50E4"/>
    <w:rsid w:val="00DE5119"/>
    <w:rsid w:val="00DE5519"/>
    <w:rsid w:val="00DE5AFD"/>
    <w:rsid w:val="00DE5EB5"/>
    <w:rsid w:val="00DE628C"/>
    <w:rsid w:val="00DE64A4"/>
    <w:rsid w:val="00DE7065"/>
    <w:rsid w:val="00DE71BD"/>
    <w:rsid w:val="00DE72B9"/>
    <w:rsid w:val="00DE7852"/>
    <w:rsid w:val="00DE7F26"/>
    <w:rsid w:val="00DF07A9"/>
    <w:rsid w:val="00DF0C72"/>
    <w:rsid w:val="00DF1292"/>
    <w:rsid w:val="00DF1BA2"/>
    <w:rsid w:val="00DF1E7D"/>
    <w:rsid w:val="00DF21ED"/>
    <w:rsid w:val="00DF2AF1"/>
    <w:rsid w:val="00DF2D61"/>
    <w:rsid w:val="00DF2E2F"/>
    <w:rsid w:val="00DF368E"/>
    <w:rsid w:val="00DF3DFC"/>
    <w:rsid w:val="00DF423B"/>
    <w:rsid w:val="00DF4586"/>
    <w:rsid w:val="00DF4633"/>
    <w:rsid w:val="00DF47BA"/>
    <w:rsid w:val="00DF4D86"/>
    <w:rsid w:val="00DF4E4B"/>
    <w:rsid w:val="00DF4F73"/>
    <w:rsid w:val="00DF5301"/>
    <w:rsid w:val="00DF53DD"/>
    <w:rsid w:val="00DF5A9C"/>
    <w:rsid w:val="00DF6322"/>
    <w:rsid w:val="00DF67A6"/>
    <w:rsid w:val="00DF6AF9"/>
    <w:rsid w:val="00DF6F17"/>
    <w:rsid w:val="00DF71FB"/>
    <w:rsid w:val="00DF7280"/>
    <w:rsid w:val="00DF7398"/>
    <w:rsid w:val="00DF7E46"/>
    <w:rsid w:val="00E00041"/>
    <w:rsid w:val="00E007A0"/>
    <w:rsid w:val="00E007ED"/>
    <w:rsid w:val="00E00AE6"/>
    <w:rsid w:val="00E00B0A"/>
    <w:rsid w:val="00E00D1E"/>
    <w:rsid w:val="00E00E35"/>
    <w:rsid w:val="00E01095"/>
    <w:rsid w:val="00E0135B"/>
    <w:rsid w:val="00E02532"/>
    <w:rsid w:val="00E027CF"/>
    <w:rsid w:val="00E02819"/>
    <w:rsid w:val="00E02AD0"/>
    <w:rsid w:val="00E0337D"/>
    <w:rsid w:val="00E044A5"/>
    <w:rsid w:val="00E044EB"/>
    <w:rsid w:val="00E0484E"/>
    <w:rsid w:val="00E04898"/>
    <w:rsid w:val="00E05032"/>
    <w:rsid w:val="00E05115"/>
    <w:rsid w:val="00E0644C"/>
    <w:rsid w:val="00E06479"/>
    <w:rsid w:val="00E06603"/>
    <w:rsid w:val="00E06D4B"/>
    <w:rsid w:val="00E06EBD"/>
    <w:rsid w:val="00E07017"/>
    <w:rsid w:val="00E07183"/>
    <w:rsid w:val="00E072D5"/>
    <w:rsid w:val="00E07553"/>
    <w:rsid w:val="00E10049"/>
    <w:rsid w:val="00E1035A"/>
    <w:rsid w:val="00E1066D"/>
    <w:rsid w:val="00E1107F"/>
    <w:rsid w:val="00E123F7"/>
    <w:rsid w:val="00E125C3"/>
    <w:rsid w:val="00E12CBF"/>
    <w:rsid w:val="00E12D11"/>
    <w:rsid w:val="00E12F6D"/>
    <w:rsid w:val="00E12FDC"/>
    <w:rsid w:val="00E137E3"/>
    <w:rsid w:val="00E14866"/>
    <w:rsid w:val="00E1487A"/>
    <w:rsid w:val="00E14A0B"/>
    <w:rsid w:val="00E150E2"/>
    <w:rsid w:val="00E156F7"/>
    <w:rsid w:val="00E15A70"/>
    <w:rsid w:val="00E1624B"/>
    <w:rsid w:val="00E164CC"/>
    <w:rsid w:val="00E168A5"/>
    <w:rsid w:val="00E169E6"/>
    <w:rsid w:val="00E16AAD"/>
    <w:rsid w:val="00E16C6A"/>
    <w:rsid w:val="00E16D4B"/>
    <w:rsid w:val="00E1717A"/>
    <w:rsid w:val="00E17F00"/>
    <w:rsid w:val="00E20018"/>
    <w:rsid w:val="00E20052"/>
    <w:rsid w:val="00E203F1"/>
    <w:rsid w:val="00E20691"/>
    <w:rsid w:val="00E208ED"/>
    <w:rsid w:val="00E20B8F"/>
    <w:rsid w:val="00E210F9"/>
    <w:rsid w:val="00E2182F"/>
    <w:rsid w:val="00E21AC7"/>
    <w:rsid w:val="00E21D9A"/>
    <w:rsid w:val="00E223A0"/>
    <w:rsid w:val="00E224E0"/>
    <w:rsid w:val="00E227F7"/>
    <w:rsid w:val="00E2281D"/>
    <w:rsid w:val="00E22BDD"/>
    <w:rsid w:val="00E23192"/>
    <w:rsid w:val="00E23300"/>
    <w:rsid w:val="00E2355D"/>
    <w:rsid w:val="00E23740"/>
    <w:rsid w:val="00E23D6D"/>
    <w:rsid w:val="00E23E13"/>
    <w:rsid w:val="00E2456E"/>
    <w:rsid w:val="00E24ACE"/>
    <w:rsid w:val="00E24D1C"/>
    <w:rsid w:val="00E24E14"/>
    <w:rsid w:val="00E24EA7"/>
    <w:rsid w:val="00E258F8"/>
    <w:rsid w:val="00E25C38"/>
    <w:rsid w:val="00E25E0C"/>
    <w:rsid w:val="00E26118"/>
    <w:rsid w:val="00E261A9"/>
    <w:rsid w:val="00E26478"/>
    <w:rsid w:val="00E26A2C"/>
    <w:rsid w:val="00E26AA9"/>
    <w:rsid w:val="00E26CA0"/>
    <w:rsid w:val="00E272FB"/>
    <w:rsid w:val="00E3007E"/>
    <w:rsid w:val="00E301AF"/>
    <w:rsid w:val="00E30A1B"/>
    <w:rsid w:val="00E30B58"/>
    <w:rsid w:val="00E310CD"/>
    <w:rsid w:val="00E31210"/>
    <w:rsid w:val="00E31831"/>
    <w:rsid w:val="00E31887"/>
    <w:rsid w:val="00E322FA"/>
    <w:rsid w:val="00E3265D"/>
    <w:rsid w:val="00E327F1"/>
    <w:rsid w:val="00E32B41"/>
    <w:rsid w:val="00E32D13"/>
    <w:rsid w:val="00E32EC2"/>
    <w:rsid w:val="00E33003"/>
    <w:rsid w:val="00E3324F"/>
    <w:rsid w:val="00E33C12"/>
    <w:rsid w:val="00E33DAE"/>
    <w:rsid w:val="00E33E9B"/>
    <w:rsid w:val="00E3416C"/>
    <w:rsid w:val="00E3418A"/>
    <w:rsid w:val="00E347D2"/>
    <w:rsid w:val="00E3582E"/>
    <w:rsid w:val="00E36045"/>
    <w:rsid w:val="00E361B8"/>
    <w:rsid w:val="00E36991"/>
    <w:rsid w:val="00E36999"/>
    <w:rsid w:val="00E36BDF"/>
    <w:rsid w:val="00E36C7D"/>
    <w:rsid w:val="00E37051"/>
    <w:rsid w:val="00E37C42"/>
    <w:rsid w:val="00E37FDA"/>
    <w:rsid w:val="00E40159"/>
    <w:rsid w:val="00E402A1"/>
    <w:rsid w:val="00E40CC6"/>
    <w:rsid w:val="00E40E11"/>
    <w:rsid w:val="00E40E1F"/>
    <w:rsid w:val="00E41080"/>
    <w:rsid w:val="00E41639"/>
    <w:rsid w:val="00E41A6B"/>
    <w:rsid w:val="00E41B6A"/>
    <w:rsid w:val="00E41FB8"/>
    <w:rsid w:val="00E42001"/>
    <w:rsid w:val="00E42A13"/>
    <w:rsid w:val="00E42B8D"/>
    <w:rsid w:val="00E42CE2"/>
    <w:rsid w:val="00E435B7"/>
    <w:rsid w:val="00E436ED"/>
    <w:rsid w:val="00E43759"/>
    <w:rsid w:val="00E43CB5"/>
    <w:rsid w:val="00E43ED5"/>
    <w:rsid w:val="00E43F69"/>
    <w:rsid w:val="00E44170"/>
    <w:rsid w:val="00E44174"/>
    <w:rsid w:val="00E44696"/>
    <w:rsid w:val="00E447A7"/>
    <w:rsid w:val="00E44815"/>
    <w:rsid w:val="00E44882"/>
    <w:rsid w:val="00E44CA2"/>
    <w:rsid w:val="00E44CD6"/>
    <w:rsid w:val="00E4504D"/>
    <w:rsid w:val="00E455F6"/>
    <w:rsid w:val="00E458A8"/>
    <w:rsid w:val="00E46328"/>
    <w:rsid w:val="00E4676D"/>
    <w:rsid w:val="00E46907"/>
    <w:rsid w:val="00E46987"/>
    <w:rsid w:val="00E46A6C"/>
    <w:rsid w:val="00E46C91"/>
    <w:rsid w:val="00E46CA0"/>
    <w:rsid w:val="00E46EAB"/>
    <w:rsid w:val="00E471CA"/>
    <w:rsid w:val="00E473BA"/>
    <w:rsid w:val="00E47A17"/>
    <w:rsid w:val="00E47BD8"/>
    <w:rsid w:val="00E5020F"/>
    <w:rsid w:val="00E5074B"/>
    <w:rsid w:val="00E50821"/>
    <w:rsid w:val="00E50A64"/>
    <w:rsid w:val="00E50CF0"/>
    <w:rsid w:val="00E5102E"/>
    <w:rsid w:val="00E515D9"/>
    <w:rsid w:val="00E51835"/>
    <w:rsid w:val="00E51A6A"/>
    <w:rsid w:val="00E5205C"/>
    <w:rsid w:val="00E52489"/>
    <w:rsid w:val="00E53035"/>
    <w:rsid w:val="00E537B7"/>
    <w:rsid w:val="00E53DF3"/>
    <w:rsid w:val="00E53F70"/>
    <w:rsid w:val="00E54319"/>
    <w:rsid w:val="00E543D3"/>
    <w:rsid w:val="00E54AE6"/>
    <w:rsid w:val="00E55113"/>
    <w:rsid w:val="00E55364"/>
    <w:rsid w:val="00E5551B"/>
    <w:rsid w:val="00E5552A"/>
    <w:rsid w:val="00E55682"/>
    <w:rsid w:val="00E55ED1"/>
    <w:rsid w:val="00E56382"/>
    <w:rsid w:val="00E567F8"/>
    <w:rsid w:val="00E569AE"/>
    <w:rsid w:val="00E57233"/>
    <w:rsid w:val="00E573C4"/>
    <w:rsid w:val="00E57475"/>
    <w:rsid w:val="00E579F9"/>
    <w:rsid w:val="00E57AFA"/>
    <w:rsid w:val="00E57B61"/>
    <w:rsid w:val="00E57C61"/>
    <w:rsid w:val="00E6024A"/>
    <w:rsid w:val="00E60310"/>
    <w:rsid w:val="00E60CB0"/>
    <w:rsid w:val="00E6178E"/>
    <w:rsid w:val="00E61A50"/>
    <w:rsid w:val="00E61D53"/>
    <w:rsid w:val="00E62221"/>
    <w:rsid w:val="00E6243F"/>
    <w:rsid w:val="00E6372D"/>
    <w:rsid w:val="00E64292"/>
    <w:rsid w:val="00E64A00"/>
    <w:rsid w:val="00E64D10"/>
    <w:rsid w:val="00E64DF6"/>
    <w:rsid w:val="00E6528A"/>
    <w:rsid w:val="00E653E1"/>
    <w:rsid w:val="00E65B17"/>
    <w:rsid w:val="00E65C51"/>
    <w:rsid w:val="00E66366"/>
    <w:rsid w:val="00E66A6B"/>
    <w:rsid w:val="00E67BFF"/>
    <w:rsid w:val="00E7027A"/>
    <w:rsid w:val="00E70BED"/>
    <w:rsid w:val="00E70DB2"/>
    <w:rsid w:val="00E70F92"/>
    <w:rsid w:val="00E71954"/>
    <w:rsid w:val="00E71B10"/>
    <w:rsid w:val="00E72789"/>
    <w:rsid w:val="00E729E9"/>
    <w:rsid w:val="00E72AB5"/>
    <w:rsid w:val="00E72E32"/>
    <w:rsid w:val="00E73513"/>
    <w:rsid w:val="00E73D6F"/>
    <w:rsid w:val="00E73E84"/>
    <w:rsid w:val="00E73FAF"/>
    <w:rsid w:val="00E7426D"/>
    <w:rsid w:val="00E742AE"/>
    <w:rsid w:val="00E7437F"/>
    <w:rsid w:val="00E747DC"/>
    <w:rsid w:val="00E74A02"/>
    <w:rsid w:val="00E7571A"/>
    <w:rsid w:val="00E757AE"/>
    <w:rsid w:val="00E7581E"/>
    <w:rsid w:val="00E75A39"/>
    <w:rsid w:val="00E75A4F"/>
    <w:rsid w:val="00E75E93"/>
    <w:rsid w:val="00E75F09"/>
    <w:rsid w:val="00E76063"/>
    <w:rsid w:val="00E769AD"/>
    <w:rsid w:val="00E76C57"/>
    <w:rsid w:val="00E76E31"/>
    <w:rsid w:val="00E76F32"/>
    <w:rsid w:val="00E77452"/>
    <w:rsid w:val="00E77852"/>
    <w:rsid w:val="00E77A31"/>
    <w:rsid w:val="00E77D19"/>
    <w:rsid w:val="00E80A73"/>
    <w:rsid w:val="00E80D74"/>
    <w:rsid w:val="00E81290"/>
    <w:rsid w:val="00E815C0"/>
    <w:rsid w:val="00E81819"/>
    <w:rsid w:val="00E81A61"/>
    <w:rsid w:val="00E82F9C"/>
    <w:rsid w:val="00E83810"/>
    <w:rsid w:val="00E83DB8"/>
    <w:rsid w:val="00E83E40"/>
    <w:rsid w:val="00E84120"/>
    <w:rsid w:val="00E8476B"/>
    <w:rsid w:val="00E84F1C"/>
    <w:rsid w:val="00E850F3"/>
    <w:rsid w:val="00E85434"/>
    <w:rsid w:val="00E85456"/>
    <w:rsid w:val="00E8579A"/>
    <w:rsid w:val="00E8592B"/>
    <w:rsid w:val="00E8594E"/>
    <w:rsid w:val="00E85958"/>
    <w:rsid w:val="00E85D95"/>
    <w:rsid w:val="00E862BD"/>
    <w:rsid w:val="00E86A4E"/>
    <w:rsid w:val="00E86F4C"/>
    <w:rsid w:val="00E873ED"/>
    <w:rsid w:val="00E879D0"/>
    <w:rsid w:val="00E90001"/>
    <w:rsid w:val="00E90283"/>
    <w:rsid w:val="00E9082B"/>
    <w:rsid w:val="00E90F60"/>
    <w:rsid w:val="00E92086"/>
    <w:rsid w:val="00E92791"/>
    <w:rsid w:val="00E92F83"/>
    <w:rsid w:val="00E930ED"/>
    <w:rsid w:val="00E932CC"/>
    <w:rsid w:val="00E9376A"/>
    <w:rsid w:val="00E93C6D"/>
    <w:rsid w:val="00E9442A"/>
    <w:rsid w:val="00E9458C"/>
    <w:rsid w:val="00E94743"/>
    <w:rsid w:val="00E9488D"/>
    <w:rsid w:val="00E948FD"/>
    <w:rsid w:val="00E9490A"/>
    <w:rsid w:val="00E94B00"/>
    <w:rsid w:val="00E94EEB"/>
    <w:rsid w:val="00E95FF3"/>
    <w:rsid w:val="00E96006"/>
    <w:rsid w:val="00E96B3A"/>
    <w:rsid w:val="00E96E14"/>
    <w:rsid w:val="00E972D3"/>
    <w:rsid w:val="00EA003C"/>
    <w:rsid w:val="00EA034C"/>
    <w:rsid w:val="00EA0599"/>
    <w:rsid w:val="00EA0EDF"/>
    <w:rsid w:val="00EA12A9"/>
    <w:rsid w:val="00EA1D02"/>
    <w:rsid w:val="00EA2199"/>
    <w:rsid w:val="00EA222F"/>
    <w:rsid w:val="00EA25B4"/>
    <w:rsid w:val="00EA2ACF"/>
    <w:rsid w:val="00EA2CAE"/>
    <w:rsid w:val="00EA35BF"/>
    <w:rsid w:val="00EA3EB1"/>
    <w:rsid w:val="00EA3F74"/>
    <w:rsid w:val="00EA3FAA"/>
    <w:rsid w:val="00EA44B5"/>
    <w:rsid w:val="00EA46E5"/>
    <w:rsid w:val="00EA47F7"/>
    <w:rsid w:val="00EA4A20"/>
    <w:rsid w:val="00EA4C31"/>
    <w:rsid w:val="00EA4E58"/>
    <w:rsid w:val="00EA5047"/>
    <w:rsid w:val="00EA528E"/>
    <w:rsid w:val="00EA5449"/>
    <w:rsid w:val="00EA54D7"/>
    <w:rsid w:val="00EA552F"/>
    <w:rsid w:val="00EA56A2"/>
    <w:rsid w:val="00EA594F"/>
    <w:rsid w:val="00EA61A8"/>
    <w:rsid w:val="00EA6257"/>
    <w:rsid w:val="00EA63C0"/>
    <w:rsid w:val="00EA6536"/>
    <w:rsid w:val="00EA6B45"/>
    <w:rsid w:val="00EA6DC4"/>
    <w:rsid w:val="00EA6E3D"/>
    <w:rsid w:val="00EA74B8"/>
    <w:rsid w:val="00EA7775"/>
    <w:rsid w:val="00EB0318"/>
    <w:rsid w:val="00EB0E6C"/>
    <w:rsid w:val="00EB1120"/>
    <w:rsid w:val="00EB118D"/>
    <w:rsid w:val="00EB1426"/>
    <w:rsid w:val="00EB1498"/>
    <w:rsid w:val="00EB1E68"/>
    <w:rsid w:val="00EB202B"/>
    <w:rsid w:val="00EB25A6"/>
    <w:rsid w:val="00EB28CF"/>
    <w:rsid w:val="00EB375B"/>
    <w:rsid w:val="00EB37E7"/>
    <w:rsid w:val="00EB3979"/>
    <w:rsid w:val="00EB3AB1"/>
    <w:rsid w:val="00EB46D8"/>
    <w:rsid w:val="00EB543F"/>
    <w:rsid w:val="00EB56AA"/>
    <w:rsid w:val="00EB5815"/>
    <w:rsid w:val="00EB5A23"/>
    <w:rsid w:val="00EB5A4C"/>
    <w:rsid w:val="00EB5C8E"/>
    <w:rsid w:val="00EB6480"/>
    <w:rsid w:val="00EB650A"/>
    <w:rsid w:val="00EB6AB0"/>
    <w:rsid w:val="00EB6AFE"/>
    <w:rsid w:val="00EB6B54"/>
    <w:rsid w:val="00EB6ECC"/>
    <w:rsid w:val="00EB7491"/>
    <w:rsid w:val="00EB75C7"/>
    <w:rsid w:val="00EB790E"/>
    <w:rsid w:val="00EB7B64"/>
    <w:rsid w:val="00EB7B9D"/>
    <w:rsid w:val="00EB7E4F"/>
    <w:rsid w:val="00EC01A0"/>
    <w:rsid w:val="00EC026B"/>
    <w:rsid w:val="00EC07BD"/>
    <w:rsid w:val="00EC08F5"/>
    <w:rsid w:val="00EC0F0C"/>
    <w:rsid w:val="00EC0F8C"/>
    <w:rsid w:val="00EC1812"/>
    <w:rsid w:val="00EC1901"/>
    <w:rsid w:val="00EC1B9A"/>
    <w:rsid w:val="00EC1E77"/>
    <w:rsid w:val="00EC21E7"/>
    <w:rsid w:val="00EC21F4"/>
    <w:rsid w:val="00EC22D1"/>
    <w:rsid w:val="00EC22F3"/>
    <w:rsid w:val="00EC289C"/>
    <w:rsid w:val="00EC2994"/>
    <w:rsid w:val="00EC299E"/>
    <w:rsid w:val="00EC320A"/>
    <w:rsid w:val="00EC3419"/>
    <w:rsid w:val="00EC37C1"/>
    <w:rsid w:val="00EC3EA0"/>
    <w:rsid w:val="00EC4115"/>
    <w:rsid w:val="00EC4312"/>
    <w:rsid w:val="00EC4579"/>
    <w:rsid w:val="00EC48EA"/>
    <w:rsid w:val="00EC57E8"/>
    <w:rsid w:val="00EC57EA"/>
    <w:rsid w:val="00EC5DB8"/>
    <w:rsid w:val="00EC5EE2"/>
    <w:rsid w:val="00EC623F"/>
    <w:rsid w:val="00EC6647"/>
    <w:rsid w:val="00EC665F"/>
    <w:rsid w:val="00EC6802"/>
    <w:rsid w:val="00EC6B7E"/>
    <w:rsid w:val="00EC7A2E"/>
    <w:rsid w:val="00EC7EC3"/>
    <w:rsid w:val="00EC7F03"/>
    <w:rsid w:val="00ED0638"/>
    <w:rsid w:val="00ED0765"/>
    <w:rsid w:val="00ED0A0B"/>
    <w:rsid w:val="00ED0A26"/>
    <w:rsid w:val="00ED2003"/>
    <w:rsid w:val="00ED2081"/>
    <w:rsid w:val="00ED275C"/>
    <w:rsid w:val="00ED2776"/>
    <w:rsid w:val="00ED2C22"/>
    <w:rsid w:val="00ED3142"/>
    <w:rsid w:val="00ED324B"/>
    <w:rsid w:val="00ED3386"/>
    <w:rsid w:val="00ED377A"/>
    <w:rsid w:val="00ED42BF"/>
    <w:rsid w:val="00ED50CB"/>
    <w:rsid w:val="00ED52ED"/>
    <w:rsid w:val="00ED5D87"/>
    <w:rsid w:val="00ED6678"/>
    <w:rsid w:val="00ED6A33"/>
    <w:rsid w:val="00ED7180"/>
    <w:rsid w:val="00ED72EE"/>
    <w:rsid w:val="00ED786C"/>
    <w:rsid w:val="00ED7D67"/>
    <w:rsid w:val="00EE085F"/>
    <w:rsid w:val="00EE08B8"/>
    <w:rsid w:val="00EE0BB7"/>
    <w:rsid w:val="00EE1B0D"/>
    <w:rsid w:val="00EE1B6C"/>
    <w:rsid w:val="00EE1D05"/>
    <w:rsid w:val="00EE1D27"/>
    <w:rsid w:val="00EE20C0"/>
    <w:rsid w:val="00EE28EA"/>
    <w:rsid w:val="00EE292D"/>
    <w:rsid w:val="00EE3E1C"/>
    <w:rsid w:val="00EE3E5B"/>
    <w:rsid w:val="00EE441F"/>
    <w:rsid w:val="00EE49D1"/>
    <w:rsid w:val="00EE5277"/>
    <w:rsid w:val="00EE5748"/>
    <w:rsid w:val="00EE575E"/>
    <w:rsid w:val="00EE60B7"/>
    <w:rsid w:val="00EE62C5"/>
    <w:rsid w:val="00EE6466"/>
    <w:rsid w:val="00EE668E"/>
    <w:rsid w:val="00EE6C6D"/>
    <w:rsid w:val="00EE71D3"/>
    <w:rsid w:val="00EE7229"/>
    <w:rsid w:val="00EE7EA8"/>
    <w:rsid w:val="00EF085F"/>
    <w:rsid w:val="00EF08DF"/>
    <w:rsid w:val="00EF09D8"/>
    <w:rsid w:val="00EF0E2D"/>
    <w:rsid w:val="00EF12B5"/>
    <w:rsid w:val="00EF12D7"/>
    <w:rsid w:val="00EF15CE"/>
    <w:rsid w:val="00EF1C70"/>
    <w:rsid w:val="00EF1D0F"/>
    <w:rsid w:val="00EF1F2B"/>
    <w:rsid w:val="00EF243F"/>
    <w:rsid w:val="00EF2C4B"/>
    <w:rsid w:val="00EF2E06"/>
    <w:rsid w:val="00EF38DF"/>
    <w:rsid w:val="00EF3C29"/>
    <w:rsid w:val="00EF43D0"/>
    <w:rsid w:val="00EF4A71"/>
    <w:rsid w:val="00EF4AE6"/>
    <w:rsid w:val="00EF564D"/>
    <w:rsid w:val="00EF57A6"/>
    <w:rsid w:val="00EF57E6"/>
    <w:rsid w:val="00EF5A5B"/>
    <w:rsid w:val="00EF6050"/>
    <w:rsid w:val="00EF61F1"/>
    <w:rsid w:val="00EF6259"/>
    <w:rsid w:val="00EF691C"/>
    <w:rsid w:val="00EF71E5"/>
    <w:rsid w:val="00EF746B"/>
    <w:rsid w:val="00EF7D4F"/>
    <w:rsid w:val="00EF7DAA"/>
    <w:rsid w:val="00F00C75"/>
    <w:rsid w:val="00F00CF0"/>
    <w:rsid w:val="00F00EF3"/>
    <w:rsid w:val="00F018DA"/>
    <w:rsid w:val="00F01B79"/>
    <w:rsid w:val="00F01B7C"/>
    <w:rsid w:val="00F01E1F"/>
    <w:rsid w:val="00F01E4B"/>
    <w:rsid w:val="00F02150"/>
    <w:rsid w:val="00F0225F"/>
    <w:rsid w:val="00F02528"/>
    <w:rsid w:val="00F02B9F"/>
    <w:rsid w:val="00F02E23"/>
    <w:rsid w:val="00F030F3"/>
    <w:rsid w:val="00F0370D"/>
    <w:rsid w:val="00F0375E"/>
    <w:rsid w:val="00F03A0B"/>
    <w:rsid w:val="00F03C4B"/>
    <w:rsid w:val="00F03E73"/>
    <w:rsid w:val="00F03E92"/>
    <w:rsid w:val="00F04281"/>
    <w:rsid w:val="00F04646"/>
    <w:rsid w:val="00F04769"/>
    <w:rsid w:val="00F052E0"/>
    <w:rsid w:val="00F05CDD"/>
    <w:rsid w:val="00F0665F"/>
    <w:rsid w:val="00F066BC"/>
    <w:rsid w:val="00F06C0F"/>
    <w:rsid w:val="00F06D23"/>
    <w:rsid w:val="00F06FD8"/>
    <w:rsid w:val="00F0712F"/>
    <w:rsid w:val="00F07B7B"/>
    <w:rsid w:val="00F07BF0"/>
    <w:rsid w:val="00F07D3F"/>
    <w:rsid w:val="00F07E08"/>
    <w:rsid w:val="00F07EDF"/>
    <w:rsid w:val="00F103B9"/>
    <w:rsid w:val="00F10421"/>
    <w:rsid w:val="00F10516"/>
    <w:rsid w:val="00F105C0"/>
    <w:rsid w:val="00F10968"/>
    <w:rsid w:val="00F10DAD"/>
    <w:rsid w:val="00F116C2"/>
    <w:rsid w:val="00F117B5"/>
    <w:rsid w:val="00F11E67"/>
    <w:rsid w:val="00F11EBF"/>
    <w:rsid w:val="00F11F48"/>
    <w:rsid w:val="00F11F86"/>
    <w:rsid w:val="00F125DD"/>
    <w:rsid w:val="00F128FC"/>
    <w:rsid w:val="00F13166"/>
    <w:rsid w:val="00F1323B"/>
    <w:rsid w:val="00F137F9"/>
    <w:rsid w:val="00F13816"/>
    <w:rsid w:val="00F139DA"/>
    <w:rsid w:val="00F14575"/>
    <w:rsid w:val="00F149A2"/>
    <w:rsid w:val="00F14AA4"/>
    <w:rsid w:val="00F15336"/>
    <w:rsid w:val="00F15460"/>
    <w:rsid w:val="00F154F7"/>
    <w:rsid w:val="00F1560C"/>
    <w:rsid w:val="00F16241"/>
    <w:rsid w:val="00F170E5"/>
    <w:rsid w:val="00F172E2"/>
    <w:rsid w:val="00F17342"/>
    <w:rsid w:val="00F17479"/>
    <w:rsid w:val="00F17998"/>
    <w:rsid w:val="00F179CC"/>
    <w:rsid w:val="00F17D83"/>
    <w:rsid w:val="00F20229"/>
    <w:rsid w:val="00F20434"/>
    <w:rsid w:val="00F204E8"/>
    <w:rsid w:val="00F20581"/>
    <w:rsid w:val="00F20C60"/>
    <w:rsid w:val="00F20CEC"/>
    <w:rsid w:val="00F222C6"/>
    <w:rsid w:val="00F223A7"/>
    <w:rsid w:val="00F22468"/>
    <w:rsid w:val="00F22805"/>
    <w:rsid w:val="00F229EE"/>
    <w:rsid w:val="00F22BB2"/>
    <w:rsid w:val="00F230B0"/>
    <w:rsid w:val="00F231B8"/>
    <w:rsid w:val="00F2330C"/>
    <w:rsid w:val="00F24438"/>
    <w:rsid w:val="00F248C5"/>
    <w:rsid w:val="00F2524F"/>
    <w:rsid w:val="00F25637"/>
    <w:rsid w:val="00F25A68"/>
    <w:rsid w:val="00F25CEF"/>
    <w:rsid w:val="00F25E76"/>
    <w:rsid w:val="00F25FBF"/>
    <w:rsid w:val="00F26792"/>
    <w:rsid w:val="00F26B56"/>
    <w:rsid w:val="00F277E9"/>
    <w:rsid w:val="00F27892"/>
    <w:rsid w:val="00F3003C"/>
    <w:rsid w:val="00F30486"/>
    <w:rsid w:val="00F30532"/>
    <w:rsid w:val="00F30D55"/>
    <w:rsid w:val="00F30DE2"/>
    <w:rsid w:val="00F30E51"/>
    <w:rsid w:val="00F31414"/>
    <w:rsid w:val="00F31521"/>
    <w:rsid w:val="00F31561"/>
    <w:rsid w:val="00F319F3"/>
    <w:rsid w:val="00F31A8A"/>
    <w:rsid w:val="00F31AF8"/>
    <w:rsid w:val="00F31B9B"/>
    <w:rsid w:val="00F31ECB"/>
    <w:rsid w:val="00F31F6D"/>
    <w:rsid w:val="00F31FD0"/>
    <w:rsid w:val="00F32322"/>
    <w:rsid w:val="00F32532"/>
    <w:rsid w:val="00F32717"/>
    <w:rsid w:val="00F3279C"/>
    <w:rsid w:val="00F33A45"/>
    <w:rsid w:val="00F33B0D"/>
    <w:rsid w:val="00F3462E"/>
    <w:rsid w:val="00F349C1"/>
    <w:rsid w:val="00F34A64"/>
    <w:rsid w:val="00F34D02"/>
    <w:rsid w:val="00F3545C"/>
    <w:rsid w:val="00F35FDC"/>
    <w:rsid w:val="00F360C8"/>
    <w:rsid w:val="00F36518"/>
    <w:rsid w:val="00F365F6"/>
    <w:rsid w:val="00F366C0"/>
    <w:rsid w:val="00F36C88"/>
    <w:rsid w:val="00F36E61"/>
    <w:rsid w:val="00F37A56"/>
    <w:rsid w:val="00F37CD9"/>
    <w:rsid w:val="00F37F7A"/>
    <w:rsid w:val="00F40D82"/>
    <w:rsid w:val="00F4114B"/>
    <w:rsid w:val="00F41466"/>
    <w:rsid w:val="00F41BA6"/>
    <w:rsid w:val="00F4203D"/>
    <w:rsid w:val="00F423C1"/>
    <w:rsid w:val="00F433A0"/>
    <w:rsid w:val="00F43424"/>
    <w:rsid w:val="00F43FB4"/>
    <w:rsid w:val="00F4444D"/>
    <w:rsid w:val="00F447AE"/>
    <w:rsid w:val="00F44967"/>
    <w:rsid w:val="00F44E01"/>
    <w:rsid w:val="00F44E47"/>
    <w:rsid w:val="00F454AF"/>
    <w:rsid w:val="00F45BD3"/>
    <w:rsid w:val="00F45DFA"/>
    <w:rsid w:val="00F460E6"/>
    <w:rsid w:val="00F461F7"/>
    <w:rsid w:val="00F4626B"/>
    <w:rsid w:val="00F4686B"/>
    <w:rsid w:val="00F4718D"/>
    <w:rsid w:val="00F477B1"/>
    <w:rsid w:val="00F47A1D"/>
    <w:rsid w:val="00F5005C"/>
    <w:rsid w:val="00F50315"/>
    <w:rsid w:val="00F50665"/>
    <w:rsid w:val="00F512D8"/>
    <w:rsid w:val="00F5143B"/>
    <w:rsid w:val="00F52709"/>
    <w:rsid w:val="00F52B3C"/>
    <w:rsid w:val="00F52B64"/>
    <w:rsid w:val="00F52DD5"/>
    <w:rsid w:val="00F52F65"/>
    <w:rsid w:val="00F53433"/>
    <w:rsid w:val="00F53949"/>
    <w:rsid w:val="00F539D7"/>
    <w:rsid w:val="00F53A7F"/>
    <w:rsid w:val="00F53C2A"/>
    <w:rsid w:val="00F54ADF"/>
    <w:rsid w:val="00F54C35"/>
    <w:rsid w:val="00F54D5E"/>
    <w:rsid w:val="00F54D82"/>
    <w:rsid w:val="00F54E8E"/>
    <w:rsid w:val="00F550B3"/>
    <w:rsid w:val="00F55287"/>
    <w:rsid w:val="00F5528B"/>
    <w:rsid w:val="00F55823"/>
    <w:rsid w:val="00F55F7C"/>
    <w:rsid w:val="00F55FBE"/>
    <w:rsid w:val="00F562EE"/>
    <w:rsid w:val="00F568AF"/>
    <w:rsid w:val="00F56A8B"/>
    <w:rsid w:val="00F5714A"/>
    <w:rsid w:val="00F5721A"/>
    <w:rsid w:val="00F574D7"/>
    <w:rsid w:val="00F57A9C"/>
    <w:rsid w:val="00F57F64"/>
    <w:rsid w:val="00F6055A"/>
    <w:rsid w:val="00F6064F"/>
    <w:rsid w:val="00F60847"/>
    <w:rsid w:val="00F608F0"/>
    <w:rsid w:val="00F60D9F"/>
    <w:rsid w:val="00F60EF2"/>
    <w:rsid w:val="00F60FC8"/>
    <w:rsid w:val="00F62B1A"/>
    <w:rsid w:val="00F643C6"/>
    <w:rsid w:val="00F64723"/>
    <w:rsid w:val="00F64FDB"/>
    <w:rsid w:val="00F6504B"/>
    <w:rsid w:val="00F65536"/>
    <w:rsid w:val="00F657B1"/>
    <w:rsid w:val="00F65EA3"/>
    <w:rsid w:val="00F65F70"/>
    <w:rsid w:val="00F66B3D"/>
    <w:rsid w:val="00F66E1E"/>
    <w:rsid w:val="00F66FBD"/>
    <w:rsid w:val="00F67238"/>
    <w:rsid w:val="00F700B1"/>
    <w:rsid w:val="00F703B0"/>
    <w:rsid w:val="00F704E6"/>
    <w:rsid w:val="00F7069B"/>
    <w:rsid w:val="00F70B68"/>
    <w:rsid w:val="00F70D97"/>
    <w:rsid w:val="00F70E0B"/>
    <w:rsid w:val="00F711DA"/>
    <w:rsid w:val="00F714AE"/>
    <w:rsid w:val="00F716DD"/>
    <w:rsid w:val="00F71A5C"/>
    <w:rsid w:val="00F71E1F"/>
    <w:rsid w:val="00F71E81"/>
    <w:rsid w:val="00F71FEA"/>
    <w:rsid w:val="00F72889"/>
    <w:rsid w:val="00F72AC5"/>
    <w:rsid w:val="00F72FBB"/>
    <w:rsid w:val="00F730FB"/>
    <w:rsid w:val="00F7325A"/>
    <w:rsid w:val="00F73272"/>
    <w:rsid w:val="00F73320"/>
    <w:rsid w:val="00F736CC"/>
    <w:rsid w:val="00F740D7"/>
    <w:rsid w:val="00F747AF"/>
    <w:rsid w:val="00F74B7C"/>
    <w:rsid w:val="00F74F01"/>
    <w:rsid w:val="00F75702"/>
    <w:rsid w:val="00F75841"/>
    <w:rsid w:val="00F75B6B"/>
    <w:rsid w:val="00F75CE1"/>
    <w:rsid w:val="00F75D54"/>
    <w:rsid w:val="00F75EB7"/>
    <w:rsid w:val="00F75F11"/>
    <w:rsid w:val="00F75FFC"/>
    <w:rsid w:val="00F76226"/>
    <w:rsid w:val="00F7648E"/>
    <w:rsid w:val="00F7676B"/>
    <w:rsid w:val="00F76A47"/>
    <w:rsid w:val="00F76AB8"/>
    <w:rsid w:val="00F76E23"/>
    <w:rsid w:val="00F76E9B"/>
    <w:rsid w:val="00F7700B"/>
    <w:rsid w:val="00F772C2"/>
    <w:rsid w:val="00F773DC"/>
    <w:rsid w:val="00F7775E"/>
    <w:rsid w:val="00F777B4"/>
    <w:rsid w:val="00F77CCD"/>
    <w:rsid w:val="00F801E8"/>
    <w:rsid w:val="00F803C1"/>
    <w:rsid w:val="00F809AA"/>
    <w:rsid w:val="00F810F5"/>
    <w:rsid w:val="00F81DE3"/>
    <w:rsid w:val="00F82038"/>
    <w:rsid w:val="00F8207E"/>
    <w:rsid w:val="00F82139"/>
    <w:rsid w:val="00F82FEC"/>
    <w:rsid w:val="00F8306A"/>
    <w:rsid w:val="00F8364C"/>
    <w:rsid w:val="00F8368C"/>
    <w:rsid w:val="00F8453F"/>
    <w:rsid w:val="00F8479E"/>
    <w:rsid w:val="00F84B95"/>
    <w:rsid w:val="00F84CEC"/>
    <w:rsid w:val="00F84D86"/>
    <w:rsid w:val="00F85AB3"/>
    <w:rsid w:val="00F860F5"/>
    <w:rsid w:val="00F86373"/>
    <w:rsid w:val="00F866E8"/>
    <w:rsid w:val="00F86A3B"/>
    <w:rsid w:val="00F86F9F"/>
    <w:rsid w:val="00F8700D"/>
    <w:rsid w:val="00F87159"/>
    <w:rsid w:val="00F8725A"/>
    <w:rsid w:val="00F872AD"/>
    <w:rsid w:val="00F87307"/>
    <w:rsid w:val="00F87527"/>
    <w:rsid w:val="00F87838"/>
    <w:rsid w:val="00F878DA"/>
    <w:rsid w:val="00F87967"/>
    <w:rsid w:val="00F90454"/>
    <w:rsid w:val="00F907E7"/>
    <w:rsid w:val="00F90B3A"/>
    <w:rsid w:val="00F90B97"/>
    <w:rsid w:val="00F90CFA"/>
    <w:rsid w:val="00F9138A"/>
    <w:rsid w:val="00F91A23"/>
    <w:rsid w:val="00F91D77"/>
    <w:rsid w:val="00F92412"/>
    <w:rsid w:val="00F92726"/>
    <w:rsid w:val="00F92E93"/>
    <w:rsid w:val="00F92F76"/>
    <w:rsid w:val="00F9322F"/>
    <w:rsid w:val="00F93335"/>
    <w:rsid w:val="00F93595"/>
    <w:rsid w:val="00F93D08"/>
    <w:rsid w:val="00F93E94"/>
    <w:rsid w:val="00F945A2"/>
    <w:rsid w:val="00F94923"/>
    <w:rsid w:val="00F95312"/>
    <w:rsid w:val="00F9548C"/>
    <w:rsid w:val="00F95935"/>
    <w:rsid w:val="00F959BE"/>
    <w:rsid w:val="00F960C3"/>
    <w:rsid w:val="00F96A5B"/>
    <w:rsid w:val="00F96EA2"/>
    <w:rsid w:val="00F9711B"/>
    <w:rsid w:val="00F97358"/>
    <w:rsid w:val="00F97B89"/>
    <w:rsid w:val="00F97DDB"/>
    <w:rsid w:val="00FA014B"/>
    <w:rsid w:val="00FA0921"/>
    <w:rsid w:val="00FA0A1B"/>
    <w:rsid w:val="00FA0B22"/>
    <w:rsid w:val="00FA0B43"/>
    <w:rsid w:val="00FA0BC4"/>
    <w:rsid w:val="00FA0C52"/>
    <w:rsid w:val="00FA0CBC"/>
    <w:rsid w:val="00FA15C5"/>
    <w:rsid w:val="00FA1A88"/>
    <w:rsid w:val="00FA1E44"/>
    <w:rsid w:val="00FA1EAE"/>
    <w:rsid w:val="00FA31EA"/>
    <w:rsid w:val="00FA3275"/>
    <w:rsid w:val="00FA338B"/>
    <w:rsid w:val="00FA3393"/>
    <w:rsid w:val="00FA39A7"/>
    <w:rsid w:val="00FA3E20"/>
    <w:rsid w:val="00FA42E5"/>
    <w:rsid w:val="00FA4306"/>
    <w:rsid w:val="00FA437F"/>
    <w:rsid w:val="00FA47ED"/>
    <w:rsid w:val="00FA4D17"/>
    <w:rsid w:val="00FA533A"/>
    <w:rsid w:val="00FA5CA6"/>
    <w:rsid w:val="00FA650D"/>
    <w:rsid w:val="00FA65FC"/>
    <w:rsid w:val="00FA6778"/>
    <w:rsid w:val="00FA6E79"/>
    <w:rsid w:val="00FA7651"/>
    <w:rsid w:val="00FA76D6"/>
    <w:rsid w:val="00FA77FD"/>
    <w:rsid w:val="00FA7FB5"/>
    <w:rsid w:val="00FA7FFD"/>
    <w:rsid w:val="00FB02A4"/>
    <w:rsid w:val="00FB0BCA"/>
    <w:rsid w:val="00FB0C1E"/>
    <w:rsid w:val="00FB0C8A"/>
    <w:rsid w:val="00FB0E94"/>
    <w:rsid w:val="00FB21C5"/>
    <w:rsid w:val="00FB242A"/>
    <w:rsid w:val="00FB287C"/>
    <w:rsid w:val="00FB2B3E"/>
    <w:rsid w:val="00FB2DA1"/>
    <w:rsid w:val="00FB30FB"/>
    <w:rsid w:val="00FB3448"/>
    <w:rsid w:val="00FB3C65"/>
    <w:rsid w:val="00FB4417"/>
    <w:rsid w:val="00FB4767"/>
    <w:rsid w:val="00FB4EF4"/>
    <w:rsid w:val="00FB5638"/>
    <w:rsid w:val="00FB593D"/>
    <w:rsid w:val="00FB5B7E"/>
    <w:rsid w:val="00FB5B8C"/>
    <w:rsid w:val="00FB610D"/>
    <w:rsid w:val="00FB6340"/>
    <w:rsid w:val="00FB67D8"/>
    <w:rsid w:val="00FB6DBB"/>
    <w:rsid w:val="00FB700C"/>
    <w:rsid w:val="00FB719C"/>
    <w:rsid w:val="00FB72C9"/>
    <w:rsid w:val="00FB75A7"/>
    <w:rsid w:val="00FB7966"/>
    <w:rsid w:val="00FB7A3E"/>
    <w:rsid w:val="00FC06B6"/>
    <w:rsid w:val="00FC093A"/>
    <w:rsid w:val="00FC1320"/>
    <w:rsid w:val="00FC13C1"/>
    <w:rsid w:val="00FC161A"/>
    <w:rsid w:val="00FC1B83"/>
    <w:rsid w:val="00FC1C1F"/>
    <w:rsid w:val="00FC1C54"/>
    <w:rsid w:val="00FC213C"/>
    <w:rsid w:val="00FC23A7"/>
    <w:rsid w:val="00FC2762"/>
    <w:rsid w:val="00FC280F"/>
    <w:rsid w:val="00FC2D62"/>
    <w:rsid w:val="00FC2F13"/>
    <w:rsid w:val="00FC32FE"/>
    <w:rsid w:val="00FC39B0"/>
    <w:rsid w:val="00FC3ED6"/>
    <w:rsid w:val="00FC533F"/>
    <w:rsid w:val="00FC563B"/>
    <w:rsid w:val="00FC5FCF"/>
    <w:rsid w:val="00FC6478"/>
    <w:rsid w:val="00FC740C"/>
    <w:rsid w:val="00FC76F4"/>
    <w:rsid w:val="00FC7BE4"/>
    <w:rsid w:val="00FD0113"/>
    <w:rsid w:val="00FD0364"/>
    <w:rsid w:val="00FD0385"/>
    <w:rsid w:val="00FD0636"/>
    <w:rsid w:val="00FD0B8D"/>
    <w:rsid w:val="00FD192D"/>
    <w:rsid w:val="00FD1D62"/>
    <w:rsid w:val="00FD1F96"/>
    <w:rsid w:val="00FD2330"/>
    <w:rsid w:val="00FD234E"/>
    <w:rsid w:val="00FD2446"/>
    <w:rsid w:val="00FD2B2A"/>
    <w:rsid w:val="00FD2D2C"/>
    <w:rsid w:val="00FD308E"/>
    <w:rsid w:val="00FD3F11"/>
    <w:rsid w:val="00FD412C"/>
    <w:rsid w:val="00FD48DF"/>
    <w:rsid w:val="00FD4DCB"/>
    <w:rsid w:val="00FD50DF"/>
    <w:rsid w:val="00FD5269"/>
    <w:rsid w:val="00FD61C3"/>
    <w:rsid w:val="00FD6F44"/>
    <w:rsid w:val="00FD7A3F"/>
    <w:rsid w:val="00FD7BEE"/>
    <w:rsid w:val="00FD7CAB"/>
    <w:rsid w:val="00FD7D51"/>
    <w:rsid w:val="00FD7E36"/>
    <w:rsid w:val="00FE05F6"/>
    <w:rsid w:val="00FE0860"/>
    <w:rsid w:val="00FE0ADE"/>
    <w:rsid w:val="00FE14A6"/>
    <w:rsid w:val="00FE1A4A"/>
    <w:rsid w:val="00FE1AEB"/>
    <w:rsid w:val="00FE1B7F"/>
    <w:rsid w:val="00FE1F81"/>
    <w:rsid w:val="00FE2587"/>
    <w:rsid w:val="00FE2BDF"/>
    <w:rsid w:val="00FE4B54"/>
    <w:rsid w:val="00FE4EEF"/>
    <w:rsid w:val="00FE4F96"/>
    <w:rsid w:val="00FE5048"/>
    <w:rsid w:val="00FE51BC"/>
    <w:rsid w:val="00FE5242"/>
    <w:rsid w:val="00FE57A3"/>
    <w:rsid w:val="00FE5940"/>
    <w:rsid w:val="00FE5A2F"/>
    <w:rsid w:val="00FE5F5E"/>
    <w:rsid w:val="00FE6A16"/>
    <w:rsid w:val="00FE6DA6"/>
    <w:rsid w:val="00FE76E6"/>
    <w:rsid w:val="00FE7739"/>
    <w:rsid w:val="00FE7917"/>
    <w:rsid w:val="00FE7B96"/>
    <w:rsid w:val="00FE7D14"/>
    <w:rsid w:val="00FF000E"/>
    <w:rsid w:val="00FF003F"/>
    <w:rsid w:val="00FF008F"/>
    <w:rsid w:val="00FF01B5"/>
    <w:rsid w:val="00FF01C4"/>
    <w:rsid w:val="00FF04C6"/>
    <w:rsid w:val="00FF0524"/>
    <w:rsid w:val="00FF057B"/>
    <w:rsid w:val="00FF06BA"/>
    <w:rsid w:val="00FF0851"/>
    <w:rsid w:val="00FF0B4A"/>
    <w:rsid w:val="00FF0BB3"/>
    <w:rsid w:val="00FF0E69"/>
    <w:rsid w:val="00FF0F74"/>
    <w:rsid w:val="00FF100E"/>
    <w:rsid w:val="00FF111D"/>
    <w:rsid w:val="00FF151C"/>
    <w:rsid w:val="00FF186C"/>
    <w:rsid w:val="00FF1AEF"/>
    <w:rsid w:val="00FF1BB8"/>
    <w:rsid w:val="00FF24C3"/>
    <w:rsid w:val="00FF297A"/>
    <w:rsid w:val="00FF2B05"/>
    <w:rsid w:val="00FF2B16"/>
    <w:rsid w:val="00FF305E"/>
    <w:rsid w:val="00FF3ACE"/>
    <w:rsid w:val="00FF4250"/>
    <w:rsid w:val="00FF4E8A"/>
    <w:rsid w:val="00FF5826"/>
    <w:rsid w:val="00FF68A9"/>
    <w:rsid w:val="00FF69E9"/>
    <w:rsid w:val="00FF714F"/>
    <w:rsid w:val="00FF71FC"/>
    <w:rsid w:val="00FF7424"/>
    <w:rsid w:val="00FF7435"/>
    <w:rsid w:val="00FF7A02"/>
    <w:rsid w:val="00FF7BCD"/>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CB9160"/>
  <w15:chartTrackingRefBased/>
  <w15:docId w15:val="{5FB596CA-57E2-41FB-A5CE-C58F8B98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rsid w:val="00A26A13"/>
    <w:pPr>
      <w:spacing w:after="0" w:line="360" w:lineRule="auto"/>
      <w:jc w:val="both"/>
    </w:pPr>
    <w:rPr>
      <w:rFonts w:ascii="Times New Roman" w:hAnsi="Times New Roman" w:cstheme="minorHAnsi"/>
      <w:sz w:val="24"/>
      <w:lang w:val="en-US"/>
    </w:rPr>
  </w:style>
  <w:style w:type="paragraph" w:styleId="Balk1">
    <w:name w:val="heading 1"/>
    <w:basedOn w:val="Normal"/>
    <w:next w:val="Normal"/>
    <w:link w:val="Balk1Char"/>
    <w:uiPriority w:val="9"/>
    <w:qFormat/>
    <w:rsid w:val="003F75FE"/>
    <w:pPr>
      <w:keepNext/>
      <w:keepLines/>
      <w:numPr>
        <w:numId w:val="1"/>
      </w:numP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771867"/>
    <w:pPr>
      <w:keepNext/>
      <w:keepLines/>
      <w:numPr>
        <w:ilvl w:val="1"/>
        <w:numId w:val="1"/>
      </w:numPr>
      <w:spacing w:before="120" w:after="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7FD8"/>
    <w:pPr>
      <w:keepNext/>
      <w:keepLines/>
      <w:numPr>
        <w:ilvl w:val="2"/>
        <w:numId w:val="1"/>
      </w:numPr>
      <w:spacing w:before="24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1617B"/>
    <w:pPr>
      <w:keepNext/>
      <w:numPr>
        <w:ilvl w:val="3"/>
        <w:numId w:val="1"/>
      </w:numPr>
      <w:spacing w:before="240" w:after="120"/>
      <w:outlineLvl w:val="3"/>
    </w:pPr>
    <w:rPr>
      <w:b/>
      <w:bCs/>
      <w:szCs w:val="28"/>
    </w:rPr>
  </w:style>
  <w:style w:type="paragraph" w:styleId="Balk5">
    <w:name w:val="heading 5"/>
    <w:basedOn w:val="Normal"/>
    <w:next w:val="Normal"/>
    <w:link w:val="Balk5Char"/>
    <w:uiPriority w:val="9"/>
    <w:unhideWhenUsed/>
    <w:qFormat/>
    <w:rsid w:val="009876A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9876A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876A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876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876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5FE"/>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9"/>
    <w:rsid w:val="00771867"/>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A97FD8"/>
    <w:rPr>
      <w:rFonts w:ascii="Times New Roman" w:eastAsiaTheme="majorEastAsia" w:hAnsi="Times New Roman" w:cstheme="majorBidi"/>
      <w:b/>
      <w:sz w:val="24"/>
      <w:szCs w:val="24"/>
      <w:lang w:val="en-US"/>
    </w:rPr>
  </w:style>
  <w:style w:type="character" w:customStyle="1" w:styleId="Balk4Char">
    <w:name w:val="Başlık 4 Char"/>
    <w:basedOn w:val="VarsaylanParagrafYazTipi"/>
    <w:link w:val="Balk4"/>
    <w:uiPriority w:val="9"/>
    <w:rsid w:val="0071617B"/>
    <w:rPr>
      <w:rFonts w:ascii="Times New Roman" w:hAnsi="Times New Roman" w:cstheme="minorHAnsi"/>
      <w:b/>
      <w:bCs/>
      <w:sz w:val="24"/>
      <w:szCs w:val="28"/>
      <w:lang w:val="en-US"/>
    </w:rPr>
  </w:style>
  <w:style w:type="character" w:customStyle="1" w:styleId="Balk5Char">
    <w:name w:val="Başlık 5 Char"/>
    <w:basedOn w:val="VarsaylanParagrafYazTipi"/>
    <w:link w:val="Balk5"/>
    <w:uiPriority w:val="9"/>
    <w:rsid w:val="009876A7"/>
    <w:rPr>
      <w:rFonts w:asciiTheme="majorHAnsi" w:eastAsiaTheme="majorEastAsia" w:hAnsiTheme="majorHAnsi" w:cstheme="majorBidi"/>
      <w:color w:val="2F5496" w:themeColor="accent1" w:themeShade="BF"/>
      <w:sz w:val="24"/>
      <w:lang w:val="en-US"/>
    </w:rPr>
  </w:style>
  <w:style w:type="character" w:customStyle="1" w:styleId="Balk6Char">
    <w:name w:val="Başlık 6 Char"/>
    <w:basedOn w:val="VarsaylanParagrafYazTipi"/>
    <w:link w:val="Balk6"/>
    <w:uiPriority w:val="9"/>
    <w:rsid w:val="009876A7"/>
    <w:rPr>
      <w:rFonts w:asciiTheme="majorHAnsi" w:eastAsiaTheme="majorEastAsia" w:hAnsiTheme="majorHAnsi" w:cstheme="majorBidi"/>
      <w:color w:val="1F3763" w:themeColor="accent1" w:themeShade="7F"/>
      <w:sz w:val="24"/>
      <w:lang w:val="en-US"/>
    </w:rPr>
  </w:style>
  <w:style w:type="character" w:customStyle="1" w:styleId="Balk7Char">
    <w:name w:val="Başlık 7 Char"/>
    <w:basedOn w:val="VarsaylanParagrafYazTipi"/>
    <w:link w:val="Balk7"/>
    <w:uiPriority w:val="9"/>
    <w:semiHidden/>
    <w:rsid w:val="009876A7"/>
    <w:rPr>
      <w:rFonts w:asciiTheme="majorHAnsi" w:eastAsiaTheme="majorEastAsia" w:hAnsiTheme="majorHAnsi" w:cstheme="majorBidi"/>
      <w:i/>
      <w:iCs/>
      <w:color w:val="1F3763" w:themeColor="accent1" w:themeShade="7F"/>
      <w:sz w:val="24"/>
      <w:lang w:val="en-US"/>
    </w:rPr>
  </w:style>
  <w:style w:type="character" w:customStyle="1" w:styleId="Balk8Char">
    <w:name w:val="Başlık 8 Char"/>
    <w:basedOn w:val="VarsaylanParagrafYazTipi"/>
    <w:link w:val="Balk8"/>
    <w:uiPriority w:val="9"/>
    <w:semiHidden/>
    <w:rsid w:val="009876A7"/>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9876A7"/>
    <w:rPr>
      <w:rFonts w:asciiTheme="majorHAnsi" w:eastAsiaTheme="majorEastAsia" w:hAnsiTheme="majorHAnsi" w:cstheme="majorBidi"/>
      <w:i/>
      <w:iCs/>
      <w:color w:val="272727" w:themeColor="text1" w:themeTint="D8"/>
      <w:sz w:val="21"/>
      <w:szCs w:val="21"/>
      <w:lang w:val="en-US"/>
    </w:rPr>
  </w:style>
  <w:style w:type="paragraph" w:customStyle="1" w:styleId="Projecttitletable">
    <w:name w:val="Project title table"/>
    <w:basedOn w:val="Normal"/>
    <w:link w:val="ProjecttitletableChar"/>
    <w:autoRedefine/>
    <w:qFormat/>
    <w:rsid w:val="00590067"/>
    <w:pPr>
      <w:spacing w:line="276" w:lineRule="auto"/>
      <w:jc w:val="left"/>
    </w:pPr>
    <w:rPr>
      <w:sz w:val="20"/>
      <w:lang w:bidi="en-US"/>
    </w:rPr>
  </w:style>
  <w:style w:type="character" w:customStyle="1" w:styleId="ProjecttitletableChar">
    <w:name w:val="Project title table Char"/>
    <w:basedOn w:val="VarsaylanParagrafYazTipi"/>
    <w:link w:val="Projecttitletable"/>
    <w:rsid w:val="00590067"/>
    <w:rPr>
      <w:rFonts w:ascii="Times New Roman" w:hAnsi="Times New Roman" w:cstheme="minorHAnsi"/>
      <w:sz w:val="20"/>
      <w:lang w:val="en-US" w:bidi="en-US"/>
    </w:rPr>
  </w:style>
  <w:style w:type="paragraph" w:styleId="AklamaMetni">
    <w:name w:val="annotation text"/>
    <w:basedOn w:val="Normal"/>
    <w:link w:val="AklamaMetniChar"/>
    <w:uiPriority w:val="99"/>
    <w:unhideWhenUsed/>
    <w:rsid w:val="009876A7"/>
    <w:pPr>
      <w:spacing w:line="240" w:lineRule="auto"/>
    </w:pPr>
    <w:rPr>
      <w:sz w:val="20"/>
      <w:szCs w:val="20"/>
    </w:rPr>
  </w:style>
  <w:style w:type="character" w:customStyle="1" w:styleId="AklamaMetniChar">
    <w:name w:val="Açıklama Metni Char"/>
    <w:basedOn w:val="VarsaylanParagrafYazTipi"/>
    <w:link w:val="AklamaMetni"/>
    <w:uiPriority w:val="99"/>
    <w:rsid w:val="009876A7"/>
    <w:rPr>
      <w:rFonts w:ascii="Times New Roman" w:hAnsi="Times New Roman" w:cstheme="minorHAnsi"/>
      <w:sz w:val="20"/>
      <w:szCs w:val="20"/>
      <w:lang w:val="en-GB"/>
    </w:rPr>
  </w:style>
  <w:style w:type="character" w:styleId="AklamaBavurusu">
    <w:name w:val="annotation reference"/>
    <w:uiPriority w:val="99"/>
    <w:rsid w:val="009876A7"/>
    <w:rPr>
      <w:sz w:val="16"/>
    </w:rPr>
  </w:style>
  <w:style w:type="character" w:customStyle="1" w:styleId="Bahset1">
    <w:name w:val="Bahset1"/>
    <w:basedOn w:val="VarsaylanParagrafYazTipi"/>
    <w:uiPriority w:val="99"/>
    <w:unhideWhenUsed/>
    <w:rsid w:val="009876A7"/>
    <w:rPr>
      <w:color w:val="2B579A"/>
      <w:shd w:val="clear" w:color="auto" w:fill="E1DFDD"/>
    </w:rPr>
  </w:style>
  <w:style w:type="paragraph" w:styleId="stBilgi">
    <w:name w:val="header"/>
    <w:basedOn w:val="Normal"/>
    <w:link w:val="stBilgiChar"/>
    <w:uiPriority w:val="99"/>
    <w:unhideWhenUsed/>
    <w:rsid w:val="00734B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4BA9"/>
    <w:rPr>
      <w:rFonts w:ascii="Times New Roman" w:hAnsi="Times New Roman" w:cstheme="minorHAnsi"/>
      <w:sz w:val="24"/>
      <w:lang w:val="en-US"/>
    </w:rPr>
  </w:style>
  <w:style w:type="paragraph" w:styleId="AltBilgi">
    <w:name w:val="footer"/>
    <w:basedOn w:val="Normal"/>
    <w:link w:val="AltBilgiChar"/>
    <w:uiPriority w:val="99"/>
    <w:unhideWhenUsed/>
    <w:rsid w:val="00734B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4BA9"/>
    <w:rPr>
      <w:rFonts w:ascii="Times New Roman" w:hAnsi="Times New Roman" w:cstheme="minorHAnsi"/>
      <w:sz w:val="24"/>
      <w:lang w:val="en-US"/>
    </w:rPr>
  </w:style>
  <w:style w:type="paragraph" w:styleId="T4">
    <w:name w:val="toc 4"/>
    <w:basedOn w:val="Normal"/>
    <w:next w:val="Normal"/>
    <w:autoRedefine/>
    <w:uiPriority w:val="1"/>
    <w:unhideWhenUsed/>
    <w:qFormat/>
    <w:rsid w:val="00FC740C"/>
    <w:pPr>
      <w:spacing w:after="100"/>
      <w:ind w:left="720"/>
    </w:pPr>
  </w:style>
  <w:style w:type="paragraph" w:styleId="T1">
    <w:name w:val="toc 1"/>
    <w:basedOn w:val="Normal"/>
    <w:next w:val="Normal"/>
    <w:autoRedefine/>
    <w:uiPriority w:val="39"/>
    <w:unhideWhenUsed/>
    <w:qFormat/>
    <w:rsid w:val="00221C7C"/>
    <w:pPr>
      <w:tabs>
        <w:tab w:val="left" w:pos="480"/>
        <w:tab w:val="right" w:leader="dot" w:pos="9062"/>
      </w:tabs>
      <w:spacing w:before="240" w:after="100"/>
    </w:pPr>
  </w:style>
  <w:style w:type="paragraph" w:styleId="T2">
    <w:name w:val="toc 2"/>
    <w:basedOn w:val="Normal"/>
    <w:next w:val="Normal"/>
    <w:autoRedefine/>
    <w:uiPriority w:val="39"/>
    <w:unhideWhenUsed/>
    <w:qFormat/>
    <w:rsid w:val="00064368"/>
    <w:pPr>
      <w:tabs>
        <w:tab w:val="left" w:pos="880"/>
        <w:tab w:val="right" w:leader="dot" w:pos="9062"/>
      </w:tabs>
      <w:spacing w:after="100"/>
      <w:ind w:left="240"/>
    </w:pPr>
  </w:style>
  <w:style w:type="character" w:styleId="Kpr">
    <w:name w:val="Hyperlink"/>
    <w:basedOn w:val="VarsaylanParagrafYazTipi"/>
    <w:uiPriority w:val="99"/>
    <w:unhideWhenUsed/>
    <w:qFormat/>
    <w:rsid w:val="00FC740C"/>
    <w:rPr>
      <w:color w:val="0563C1" w:themeColor="hyperlink"/>
      <w:u w:val="single"/>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34"/>
    <w:qFormat/>
    <w:rsid w:val="00317348"/>
    <w:pPr>
      <w:ind w:left="720"/>
      <w:contextualSpacing/>
    </w:p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34"/>
    <w:qFormat/>
    <w:locked/>
    <w:rsid w:val="00B86887"/>
    <w:rPr>
      <w:rFonts w:ascii="Times New Roman" w:hAnsi="Times New Roman" w:cstheme="minorHAnsi"/>
      <w:sz w:val="24"/>
      <w:lang w:val="en-US"/>
    </w:rPr>
  </w:style>
  <w:style w:type="paragraph" w:styleId="AklamaKonusu">
    <w:name w:val="annotation subject"/>
    <w:basedOn w:val="AklamaMetni"/>
    <w:next w:val="AklamaMetni"/>
    <w:link w:val="AklamaKonusuChar"/>
    <w:uiPriority w:val="99"/>
    <w:semiHidden/>
    <w:unhideWhenUsed/>
    <w:rsid w:val="00B54FF2"/>
    <w:rPr>
      <w:b/>
      <w:bCs/>
    </w:rPr>
  </w:style>
  <w:style w:type="character" w:customStyle="1" w:styleId="AklamaKonusuChar">
    <w:name w:val="Açıklama Konusu Char"/>
    <w:basedOn w:val="AklamaMetniChar"/>
    <w:link w:val="AklamaKonusu"/>
    <w:uiPriority w:val="99"/>
    <w:semiHidden/>
    <w:rsid w:val="00B54FF2"/>
    <w:rPr>
      <w:rFonts w:ascii="Times New Roman" w:hAnsi="Times New Roman" w:cstheme="minorHAnsi"/>
      <w:b/>
      <w:bCs/>
      <w:sz w:val="20"/>
      <w:szCs w:val="20"/>
      <w:lang w:val="en-US"/>
    </w:rPr>
  </w:style>
  <w:style w:type="table" w:customStyle="1" w:styleId="TableGrid1">
    <w:name w:val="Table Grid1"/>
    <w:basedOn w:val="NormalTablo"/>
    <w:uiPriority w:val="39"/>
    <w:rsid w:val="00B36760"/>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2"/>
      </w:rPr>
      <w:tblPr/>
      <w:trPr>
        <w:tblHeader/>
      </w:trPr>
      <w:tcPr>
        <w:shd w:val="clear" w:color="auto" w:fill="404040" w:themeFill="text1" w:themeFillTint="BF"/>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hemeFill="background1"/>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styleId="ResimYazs">
    <w:name w:val="caption"/>
    <w:aliases w:val="Subtitle,Annex,Caption Char,Caption Char1 Char,Caption Char Char Char,Caption Char2 Char1 Char Char,Caption Char1 Char Char Char Char,Caption Char Char Char Char Char Char,Caption Char Char1 Char Char Char"/>
    <w:basedOn w:val="Normal"/>
    <w:next w:val="Normal"/>
    <w:link w:val="ResimYazsChar"/>
    <w:unhideWhenUsed/>
    <w:qFormat/>
    <w:rsid w:val="00E81290"/>
    <w:rPr>
      <w:b/>
      <w:iCs/>
      <w:color w:val="000000" w:themeColor="text1"/>
      <w:szCs w:val="18"/>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
    <w:basedOn w:val="VarsaylanParagrafYazTipi"/>
    <w:link w:val="ResimYazs"/>
    <w:rsid w:val="00E81290"/>
    <w:rPr>
      <w:rFonts w:ascii="Times New Roman" w:hAnsi="Times New Roman" w:cstheme="minorHAnsi"/>
      <w:b/>
      <w:iCs/>
      <w:color w:val="000000" w:themeColor="text1"/>
      <w:sz w:val="24"/>
      <w:szCs w:val="18"/>
      <w:lang w:val="en-US"/>
    </w:rPr>
  </w:style>
  <w:style w:type="character" w:customStyle="1" w:styleId="Bahset11">
    <w:name w:val="Bahset11"/>
    <w:basedOn w:val="VarsaylanParagrafYazTipi"/>
    <w:uiPriority w:val="99"/>
    <w:unhideWhenUsed/>
    <w:rsid w:val="00B86887"/>
    <w:rPr>
      <w:color w:val="2B579A"/>
      <w:shd w:val="clear" w:color="auto" w:fill="E1DFDD"/>
    </w:rPr>
  </w:style>
  <w:style w:type="paragraph" w:styleId="BalonMetni">
    <w:name w:val="Balloon Text"/>
    <w:basedOn w:val="Normal"/>
    <w:link w:val="BalonMetniChar"/>
    <w:uiPriority w:val="99"/>
    <w:semiHidden/>
    <w:unhideWhenUsed/>
    <w:rsid w:val="00B8688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6887"/>
    <w:rPr>
      <w:rFonts w:ascii="Segoe UI" w:hAnsi="Segoe UI" w:cs="Segoe UI"/>
      <w:sz w:val="18"/>
      <w:szCs w:val="18"/>
      <w:lang w:val="en-US"/>
    </w:rPr>
  </w:style>
  <w:style w:type="paragraph" w:customStyle="1" w:styleId="Default">
    <w:name w:val="Default"/>
    <w:rsid w:val="00B86887"/>
    <w:pPr>
      <w:autoSpaceDE w:val="0"/>
      <w:autoSpaceDN w:val="0"/>
      <w:adjustRightInd w:val="0"/>
      <w:spacing w:after="0" w:line="240" w:lineRule="auto"/>
    </w:pPr>
    <w:rPr>
      <w:rFonts w:ascii="PF DinDisplay Pro" w:hAnsi="PF DinDisplay Pro" w:cs="PF DinDisplay Pro"/>
      <w:color w:val="000000"/>
      <w:sz w:val="24"/>
      <w:szCs w:val="24"/>
      <w:lang w:val="en-US"/>
    </w:rPr>
  </w:style>
  <w:style w:type="paragraph" w:styleId="Dzeltme">
    <w:name w:val="Revision"/>
    <w:hidden/>
    <w:uiPriority w:val="99"/>
    <w:semiHidden/>
    <w:rsid w:val="00B86887"/>
    <w:pPr>
      <w:spacing w:after="0" w:line="240" w:lineRule="auto"/>
    </w:pPr>
    <w:rPr>
      <w:rFonts w:ascii="Times New Roman" w:hAnsi="Times New Roman" w:cstheme="minorHAnsi"/>
      <w:sz w:val="24"/>
      <w:lang w:val="en-US"/>
    </w:rPr>
  </w:style>
  <w:style w:type="paragraph" w:styleId="T3">
    <w:name w:val="toc 3"/>
    <w:basedOn w:val="Normal"/>
    <w:next w:val="Normal"/>
    <w:autoRedefine/>
    <w:uiPriority w:val="39"/>
    <w:unhideWhenUsed/>
    <w:qFormat/>
    <w:rsid w:val="00B86887"/>
    <w:pPr>
      <w:spacing w:after="100"/>
      <w:ind w:left="480"/>
    </w:pPr>
  </w:style>
  <w:style w:type="paragraph" w:styleId="ekillerTablosu">
    <w:name w:val="table of figures"/>
    <w:basedOn w:val="Normal"/>
    <w:next w:val="Normal"/>
    <w:uiPriority w:val="99"/>
    <w:unhideWhenUsed/>
    <w:rsid w:val="00B86887"/>
  </w:style>
  <w:style w:type="paragraph" w:customStyle="1" w:styleId="Glossaryofterms">
    <w:name w:val="Glossary of terms"/>
    <w:basedOn w:val="Normal"/>
    <w:link w:val="GlossaryoftermsChar"/>
    <w:autoRedefine/>
    <w:qFormat/>
    <w:rsid w:val="00B86887"/>
    <w:pPr>
      <w:spacing w:before="40" w:after="40"/>
      <w:jc w:val="left"/>
    </w:pPr>
    <w:rPr>
      <w:sz w:val="22"/>
      <w:lang w:val="en-GB"/>
    </w:rPr>
  </w:style>
  <w:style w:type="character" w:customStyle="1" w:styleId="GlossaryoftermsChar">
    <w:name w:val="Glossary of terms Char"/>
    <w:basedOn w:val="VarsaylanParagrafYazTipi"/>
    <w:link w:val="Glossaryofterms"/>
    <w:rsid w:val="00B86887"/>
    <w:rPr>
      <w:rFonts w:ascii="Times New Roman" w:hAnsi="Times New Roman" w:cstheme="minorHAnsi"/>
      <w:lang w:val="en-GB"/>
    </w:rPr>
  </w:style>
  <w:style w:type="table" w:customStyle="1" w:styleId="TableGrid2">
    <w:name w:val="Table Grid2"/>
    <w:basedOn w:val="NormalTablo"/>
    <w:next w:val="TabloKlavuzu"/>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uiPriority w:val="99"/>
    <w:rsid w:val="00B86887"/>
    <w:rPr>
      <w:sz w:val="18"/>
      <w:vertAlign w:val="superscript"/>
    </w:rPr>
  </w:style>
  <w:style w:type="paragraph" w:styleId="DipnotMetni">
    <w:name w:val="footnote text"/>
    <w:aliases w:val="fn,Footnote Text Char Char Char,Footnote Text Char Char,Fußnote, Car Car,Car Car"/>
    <w:basedOn w:val="Normal"/>
    <w:link w:val="DipnotMetniChar"/>
    <w:uiPriority w:val="99"/>
    <w:qFormat/>
    <w:rsid w:val="00B86887"/>
    <w:pPr>
      <w:spacing w:before="240" w:after="120"/>
    </w:pPr>
    <w:rPr>
      <w:rFonts w:ascii="Minion Pro Cond" w:eastAsia="Times New Roman" w:hAnsi="Minion Pro Cond" w:cs="Times New Roman"/>
      <w:sz w:val="18"/>
      <w:szCs w:val="20"/>
      <w:lang w:val="x-none" w:eastAsia="x-none"/>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B86887"/>
    <w:rPr>
      <w:rFonts w:ascii="Minion Pro Cond" w:eastAsia="Times New Roman" w:hAnsi="Minion Pro Cond" w:cs="Times New Roman"/>
      <w:sz w:val="18"/>
      <w:szCs w:val="20"/>
      <w:lang w:val="x-none" w:eastAsia="x-none"/>
    </w:rPr>
  </w:style>
  <w:style w:type="table" w:customStyle="1" w:styleId="ReportTable">
    <w:name w:val="ReportTable"/>
    <w:basedOn w:val="KlavuzuTablo4"/>
    <w:uiPriority w:val="99"/>
    <w:rsid w:val="00B86887"/>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
    <w:name w:val="Grid Table 4"/>
    <w:basedOn w:val="NormalTablo"/>
    <w:uiPriority w:val="49"/>
    <w:rsid w:val="00B86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Text">
    <w:name w:val="Table-Text"/>
    <w:basedOn w:val="Normal"/>
    <w:link w:val="Table-TextChar"/>
    <w:autoRedefine/>
    <w:qFormat/>
    <w:rsid w:val="006B387B"/>
    <w:pPr>
      <w:spacing w:line="240" w:lineRule="auto"/>
      <w:jc w:val="left"/>
    </w:pPr>
    <w:rPr>
      <w:rFonts w:cstheme="minorBidi"/>
      <w:sz w:val="20"/>
    </w:rPr>
  </w:style>
  <w:style w:type="character" w:customStyle="1" w:styleId="Table-TextChar">
    <w:name w:val="Table-Text Char"/>
    <w:basedOn w:val="VarsaylanParagrafYazTipi"/>
    <w:link w:val="Table-Text"/>
    <w:rsid w:val="006B387B"/>
    <w:rPr>
      <w:rFonts w:ascii="Times New Roman" w:hAnsi="Times New Roman"/>
      <w:sz w:val="20"/>
      <w:lang w:val="en-US"/>
    </w:rPr>
  </w:style>
  <w:style w:type="paragraph" w:customStyle="1" w:styleId="TextBullet">
    <w:name w:val="Text Bullet"/>
    <w:basedOn w:val="Normal"/>
    <w:link w:val="TextBulletChar"/>
    <w:autoRedefine/>
    <w:qFormat/>
    <w:rsid w:val="009C2455"/>
    <w:pPr>
      <w:numPr>
        <w:numId w:val="2"/>
      </w:numPr>
      <w:contextualSpacing/>
    </w:pPr>
    <w:rPr>
      <w:color w:val="000000" w:themeColor="text1"/>
      <w:lang w:val="en-GB"/>
    </w:rPr>
  </w:style>
  <w:style w:type="character" w:customStyle="1" w:styleId="TextBulletChar">
    <w:name w:val="Text Bullet Char"/>
    <w:basedOn w:val="VarsaylanParagrafYazTipi"/>
    <w:link w:val="TextBullet"/>
    <w:rsid w:val="009C2455"/>
    <w:rPr>
      <w:rFonts w:ascii="Times New Roman" w:hAnsi="Times New Roman" w:cstheme="minorHAnsi"/>
      <w:color w:val="000000" w:themeColor="text1"/>
      <w:sz w:val="24"/>
      <w:lang w:val="en-GB"/>
    </w:rPr>
  </w:style>
  <w:style w:type="table" w:customStyle="1" w:styleId="ListTable31">
    <w:name w:val="List Table 31"/>
    <w:basedOn w:val="NormalTablo"/>
    <w:uiPriority w:val="48"/>
    <w:rsid w:val="00B86887"/>
    <w:pPr>
      <w:numPr>
        <w:numId w:val="6"/>
      </w:numPr>
      <w:spacing w:after="0" w:line="240" w:lineRule="auto"/>
      <w:ind w:left="720"/>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text">
    <w:name w:val="Normal text"/>
    <w:basedOn w:val="Normal"/>
    <w:link w:val="NormaltextChar"/>
    <w:autoRedefine/>
    <w:qFormat/>
    <w:rsid w:val="005A4911"/>
    <w:pPr>
      <w:spacing w:before="240"/>
    </w:pPr>
    <w:rPr>
      <w:iCs/>
      <w:szCs w:val="18"/>
      <w:lang w:eastAsia="de-DE"/>
    </w:rPr>
  </w:style>
  <w:style w:type="character" w:customStyle="1" w:styleId="NormaltextChar">
    <w:name w:val="Normal text Char"/>
    <w:basedOn w:val="VarsaylanParagrafYazTipi"/>
    <w:link w:val="Normaltext"/>
    <w:rsid w:val="005A4911"/>
    <w:rPr>
      <w:rFonts w:ascii="Times New Roman" w:hAnsi="Times New Roman" w:cstheme="minorHAnsi"/>
      <w:iCs/>
      <w:sz w:val="24"/>
      <w:szCs w:val="18"/>
      <w:lang w:val="en-US" w:eastAsia="de-DE"/>
    </w:rPr>
  </w:style>
  <w:style w:type="table" w:customStyle="1" w:styleId="ListeTablo31">
    <w:name w:val="Liste Tablo 31"/>
    <w:basedOn w:val="NormalTablo"/>
    <w:uiPriority w:val="48"/>
    <w:rsid w:val="00B86887"/>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1">
    <w:name w:val="Çözümlenmeyen Bahsetme1"/>
    <w:basedOn w:val="VarsaylanParagrafYazTipi"/>
    <w:uiPriority w:val="99"/>
    <w:semiHidden/>
    <w:unhideWhenUsed/>
    <w:rsid w:val="00B86887"/>
    <w:rPr>
      <w:color w:val="605E5C"/>
      <w:shd w:val="clear" w:color="auto" w:fill="E1DFDD"/>
    </w:rPr>
  </w:style>
  <w:style w:type="character" w:customStyle="1" w:styleId="Bahset2">
    <w:name w:val="Bahset2"/>
    <w:basedOn w:val="VarsaylanParagrafYazTipi"/>
    <w:uiPriority w:val="99"/>
    <w:unhideWhenUsed/>
    <w:rsid w:val="00B86887"/>
    <w:rPr>
      <w:color w:val="2B579A"/>
      <w:shd w:val="clear" w:color="auto" w:fill="E1DFDD"/>
    </w:rPr>
  </w:style>
  <w:style w:type="paragraph" w:customStyle="1" w:styleId="HDFootnote">
    <w:name w:val="HD_Footnote"/>
    <w:qFormat/>
    <w:rsid w:val="00B86887"/>
    <w:pPr>
      <w:spacing w:after="200" w:line="276" w:lineRule="auto"/>
    </w:pPr>
    <w:rPr>
      <w:rFonts w:eastAsia="Times New Roman"/>
      <w:sz w:val="16"/>
      <w:lang w:val="en-GB" w:bidi="en-US"/>
    </w:rPr>
  </w:style>
  <w:style w:type="character" w:styleId="zlenenKpr">
    <w:name w:val="FollowedHyperlink"/>
    <w:basedOn w:val="VarsaylanParagrafYazTipi"/>
    <w:uiPriority w:val="99"/>
    <w:semiHidden/>
    <w:unhideWhenUsed/>
    <w:rsid w:val="00B86887"/>
    <w:rPr>
      <w:color w:val="954F72" w:themeColor="followedHyperlink"/>
      <w:u w:val="single"/>
    </w:rPr>
  </w:style>
  <w:style w:type="character" w:customStyle="1" w:styleId="zmlenmeyenBahsetme2">
    <w:name w:val="Çözümlenmeyen Bahsetme2"/>
    <w:basedOn w:val="VarsaylanParagrafYazTipi"/>
    <w:uiPriority w:val="99"/>
    <w:semiHidden/>
    <w:unhideWhenUsed/>
    <w:rsid w:val="00B86887"/>
    <w:rPr>
      <w:color w:val="605E5C"/>
      <w:shd w:val="clear" w:color="auto" w:fill="E1DFDD"/>
    </w:rPr>
  </w:style>
  <w:style w:type="paragraph" w:customStyle="1" w:styleId="paragraph">
    <w:name w:val="paragraph"/>
    <w:basedOn w:val="Normal"/>
    <w:rsid w:val="007A58BD"/>
    <w:pPr>
      <w:spacing w:before="100" w:beforeAutospacing="1" w:after="100" w:afterAutospacing="1" w:line="240" w:lineRule="auto"/>
      <w:jc w:val="left"/>
    </w:pPr>
    <w:rPr>
      <w:rFonts w:eastAsia="Times New Roman" w:cs="Times New Roman"/>
      <w:szCs w:val="24"/>
      <w:lang w:val="tr-TR" w:eastAsia="tr-TR"/>
    </w:rPr>
  </w:style>
  <w:style w:type="character" w:customStyle="1" w:styleId="eop">
    <w:name w:val="eop"/>
    <w:basedOn w:val="VarsaylanParagrafYazTipi"/>
    <w:rsid w:val="007A58BD"/>
  </w:style>
  <w:style w:type="character" w:customStyle="1" w:styleId="normaltextrun">
    <w:name w:val="normaltextrun"/>
    <w:basedOn w:val="VarsaylanParagrafYazTipi"/>
    <w:rsid w:val="007A58BD"/>
  </w:style>
  <w:style w:type="character" w:customStyle="1" w:styleId="equationplaceholdertext">
    <w:name w:val="equationplaceholdertext"/>
    <w:basedOn w:val="VarsaylanParagrafYazTipi"/>
    <w:rsid w:val="007A58BD"/>
  </w:style>
  <w:style w:type="character" w:customStyle="1" w:styleId="scxw263059263">
    <w:name w:val="scxw263059263"/>
    <w:basedOn w:val="VarsaylanParagrafYazTipi"/>
    <w:rsid w:val="007A58BD"/>
  </w:style>
  <w:style w:type="character" w:customStyle="1" w:styleId="mo">
    <w:name w:val="mo"/>
    <w:basedOn w:val="VarsaylanParagrafYazTipi"/>
    <w:rsid w:val="007A58BD"/>
  </w:style>
  <w:style w:type="character" w:customStyle="1" w:styleId="mi">
    <w:name w:val="mi"/>
    <w:basedOn w:val="VarsaylanParagrafYazTipi"/>
    <w:rsid w:val="007A58BD"/>
  </w:style>
  <w:style w:type="character" w:customStyle="1" w:styleId="mn">
    <w:name w:val="mn"/>
    <w:basedOn w:val="VarsaylanParagrafYazTipi"/>
    <w:rsid w:val="007A58BD"/>
  </w:style>
  <w:style w:type="character" w:customStyle="1" w:styleId="mjxassistivemathml">
    <w:name w:val="mjx_assistive_mathml"/>
    <w:basedOn w:val="VarsaylanParagrafYazTipi"/>
    <w:rsid w:val="007A58BD"/>
  </w:style>
  <w:style w:type="character" w:customStyle="1" w:styleId="scxw147860125">
    <w:name w:val="scxw147860125"/>
    <w:basedOn w:val="VarsaylanParagrafYazTipi"/>
    <w:rsid w:val="007C7A79"/>
  </w:style>
  <w:style w:type="paragraph" w:customStyle="1" w:styleId="Tablefonttype">
    <w:name w:val="Table font type"/>
    <w:basedOn w:val="Normal"/>
    <w:link w:val="TablefonttypeChar"/>
    <w:autoRedefine/>
    <w:qFormat/>
    <w:rsid w:val="004D6526"/>
    <w:pPr>
      <w:framePr w:hSpace="180" w:wrap="around" w:vAnchor="text" w:hAnchor="text" w:y="-83"/>
      <w:spacing w:line="276" w:lineRule="auto"/>
      <w:contextualSpacing/>
    </w:pPr>
    <w:rPr>
      <w:rFonts w:eastAsia="Times New Roman" w:cs="Times New Roman"/>
      <w:color w:val="000000" w:themeColor="text1"/>
      <w:sz w:val="22"/>
      <w:szCs w:val="24"/>
      <w:lang w:bidi="en-US"/>
    </w:rPr>
  </w:style>
  <w:style w:type="character" w:customStyle="1" w:styleId="TablefonttypeChar">
    <w:name w:val="Table font type Char"/>
    <w:basedOn w:val="VarsaylanParagrafYazTipi"/>
    <w:link w:val="Tablefonttype"/>
    <w:rsid w:val="004D6526"/>
    <w:rPr>
      <w:rFonts w:ascii="Times New Roman" w:eastAsia="Times New Roman" w:hAnsi="Times New Roman" w:cs="Times New Roman"/>
      <w:color w:val="000000" w:themeColor="text1"/>
      <w:szCs w:val="24"/>
      <w:lang w:val="en-US" w:bidi="en-US"/>
    </w:rPr>
  </w:style>
  <w:style w:type="paragraph" w:styleId="Kaynaka">
    <w:name w:val="Bibliography"/>
    <w:basedOn w:val="Normal"/>
    <w:next w:val="Normal"/>
    <w:uiPriority w:val="37"/>
    <w:unhideWhenUsed/>
    <w:rsid w:val="009558F7"/>
  </w:style>
  <w:style w:type="character" w:customStyle="1" w:styleId="A1">
    <w:name w:val="A1"/>
    <w:uiPriority w:val="99"/>
    <w:rsid w:val="00CD5899"/>
    <w:rPr>
      <w:rFonts w:cs="PF DinDisplay Pro"/>
      <w:b/>
      <w:bCs/>
      <w:color w:val="000000"/>
    </w:rPr>
  </w:style>
  <w:style w:type="paragraph" w:styleId="T5">
    <w:name w:val="toc 5"/>
    <w:basedOn w:val="Normal"/>
    <w:next w:val="Normal"/>
    <w:autoRedefine/>
    <w:uiPriority w:val="1"/>
    <w:unhideWhenUsed/>
    <w:qFormat/>
    <w:rsid w:val="003F6F3A"/>
    <w:pPr>
      <w:spacing w:after="100" w:line="259" w:lineRule="auto"/>
      <w:ind w:left="880"/>
      <w:jc w:val="left"/>
    </w:pPr>
    <w:rPr>
      <w:rFonts w:asciiTheme="minorHAnsi" w:eastAsiaTheme="minorEastAsia" w:hAnsiTheme="minorHAnsi" w:cstheme="minorBidi"/>
      <w:sz w:val="22"/>
    </w:rPr>
  </w:style>
  <w:style w:type="paragraph" w:styleId="T6">
    <w:name w:val="toc 6"/>
    <w:basedOn w:val="Normal"/>
    <w:next w:val="Normal"/>
    <w:autoRedefine/>
    <w:uiPriority w:val="1"/>
    <w:unhideWhenUsed/>
    <w:qFormat/>
    <w:rsid w:val="003F6F3A"/>
    <w:pPr>
      <w:spacing w:after="100" w:line="259" w:lineRule="auto"/>
      <w:ind w:left="1100"/>
      <w:jc w:val="left"/>
    </w:pPr>
    <w:rPr>
      <w:rFonts w:asciiTheme="minorHAnsi" w:eastAsiaTheme="minorEastAsia" w:hAnsiTheme="minorHAnsi" w:cstheme="minorBidi"/>
      <w:sz w:val="22"/>
    </w:rPr>
  </w:style>
  <w:style w:type="paragraph" w:styleId="T7">
    <w:name w:val="toc 7"/>
    <w:basedOn w:val="Normal"/>
    <w:next w:val="Normal"/>
    <w:autoRedefine/>
    <w:uiPriority w:val="1"/>
    <w:unhideWhenUsed/>
    <w:qFormat/>
    <w:rsid w:val="003F6F3A"/>
    <w:pPr>
      <w:spacing w:after="100" w:line="259" w:lineRule="auto"/>
      <w:ind w:left="1320"/>
      <w:jc w:val="left"/>
    </w:pPr>
    <w:rPr>
      <w:rFonts w:asciiTheme="minorHAnsi" w:eastAsiaTheme="minorEastAsia" w:hAnsiTheme="minorHAnsi" w:cstheme="minorBidi"/>
      <w:sz w:val="22"/>
    </w:rPr>
  </w:style>
  <w:style w:type="paragraph" w:styleId="T8">
    <w:name w:val="toc 8"/>
    <w:basedOn w:val="Normal"/>
    <w:next w:val="Normal"/>
    <w:autoRedefine/>
    <w:uiPriority w:val="1"/>
    <w:unhideWhenUsed/>
    <w:qFormat/>
    <w:rsid w:val="003F6F3A"/>
    <w:pPr>
      <w:spacing w:after="100" w:line="259" w:lineRule="auto"/>
      <w:ind w:left="1540"/>
      <w:jc w:val="left"/>
    </w:pPr>
    <w:rPr>
      <w:rFonts w:asciiTheme="minorHAnsi" w:eastAsiaTheme="minorEastAsia" w:hAnsiTheme="minorHAnsi" w:cstheme="minorBidi"/>
      <w:sz w:val="22"/>
    </w:rPr>
  </w:style>
  <w:style w:type="paragraph" w:styleId="T9">
    <w:name w:val="toc 9"/>
    <w:basedOn w:val="Normal"/>
    <w:next w:val="Normal"/>
    <w:autoRedefine/>
    <w:uiPriority w:val="1"/>
    <w:unhideWhenUsed/>
    <w:qFormat/>
    <w:rsid w:val="003F6F3A"/>
    <w:pPr>
      <w:spacing w:after="100" w:line="259" w:lineRule="auto"/>
      <w:ind w:left="1760"/>
      <w:jc w:val="left"/>
    </w:pPr>
    <w:rPr>
      <w:rFonts w:asciiTheme="minorHAnsi" w:eastAsiaTheme="minorEastAsia" w:hAnsiTheme="minorHAnsi" w:cstheme="minorBidi"/>
      <w:sz w:val="22"/>
    </w:rPr>
  </w:style>
  <w:style w:type="paragraph" w:customStyle="1" w:styleId="TableCaption">
    <w:name w:val="Table Caption"/>
    <w:basedOn w:val="ResimYazs"/>
    <w:link w:val="TableCaptionChar"/>
    <w:qFormat/>
    <w:rsid w:val="00D33515"/>
    <w:pPr>
      <w:keepNext/>
      <w:spacing w:before="360" w:after="120" w:line="240" w:lineRule="auto"/>
      <w:jc w:val="left"/>
    </w:pPr>
  </w:style>
  <w:style w:type="character" w:customStyle="1" w:styleId="TableCaptionChar">
    <w:name w:val="Table Caption Char"/>
    <w:basedOn w:val="ResimYazsChar"/>
    <w:link w:val="TableCaption"/>
    <w:rsid w:val="00D33515"/>
    <w:rPr>
      <w:rFonts w:ascii="Times New Roman" w:hAnsi="Times New Roman" w:cstheme="minorHAnsi"/>
      <w:b/>
      <w:iCs/>
      <w:color w:val="000000" w:themeColor="text1"/>
      <w:sz w:val="24"/>
      <w:szCs w:val="18"/>
      <w:lang w:val="en-US"/>
    </w:rPr>
  </w:style>
  <w:style w:type="paragraph" w:customStyle="1" w:styleId="FigureCaption">
    <w:name w:val="Figure Caption"/>
    <w:basedOn w:val="Normal"/>
    <w:link w:val="FigureCaptionChar"/>
    <w:qFormat/>
    <w:rsid w:val="00D33515"/>
    <w:pPr>
      <w:spacing w:before="120" w:after="480" w:line="240" w:lineRule="auto"/>
    </w:pPr>
    <w:rPr>
      <w:b/>
    </w:rPr>
  </w:style>
  <w:style w:type="character" w:customStyle="1" w:styleId="FigureCaptionChar">
    <w:name w:val="Figure Caption Char"/>
    <w:basedOn w:val="VarsaylanParagrafYazTipi"/>
    <w:link w:val="FigureCaption"/>
    <w:rsid w:val="00D33515"/>
    <w:rPr>
      <w:rFonts w:ascii="Times New Roman" w:hAnsi="Times New Roman" w:cstheme="minorHAnsi"/>
      <w:b/>
      <w:sz w:val="24"/>
      <w:lang w:val="en-US"/>
    </w:rPr>
  </w:style>
  <w:style w:type="paragraph" w:styleId="HTMLncedenBiimlendirilmi">
    <w:name w:val="HTML Preformatted"/>
    <w:basedOn w:val="Normal"/>
    <w:link w:val="HTMLncedenBiimlendirilmiChar"/>
    <w:uiPriority w:val="99"/>
    <w:semiHidden/>
    <w:unhideWhenUsed/>
    <w:rsid w:val="007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71867"/>
    <w:rPr>
      <w:rFonts w:ascii="Courier New" w:eastAsia="Times New Roman" w:hAnsi="Courier New" w:cs="Courier New"/>
      <w:sz w:val="20"/>
      <w:szCs w:val="20"/>
      <w:lang w:val="en-US"/>
    </w:rPr>
  </w:style>
  <w:style w:type="character" w:customStyle="1" w:styleId="y2iqfc">
    <w:name w:val="y2iqfc"/>
    <w:basedOn w:val="VarsaylanParagrafYazTipi"/>
    <w:rsid w:val="00771867"/>
  </w:style>
  <w:style w:type="paragraph" w:styleId="bekMetni">
    <w:name w:val="Block Text"/>
    <w:basedOn w:val="Normal"/>
    <w:uiPriority w:val="99"/>
    <w:unhideWhenUsed/>
    <w:rsid w:val="00BA7A63"/>
    <w:pPr>
      <w:spacing w:before="120" w:after="120" w:line="276" w:lineRule="auto"/>
      <w:ind w:right="357"/>
    </w:pPr>
    <w:rPr>
      <w:lang w:val="en-GB"/>
    </w:rPr>
  </w:style>
  <w:style w:type="paragraph" w:customStyle="1" w:styleId="Annexes">
    <w:name w:val="Annexes"/>
    <w:basedOn w:val="Balk2"/>
    <w:link w:val="AnnexesChar"/>
    <w:qFormat/>
    <w:rsid w:val="00270DB8"/>
    <w:pPr>
      <w:numPr>
        <w:ilvl w:val="0"/>
        <w:numId w:val="3"/>
      </w:numPr>
    </w:pPr>
  </w:style>
  <w:style w:type="character" w:customStyle="1" w:styleId="AnnexesChar">
    <w:name w:val="Annexes Char"/>
    <w:basedOn w:val="Balk2Char"/>
    <w:link w:val="Annexes"/>
    <w:rsid w:val="00270DB8"/>
    <w:rPr>
      <w:rFonts w:ascii="Times New Roman" w:eastAsiaTheme="majorEastAsia" w:hAnsi="Times New Roman" w:cstheme="majorBidi"/>
      <w:b/>
      <w:sz w:val="24"/>
      <w:szCs w:val="26"/>
      <w:lang w:val="en-US"/>
    </w:rPr>
  </w:style>
  <w:style w:type="paragraph" w:customStyle="1" w:styleId="Table-">
    <w:name w:val="Table -"/>
    <w:basedOn w:val="ListeParagraf"/>
    <w:link w:val="Table-Char"/>
    <w:autoRedefine/>
    <w:qFormat/>
    <w:rsid w:val="00585009"/>
    <w:pPr>
      <w:numPr>
        <w:numId w:val="4"/>
      </w:numPr>
      <w:spacing w:line="276" w:lineRule="auto"/>
      <w:ind w:right="357"/>
      <w:jc w:val="left"/>
    </w:pPr>
    <w:rPr>
      <w:color w:val="000000" w:themeColor="text1"/>
      <w:sz w:val="22"/>
      <w:szCs w:val="20"/>
      <w:lang w:val="en-GB"/>
    </w:rPr>
  </w:style>
  <w:style w:type="character" w:customStyle="1" w:styleId="Table-Char">
    <w:name w:val="Table - Char"/>
    <w:basedOn w:val="VarsaylanParagrafYazTipi"/>
    <w:link w:val="Table-"/>
    <w:rsid w:val="00585009"/>
    <w:rPr>
      <w:rFonts w:ascii="Times New Roman" w:hAnsi="Times New Roman" w:cstheme="minorHAnsi"/>
      <w:color w:val="000000" w:themeColor="text1"/>
      <w:szCs w:val="20"/>
      <w:lang w:val="en-GB"/>
    </w:rPr>
  </w:style>
  <w:style w:type="character" w:styleId="YerTutucuMetni">
    <w:name w:val="Placeholder Text"/>
    <w:basedOn w:val="VarsaylanParagrafYazTipi"/>
    <w:uiPriority w:val="99"/>
    <w:semiHidden/>
    <w:rsid w:val="00460386"/>
    <w:rPr>
      <w:color w:val="808080"/>
    </w:rPr>
  </w:style>
  <w:style w:type="paragraph" w:customStyle="1" w:styleId="Sideheading">
    <w:name w:val="Side heading"/>
    <w:basedOn w:val="Normal"/>
    <w:link w:val="SideheadingChar"/>
    <w:qFormat/>
    <w:rsid w:val="008D61F3"/>
    <w:rPr>
      <w:b/>
    </w:rPr>
  </w:style>
  <w:style w:type="character" w:customStyle="1" w:styleId="SideheadingChar">
    <w:name w:val="Side heading Char"/>
    <w:basedOn w:val="VarsaylanParagrafYazTipi"/>
    <w:link w:val="Sideheading"/>
    <w:rsid w:val="008D61F3"/>
    <w:rPr>
      <w:rFonts w:ascii="Times New Roman" w:hAnsi="Times New Roman" w:cstheme="minorHAnsi"/>
      <w:b/>
      <w:sz w:val="24"/>
      <w:lang w:val="en-US"/>
    </w:rPr>
  </w:style>
  <w:style w:type="table" w:customStyle="1" w:styleId="TableNormal1">
    <w:name w:val="Table Normal1"/>
    <w:uiPriority w:val="2"/>
    <w:semiHidden/>
    <w:unhideWhenUsed/>
    <w:qFormat/>
    <w:rsid w:val="008D61F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1F3"/>
    <w:pPr>
      <w:widowControl w:val="0"/>
      <w:autoSpaceDE w:val="0"/>
      <w:autoSpaceDN w:val="0"/>
      <w:spacing w:line="240" w:lineRule="auto"/>
      <w:jc w:val="left"/>
    </w:pPr>
    <w:rPr>
      <w:rFonts w:eastAsia="Times New Roman" w:cs="Times New Roman"/>
      <w:lang w:val="tr-TR"/>
    </w:rPr>
  </w:style>
  <w:style w:type="paragraph" w:styleId="TBal">
    <w:name w:val="TOC Heading"/>
    <w:basedOn w:val="Balk1"/>
    <w:next w:val="Normal"/>
    <w:uiPriority w:val="39"/>
    <w:unhideWhenUsed/>
    <w:qFormat/>
    <w:rsid w:val="00221C7C"/>
    <w:pPr>
      <w:numPr>
        <w:numId w:val="0"/>
      </w:numPr>
      <w:spacing w:before="240" w:line="259" w:lineRule="auto"/>
      <w:jc w:val="left"/>
      <w:outlineLvl w:val="9"/>
    </w:pPr>
    <w:rPr>
      <w:rFonts w:asciiTheme="majorHAnsi" w:hAnsiTheme="majorHAnsi"/>
      <w:b w:val="0"/>
      <w:color w:val="2F5496" w:themeColor="accent1" w:themeShade="BF"/>
      <w:sz w:val="32"/>
    </w:rPr>
  </w:style>
  <w:style w:type="paragraph" w:styleId="GvdeMetni">
    <w:name w:val="Body Text"/>
    <w:basedOn w:val="Normal"/>
    <w:link w:val="GvdeMetniChar"/>
    <w:uiPriority w:val="1"/>
    <w:qFormat/>
    <w:rsid w:val="00532A72"/>
    <w:pPr>
      <w:widowControl w:val="0"/>
      <w:autoSpaceDE w:val="0"/>
      <w:autoSpaceDN w:val="0"/>
      <w:spacing w:line="240" w:lineRule="auto"/>
      <w:jc w:val="left"/>
    </w:pPr>
    <w:rPr>
      <w:rFonts w:eastAsia="Times New Roman" w:cs="Times New Roman"/>
      <w:sz w:val="22"/>
      <w:lang w:val="tr-TR"/>
    </w:rPr>
  </w:style>
  <w:style w:type="character" w:customStyle="1" w:styleId="GvdeMetniChar">
    <w:name w:val="Gövde Metni Char"/>
    <w:basedOn w:val="VarsaylanParagrafYazTipi"/>
    <w:link w:val="GvdeMetni"/>
    <w:uiPriority w:val="1"/>
    <w:rsid w:val="00532A72"/>
    <w:rPr>
      <w:rFonts w:ascii="Times New Roman" w:eastAsia="Times New Roman" w:hAnsi="Times New Roman" w:cs="Times New Roman"/>
    </w:rPr>
  </w:style>
  <w:style w:type="table" w:customStyle="1" w:styleId="TabloKlavuzu1">
    <w:name w:val="Tablo Kılavuzu1"/>
    <w:basedOn w:val="NormalTablo"/>
    <w:next w:val="TabloKlavuzu"/>
    <w:uiPriority w:val="39"/>
    <w:rsid w:val="001B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7A6A5D"/>
    <w:pPr>
      <w:spacing w:after="60" w:line="252" w:lineRule="auto"/>
      <w:ind w:left="709"/>
      <w:jc w:val="left"/>
    </w:pPr>
    <w:rPr>
      <w:rFonts w:eastAsia="Times New Roman" w:cs="Calibri"/>
      <w:sz w:val="22"/>
      <w:lang w:val="tr-TR"/>
    </w:rPr>
  </w:style>
  <w:style w:type="paragraph" w:customStyle="1" w:styleId="BulletList">
    <w:name w:val="BulletList"/>
    <w:basedOn w:val="Normal"/>
    <w:link w:val="BulletListChar"/>
    <w:qFormat/>
    <w:rsid w:val="00304275"/>
    <w:pPr>
      <w:numPr>
        <w:numId w:val="8"/>
      </w:numPr>
      <w:spacing w:before="120" w:after="60" w:line="240" w:lineRule="auto"/>
    </w:pPr>
    <w:rPr>
      <w:rFonts w:eastAsia="Times New Roman" w:cs="Times New Roman"/>
      <w:sz w:val="22"/>
      <w:szCs w:val="24"/>
      <w:lang w:val="tr-TR" w:eastAsia="tr-TR"/>
    </w:rPr>
  </w:style>
  <w:style w:type="character" w:customStyle="1" w:styleId="BulletListChar">
    <w:name w:val="BulletList Char"/>
    <w:link w:val="BulletList"/>
    <w:rsid w:val="00304275"/>
    <w:rPr>
      <w:rFonts w:ascii="Times New Roman" w:eastAsia="Times New Roman" w:hAnsi="Times New Roman" w:cs="Times New Roman"/>
      <w:szCs w:val="24"/>
      <w:lang w:eastAsia="tr-TR"/>
    </w:rPr>
  </w:style>
  <w:style w:type="character" w:customStyle="1" w:styleId="Mention1">
    <w:name w:val="Mention1"/>
    <w:basedOn w:val="VarsaylanParagrafYazTipi"/>
    <w:uiPriority w:val="99"/>
    <w:unhideWhenUsed/>
    <w:rsid w:val="00E027CF"/>
    <w:rPr>
      <w:color w:val="2B579A"/>
      <w:shd w:val="clear" w:color="auto" w:fill="E1DFDD"/>
    </w:rPr>
  </w:style>
  <w:style w:type="character" w:customStyle="1" w:styleId="UnresolvedMention1">
    <w:name w:val="Unresolved Mention1"/>
    <w:basedOn w:val="VarsaylanParagrafYazTipi"/>
    <w:uiPriority w:val="99"/>
    <w:semiHidden/>
    <w:unhideWhenUsed/>
    <w:rsid w:val="00E027CF"/>
    <w:rPr>
      <w:color w:val="605E5C"/>
      <w:shd w:val="clear" w:color="auto" w:fill="E1DFDD"/>
    </w:rPr>
  </w:style>
  <w:style w:type="character" w:customStyle="1" w:styleId="Mention2">
    <w:name w:val="Mention2"/>
    <w:basedOn w:val="VarsaylanParagrafYazTipi"/>
    <w:uiPriority w:val="99"/>
    <w:unhideWhenUsed/>
    <w:rsid w:val="00E027CF"/>
    <w:rPr>
      <w:color w:val="2B579A"/>
      <w:shd w:val="clear" w:color="auto" w:fill="E1DFDD"/>
    </w:rPr>
  </w:style>
  <w:style w:type="character" w:customStyle="1" w:styleId="Bahset3">
    <w:name w:val="Bahset3"/>
    <w:basedOn w:val="VarsaylanParagrafYazTipi"/>
    <w:uiPriority w:val="99"/>
    <w:unhideWhenUsed/>
    <w:rsid w:val="008F15D9"/>
    <w:rPr>
      <w:color w:val="2B579A"/>
      <w:shd w:val="clear" w:color="auto" w:fill="E1DFDD"/>
    </w:rPr>
  </w:style>
  <w:style w:type="table" w:customStyle="1" w:styleId="TableNormal0">
    <w:name w:val="Table Normal_0"/>
    <w:uiPriority w:val="2"/>
    <w:semiHidden/>
    <w:unhideWhenUsed/>
    <w:qFormat/>
    <w:rsid w:val="00125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Maddemi2">
    <w:name w:val="List Bullet 2"/>
    <w:basedOn w:val="Normal"/>
    <w:semiHidden/>
    <w:rsid w:val="00C15041"/>
    <w:pPr>
      <w:numPr>
        <w:numId w:val="14"/>
      </w:numPr>
      <w:spacing w:after="200" w:line="276" w:lineRule="auto"/>
      <w:jc w:val="left"/>
    </w:pPr>
    <w:rPr>
      <w:rFonts w:ascii="Calibri" w:eastAsia="Calibri" w:hAnsi="Calibri" w:cs="Calibri"/>
      <w:sz w:val="22"/>
      <w:lang w:val="es-ES" w:eastAsia="es-ES"/>
    </w:rPr>
  </w:style>
  <w:style w:type="table" w:customStyle="1" w:styleId="TableNormal">
    <w:name w:val="Table Normal"/>
    <w:uiPriority w:val="2"/>
    <w:semiHidden/>
    <w:unhideWhenUsed/>
    <w:qFormat/>
    <w:rsid w:val="00A508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A508A2"/>
    <w:pPr>
      <w:widowControl w:val="0"/>
      <w:autoSpaceDE w:val="0"/>
      <w:autoSpaceDN w:val="0"/>
      <w:spacing w:before="84" w:line="240" w:lineRule="auto"/>
      <w:ind w:left="113" w:right="913"/>
      <w:jc w:val="left"/>
    </w:pPr>
    <w:rPr>
      <w:rFonts w:ascii="Trebuchet MS" w:eastAsia="Trebuchet MS" w:hAnsi="Trebuchet MS" w:cs="Trebuchet MS"/>
      <w:sz w:val="60"/>
      <w:szCs w:val="60"/>
    </w:rPr>
  </w:style>
  <w:style w:type="character" w:customStyle="1" w:styleId="KonuBalChar">
    <w:name w:val="Konu Başlığı Char"/>
    <w:basedOn w:val="VarsaylanParagrafYazTipi"/>
    <w:link w:val="KonuBal"/>
    <w:uiPriority w:val="10"/>
    <w:rsid w:val="00A508A2"/>
    <w:rPr>
      <w:rFonts w:ascii="Trebuchet MS" w:eastAsia="Trebuchet MS" w:hAnsi="Trebuchet MS" w:cs="Trebuchet MS"/>
      <w:sz w:val="60"/>
      <w:szCs w:val="60"/>
      <w:lang w:val="en-US"/>
    </w:rPr>
  </w:style>
  <w:style w:type="paragraph" w:customStyle="1" w:styleId="metin">
    <w:name w:val="metin"/>
    <w:basedOn w:val="Normal"/>
    <w:rsid w:val="00684316"/>
    <w:pPr>
      <w:spacing w:before="100" w:beforeAutospacing="1" w:after="100" w:afterAutospacing="1" w:line="240" w:lineRule="auto"/>
      <w:jc w:val="left"/>
    </w:pPr>
    <w:rPr>
      <w:rFonts w:eastAsia="Times New Roman" w:cs="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601">
      <w:bodyDiv w:val="1"/>
      <w:marLeft w:val="0"/>
      <w:marRight w:val="0"/>
      <w:marTop w:val="0"/>
      <w:marBottom w:val="0"/>
      <w:divBdr>
        <w:top w:val="none" w:sz="0" w:space="0" w:color="auto"/>
        <w:left w:val="none" w:sz="0" w:space="0" w:color="auto"/>
        <w:bottom w:val="none" w:sz="0" w:space="0" w:color="auto"/>
        <w:right w:val="none" w:sz="0" w:space="0" w:color="auto"/>
      </w:divBdr>
    </w:div>
    <w:div w:id="7871453">
      <w:bodyDiv w:val="1"/>
      <w:marLeft w:val="0"/>
      <w:marRight w:val="0"/>
      <w:marTop w:val="0"/>
      <w:marBottom w:val="0"/>
      <w:divBdr>
        <w:top w:val="none" w:sz="0" w:space="0" w:color="auto"/>
        <w:left w:val="none" w:sz="0" w:space="0" w:color="auto"/>
        <w:bottom w:val="none" w:sz="0" w:space="0" w:color="auto"/>
        <w:right w:val="none" w:sz="0" w:space="0" w:color="auto"/>
      </w:divBdr>
    </w:div>
    <w:div w:id="8914508">
      <w:bodyDiv w:val="1"/>
      <w:marLeft w:val="0"/>
      <w:marRight w:val="0"/>
      <w:marTop w:val="0"/>
      <w:marBottom w:val="0"/>
      <w:divBdr>
        <w:top w:val="none" w:sz="0" w:space="0" w:color="auto"/>
        <w:left w:val="none" w:sz="0" w:space="0" w:color="auto"/>
        <w:bottom w:val="none" w:sz="0" w:space="0" w:color="auto"/>
        <w:right w:val="none" w:sz="0" w:space="0" w:color="auto"/>
      </w:divBdr>
    </w:div>
    <w:div w:id="33887946">
      <w:bodyDiv w:val="1"/>
      <w:marLeft w:val="0"/>
      <w:marRight w:val="0"/>
      <w:marTop w:val="0"/>
      <w:marBottom w:val="0"/>
      <w:divBdr>
        <w:top w:val="none" w:sz="0" w:space="0" w:color="auto"/>
        <w:left w:val="none" w:sz="0" w:space="0" w:color="auto"/>
        <w:bottom w:val="none" w:sz="0" w:space="0" w:color="auto"/>
        <w:right w:val="none" w:sz="0" w:space="0" w:color="auto"/>
      </w:divBdr>
    </w:div>
    <w:div w:id="41440229">
      <w:bodyDiv w:val="1"/>
      <w:marLeft w:val="0"/>
      <w:marRight w:val="0"/>
      <w:marTop w:val="0"/>
      <w:marBottom w:val="0"/>
      <w:divBdr>
        <w:top w:val="none" w:sz="0" w:space="0" w:color="auto"/>
        <w:left w:val="none" w:sz="0" w:space="0" w:color="auto"/>
        <w:bottom w:val="none" w:sz="0" w:space="0" w:color="auto"/>
        <w:right w:val="none" w:sz="0" w:space="0" w:color="auto"/>
      </w:divBdr>
    </w:div>
    <w:div w:id="80489039">
      <w:bodyDiv w:val="1"/>
      <w:marLeft w:val="0"/>
      <w:marRight w:val="0"/>
      <w:marTop w:val="0"/>
      <w:marBottom w:val="0"/>
      <w:divBdr>
        <w:top w:val="none" w:sz="0" w:space="0" w:color="auto"/>
        <w:left w:val="none" w:sz="0" w:space="0" w:color="auto"/>
        <w:bottom w:val="none" w:sz="0" w:space="0" w:color="auto"/>
        <w:right w:val="none" w:sz="0" w:space="0" w:color="auto"/>
      </w:divBdr>
    </w:div>
    <w:div w:id="84037478">
      <w:bodyDiv w:val="1"/>
      <w:marLeft w:val="0"/>
      <w:marRight w:val="0"/>
      <w:marTop w:val="0"/>
      <w:marBottom w:val="0"/>
      <w:divBdr>
        <w:top w:val="none" w:sz="0" w:space="0" w:color="auto"/>
        <w:left w:val="none" w:sz="0" w:space="0" w:color="auto"/>
        <w:bottom w:val="none" w:sz="0" w:space="0" w:color="auto"/>
        <w:right w:val="none" w:sz="0" w:space="0" w:color="auto"/>
      </w:divBdr>
    </w:div>
    <w:div w:id="85620586">
      <w:bodyDiv w:val="1"/>
      <w:marLeft w:val="0"/>
      <w:marRight w:val="0"/>
      <w:marTop w:val="0"/>
      <w:marBottom w:val="0"/>
      <w:divBdr>
        <w:top w:val="none" w:sz="0" w:space="0" w:color="auto"/>
        <w:left w:val="none" w:sz="0" w:space="0" w:color="auto"/>
        <w:bottom w:val="none" w:sz="0" w:space="0" w:color="auto"/>
        <w:right w:val="none" w:sz="0" w:space="0" w:color="auto"/>
      </w:divBdr>
    </w:div>
    <w:div w:id="87890300">
      <w:bodyDiv w:val="1"/>
      <w:marLeft w:val="0"/>
      <w:marRight w:val="0"/>
      <w:marTop w:val="0"/>
      <w:marBottom w:val="0"/>
      <w:divBdr>
        <w:top w:val="none" w:sz="0" w:space="0" w:color="auto"/>
        <w:left w:val="none" w:sz="0" w:space="0" w:color="auto"/>
        <w:bottom w:val="none" w:sz="0" w:space="0" w:color="auto"/>
        <w:right w:val="none" w:sz="0" w:space="0" w:color="auto"/>
      </w:divBdr>
    </w:div>
    <w:div w:id="88701825">
      <w:bodyDiv w:val="1"/>
      <w:marLeft w:val="0"/>
      <w:marRight w:val="0"/>
      <w:marTop w:val="0"/>
      <w:marBottom w:val="0"/>
      <w:divBdr>
        <w:top w:val="none" w:sz="0" w:space="0" w:color="auto"/>
        <w:left w:val="none" w:sz="0" w:space="0" w:color="auto"/>
        <w:bottom w:val="none" w:sz="0" w:space="0" w:color="auto"/>
        <w:right w:val="none" w:sz="0" w:space="0" w:color="auto"/>
      </w:divBdr>
    </w:div>
    <w:div w:id="90467891">
      <w:bodyDiv w:val="1"/>
      <w:marLeft w:val="0"/>
      <w:marRight w:val="0"/>
      <w:marTop w:val="0"/>
      <w:marBottom w:val="0"/>
      <w:divBdr>
        <w:top w:val="none" w:sz="0" w:space="0" w:color="auto"/>
        <w:left w:val="none" w:sz="0" w:space="0" w:color="auto"/>
        <w:bottom w:val="none" w:sz="0" w:space="0" w:color="auto"/>
        <w:right w:val="none" w:sz="0" w:space="0" w:color="auto"/>
      </w:divBdr>
    </w:div>
    <w:div w:id="105002027">
      <w:bodyDiv w:val="1"/>
      <w:marLeft w:val="0"/>
      <w:marRight w:val="0"/>
      <w:marTop w:val="0"/>
      <w:marBottom w:val="0"/>
      <w:divBdr>
        <w:top w:val="none" w:sz="0" w:space="0" w:color="auto"/>
        <w:left w:val="none" w:sz="0" w:space="0" w:color="auto"/>
        <w:bottom w:val="none" w:sz="0" w:space="0" w:color="auto"/>
        <w:right w:val="none" w:sz="0" w:space="0" w:color="auto"/>
      </w:divBdr>
    </w:div>
    <w:div w:id="111678235">
      <w:bodyDiv w:val="1"/>
      <w:marLeft w:val="0"/>
      <w:marRight w:val="0"/>
      <w:marTop w:val="0"/>
      <w:marBottom w:val="0"/>
      <w:divBdr>
        <w:top w:val="none" w:sz="0" w:space="0" w:color="auto"/>
        <w:left w:val="none" w:sz="0" w:space="0" w:color="auto"/>
        <w:bottom w:val="none" w:sz="0" w:space="0" w:color="auto"/>
        <w:right w:val="none" w:sz="0" w:space="0" w:color="auto"/>
      </w:divBdr>
    </w:div>
    <w:div w:id="121969794">
      <w:bodyDiv w:val="1"/>
      <w:marLeft w:val="0"/>
      <w:marRight w:val="0"/>
      <w:marTop w:val="0"/>
      <w:marBottom w:val="0"/>
      <w:divBdr>
        <w:top w:val="none" w:sz="0" w:space="0" w:color="auto"/>
        <w:left w:val="none" w:sz="0" w:space="0" w:color="auto"/>
        <w:bottom w:val="none" w:sz="0" w:space="0" w:color="auto"/>
        <w:right w:val="none" w:sz="0" w:space="0" w:color="auto"/>
      </w:divBdr>
    </w:div>
    <w:div w:id="122385186">
      <w:bodyDiv w:val="1"/>
      <w:marLeft w:val="0"/>
      <w:marRight w:val="0"/>
      <w:marTop w:val="0"/>
      <w:marBottom w:val="0"/>
      <w:divBdr>
        <w:top w:val="none" w:sz="0" w:space="0" w:color="auto"/>
        <w:left w:val="none" w:sz="0" w:space="0" w:color="auto"/>
        <w:bottom w:val="none" w:sz="0" w:space="0" w:color="auto"/>
        <w:right w:val="none" w:sz="0" w:space="0" w:color="auto"/>
      </w:divBdr>
    </w:div>
    <w:div w:id="123237092">
      <w:bodyDiv w:val="1"/>
      <w:marLeft w:val="0"/>
      <w:marRight w:val="0"/>
      <w:marTop w:val="0"/>
      <w:marBottom w:val="0"/>
      <w:divBdr>
        <w:top w:val="none" w:sz="0" w:space="0" w:color="auto"/>
        <w:left w:val="none" w:sz="0" w:space="0" w:color="auto"/>
        <w:bottom w:val="none" w:sz="0" w:space="0" w:color="auto"/>
        <w:right w:val="none" w:sz="0" w:space="0" w:color="auto"/>
      </w:divBdr>
    </w:div>
    <w:div w:id="136075608">
      <w:bodyDiv w:val="1"/>
      <w:marLeft w:val="0"/>
      <w:marRight w:val="0"/>
      <w:marTop w:val="0"/>
      <w:marBottom w:val="0"/>
      <w:divBdr>
        <w:top w:val="none" w:sz="0" w:space="0" w:color="auto"/>
        <w:left w:val="none" w:sz="0" w:space="0" w:color="auto"/>
        <w:bottom w:val="none" w:sz="0" w:space="0" w:color="auto"/>
        <w:right w:val="none" w:sz="0" w:space="0" w:color="auto"/>
      </w:divBdr>
    </w:div>
    <w:div w:id="136655970">
      <w:bodyDiv w:val="1"/>
      <w:marLeft w:val="0"/>
      <w:marRight w:val="0"/>
      <w:marTop w:val="0"/>
      <w:marBottom w:val="0"/>
      <w:divBdr>
        <w:top w:val="none" w:sz="0" w:space="0" w:color="auto"/>
        <w:left w:val="none" w:sz="0" w:space="0" w:color="auto"/>
        <w:bottom w:val="none" w:sz="0" w:space="0" w:color="auto"/>
        <w:right w:val="none" w:sz="0" w:space="0" w:color="auto"/>
      </w:divBdr>
    </w:div>
    <w:div w:id="144469023">
      <w:bodyDiv w:val="1"/>
      <w:marLeft w:val="0"/>
      <w:marRight w:val="0"/>
      <w:marTop w:val="0"/>
      <w:marBottom w:val="0"/>
      <w:divBdr>
        <w:top w:val="none" w:sz="0" w:space="0" w:color="auto"/>
        <w:left w:val="none" w:sz="0" w:space="0" w:color="auto"/>
        <w:bottom w:val="none" w:sz="0" w:space="0" w:color="auto"/>
        <w:right w:val="none" w:sz="0" w:space="0" w:color="auto"/>
      </w:divBdr>
    </w:div>
    <w:div w:id="147291206">
      <w:bodyDiv w:val="1"/>
      <w:marLeft w:val="0"/>
      <w:marRight w:val="0"/>
      <w:marTop w:val="0"/>
      <w:marBottom w:val="0"/>
      <w:divBdr>
        <w:top w:val="none" w:sz="0" w:space="0" w:color="auto"/>
        <w:left w:val="none" w:sz="0" w:space="0" w:color="auto"/>
        <w:bottom w:val="none" w:sz="0" w:space="0" w:color="auto"/>
        <w:right w:val="none" w:sz="0" w:space="0" w:color="auto"/>
      </w:divBdr>
    </w:div>
    <w:div w:id="162665420">
      <w:bodyDiv w:val="1"/>
      <w:marLeft w:val="0"/>
      <w:marRight w:val="0"/>
      <w:marTop w:val="0"/>
      <w:marBottom w:val="0"/>
      <w:divBdr>
        <w:top w:val="none" w:sz="0" w:space="0" w:color="auto"/>
        <w:left w:val="none" w:sz="0" w:space="0" w:color="auto"/>
        <w:bottom w:val="none" w:sz="0" w:space="0" w:color="auto"/>
        <w:right w:val="none" w:sz="0" w:space="0" w:color="auto"/>
      </w:divBdr>
    </w:div>
    <w:div w:id="187647810">
      <w:bodyDiv w:val="1"/>
      <w:marLeft w:val="0"/>
      <w:marRight w:val="0"/>
      <w:marTop w:val="0"/>
      <w:marBottom w:val="0"/>
      <w:divBdr>
        <w:top w:val="none" w:sz="0" w:space="0" w:color="auto"/>
        <w:left w:val="none" w:sz="0" w:space="0" w:color="auto"/>
        <w:bottom w:val="none" w:sz="0" w:space="0" w:color="auto"/>
        <w:right w:val="none" w:sz="0" w:space="0" w:color="auto"/>
      </w:divBdr>
    </w:div>
    <w:div w:id="192379400">
      <w:bodyDiv w:val="1"/>
      <w:marLeft w:val="0"/>
      <w:marRight w:val="0"/>
      <w:marTop w:val="0"/>
      <w:marBottom w:val="0"/>
      <w:divBdr>
        <w:top w:val="none" w:sz="0" w:space="0" w:color="auto"/>
        <w:left w:val="none" w:sz="0" w:space="0" w:color="auto"/>
        <w:bottom w:val="none" w:sz="0" w:space="0" w:color="auto"/>
        <w:right w:val="none" w:sz="0" w:space="0" w:color="auto"/>
      </w:divBdr>
    </w:div>
    <w:div w:id="201525378">
      <w:bodyDiv w:val="1"/>
      <w:marLeft w:val="0"/>
      <w:marRight w:val="0"/>
      <w:marTop w:val="0"/>
      <w:marBottom w:val="0"/>
      <w:divBdr>
        <w:top w:val="none" w:sz="0" w:space="0" w:color="auto"/>
        <w:left w:val="none" w:sz="0" w:space="0" w:color="auto"/>
        <w:bottom w:val="none" w:sz="0" w:space="0" w:color="auto"/>
        <w:right w:val="none" w:sz="0" w:space="0" w:color="auto"/>
      </w:divBdr>
    </w:div>
    <w:div w:id="216670951">
      <w:bodyDiv w:val="1"/>
      <w:marLeft w:val="0"/>
      <w:marRight w:val="0"/>
      <w:marTop w:val="0"/>
      <w:marBottom w:val="0"/>
      <w:divBdr>
        <w:top w:val="none" w:sz="0" w:space="0" w:color="auto"/>
        <w:left w:val="none" w:sz="0" w:space="0" w:color="auto"/>
        <w:bottom w:val="none" w:sz="0" w:space="0" w:color="auto"/>
        <w:right w:val="none" w:sz="0" w:space="0" w:color="auto"/>
      </w:divBdr>
    </w:div>
    <w:div w:id="223489637">
      <w:bodyDiv w:val="1"/>
      <w:marLeft w:val="0"/>
      <w:marRight w:val="0"/>
      <w:marTop w:val="0"/>
      <w:marBottom w:val="0"/>
      <w:divBdr>
        <w:top w:val="none" w:sz="0" w:space="0" w:color="auto"/>
        <w:left w:val="none" w:sz="0" w:space="0" w:color="auto"/>
        <w:bottom w:val="none" w:sz="0" w:space="0" w:color="auto"/>
        <w:right w:val="none" w:sz="0" w:space="0" w:color="auto"/>
      </w:divBdr>
    </w:div>
    <w:div w:id="251624161">
      <w:bodyDiv w:val="1"/>
      <w:marLeft w:val="0"/>
      <w:marRight w:val="0"/>
      <w:marTop w:val="0"/>
      <w:marBottom w:val="0"/>
      <w:divBdr>
        <w:top w:val="none" w:sz="0" w:space="0" w:color="auto"/>
        <w:left w:val="none" w:sz="0" w:space="0" w:color="auto"/>
        <w:bottom w:val="none" w:sz="0" w:space="0" w:color="auto"/>
        <w:right w:val="none" w:sz="0" w:space="0" w:color="auto"/>
      </w:divBdr>
    </w:div>
    <w:div w:id="255484423">
      <w:bodyDiv w:val="1"/>
      <w:marLeft w:val="0"/>
      <w:marRight w:val="0"/>
      <w:marTop w:val="0"/>
      <w:marBottom w:val="0"/>
      <w:divBdr>
        <w:top w:val="none" w:sz="0" w:space="0" w:color="auto"/>
        <w:left w:val="none" w:sz="0" w:space="0" w:color="auto"/>
        <w:bottom w:val="none" w:sz="0" w:space="0" w:color="auto"/>
        <w:right w:val="none" w:sz="0" w:space="0" w:color="auto"/>
      </w:divBdr>
    </w:div>
    <w:div w:id="281765851">
      <w:bodyDiv w:val="1"/>
      <w:marLeft w:val="0"/>
      <w:marRight w:val="0"/>
      <w:marTop w:val="0"/>
      <w:marBottom w:val="0"/>
      <w:divBdr>
        <w:top w:val="none" w:sz="0" w:space="0" w:color="auto"/>
        <w:left w:val="none" w:sz="0" w:space="0" w:color="auto"/>
        <w:bottom w:val="none" w:sz="0" w:space="0" w:color="auto"/>
        <w:right w:val="none" w:sz="0" w:space="0" w:color="auto"/>
      </w:divBdr>
    </w:div>
    <w:div w:id="306714742">
      <w:bodyDiv w:val="1"/>
      <w:marLeft w:val="0"/>
      <w:marRight w:val="0"/>
      <w:marTop w:val="0"/>
      <w:marBottom w:val="0"/>
      <w:divBdr>
        <w:top w:val="none" w:sz="0" w:space="0" w:color="auto"/>
        <w:left w:val="none" w:sz="0" w:space="0" w:color="auto"/>
        <w:bottom w:val="none" w:sz="0" w:space="0" w:color="auto"/>
        <w:right w:val="none" w:sz="0" w:space="0" w:color="auto"/>
      </w:divBdr>
    </w:div>
    <w:div w:id="320159201">
      <w:bodyDiv w:val="1"/>
      <w:marLeft w:val="0"/>
      <w:marRight w:val="0"/>
      <w:marTop w:val="0"/>
      <w:marBottom w:val="0"/>
      <w:divBdr>
        <w:top w:val="none" w:sz="0" w:space="0" w:color="auto"/>
        <w:left w:val="none" w:sz="0" w:space="0" w:color="auto"/>
        <w:bottom w:val="none" w:sz="0" w:space="0" w:color="auto"/>
        <w:right w:val="none" w:sz="0" w:space="0" w:color="auto"/>
      </w:divBdr>
    </w:div>
    <w:div w:id="324211533">
      <w:bodyDiv w:val="1"/>
      <w:marLeft w:val="0"/>
      <w:marRight w:val="0"/>
      <w:marTop w:val="0"/>
      <w:marBottom w:val="0"/>
      <w:divBdr>
        <w:top w:val="none" w:sz="0" w:space="0" w:color="auto"/>
        <w:left w:val="none" w:sz="0" w:space="0" w:color="auto"/>
        <w:bottom w:val="none" w:sz="0" w:space="0" w:color="auto"/>
        <w:right w:val="none" w:sz="0" w:space="0" w:color="auto"/>
      </w:divBdr>
    </w:div>
    <w:div w:id="332295802">
      <w:bodyDiv w:val="1"/>
      <w:marLeft w:val="0"/>
      <w:marRight w:val="0"/>
      <w:marTop w:val="0"/>
      <w:marBottom w:val="0"/>
      <w:divBdr>
        <w:top w:val="none" w:sz="0" w:space="0" w:color="auto"/>
        <w:left w:val="none" w:sz="0" w:space="0" w:color="auto"/>
        <w:bottom w:val="none" w:sz="0" w:space="0" w:color="auto"/>
        <w:right w:val="none" w:sz="0" w:space="0" w:color="auto"/>
      </w:divBdr>
    </w:div>
    <w:div w:id="349533024">
      <w:bodyDiv w:val="1"/>
      <w:marLeft w:val="0"/>
      <w:marRight w:val="0"/>
      <w:marTop w:val="0"/>
      <w:marBottom w:val="0"/>
      <w:divBdr>
        <w:top w:val="none" w:sz="0" w:space="0" w:color="auto"/>
        <w:left w:val="none" w:sz="0" w:space="0" w:color="auto"/>
        <w:bottom w:val="none" w:sz="0" w:space="0" w:color="auto"/>
        <w:right w:val="none" w:sz="0" w:space="0" w:color="auto"/>
      </w:divBdr>
    </w:div>
    <w:div w:id="355230742">
      <w:bodyDiv w:val="1"/>
      <w:marLeft w:val="0"/>
      <w:marRight w:val="0"/>
      <w:marTop w:val="0"/>
      <w:marBottom w:val="0"/>
      <w:divBdr>
        <w:top w:val="none" w:sz="0" w:space="0" w:color="auto"/>
        <w:left w:val="none" w:sz="0" w:space="0" w:color="auto"/>
        <w:bottom w:val="none" w:sz="0" w:space="0" w:color="auto"/>
        <w:right w:val="none" w:sz="0" w:space="0" w:color="auto"/>
      </w:divBdr>
    </w:div>
    <w:div w:id="363093164">
      <w:bodyDiv w:val="1"/>
      <w:marLeft w:val="0"/>
      <w:marRight w:val="0"/>
      <w:marTop w:val="0"/>
      <w:marBottom w:val="0"/>
      <w:divBdr>
        <w:top w:val="none" w:sz="0" w:space="0" w:color="auto"/>
        <w:left w:val="none" w:sz="0" w:space="0" w:color="auto"/>
        <w:bottom w:val="none" w:sz="0" w:space="0" w:color="auto"/>
        <w:right w:val="none" w:sz="0" w:space="0" w:color="auto"/>
      </w:divBdr>
    </w:div>
    <w:div w:id="369574668">
      <w:bodyDiv w:val="1"/>
      <w:marLeft w:val="0"/>
      <w:marRight w:val="0"/>
      <w:marTop w:val="0"/>
      <w:marBottom w:val="0"/>
      <w:divBdr>
        <w:top w:val="none" w:sz="0" w:space="0" w:color="auto"/>
        <w:left w:val="none" w:sz="0" w:space="0" w:color="auto"/>
        <w:bottom w:val="none" w:sz="0" w:space="0" w:color="auto"/>
        <w:right w:val="none" w:sz="0" w:space="0" w:color="auto"/>
      </w:divBdr>
    </w:div>
    <w:div w:id="398987100">
      <w:bodyDiv w:val="1"/>
      <w:marLeft w:val="0"/>
      <w:marRight w:val="0"/>
      <w:marTop w:val="0"/>
      <w:marBottom w:val="0"/>
      <w:divBdr>
        <w:top w:val="none" w:sz="0" w:space="0" w:color="auto"/>
        <w:left w:val="none" w:sz="0" w:space="0" w:color="auto"/>
        <w:bottom w:val="none" w:sz="0" w:space="0" w:color="auto"/>
        <w:right w:val="none" w:sz="0" w:space="0" w:color="auto"/>
      </w:divBdr>
    </w:div>
    <w:div w:id="402145951">
      <w:bodyDiv w:val="1"/>
      <w:marLeft w:val="0"/>
      <w:marRight w:val="0"/>
      <w:marTop w:val="0"/>
      <w:marBottom w:val="0"/>
      <w:divBdr>
        <w:top w:val="none" w:sz="0" w:space="0" w:color="auto"/>
        <w:left w:val="none" w:sz="0" w:space="0" w:color="auto"/>
        <w:bottom w:val="none" w:sz="0" w:space="0" w:color="auto"/>
        <w:right w:val="none" w:sz="0" w:space="0" w:color="auto"/>
      </w:divBdr>
    </w:div>
    <w:div w:id="407579917">
      <w:bodyDiv w:val="1"/>
      <w:marLeft w:val="0"/>
      <w:marRight w:val="0"/>
      <w:marTop w:val="0"/>
      <w:marBottom w:val="0"/>
      <w:divBdr>
        <w:top w:val="none" w:sz="0" w:space="0" w:color="auto"/>
        <w:left w:val="none" w:sz="0" w:space="0" w:color="auto"/>
        <w:bottom w:val="none" w:sz="0" w:space="0" w:color="auto"/>
        <w:right w:val="none" w:sz="0" w:space="0" w:color="auto"/>
      </w:divBdr>
    </w:div>
    <w:div w:id="411975013">
      <w:bodyDiv w:val="1"/>
      <w:marLeft w:val="0"/>
      <w:marRight w:val="0"/>
      <w:marTop w:val="0"/>
      <w:marBottom w:val="0"/>
      <w:divBdr>
        <w:top w:val="none" w:sz="0" w:space="0" w:color="auto"/>
        <w:left w:val="none" w:sz="0" w:space="0" w:color="auto"/>
        <w:bottom w:val="none" w:sz="0" w:space="0" w:color="auto"/>
        <w:right w:val="none" w:sz="0" w:space="0" w:color="auto"/>
      </w:divBdr>
    </w:div>
    <w:div w:id="411977403">
      <w:bodyDiv w:val="1"/>
      <w:marLeft w:val="0"/>
      <w:marRight w:val="0"/>
      <w:marTop w:val="0"/>
      <w:marBottom w:val="0"/>
      <w:divBdr>
        <w:top w:val="none" w:sz="0" w:space="0" w:color="auto"/>
        <w:left w:val="none" w:sz="0" w:space="0" w:color="auto"/>
        <w:bottom w:val="none" w:sz="0" w:space="0" w:color="auto"/>
        <w:right w:val="none" w:sz="0" w:space="0" w:color="auto"/>
      </w:divBdr>
    </w:div>
    <w:div w:id="417755794">
      <w:bodyDiv w:val="1"/>
      <w:marLeft w:val="0"/>
      <w:marRight w:val="0"/>
      <w:marTop w:val="0"/>
      <w:marBottom w:val="0"/>
      <w:divBdr>
        <w:top w:val="none" w:sz="0" w:space="0" w:color="auto"/>
        <w:left w:val="none" w:sz="0" w:space="0" w:color="auto"/>
        <w:bottom w:val="none" w:sz="0" w:space="0" w:color="auto"/>
        <w:right w:val="none" w:sz="0" w:space="0" w:color="auto"/>
      </w:divBdr>
    </w:div>
    <w:div w:id="448010311">
      <w:bodyDiv w:val="1"/>
      <w:marLeft w:val="0"/>
      <w:marRight w:val="0"/>
      <w:marTop w:val="0"/>
      <w:marBottom w:val="0"/>
      <w:divBdr>
        <w:top w:val="none" w:sz="0" w:space="0" w:color="auto"/>
        <w:left w:val="none" w:sz="0" w:space="0" w:color="auto"/>
        <w:bottom w:val="none" w:sz="0" w:space="0" w:color="auto"/>
        <w:right w:val="none" w:sz="0" w:space="0" w:color="auto"/>
      </w:divBdr>
    </w:div>
    <w:div w:id="449397352">
      <w:bodyDiv w:val="1"/>
      <w:marLeft w:val="0"/>
      <w:marRight w:val="0"/>
      <w:marTop w:val="0"/>
      <w:marBottom w:val="0"/>
      <w:divBdr>
        <w:top w:val="none" w:sz="0" w:space="0" w:color="auto"/>
        <w:left w:val="none" w:sz="0" w:space="0" w:color="auto"/>
        <w:bottom w:val="none" w:sz="0" w:space="0" w:color="auto"/>
        <w:right w:val="none" w:sz="0" w:space="0" w:color="auto"/>
      </w:divBdr>
    </w:div>
    <w:div w:id="452557538">
      <w:bodyDiv w:val="1"/>
      <w:marLeft w:val="0"/>
      <w:marRight w:val="0"/>
      <w:marTop w:val="0"/>
      <w:marBottom w:val="0"/>
      <w:divBdr>
        <w:top w:val="none" w:sz="0" w:space="0" w:color="auto"/>
        <w:left w:val="none" w:sz="0" w:space="0" w:color="auto"/>
        <w:bottom w:val="none" w:sz="0" w:space="0" w:color="auto"/>
        <w:right w:val="none" w:sz="0" w:space="0" w:color="auto"/>
      </w:divBdr>
    </w:div>
    <w:div w:id="458303765">
      <w:bodyDiv w:val="1"/>
      <w:marLeft w:val="0"/>
      <w:marRight w:val="0"/>
      <w:marTop w:val="0"/>
      <w:marBottom w:val="0"/>
      <w:divBdr>
        <w:top w:val="none" w:sz="0" w:space="0" w:color="auto"/>
        <w:left w:val="none" w:sz="0" w:space="0" w:color="auto"/>
        <w:bottom w:val="none" w:sz="0" w:space="0" w:color="auto"/>
        <w:right w:val="none" w:sz="0" w:space="0" w:color="auto"/>
      </w:divBdr>
    </w:div>
    <w:div w:id="466512017">
      <w:bodyDiv w:val="1"/>
      <w:marLeft w:val="0"/>
      <w:marRight w:val="0"/>
      <w:marTop w:val="0"/>
      <w:marBottom w:val="0"/>
      <w:divBdr>
        <w:top w:val="none" w:sz="0" w:space="0" w:color="auto"/>
        <w:left w:val="none" w:sz="0" w:space="0" w:color="auto"/>
        <w:bottom w:val="none" w:sz="0" w:space="0" w:color="auto"/>
        <w:right w:val="none" w:sz="0" w:space="0" w:color="auto"/>
      </w:divBdr>
    </w:div>
    <w:div w:id="477694474">
      <w:bodyDiv w:val="1"/>
      <w:marLeft w:val="0"/>
      <w:marRight w:val="0"/>
      <w:marTop w:val="0"/>
      <w:marBottom w:val="0"/>
      <w:divBdr>
        <w:top w:val="none" w:sz="0" w:space="0" w:color="auto"/>
        <w:left w:val="none" w:sz="0" w:space="0" w:color="auto"/>
        <w:bottom w:val="none" w:sz="0" w:space="0" w:color="auto"/>
        <w:right w:val="none" w:sz="0" w:space="0" w:color="auto"/>
      </w:divBdr>
    </w:div>
    <w:div w:id="480969155">
      <w:bodyDiv w:val="1"/>
      <w:marLeft w:val="0"/>
      <w:marRight w:val="0"/>
      <w:marTop w:val="0"/>
      <w:marBottom w:val="0"/>
      <w:divBdr>
        <w:top w:val="none" w:sz="0" w:space="0" w:color="auto"/>
        <w:left w:val="none" w:sz="0" w:space="0" w:color="auto"/>
        <w:bottom w:val="none" w:sz="0" w:space="0" w:color="auto"/>
        <w:right w:val="none" w:sz="0" w:space="0" w:color="auto"/>
      </w:divBdr>
    </w:div>
    <w:div w:id="501776263">
      <w:bodyDiv w:val="1"/>
      <w:marLeft w:val="0"/>
      <w:marRight w:val="0"/>
      <w:marTop w:val="0"/>
      <w:marBottom w:val="0"/>
      <w:divBdr>
        <w:top w:val="none" w:sz="0" w:space="0" w:color="auto"/>
        <w:left w:val="none" w:sz="0" w:space="0" w:color="auto"/>
        <w:bottom w:val="none" w:sz="0" w:space="0" w:color="auto"/>
        <w:right w:val="none" w:sz="0" w:space="0" w:color="auto"/>
      </w:divBdr>
    </w:div>
    <w:div w:id="503865814">
      <w:bodyDiv w:val="1"/>
      <w:marLeft w:val="0"/>
      <w:marRight w:val="0"/>
      <w:marTop w:val="0"/>
      <w:marBottom w:val="0"/>
      <w:divBdr>
        <w:top w:val="none" w:sz="0" w:space="0" w:color="auto"/>
        <w:left w:val="none" w:sz="0" w:space="0" w:color="auto"/>
        <w:bottom w:val="none" w:sz="0" w:space="0" w:color="auto"/>
        <w:right w:val="none" w:sz="0" w:space="0" w:color="auto"/>
      </w:divBdr>
    </w:div>
    <w:div w:id="514350227">
      <w:bodyDiv w:val="1"/>
      <w:marLeft w:val="0"/>
      <w:marRight w:val="0"/>
      <w:marTop w:val="0"/>
      <w:marBottom w:val="0"/>
      <w:divBdr>
        <w:top w:val="none" w:sz="0" w:space="0" w:color="auto"/>
        <w:left w:val="none" w:sz="0" w:space="0" w:color="auto"/>
        <w:bottom w:val="none" w:sz="0" w:space="0" w:color="auto"/>
        <w:right w:val="none" w:sz="0" w:space="0" w:color="auto"/>
      </w:divBdr>
    </w:div>
    <w:div w:id="525796829">
      <w:bodyDiv w:val="1"/>
      <w:marLeft w:val="0"/>
      <w:marRight w:val="0"/>
      <w:marTop w:val="0"/>
      <w:marBottom w:val="0"/>
      <w:divBdr>
        <w:top w:val="none" w:sz="0" w:space="0" w:color="auto"/>
        <w:left w:val="none" w:sz="0" w:space="0" w:color="auto"/>
        <w:bottom w:val="none" w:sz="0" w:space="0" w:color="auto"/>
        <w:right w:val="none" w:sz="0" w:space="0" w:color="auto"/>
      </w:divBdr>
    </w:div>
    <w:div w:id="528689420">
      <w:bodyDiv w:val="1"/>
      <w:marLeft w:val="0"/>
      <w:marRight w:val="0"/>
      <w:marTop w:val="0"/>
      <w:marBottom w:val="0"/>
      <w:divBdr>
        <w:top w:val="none" w:sz="0" w:space="0" w:color="auto"/>
        <w:left w:val="none" w:sz="0" w:space="0" w:color="auto"/>
        <w:bottom w:val="none" w:sz="0" w:space="0" w:color="auto"/>
        <w:right w:val="none" w:sz="0" w:space="0" w:color="auto"/>
      </w:divBdr>
    </w:div>
    <w:div w:id="534319155">
      <w:bodyDiv w:val="1"/>
      <w:marLeft w:val="0"/>
      <w:marRight w:val="0"/>
      <w:marTop w:val="0"/>
      <w:marBottom w:val="0"/>
      <w:divBdr>
        <w:top w:val="none" w:sz="0" w:space="0" w:color="auto"/>
        <w:left w:val="none" w:sz="0" w:space="0" w:color="auto"/>
        <w:bottom w:val="none" w:sz="0" w:space="0" w:color="auto"/>
        <w:right w:val="none" w:sz="0" w:space="0" w:color="auto"/>
      </w:divBdr>
    </w:div>
    <w:div w:id="536353507">
      <w:bodyDiv w:val="1"/>
      <w:marLeft w:val="0"/>
      <w:marRight w:val="0"/>
      <w:marTop w:val="0"/>
      <w:marBottom w:val="0"/>
      <w:divBdr>
        <w:top w:val="none" w:sz="0" w:space="0" w:color="auto"/>
        <w:left w:val="none" w:sz="0" w:space="0" w:color="auto"/>
        <w:bottom w:val="none" w:sz="0" w:space="0" w:color="auto"/>
        <w:right w:val="none" w:sz="0" w:space="0" w:color="auto"/>
      </w:divBdr>
    </w:div>
    <w:div w:id="537357596">
      <w:bodyDiv w:val="1"/>
      <w:marLeft w:val="0"/>
      <w:marRight w:val="0"/>
      <w:marTop w:val="0"/>
      <w:marBottom w:val="0"/>
      <w:divBdr>
        <w:top w:val="none" w:sz="0" w:space="0" w:color="auto"/>
        <w:left w:val="none" w:sz="0" w:space="0" w:color="auto"/>
        <w:bottom w:val="none" w:sz="0" w:space="0" w:color="auto"/>
        <w:right w:val="none" w:sz="0" w:space="0" w:color="auto"/>
      </w:divBdr>
    </w:div>
    <w:div w:id="538737858">
      <w:bodyDiv w:val="1"/>
      <w:marLeft w:val="0"/>
      <w:marRight w:val="0"/>
      <w:marTop w:val="0"/>
      <w:marBottom w:val="0"/>
      <w:divBdr>
        <w:top w:val="none" w:sz="0" w:space="0" w:color="auto"/>
        <w:left w:val="none" w:sz="0" w:space="0" w:color="auto"/>
        <w:bottom w:val="none" w:sz="0" w:space="0" w:color="auto"/>
        <w:right w:val="none" w:sz="0" w:space="0" w:color="auto"/>
      </w:divBdr>
    </w:div>
    <w:div w:id="548538883">
      <w:bodyDiv w:val="1"/>
      <w:marLeft w:val="0"/>
      <w:marRight w:val="0"/>
      <w:marTop w:val="0"/>
      <w:marBottom w:val="0"/>
      <w:divBdr>
        <w:top w:val="none" w:sz="0" w:space="0" w:color="auto"/>
        <w:left w:val="none" w:sz="0" w:space="0" w:color="auto"/>
        <w:bottom w:val="none" w:sz="0" w:space="0" w:color="auto"/>
        <w:right w:val="none" w:sz="0" w:space="0" w:color="auto"/>
      </w:divBdr>
      <w:divsChild>
        <w:div w:id="34236521">
          <w:marLeft w:val="0"/>
          <w:marRight w:val="0"/>
          <w:marTop w:val="0"/>
          <w:marBottom w:val="0"/>
          <w:divBdr>
            <w:top w:val="none" w:sz="0" w:space="0" w:color="auto"/>
            <w:left w:val="none" w:sz="0" w:space="0" w:color="auto"/>
            <w:bottom w:val="none" w:sz="0" w:space="0" w:color="auto"/>
            <w:right w:val="none" w:sz="0" w:space="0" w:color="auto"/>
          </w:divBdr>
        </w:div>
      </w:divsChild>
    </w:div>
    <w:div w:id="557397574">
      <w:bodyDiv w:val="1"/>
      <w:marLeft w:val="0"/>
      <w:marRight w:val="0"/>
      <w:marTop w:val="0"/>
      <w:marBottom w:val="0"/>
      <w:divBdr>
        <w:top w:val="none" w:sz="0" w:space="0" w:color="auto"/>
        <w:left w:val="none" w:sz="0" w:space="0" w:color="auto"/>
        <w:bottom w:val="none" w:sz="0" w:space="0" w:color="auto"/>
        <w:right w:val="none" w:sz="0" w:space="0" w:color="auto"/>
      </w:divBdr>
    </w:div>
    <w:div w:id="569509992">
      <w:bodyDiv w:val="1"/>
      <w:marLeft w:val="0"/>
      <w:marRight w:val="0"/>
      <w:marTop w:val="0"/>
      <w:marBottom w:val="0"/>
      <w:divBdr>
        <w:top w:val="none" w:sz="0" w:space="0" w:color="auto"/>
        <w:left w:val="none" w:sz="0" w:space="0" w:color="auto"/>
        <w:bottom w:val="none" w:sz="0" w:space="0" w:color="auto"/>
        <w:right w:val="none" w:sz="0" w:space="0" w:color="auto"/>
      </w:divBdr>
      <w:divsChild>
        <w:div w:id="25715900">
          <w:marLeft w:val="0"/>
          <w:marRight w:val="0"/>
          <w:marTop w:val="0"/>
          <w:marBottom w:val="0"/>
          <w:divBdr>
            <w:top w:val="none" w:sz="0" w:space="0" w:color="auto"/>
            <w:left w:val="none" w:sz="0" w:space="0" w:color="auto"/>
            <w:bottom w:val="none" w:sz="0" w:space="0" w:color="auto"/>
            <w:right w:val="none" w:sz="0" w:space="0" w:color="auto"/>
          </w:divBdr>
        </w:div>
        <w:div w:id="229848391">
          <w:marLeft w:val="0"/>
          <w:marRight w:val="0"/>
          <w:marTop w:val="0"/>
          <w:marBottom w:val="0"/>
          <w:divBdr>
            <w:top w:val="none" w:sz="0" w:space="0" w:color="auto"/>
            <w:left w:val="none" w:sz="0" w:space="0" w:color="auto"/>
            <w:bottom w:val="none" w:sz="0" w:space="0" w:color="auto"/>
            <w:right w:val="none" w:sz="0" w:space="0" w:color="auto"/>
          </w:divBdr>
        </w:div>
        <w:div w:id="240021728">
          <w:marLeft w:val="0"/>
          <w:marRight w:val="0"/>
          <w:marTop w:val="0"/>
          <w:marBottom w:val="0"/>
          <w:divBdr>
            <w:top w:val="none" w:sz="0" w:space="0" w:color="auto"/>
            <w:left w:val="none" w:sz="0" w:space="0" w:color="auto"/>
            <w:bottom w:val="none" w:sz="0" w:space="0" w:color="auto"/>
            <w:right w:val="none" w:sz="0" w:space="0" w:color="auto"/>
          </w:divBdr>
        </w:div>
        <w:div w:id="295916942">
          <w:marLeft w:val="0"/>
          <w:marRight w:val="0"/>
          <w:marTop w:val="0"/>
          <w:marBottom w:val="0"/>
          <w:divBdr>
            <w:top w:val="none" w:sz="0" w:space="0" w:color="auto"/>
            <w:left w:val="none" w:sz="0" w:space="0" w:color="auto"/>
            <w:bottom w:val="none" w:sz="0" w:space="0" w:color="auto"/>
            <w:right w:val="none" w:sz="0" w:space="0" w:color="auto"/>
          </w:divBdr>
          <w:divsChild>
            <w:div w:id="1562323184">
              <w:marLeft w:val="-75"/>
              <w:marRight w:val="0"/>
              <w:marTop w:val="30"/>
              <w:marBottom w:val="30"/>
              <w:divBdr>
                <w:top w:val="none" w:sz="0" w:space="0" w:color="auto"/>
                <w:left w:val="none" w:sz="0" w:space="0" w:color="auto"/>
                <w:bottom w:val="none" w:sz="0" w:space="0" w:color="auto"/>
                <w:right w:val="none" w:sz="0" w:space="0" w:color="auto"/>
              </w:divBdr>
              <w:divsChild>
                <w:div w:id="191303245">
                  <w:marLeft w:val="0"/>
                  <w:marRight w:val="0"/>
                  <w:marTop w:val="0"/>
                  <w:marBottom w:val="0"/>
                  <w:divBdr>
                    <w:top w:val="none" w:sz="0" w:space="0" w:color="auto"/>
                    <w:left w:val="none" w:sz="0" w:space="0" w:color="auto"/>
                    <w:bottom w:val="none" w:sz="0" w:space="0" w:color="auto"/>
                    <w:right w:val="none" w:sz="0" w:space="0" w:color="auto"/>
                  </w:divBdr>
                  <w:divsChild>
                    <w:div w:id="1143232281">
                      <w:marLeft w:val="0"/>
                      <w:marRight w:val="0"/>
                      <w:marTop w:val="0"/>
                      <w:marBottom w:val="0"/>
                      <w:divBdr>
                        <w:top w:val="none" w:sz="0" w:space="0" w:color="auto"/>
                        <w:left w:val="none" w:sz="0" w:space="0" w:color="auto"/>
                        <w:bottom w:val="none" w:sz="0" w:space="0" w:color="auto"/>
                        <w:right w:val="none" w:sz="0" w:space="0" w:color="auto"/>
                      </w:divBdr>
                    </w:div>
                  </w:divsChild>
                </w:div>
                <w:div w:id="349528077">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386799795">
                  <w:marLeft w:val="0"/>
                  <w:marRight w:val="0"/>
                  <w:marTop w:val="0"/>
                  <w:marBottom w:val="0"/>
                  <w:divBdr>
                    <w:top w:val="none" w:sz="0" w:space="0" w:color="auto"/>
                    <w:left w:val="none" w:sz="0" w:space="0" w:color="auto"/>
                    <w:bottom w:val="none" w:sz="0" w:space="0" w:color="auto"/>
                    <w:right w:val="none" w:sz="0" w:space="0" w:color="auto"/>
                  </w:divBdr>
                  <w:divsChild>
                    <w:div w:id="594363621">
                      <w:marLeft w:val="0"/>
                      <w:marRight w:val="0"/>
                      <w:marTop w:val="0"/>
                      <w:marBottom w:val="0"/>
                      <w:divBdr>
                        <w:top w:val="none" w:sz="0" w:space="0" w:color="auto"/>
                        <w:left w:val="none" w:sz="0" w:space="0" w:color="auto"/>
                        <w:bottom w:val="none" w:sz="0" w:space="0" w:color="auto"/>
                        <w:right w:val="none" w:sz="0" w:space="0" w:color="auto"/>
                      </w:divBdr>
                    </w:div>
                  </w:divsChild>
                </w:div>
                <w:div w:id="697006845">
                  <w:marLeft w:val="0"/>
                  <w:marRight w:val="0"/>
                  <w:marTop w:val="0"/>
                  <w:marBottom w:val="0"/>
                  <w:divBdr>
                    <w:top w:val="none" w:sz="0" w:space="0" w:color="auto"/>
                    <w:left w:val="none" w:sz="0" w:space="0" w:color="auto"/>
                    <w:bottom w:val="none" w:sz="0" w:space="0" w:color="auto"/>
                    <w:right w:val="none" w:sz="0" w:space="0" w:color="auto"/>
                  </w:divBdr>
                  <w:divsChild>
                    <w:div w:id="328876441">
                      <w:marLeft w:val="0"/>
                      <w:marRight w:val="0"/>
                      <w:marTop w:val="0"/>
                      <w:marBottom w:val="0"/>
                      <w:divBdr>
                        <w:top w:val="none" w:sz="0" w:space="0" w:color="auto"/>
                        <w:left w:val="none" w:sz="0" w:space="0" w:color="auto"/>
                        <w:bottom w:val="none" w:sz="0" w:space="0" w:color="auto"/>
                        <w:right w:val="none" w:sz="0" w:space="0" w:color="auto"/>
                      </w:divBdr>
                    </w:div>
                  </w:divsChild>
                </w:div>
                <w:div w:id="744844234">
                  <w:marLeft w:val="0"/>
                  <w:marRight w:val="0"/>
                  <w:marTop w:val="0"/>
                  <w:marBottom w:val="0"/>
                  <w:divBdr>
                    <w:top w:val="none" w:sz="0" w:space="0" w:color="auto"/>
                    <w:left w:val="none" w:sz="0" w:space="0" w:color="auto"/>
                    <w:bottom w:val="none" w:sz="0" w:space="0" w:color="auto"/>
                    <w:right w:val="none" w:sz="0" w:space="0" w:color="auto"/>
                  </w:divBdr>
                  <w:divsChild>
                    <w:div w:id="1882472443">
                      <w:marLeft w:val="0"/>
                      <w:marRight w:val="0"/>
                      <w:marTop w:val="0"/>
                      <w:marBottom w:val="0"/>
                      <w:divBdr>
                        <w:top w:val="none" w:sz="0" w:space="0" w:color="auto"/>
                        <w:left w:val="none" w:sz="0" w:space="0" w:color="auto"/>
                        <w:bottom w:val="none" w:sz="0" w:space="0" w:color="auto"/>
                        <w:right w:val="none" w:sz="0" w:space="0" w:color="auto"/>
                      </w:divBdr>
                    </w:div>
                  </w:divsChild>
                </w:div>
                <w:div w:id="920992960">
                  <w:marLeft w:val="0"/>
                  <w:marRight w:val="0"/>
                  <w:marTop w:val="0"/>
                  <w:marBottom w:val="0"/>
                  <w:divBdr>
                    <w:top w:val="none" w:sz="0" w:space="0" w:color="auto"/>
                    <w:left w:val="none" w:sz="0" w:space="0" w:color="auto"/>
                    <w:bottom w:val="none" w:sz="0" w:space="0" w:color="auto"/>
                    <w:right w:val="none" w:sz="0" w:space="0" w:color="auto"/>
                  </w:divBdr>
                  <w:divsChild>
                    <w:div w:id="1117989919">
                      <w:marLeft w:val="0"/>
                      <w:marRight w:val="0"/>
                      <w:marTop w:val="0"/>
                      <w:marBottom w:val="0"/>
                      <w:divBdr>
                        <w:top w:val="none" w:sz="0" w:space="0" w:color="auto"/>
                        <w:left w:val="none" w:sz="0" w:space="0" w:color="auto"/>
                        <w:bottom w:val="none" w:sz="0" w:space="0" w:color="auto"/>
                        <w:right w:val="none" w:sz="0" w:space="0" w:color="auto"/>
                      </w:divBdr>
                    </w:div>
                  </w:divsChild>
                </w:div>
                <w:div w:id="938679152">
                  <w:marLeft w:val="0"/>
                  <w:marRight w:val="0"/>
                  <w:marTop w:val="0"/>
                  <w:marBottom w:val="0"/>
                  <w:divBdr>
                    <w:top w:val="none" w:sz="0" w:space="0" w:color="auto"/>
                    <w:left w:val="none" w:sz="0" w:space="0" w:color="auto"/>
                    <w:bottom w:val="none" w:sz="0" w:space="0" w:color="auto"/>
                    <w:right w:val="none" w:sz="0" w:space="0" w:color="auto"/>
                  </w:divBdr>
                  <w:divsChild>
                    <w:div w:id="107436510">
                      <w:marLeft w:val="0"/>
                      <w:marRight w:val="0"/>
                      <w:marTop w:val="0"/>
                      <w:marBottom w:val="0"/>
                      <w:divBdr>
                        <w:top w:val="none" w:sz="0" w:space="0" w:color="auto"/>
                        <w:left w:val="none" w:sz="0" w:space="0" w:color="auto"/>
                        <w:bottom w:val="none" w:sz="0" w:space="0" w:color="auto"/>
                        <w:right w:val="none" w:sz="0" w:space="0" w:color="auto"/>
                      </w:divBdr>
                    </w:div>
                  </w:divsChild>
                </w:div>
                <w:div w:id="939677669">
                  <w:marLeft w:val="0"/>
                  <w:marRight w:val="0"/>
                  <w:marTop w:val="0"/>
                  <w:marBottom w:val="0"/>
                  <w:divBdr>
                    <w:top w:val="none" w:sz="0" w:space="0" w:color="auto"/>
                    <w:left w:val="none" w:sz="0" w:space="0" w:color="auto"/>
                    <w:bottom w:val="none" w:sz="0" w:space="0" w:color="auto"/>
                    <w:right w:val="none" w:sz="0" w:space="0" w:color="auto"/>
                  </w:divBdr>
                  <w:divsChild>
                    <w:div w:id="1861167378">
                      <w:marLeft w:val="0"/>
                      <w:marRight w:val="0"/>
                      <w:marTop w:val="0"/>
                      <w:marBottom w:val="0"/>
                      <w:divBdr>
                        <w:top w:val="none" w:sz="0" w:space="0" w:color="auto"/>
                        <w:left w:val="none" w:sz="0" w:space="0" w:color="auto"/>
                        <w:bottom w:val="none" w:sz="0" w:space="0" w:color="auto"/>
                        <w:right w:val="none" w:sz="0" w:space="0" w:color="auto"/>
                      </w:divBdr>
                    </w:div>
                  </w:divsChild>
                </w:div>
                <w:div w:id="941373944">
                  <w:marLeft w:val="0"/>
                  <w:marRight w:val="0"/>
                  <w:marTop w:val="0"/>
                  <w:marBottom w:val="0"/>
                  <w:divBdr>
                    <w:top w:val="none" w:sz="0" w:space="0" w:color="auto"/>
                    <w:left w:val="none" w:sz="0" w:space="0" w:color="auto"/>
                    <w:bottom w:val="none" w:sz="0" w:space="0" w:color="auto"/>
                    <w:right w:val="none" w:sz="0" w:space="0" w:color="auto"/>
                  </w:divBdr>
                  <w:divsChild>
                    <w:div w:id="1465393249">
                      <w:marLeft w:val="0"/>
                      <w:marRight w:val="0"/>
                      <w:marTop w:val="0"/>
                      <w:marBottom w:val="0"/>
                      <w:divBdr>
                        <w:top w:val="none" w:sz="0" w:space="0" w:color="auto"/>
                        <w:left w:val="none" w:sz="0" w:space="0" w:color="auto"/>
                        <w:bottom w:val="none" w:sz="0" w:space="0" w:color="auto"/>
                        <w:right w:val="none" w:sz="0" w:space="0" w:color="auto"/>
                      </w:divBdr>
                    </w:div>
                  </w:divsChild>
                </w:div>
                <w:div w:id="1044449900">
                  <w:marLeft w:val="0"/>
                  <w:marRight w:val="0"/>
                  <w:marTop w:val="0"/>
                  <w:marBottom w:val="0"/>
                  <w:divBdr>
                    <w:top w:val="none" w:sz="0" w:space="0" w:color="auto"/>
                    <w:left w:val="none" w:sz="0" w:space="0" w:color="auto"/>
                    <w:bottom w:val="none" w:sz="0" w:space="0" w:color="auto"/>
                    <w:right w:val="none" w:sz="0" w:space="0" w:color="auto"/>
                  </w:divBdr>
                  <w:divsChild>
                    <w:div w:id="66078096">
                      <w:marLeft w:val="0"/>
                      <w:marRight w:val="0"/>
                      <w:marTop w:val="0"/>
                      <w:marBottom w:val="0"/>
                      <w:divBdr>
                        <w:top w:val="none" w:sz="0" w:space="0" w:color="auto"/>
                        <w:left w:val="none" w:sz="0" w:space="0" w:color="auto"/>
                        <w:bottom w:val="none" w:sz="0" w:space="0" w:color="auto"/>
                        <w:right w:val="none" w:sz="0" w:space="0" w:color="auto"/>
                      </w:divBdr>
                    </w:div>
                  </w:divsChild>
                </w:div>
                <w:div w:id="1063217787">
                  <w:marLeft w:val="0"/>
                  <w:marRight w:val="0"/>
                  <w:marTop w:val="0"/>
                  <w:marBottom w:val="0"/>
                  <w:divBdr>
                    <w:top w:val="none" w:sz="0" w:space="0" w:color="auto"/>
                    <w:left w:val="none" w:sz="0" w:space="0" w:color="auto"/>
                    <w:bottom w:val="none" w:sz="0" w:space="0" w:color="auto"/>
                    <w:right w:val="none" w:sz="0" w:space="0" w:color="auto"/>
                  </w:divBdr>
                  <w:divsChild>
                    <w:div w:id="2129230134">
                      <w:marLeft w:val="0"/>
                      <w:marRight w:val="0"/>
                      <w:marTop w:val="0"/>
                      <w:marBottom w:val="0"/>
                      <w:divBdr>
                        <w:top w:val="none" w:sz="0" w:space="0" w:color="auto"/>
                        <w:left w:val="none" w:sz="0" w:space="0" w:color="auto"/>
                        <w:bottom w:val="none" w:sz="0" w:space="0" w:color="auto"/>
                        <w:right w:val="none" w:sz="0" w:space="0" w:color="auto"/>
                      </w:divBdr>
                    </w:div>
                  </w:divsChild>
                </w:div>
                <w:div w:id="1125465725">
                  <w:marLeft w:val="0"/>
                  <w:marRight w:val="0"/>
                  <w:marTop w:val="0"/>
                  <w:marBottom w:val="0"/>
                  <w:divBdr>
                    <w:top w:val="none" w:sz="0" w:space="0" w:color="auto"/>
                    <w:left w:val="none" w:sz="0" w:space="0" w:color="auto"/>
                    <w:bottom w:val="none" w:sz="0" w:space="0" w:color="auto"/>
                    <w:right w:val="none" w:sz="0" w:space="0" w:color="auto"/>
                  </w:divBdr>
                  <w:divsChild>
                    <w:div w:id="1426999169">
                      <w:marLeft w:val="0"/>
                      <w:marRight w:val="0"/>
                      <w:marTop w:val="0"/>
                      <w:marBottom w:val="0"/>
                      <w:divBdr>
                        <w:top w:val="none" w:sz="0" w:space="0" w:color="auto"/>
                        <w:left w:val="none" w:sz="0" w:space="0" w:color="auto"/>
                        <w:bottom w:val="none" w:sz="0" w:space="0" w:color="auto"/>
                        <w:right w:val="none" w:sz="0" w:space="0" w:color="auto"/>
                      </w:divBdr>
                    </w:div>
                  </w:divsChild>
                </w:div>
                <w:div w:id="1190100719">
                  <w:marLeft w:val="0"/>
                  <w:marRight w:val="0"/>
                  <w:marTop w:val="0"/>
                  <w:marBottom w:val="0"/>
                  <w:divBdr>
                    <w:top w:val="none" w:sz="0" w:space="0" w:color="auto"/>
                    <w:left w:val="none" w:sz="0" w:space="0" w:color="auto"/>
                    <w:bottom w:val="none" w:sz="0" w:space="0" w:color="auto"/>
                    <w:right w:val="none" w:sz="0" w:space="0" w:color="auto"/>
                  </w:divBdr>
                  <w:divsChild>
                    <w:div w:id="523128736">
                      <w:marLeft w:val="0"/>
                      <w:marRight w:val="0"/>
                      <w:marTop w:val="0"/>
                      <w:marBottom w:val="0"/>
                      <w:divBdr>
                        <w:top w:val="none" w:sz="0" w:space="0" w:color="auto"/>
                        <w:left w:val="none" w:sz="0" w:space="0" w:color="auto"/>
                        <w:bottom w:val="none" w:sz="0" w:space="0" w:color="auto"/>
                        <w:right w:val="none" w:sz="0" w:space="0" w:color="auto"/>
                      </w:divBdr>
                    </w:div>
                  </w:divsChild>
                </w:div>
                <w:div w:id="1256665714">
                  <w:marLeft w:val="0"/>
                  <w:marRight w:val="0"/>
                  <w:marTop w:val="0"/>
                  <w:marBottom w:val="0"/>
                  <w:divBdr>
                    <w:top w:val="none" w:sz="0" w:space="0" w:color="auto"/>
                    <w:left w:val="none" w:sz="0" w:space="0" w:color="auto"/>
                    <w:bottom w:val="none" w:sz="0" w:space="0" w:color="auto"/>
                    <w:right w:val="none" w:sz="0" w:space="0" w:color="auto"/>
                  </w:divBdr>
                  <w:divsChild>
                    <w:div w:id="1670670155">
                      <w:marLeft w:val="0"/>
                      <w:marRight w:val="0"/>
                      <w:marTop w:val="0"/>
                      <w:marBottom w:val="0"/>
                      <w:divBdr>
                        <w:top w:val="none" w:sz="0" w:space="0" w:color="auto"/>
                        <w:left w:val="none" w:sz="0" w:space="0" w:color="auto"/>
                        <w:bottom w:val="none" w:sz="0" w:space="0" w:color="auto"/>
                        <w:right w:val="none" w:sz="0" w:space="0" w:color="auto"/>
                      </w:divBdr>
                    </w:div>
                  </w:divsChild>
                </w:div>
                <w:div w:id="1296762743">
                  <w:marLeft w:val="0"/>
                  <w:marRight w:val="0"/>
                  <w:marTop w:val="0"/>
                  <w:marBottom w:val="0"/>
                  <w:divBdr>
                    <w:top w:val="none" w:sz="0" w:space="0" w:color="auto"/>
                    <w:left w:val="none" w:sz="0" w:space="0" w:color="auto"/>
                    <w:bottom w:val="none" w:sz="0" w:space="0" w:color="auto"/>
                    <w:right w:val="none" w:sz="0" w:space="0" w:color="auto"/>
                  </w:divBdr>
                  <w:divsChild>
                    <w:div w:id="240525009">
                      <w:marLeft w:val="0"/>
                      <w:marRight w:val="0"/>
                      <w:marTop w:val="0"/>
                      <w:marBottom w:val="0"/>
                      <w:divBdr>
                        <w:top w:val="none" w:sz="0" w:space="0" w:color="auto"/>
                        <w:left w:val="none" w:sz="0" w:space="0" w:color="auto"/>
                        <w:bottom w:val="none" w:sz="0" w:space="0" w:color="auto"/>
                        <w:right w:val="none" w:sz="0" w:space="0" w:color="auto"/>
                      </w:divBdr>
                    </w:div>
                  </w:divsChild>
                </w:div>
                <w:div w:id="1329939253">
                  <w:marLeft w:val="0"/>
                  <w:marRight w:val="0"/>
                  <w:marTop w:val="0"/>
                  <w:marBottom w:val="0"/>
                  <w:divBdr>
                    <w:top w:val="none" w:sz="0" w:space="0" w:color="auto"/>
                    <w:left w:val="none" w:sz="0" w:space="0" w:color="auto"/>
                    <w:bottom w:val="none" w:sz="0" w:space="0" w:color="auto"/>
                    <w:right w:val="none" w:sz="0" w:space="0" w:color="auto"/>
                  </w:divBdr>
                  <w:divsChild>
                    <w:div w:id="1724060188">
                      <w:marLeft w:val="0"/>
                      <w:marRight w:val="0"/>
                      <w:marTop w:val="0"/>
                      <w:marBottom w:val="0"/>
                      <w:divBdr>
                        <w:top w:val="none" w:sz="0" w:space="0" w:color="auto"/>
                        <w:left w:val="none" w:sz="0" w:space="0" w:color="auto"/>
                        <w:bottom w:val="none" w:sz="0" w:space="0" w:color="auto"/>
                        <w:right w:val="none" w:sz="0" w:space="0" w:color="auto"/>
                      </w:divBdr>
                    </w:div>
                  </w:divsChild>
                </w:div>
                <w:div w:id="1516260639">
                  <w:marLeft w:val="0"/>
                  <w:marRight w:val="0"/>
                  <w:marTop w:val="0"/>
                  <w:marBottom w:val="0"/>
                  <w:divBdr>
                    <w:top w:val="none" w:sz="0" w:space="0" w:color="auto"/>
                    <w:left w:val="none" w:sz="0" w:space="0" w:color="auto"/>
                    <w:bottom w:val="none" w:sz="0" w:space="0" w:color="auto"/>
                    <w:right w:val="none" w:sz="0" w:space="0" w:color="auto"/>
                  </w:divBdr>
                  <w:divsChild>
                    <w:div w:id="557401182">
                      <w:marLeft w:val="0"/>
                      <w:marRight w:val="0"/>
                      <w:marTop w:val="0"/>
                      <w:marBottom w:val="0"/>
                      <w:divBdr>
                        <w:top w:val="none" w:sz="0" w:space="0" w:color="auto"/>
                        <w:left w:val="none" w:sz="0" w:space="0" w:color="auto"/>
                        <w:bottom w:val="none" w:sz="0" w:space="0" w:color="auto"/>
                        <w:right w:val="none" w:sz="0" w:space="0" w:color="auto"/>
                      </w:divBdr>
                    </w:div>
                  </w:divsChild>
                </w:div>
                <w:div w:id="1585188842">
                  <w:marLeft w:val="0"/>
                  <w:marRight w:val="0"/>
                  <w:marTop w:val="0"/>
                  <w:marBottom w:val="0"/>
                  <w:divBdr>
                    <w:top w:val="none" w:sz="0" w:space="0" w:color="auto"/>
                    <w:left w:val="none" w:sz="0" w:space="0" w:color="auto"/>
                    <w:bottom w:val="none" w:sz="0" w:space="0" w:color="auto"/>
                    <w:right w:val="none" w:sz="0" w:space="0" w:color="auto"/>
                  </w:divBdr>
                  <w:divsChild>
                    <w:div w:id="702288656">
                      <w:marLeft w:val="0"/>
                      <w:marRight w:val="0"/>
                      <w:marTop w:val="0"/>
                      <w:marBottom w:val="0"/>
                      <w:divBdr>
                        <w:top w:val="none" w:sz="0" w:space="0" w:color="auto"/>
                        <w:left w:val="none" w:sz="0" w:space="0" w:color="auto"/>
                        <w:bottom w:val="none" w:sz="0" w:space="0" w:color="auto"/>
                        <w:right w:val="none" w:sz="0" w:space="0" w:color="auto"/>
                      </w:divBdr>
                    </w:div>
                  </w:divsChild>
                </w:div>
                <w:div w:id="1617564266">
                  <w:marLeft w:val="0"/>
                  <w:marRight w:val="0"/>
                  <w:marTop w:val="0"/>
                  <w:marBottom w:val="0"/>
                  <w:divBdr>
                    <w:top w:val="none" w:sz="0" w:space="0" w:color="auto"/>
                    <w:left w:val="none" w:sz="0" w:space="0" w:color="auto"/>
                    <w:bottom w:val="none" w:sz="0" w:space="0" w:color="auto"/>
                    <w:right w:val="none" w:sz="0" w:space="0" w:color="auto"/>
                  </w:divBdr>
                  <w:divsChild>
                    <w:div w:id="505101349">
                      <w:marLeft w:val="0"/>
                      <w:marRight w:val="0"/>
                      <w:marTop w:val="0"/>
                      <w:marBottom w:val="0"/>
                      <w:divBdr>
                        <w:top w:val="none" w:sz="0" w:space="0" w:color="auto"/>
                        <w:left w:val="none" w:sz="0" w:space="0" w:color="auto"/>
                        <w:bottom w:val="none" w:sz="0" w:space="0" w:color="auto"/>
                        <w:right w:val="none" w:sz="0" w:space="0" w:color="auto"/>
                      </w:divBdr>
                    </w:div>
                  </w:divsChild>
                </w:div>
                <w:div w:id="1654673170">
                  <w:marLeft w:val="0"/>
                  <w:marRight w:val="0"/>
                  <w:marTop w:val="0"/>
                  <w:marBottom w:val="0"/>
                  <w:divBdr>
                    <w:top w:val="none" w:sz="0" w:space="0" w:color="auto"/>
                    <w:left w:val="none" w:sz="0" w:space="0" w:color="auto"/>
                    <w:bottom w:val="none" w:sz="0" w:space="0" w:color="auto"/>
                    <w:right w:val="none" w:sz="0" w:space="0" w:color="auto"/>
                  </w:divBdr>
                  <w:divsChild>
                    <w:div w:id="1056733845">
                      <w:marLeft w:val="0"/>
                      <w:marRight w:val="0"/>
                      <w:marTop w:val="0"/>
                      <w:marBottom w:val="0"/>
                      <w:divBdr>
                        <w:top w:val="none" w:sz="0" w:space="0" w:color="auto"/>
                        <w:left w:val="none" w:sz="0" w:space="0" w:color="auto"/>
                        <w:bottom w:val="none" w:sz="0" w:space="0" w:color="auto"/>
                        <w:right w:val="none" w:sz="0" w:space="0" w:color="auto"/>
                      </w:divBdr>
                    </w:div>
                  </w:divsChild>
                </w:div>
                <w:div w:id="1958755342">
                  <w:marLeft w:val="0"/>
                  <w:marRight w:val="0"/>
                  <w:marTop w:val="0"/>
                  <w:marBottom w:val="0"/>
                  <w:divBdr>
                    <w:top w:val="none" w:sz="0" w:space="0" w:color="auto"/>
                    <w:left w:val="none" w:sz="0" w:space="0" w:color="auto"/>
                    <w:bottom w:val="none" w:sz="0" w:space="0" w:color="auto"/>
                    <w:right w:val="none" w:sz="0" w:space="0" w:color="auto"/>
                  </w:divBdr>
                  <w:divsChild>
                    <w:div w:id="521944188">
                      <w:marLeft w:val="0"/>
                      <w:marRight w:val="0"/>
                      <w:marTop w:val="0"/>
                      <w:marBottom w:val="0"/>
                      <w:divBdr>
                        <w:top w:val="none" w:sz="0" w:space="0" w:color="auto"/>
                        <w:left w:val="none" w:sz="0" w:space="0" w:color="auto"/>
                        <w:bottom w:val="none" w:sz="0" w:space="0" w:color="auto"/>
                        <w:right w:val="none" w:sz="0" w:space="0" w:color="auto"/>
                      </w:divBdr>
                    </w:div>
                  </w:divsChild>
                </w:div>
                <w:div w:id="1993169717">
                  <w:marLeft w:val="0"/>
                  <w:marRight w:val="0"/>
                  <w:marTop w:val="0"/>
                  <w:marBottom w:val="0"/>
                  <w:divBdr>
                    <w:top w:val="none" w:sz="0" w:space="0" w:color="auto"/>
                    <w:left w:val="none" w:sz="0" w:space="0" w:color="auto"/>
                    <w:bottom w:val="none" w:sz="0" w:space="0" w:color="auto"/>
                    <w:right w:val="none" w:sz="0" w:space="0" w:color="auto"/>
                  </w:divBdr>
                  <w:divsChild>
                    <w:div w:id="2067604092">
                      <w:marLeft w:val="0"/>
                      <w:marRight w:val="0"/>
                      <w:marTop w:val="0"/>
                      <w:marBottom w:val="0"/>
                      <w:divBdr>
                        <w:top w:val="none" w:sz="0" w:space="0" w:color="auto"/>
                        <w:left w:val="none" w:sz="0" w:space="0" w:color="auto"/>
                        <w:bottom w:val="none" w:sz="0" w:space="0" w:color="auto"/>
                        <w:right w:val="none" w:sz="0" w:space="0" w:color="auto"/>
                      </w:divBdr>
                    </w:div>
                  </w:divsChild>
                </w:div>
                <w:div w:id="2108382766">
                  <w:marLeft w:val="0"/>
                  <w:marRight w:val="0"/>
                  <w:marTop w:val="0"/>
                  <w:marBottom w:val="0"/>
                  <w:divBdr>
                    <w:top w:val="none" w:sz="0" w:space="0" w:color="auto"/>
                    <w:left w:val="none" w:sz="0" w:space="0" w:color="auto"/>
                    <w:bottom w:val="none" w:sz="0" w:space="0" w:color="auto"/>
                    <w:right w:val="none" w:sz="0" w:space="0" w:color="auto"/>
                  </w:divBdr>
                  <w:divsChild>
                    <w:div w:id="1994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2010">
          <w:marLeft w:val="0"/>
          <w:marRight w:val="0"/>
          <w:marTop w:val="0"/>
          <w:marBottom w:val="0"/>
          <w:divBdr>
            <w:top w:val="none" w:sz="0" w:space="0" w:color="auto"/>
            <w:left w:val="none" w:sz="0" w:space="0" w:color="auto"/>
            <w:bottom w:val="none" w:sz="0" w:space="0" w:color="auto"/>
            <w:right w:val="none" w:sz="0" w:space="0" w:color="auto"/>
          </w:divBdr>
        </w:div>
        <w:div w:id="466512000">
          <w:marLeft w:val="0"/>
          <w:marRight w:val="0"/>
          <w:marTop w:val="0"/>
          <w:marBottom w:val="0"/>
          <w:divBdr>
            <w:top w:val="none" w:sz="0" w:space="0" w:color="auto"/>
            <w:left w:val="none" w:sz="0" w:space="0" w:color="auto"/>
            <w:bottom w:val="none" w:sz="0" w:space="0" w:color="auto"/>
            <w:right w:val="none" w:sz="0" w:space="0" w:color="auto"/>
          </w:divBdr>
          <w:divsChild>
            <w:div w:id="1937326806">
              <w:marLeft w:val="-75"/>
              <w:marRight w:val="0"/>
              <w:marTop w:val="30"/>
              <w:marBottom w:val="30"/>
              <w:divBdr>
                <w:top w:val="none" w:sz="0" w:space="0" w:color="auto"/>
                <w:left w:val="none" w:sz="0" w:space="0" w:color="auto"/>
                <w:bottom w:val="none" w:sz="0" w:space="0" w:color="auto"/>
                <w:right w:val="none" w:sz="0" w:space="0" w:color="auto"/>
              </w:divBdr>
              <w:divsChild>
                <w:div w:id="365839586">
                  <w:marLeft w:val="0"/>
                  <w:marRight w:val="0"/>
                  <w:marTop w:val="0"/>
                  <w:marBottom w:val="0"/>
                  <w:divBdr>
                    <w:top w:val="none" w:sz="0" w:space="0" w:color="auto"/>
                    <w:left w:val="none" w:sz="0" w:space="0" w:color="auto"/>
                    <w:bottom w:val="none" w:sz="0" w:space="0" w:color="auto"/>
                    <w:right w:val="none" w:sz="0" w:space="0" w:color="auto"/>
                  </w:divBdr>
                  <w:divsChild>
                    <w:div w:id="1184781512">
                      <w:marLeft w:val="0"/>
                      <w:marRight w:val="0"/>
                      <w:marTop w:val="0"/>
                      <w:marBottom w:val="0"/>
                      <w:divBdr>
                        <w:top w:val="none" w:sz="0" w:space="0" w:color="auto"/>
                        <w:left w:val="none" w:sz="0" w:space="0" w:color="auto"/>
                        <w:bottom w:val="none" w:sz="0" w:space="0" w:color="auto"/>
                        <w:right w:val="none" w:sz="0" w:space="0" w:color="auto"/>
                      </w:divBdr>
                    </w:div>
                  </w:divsChild>
                </w:div>
                <w:div w:id="504637516">
                  <w:marLeft w:val="0"/>
                  <w:marRight w:val="0"/>
                  <w:marTop w:val="0"/>
                  <w:marBottom w:val="0"/>
                  <w:divBdr>
                    <w:top w:val="none" w:sz="0" w:space="0" w:color="auto"/>
                    <w:left w:val="none" w:sz="0" w:space="0" w:color="auto"/>
                    <w:bottom w:val="none" w:sz="0" w:space="0" w:color="auto"/>
                    <w:right w:val="none" w:sz="0" w:space="0" w:color="auto"/>
                  </w:divBdr>
                  <w:divsChild>
                    <w:div w:id="1589075642">
                      <w:marLeft w:val="0"/>
                      <w:marRight w:val="0"/>
                      <w:marTop w:val="0"/>
                      <w:marBottom w:val="0"/>
                      <w:divBdr>
                        <w:top w:val="none" w:sz="0" w:space="0" w:color="auto"/>
                        <w:left w:val="none" w:sz="0" w:space="0" w:color="auto"/>
                        <w:bottom w:val="none" w:sz="0" w:space="0" w:color="auto"/>
                        <w:right w:val="none" w:sz="0" w:space="0" w:color="auto"/>
                      </w:divBdr>
                    </w:div>
                  </w:divsChild>
                </w:div>
                <w:div w:id="602686468">
                  <w:marLeft w:val="0"/>
                  <w:marRight w:val="0"/>
                  <w:marTop w:val="0"/>
                  <w:marBottom w:val="0"/>
                  <w:divBdr>
                    <w:top w:val="none" w:sz="0" w:space="0" w:color="auto"/>
                    <w:left w:val="none" w:sz="0" w:space="0" w:color="auto"/>
                    <w:bottom w:val="none" w:sz="0" w:space="0" w:color="auto"/>
                    <w:right w:val="none" w:sz="0" w:space="0" w:color="auto"/>
                  </w:divBdr>
                  <w:divsChild>
                    <w:div w:id="119492971">
                      <w:marLeft w:val="0"/>
                      <w:marRight w:val="0"/>
                      <w:marTop w:val="0"/>
                      <w:marBottom w:val="0"/>
                      <w:divBdr>
                        <w:top w:val="none" w:sz="0" w:space="0" w:color="auto"/>
                        <w:left w:val="none" w:sz="0" w:space="0" w:color="auto"/>
                        <w:bottom w:val="none" w:sz="0" w:space="0" w:color="auto"/>
                        <w:right w:val="none" w:sz="0" w:space="0" w:color="auto"/>
                      </w:divBdr>
                    </w:div>
                  </w:divsChild>
                </w:div>
                <w:div w:id="702021775">
                  <w:marLeft w:val="0"/>
                  <w:marRight w:val="0"/>
                  <w:marTop w:val="0"/>
                  <w:marBottom w:val="0"/>
                  <w:divBdr>
                    <w:top w:val="none" w:sz="0" w:space="0" w:color="auto"/>
                    <w:left w:val="none" w:sz="0" w:space="0" w:color="auto"/>
                    <w:bottom w:val="none" w:sz="0" w:space="0" w:color="auto"/>
                    <w:right w:val="none" w:sz="0" w:space="0" w:color="auto"/>
                  </w:divBdr>
                  <w:divsChild>
                    <w:div w:id="82649315">
                      <w:marLeft w:val="0"/>
                      <w:marRight w:val="0"/>
                      <w:marTop w:val="0"/>
                      <w:marBottom w:val="0"/>
                      <w:divBdr>
                        <w:top w:val="none" w:sz="0" w:space="0" w:color="auto"/>
                        <w:left w:val="none" w:sz="0" w:space="0" w:color="auto"/>
                        <w:bottom w:val="none" w:sz="0" w:space="0" w:color="auto"/>
                        <w:right w:val="none" w:sz="0" w:space="0" w:color="auto"/>
                      </w:divBdr>
                    </w:div>
                  </w:divsChild>
                </w:div>
                <w:div w:id="741561786">
                  <w:marLeft w:val="0"/>
                  <w:marRight w:val="0"/>
                  <w:marTop w:val="0"/>
                  <w:marBottom w:val="0"/>
                  <w:divBdr>
                    <w:top w:val="none" w:sz="0" w:space="0" w:color="auto"/>
                    <w:left w:val="none" w:sz="0" w:space="0" w:color="auto"/>
                    <w:bottom w:val="none" w:sz="0" w:space="0" w:color="auto"/>
                    <w:right w:val="none" w:sz="0" w:space="0" w:color="auto"/>
                  </w:divBdr>
                  <w:divsChild>
                    <w:div w:id="254365195">
                      <w:marLeft w:val="0"/>
                      <w:marRight w:val="0"/>
                      <w:marTop w:val="0"/>
                      <w:marBottom w:val="0"/>
                      <w:divBdr>
                        <w:top w:val="none" w:sz="0" w:space="0" w:color="auto"/>
                        <w:left w:val="none" w:sz="0" w:space="0" w:color="auto"/>
                        <w:bottom w:val="none" w:sz="0" w:space="0" w:color="auto"/>
                        <w:right w:val="none" w:sz="0" w:space="0" w:color="auto"/>
                      </w:divBdr>
                    </w:div>
                  </w:divsChild>
                </w:div>
                <w:div w:id="832797948">
                  <w:marLeft w:val="0"/>
                  <w:marRight w:val="0"/>
                  <w:marTop w:val="0"/>
                  <w:marBottom w:val="0"/>
                  <w:divBdr>
                    <w:top w:val="none" w:sz="0" w:space="0" w:color="auto"/>
                    <w:left w:val="none" w:sz="0" w:space="0" w:color="auto"/>
                    <w:bottom w:val="none" w:sz="0" w:space="0" w:color="auto"/>
                    <w:right w:val="none" w:sz="0" w:space="0" w:color="auto"/>
                  </w:divBdr>
                  <w:divsChild>
                    <w:div w:id="941841295">
                      <w:marLeft w:val="0"/>
                      <w:marRight w:val="0"/>
                      <w:marTop w:val="0"/>
                      <w:marBottom w:val="0"/>
                      <w:divBdr>
                        <w:top w:val="none" w:sz="0" w:space="0" w:color="auto"/>
                        <w:left w:val="none" w:sz="0" w:space="0" w:color="auto"/>
                        <w:bottom w:val="none" w:sz="0" w:space="0" w:color="auto"/>
                        <w:right w:val="none" w:sz="0" w:space="0" w:color="auto"/>
                      </w:divBdr>
                    </w:div>
                  </w:divsChild>
                </w:div>
                <w:div w:id="866604371">
                  <w:marLeft w:val="0"/>
                  <w:marRight w:val="0"/>
                  <w:marTop w:val="0"/>
                  <w:marBottom w:val="0"/>
                  <w:divBdr>
                    <w:top w:val="none" w:sz="0" w:space="0" w:color="auto"/>
                    <w:left w:val="none" w:sz="0" w:space="0" w:color="auto"/>
                    <w:bottom w:val="none" w:sz="0" w:space="0" w:color="auto"/>
                    <w:right w:val="none" w:sz="0" w:space="0" w:color="auto"/>
                  </w:divBdr>
                  <w:divsChild>
                    <w:div w:id="296034611">
                      <w:marLeft w:val="0"/>
                      <w:marRight w:val="0"/>
                      <w:marTop w:val="0"/>
                      <w:marBottom w:val="0"/>
                      <w:divBdr>
                        <w:top w:val="none" w:sz="0" w:space="0" w:color="auto"/>
                        <w:left w:val="none" w:sz="0" w:space="0" w:color="auto"/>
                        <w:bottom w:val="none" w:sz="0" w:space="0" w:color="auto"/>
                        <w:right w:val="none" w:sz="0" w:space="0" w:color="auto"/>
                      </w:divBdr>
                    </w:div>
                  </w:divsChild>
                </w:div>
                <w:div w:id="891044796">
                  <w:marLeft w:val="0"/>
                  <w:marRight w:val="0"/>
                  <w:marTop w:val="0"/>
                  <w:marBottom w:val="0"/>
                  <w:divBdr>
                    <w:top w:val="none" w:sz="0" w:space="0" w:color="auto"/>
                    <w:left w:val="none" w:sz="0" w:space="0" w:color="auto"/>
                    <w:bottom w:val="none" w:sz="0" w:space="0" w:color="auto"/>
                    <w:right w:val="none" w:sz="0" w:space="0" w:color="auto"/>
                  </w:divBdr>
                  <w:divsChild>
                    <w:div w:id="537546472">
                      <w:marLeft w:val="0"/>
                      <w:marRight w:val="0"/>
                      <w:marTop w:val="0"/>
                      <w:marBottom w:val="0"/>
                      <w:divBdr>
                        <w:top w:val="none" w:sz="0" w:space="0" w:color="auto"/>
                        <w:left w:val="none" w:sz="0" w:space="0" w:color="auto"/>
                        <w:bottom w:val="none" w:sz="0" w:space="0" w:color="auto"/>
                        <w:right w:val="none" w:sz="0" w:space="0" w:color="auto"/>
                      </w:divBdr>
                    </w:div>
                  </w:divsChild>
                </w:div>
                <w:div w:id="1028065013">
                  <w:marLeft w:val="0"/>
                  <w:marRight w:val="0"/>
                  <w:marTop w:val="0"/>
                  <w:marBottom w:val="0"/>
                  <w:divBdr>
                    <w:top w:val="none" w:sz="0" w:space="0" w:color="auto"/>
                    <w:left w:val="none" w:sz="0" w:space="0" w:color="auto"/>
                    <w:bottom w:val="none" w:sz="0" w:space="0" w:color="auto"/>
                    <w:right w:val="none" w:sz="0" w:space="0" w:color="auto"/>
                  </w:divBdr>
                  <w:divsChild>
                    <w:div w:id="1276517653">
                      <w:marLeft w:val="0"/>
                      <w:marRight w:val="0"/>
                      <w:marTop w:val="0"/>
                      <w:marBottom w:val="0"/>
                      <w:divBdr>
                        <w:top w:val="none" w:sz="0" w:space="0" w:color="auto"/>
                        <w:left w:val="none" w:sz="0" w:space="0" w:color="auto"/>
                        <w:bottom w:val="none" w:sz="0" w:space="0" w:color="auto"/>
                        <w:right w:val="none" w:sz="0" w:space="0" w:color="auto"/>
                      </w:divBdr>
                    </w:div>
                  </w:divsChild>
                </w:div>
                <w:div w:id="1114641189">
                  <w:marLeft w:val="0"/>
                  <w:marRight w:val="0"/>
                  <w:marTop w:val="0"/>
                  <w:marBottom w:val="0"/>
                  <w:divBdr>
                    <w:top w:val="none" w:sz="0" w:space="0" w:color="auto"/>
                    <w:left w:val="none" w:sz="0" w:space="0" w:color="auto"/>
                    <w:bottom w:val="none" w:sz="0" w:space="0" w:color="auto"/>
                    <w:right w:val="none" w:sz="0" w:space="0" w:color="auto"/>
                  </w:divBdr>
                  <w:divsChild>
                    <w:div w:id="1977367681">
                      <w:marLeft w:val="0"/>
                      <w:marRight w:val="0"/>
                      <w:marTop w:val="0"/>
                      <w:marBottom w:val="0"/>
                      <w:divBdr>
                        <w:top w:val="none" w:sz="0" w:space="0" w:color="auto"/>
                        <w:left w:val="none" w:sz="0" w:space="0" w:color="auto"/>
                        <w:bottom w:val="none" w:sz="0" w:space="0" w:color="auto"/>
                        <w:right w:val="none" w:sz="0" w:space="0" w:color="auto"/>
                      </w:divBdr>
                    </w:div>
                  </w:divsChild>
                </w:div>
                <w:div w:id="1218785311">
                  <w:marLeft w:val="0"/>
                  <w:marRight w:val="0"/>
                  <w:marTop w:val="0"/>
                  <w:marBottom w:val="0"/>
                  <w:divBdr>
                    <w:top w:val="none" w:sz="0" w:space="0" w:color="auto"/>
                    <w:left w:val="none" w:sz="0" w:space="0" w:color="auto"/>
                    <w:bottom w:val="none" w:sz="0" w:space="0" w:color="auto"/>
                    <w:right w:val="none" w:sz="0" w:space="0" w:color="auto"/>
                  </w:divBdr>
                  <w:divsChild>
                    <w:div w:id="2075423714">
                      <w:marLeft w:val="0"/>
                      <w:marRight w:val="0"/>
                      <w:marTop w:val="0"/>
                      <w:marBottom w:val="0"/>
                      <w:divBdr>
                        <w:top w:val="none" w:sz="0" w:space="0" w:color="auto"/>
                        <w:left w:val="none" w:sz="0" w:space="0" w:color="auto"/>
                        <w:bottom w:val="none" w:sz="0" w:space="0" w:color="auto"/>
                        <w:right w:val="none" w:sz="0" w:space="0" w:color="auto"/>
                      </w:divBdr>
                    </w:div>
                  </w:divsChild>
                </w:div>
                <w:div w:id="1357268129">
                  <w:marLeft w:val="0"/>
                  <w:marRight w:val="0"/>
                  <w:marTop w:val="0"/>
                  <w:marBottom w:val="0"/>
                  <w:divBdr>
                    <w:top w:val="none" w:sz="0" w:space="0" w:color="auto"/>
                    <w:left w:val="none" w:sz="0" w:space="0" w:color="auto"/>
                    <w:bottom w:val="none" w:sz="0" w:space="0" w:color="auto"/>
                    <w:right w:val="none" w:sz="0" w:space="0" w:color="auto"/>
                  </w:divBdr>
                  <w:divsChild>
                    <w:div w:id="1567187496">
                      <w:marLeft w:val="0"/>
                      <w:marRight w:val="0"/>
                      <w:marTop w:val="0"/>
                      <w:marBottom w:val="0"/>
                      <w:divBdr>
                        <w:top w:val="none" w:sz="0" w:space="0" w:color="auto"/>
                        <w:left w:val="none" w:sz="0" w:space="0" w:color="auto"/>
                        <w:bottom w:val="none" w:sz="0" w:space="0" w:color="auto"/>
                        <w:right w:val="none" w:sz="0" w:space="0" w:color="auto"/>
                      </w:divBdr>
                    </w:div>
                  </w:divsChild>
                </w:div>
                <w:div w:id="1464736252">
                  <w:marLeft w:val="0"/>
                  <w:marRight w:val="0"/>
                  <w:marTop w:val="0"/>
                  <w:marBottom w:val="0"/>
                  <w:divBdr>
                    <w:top w:val="none" w:sz="0" w:space="0" w:color="auto"/>
                    <w:left w:val="none" w:sz="0" w:space="0" w:color="auto"/>
                    <w:bottom w:val="none" w:sz="0" w:space="0" w:color="auto"/>
                    <w:right w:val="none" w:sz="0" w:space="0" w:color="auto"/>
                  </w:divBdr>
                  <w:divsChild>
                    <w:div w:id="1449854071">
                      <w:marLeft w:val="0"/>
                      <w:marRight w:val="0"/>
                      <w:marTop w:val="0"/>
                      <w:marBottom w:val="0"/>
                      <w:divBdr>
                        <w:top w:val="none" w:sz="0" w:space="0" w:color="auto"/>
                        <w:left w:val="none" w:sz="0" w:space="0" w:color="auto"/>
                        <w:bottom w:val="none" w:sz="0" w:space="0" w:color="auto"/>
                        <w:right w:val="none" w:sz="0" w:space="0" w:color="auto"/>
                      </w:divBdr>
                    </w:div>
                  </w:divsChild>
                </w:div>
                <w:div w:id="1473792785">
                  <w:marLeft w:val="0"/>
                  <w:marRight w:val="0"/>
                  <w:marTop w:val="0"/>
                  <w:marBottom w:val="0"/>
                  <w:divBdr>
                    <w:top w:val="none" w:sz="0" w:space="0" w:color="auto"/>
                    <w:left w:val="none" w:sz="0" w:space="0" w:color="auto"/>
                    <w:bottom w:val="none" w:sz="0" w:space="0" w:color="auto"/>
                    <w:right w:val="none" w:sz="0" w:space="0" w:color="auto"/>
                  </w:divBdr>
                  <w:divsChild>
                    <w:div w:id="1657808000">
                      <w:marLeft w:val="0"/>
                      <w:marRight w:val="0"/>
                      <w:marTop w:val="0"/>
                      <w:marBottom w:val="0"/>
                      <w:divBdr>
                        <w:top w:val="none" w:sz="0" w:space="0" w:color="auto"/>
                        <w:left w:val="none" w:sz="0" w:space="0" w:color="auto"/>
                        <w:bottom w:val="none" w:sz="0" w:space="0" w:color="auto"/>
                        <w:right w:val="none" w:sz="0" w:space="0" w:color="auto"/>
                      </w:divBdr>
                    </w:div>
                  </w:divsChild>
                </w:div>
                <w:div w:id="1500578743">
                  <w:marLeft w:val="0"/>
                  <w:marRight w:val="0"/>
                  <w:marTop w:val="0"/>
                  <w:marBottom w:val="0"/>
                  <w:divBdr>
                    <w:top w:val="none" w:sz="0" w:space="0" w:color="auto"/>
                    <w:left w:val="none" w:sz="0" w:space="0" w:color="auto"/>
                    <w:bottom w:val="none" w:sz="0" w:space="0" w:color="auto"/>
                    <w:right w:val="none" w:sz="0" w:space="0" w:color="auto"/>
                  </w:divBdr>
                  <w:divsChild>
                    <w:div w:id="1876384990">
                      <w:marLeft w:val="0"/>
                      <w:marRight w:val="0"/>
                      <w:marTop w:val="0"/>
                      <w:marBottom w:val="0"/>
                      <w:divBdr>
                        <w:top w:val="none" w:sz="0" w:space="0" w:color="auto"/>
                        <w:left w:val="none" w:sz="0" w:space="0" w:color="auto"/>
                        <w:bottom w:val="none" w:sz="0" w:space="0" w:color="auto"/>
                        <w:right w:val="none" w:sz="0" w:space="0" w:color="auto"/>
                      </w:divBdr>
                    </w:div>
                  </w:divsChild>
                </w:div>
                <w:div w:id="1504970630">
                  <w:marLeft w:val="0"/>
                  <w:marRight w:val="0"/>
                  <w:marTop w:val="0"/>
                  <w:marBottom w:val="0"/>
                  <w:divBdr>
                    <w:top w:val="none" w:sz="0" w:space="0" w:color="auto"/>
                    <w:left w:val="none" w:sz="0" w:space="0" w:color="auto"/>
                    <w:bottom w:val="none" w:sz="0" w:space="0" w:color="auto"/>
                    <w:right w:val="none" w:sz="0" w:space="0" w:color="auto"/>
                  </w:divBdr>
                  <w:divsChild>
                    <w:div w:id="134219342">
                      <w:marLeft w:val="0"/>
                      <w:marRight w:val="0"/>
                      <w:marTop w:val="0"/>
                      <w:marBottom w:val="0"/>
                      <w:divBdr>
                        <w:top w:val="none" w:sz="0" w:space="0" w:color="auto"/>
                        <w:left w:val="none" w:sz="0" w:space="0" w:color="auto"/>
                        <w:bottom w:val="none" w:sz="0" w:space="0" w:color="auto"/>
                        <w:right w:val="none" w:sz="0" w:space="0" w:color="auto"/>
                      </w:divBdr>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809901577">
                      <w:marLeft w:val="0"/>
                      <w:marRight w:val="0"/>
                      <w:marTop w:val="0"/>
                      <w:marBottom w:val="0"/>
                      <w:divBdr>
                        <w:top w:val="none" w:sz="0" w:space="0" w:color="auto"/>
                        <w:left w:val="none" w:sz="0" w:space="0" w:color="auto"/>
                        <w:bottom w:val="none" w:sz="0" w:space="0" w:color="auto"/>
                        <w:right w:val="none" w:sz="0" w:space="0" w:color="auto"/>
                      </w:divBdr>
                    </w:div>
                  </w:divsChild>
                </w:div>
                <w:div w:id="1587375656">
                  <w:marLeft w:val="0"/>
                  <w:marRight w:val="0"/>
                  <w:marTop w:val="0"/>
                  <w:marBottom w:val="0"/>
                  <w:divBdr>
                    <w:top w:val="none" w:sz="0" w:space="0" w:color="auto"/>
                    <w:left w:val="none" w:sz="0" w:space="0" w:color="auto"/>
                    <w:bottom w:val="none" w:sz="0" w:space="0" w:color="auto"/>
                    <w:right w:val="none" w:sz="0" w:space="0" w:color="auto"/>
                  </w:divBdr>
                  <w:divsChild>
                    <w:div w:id="1921982155">
                      <w:marLeft w:val="0"/>
                      <w:marRight w:val="0"/>
                      <w:marTop w:val="0"/>
                      <w:marBottom w:val="0"/>
                      <w:divBdr>
                        <w:top w:val="none" w:sz="0" w:space="0" w:color="auto"/>
                        <w:left w:val="none" w:sz="0" w:space="0" w:color="auto"/>
                        <w:bottom w:val="none" w:sz="0" w:space="0" w:color="auto"/>
                        <w:right w:val="none" w:sz="0" w:space="0" w:color="auto"/>
                      </w:divBdr>
                    </w:div>
                  </w:divsChild>
                </w:div>
                <w:div w:id="1597716289">
                  <w:marLeft w:val="0"/>
                  <w:marRight w:val="0"/>
                  <w:marTop w:val="0"/>
                  <w:marBottom w:val="0"/>
                  <w:divBdr>
                    <w:top w:val="none" w:sz="0" w:space="0" w:color="auto"/>
                    <w:left w:val="none" w:sz="0" w:space="0" w:color="auto"/>
                    <w:bottom w:val="none" w:sz="0" w:space="0" w:color="auto"/>
                    <w:right w:val="none" w:sz="0" w:space="0" w:color="auto"/>
                  </w:divBdr>
                  <w:divsChild>
                    <w:div w:id="1487093617">
                      <w:marLeft w:val="0"/>
                      <w:marRight w:val="0"/>
                      <w:marTop w:val="0"/>
                      <w:marBottom w:val="0"/>
                      <w:divBdr>
                        <w:top w:val="none" w:sz="0" w:space="0" w:color="auto"/>
                        <w:left w:val="none" w:sz="0" w:space="0" w:color="auto"/>
                        <w:bottom w:val="none" w:sz="0" w:space="0" w:color="auto"/>
                        <w:right w:val="none" w:sz="0" w:space="0" w:color="auto"/>
                      </w:divBdr>
                    </w:div>
                  </w:divsChild>
                </w:div>
                <w:div w:id="1620530748">
                  <w:marLeft w:val="0"/>
                  <w:marRight w:val="0"/>
                  <w:marTop w:val="0"/>
                  <w:marBottom w:val="0"/>
                  <w:divBdr>
                    <w:top w:val="none" w:sz="0" w:space="0" w:color="auto"/>
                    <w:left w:val="none" w:sz="0" w:space="0" w:color="auto"/>
                    <w:bottom w:val="none" w:sz="0" w:space="0" w:color="auto"/>
                    <w:right w:val="none" w:sz="0" w:space="0" w:color="auto"/>
                  </w:divBdr>
                  <w:divsChild>
                    <w:div w:id="806505767">
                      <w:marLeft w:val="0"/>
                      <w:marRight w:val="0"/>
                      <w:marTop w:val="0"/>
                      <w:marBottom w:val="0"/>
                      <w:divBdr>
                        <w:top w:val="none" w:sz="0" w:space="0" w:color="auto"/>
                        <w:left w:val="none" w:sz="0" w:space="0" w:color="auto"/>
                        <w:bottom w:val="none" w:sz="0" w:space="0" w:color="auto"/>
                        <w:right w:val="none" w:sz="0" w:space="0" w:color="auto"/>
                      </w:divBdr>
                    </w:div>
                  </w:divsChild>
                </w:div>
                <w:div w:id="1825390121">
                  <w:marLeft w:val="0"/>
                  <w:marRight w:val="0"/>
                  <w:marTop w:val="0"/>
                  <w:marBottom w:val="0"/>
                  <w:divBdr>
                    <w:top w:val="none" w:sz="0" w:space="0" w:color="auto"/>
                    <w:left w:val="none" w:sz="0" w:space="0" w:color="auto"/>
                    <w:bottom w:val="none" w:sz="0" w:space="0" w:color="auto"/>
                    <w:right w:val="none" w:sz="0" w:space="0" w:color="auto"/>
                  </w:divBdr>
                  <w:divsChild>
                    <w:div w:id="1782677092">
                      <w:marLeft w:val="0"/>
                      <w:marRight w:val="0"/>
                      <w:marTop w:val="0"/>
                      <w:marBottom w:val="0"/>
                      <w:divBdr>
                        <w:top w:val="none" w:sz="0" w:space="0" w:color="auto"/>
                        <w:left w:val="none" w:sz="0" w:space="0" w:color="auto"/>
                        <w:bottom w:val="none" w:sz="0" w:space="0" w:color="auto"/>
                        <w:right w:val="none" w:sz="0" w:space="0" w:color="auto"/>
                      </w:divBdr>
                    </w:div>
                  </w:divsChild>
                </w:div>
                <w:div w:id="1884364098">
                  <w:marLeft w:val="0"/>
                  <w:marRight w:val="0"/>
                  <w:marTop w:val="0"/>
                  <w:marBottom w:val="0"/>
                  <w:divBdr>
                    <w:top w:val="none" w:sz="0" w:space="0" w:color="auto"/>
                    <w:left w:val="none" w:sz="0" w:space="0" w:color="auto"/>
                    <w:bottom w:val="none" w:sz="0" w:space="0" w:color="auto"/>
                    <w:right w:val="none" w:sz="0" w:space="0" w:color="auto"/>
                  </w:divBdr>
                  <w:divsChild>
                    <w:div w:id="1825395871">
                      <w:marLeft w:val="0"/>
                      <w:marRight w:val="0"/>
                      <w:marTop w:val="0"/>
                      <w:marBottom w:val="0"/>
                      <w:divBdr>
                        <w:top w:val="none" w:sz="0" w:space="0" w:color="auto"/>
                        <w:left w:val="none" w:sz="0" w:space="0" w:color="auto"/>
                        <w:bottom w:val="none" w:sz="0" w:space="0" w:color="auto"/>
                        <w:right w:val="none" w:sz="0" w:space="0" w:color="auto"/>
                      </w:divBdr>
                    </w:div>
                  </w:divsChild>
                </w:div>
                <w:div w:id="2039119468">
                  <w:marLeft w:val="0"/>
                  <w:marRight w:val="0"/>
                  <w:marTop w:val="0"/>
                  <w:marBottom w:val="0"/>
                  <w:divBdr>
                    <w:top w:val="none" w:sz="0" w:space="0" w:color="auto"/>
                    <w:left w:val="none" w:sz="0" w:space="0" w:color="auto"/>
                    <w:bottom w:val="none" w:sz="0" w:space="0" w:color="auto"/>
                    <w:right w:val="none" w:sz="0" w:space="0" w:color="auto"/>
                  </w:divBdr>
                  <w:divsChild>
                    <w:div w:id="14875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340">
          <w:marLeft w:val="0"/>
          <w:marRight w:val="0"/>
          <w:marTop w:val="0"/>
          <w:marBottom w:val="0"/>
          <w:divBdr>
            <w:top w:val="none" w:sz="0" w:space="0" w:color="auto"/>
            <w:left w:val="none" w:sz="0" w:space="0" w:color="auto"/>
            <w:bottom w:val="none" w:sz="0" w:space="0" w:color="auto"/>
            <w:right w:val="none" w:sz="0" w:space="0" w:color="auto"/>
          </w:divBdr>
        </w:div>
        <w:div w:id="544869661">
          <w:marLeft w:val="0"/>
          <w:marRight w:val="0"/>
          <w:marTop w:val="0"/>
          <w:marBottom w:val="0"/>
          <w:divBdr>
            <w:top w:val="none" w:sz="0" w:space="0" w:color="auto"/>
            <w:left w:val="none" w:sz="0" w:space="0" w:color="auto"/>
            <w:bottom w:val="none" w:sz="0" w:space="0" w:color="auto"/>
            <w:right w:val="none" w:sz="0" w:space="0" w:color="auto"/>
          </w:divBdr>
        </w:div>
        <w:div w:id="593128857">
          <w:marLeft w:val="0"/>
          <w:marRight w:val="0"/>
          <w:marTop w:val="0"/>
          <w:marBottom w:val="0"/>
          <w:divBdr>
            <w:top w:val="none" w:sz="0" w:space="0" w:color="auto"/>
            <w:left w:val="none" w:sz="0" w:space="0" w:color="auto"/>
            <w:bottom w:val="none" w:sz="0" w:space="0" w:color="auto"/>
            <w:right w:val="none" w:sz="0" w:space="0" w:color="auto"/>
          </w:divBdr>
        </w:div>
        <w:div w:id="835000415">
          <w:marLeft w:val="0"/>
          <w:marRight w:val="0"/>
          <w:marTop w:val="0"/>
          <w:marBottom w:val="0"/>
          <w:divBdr>
            <w:top w:val="none" w:sz="0" w:space="0" w:color="auto"/>
            <w:left w:val="none" w:sz="0" w:space="0" w:color="auto"/>
            <w:bottom w:val="none" w:sz="0" w:space="0" w:color="auto"/>
            <w:right w:val="none" w:sz="0" w:space="0" w:color="auto"/>
          </w:divBdr>
        </w:div>
        <w:div w:id="985738223">
          <w:marLeft w:val="0"/>
          <w:marRight w:val="0"/>
          <w:marTop w:val="0"/>
          <w:marBottom w:val="0"/>
          <w:divBdr>
            <w:top w:val="none" w:sz="0" w:space="0" w:color="auto"/>
            <w:left w:val="none" w:sz="0" w:space="0" w:color="auto"/>
            <w:bottom w:val="none" w:sz="0" w:space="0" w:color="auto"/>
            <w:right w:val="none" w:sz="0" w:space="0" w:color="auto"/>
          </w:divBdr>
        </w:div>
        <w:div w:id="1087652620">
          <w:marLeft w:val="0"/>
          <w:marRight w:val="0"/>
          <w:marTop w:val="0"/>
          <w:marBottom w:val="0"/>
          <w:divBdr>
            <w:top w:val="none" w:sz="0" w:space="0" w:color="auto"/>
            <w:left w:val="none" w:sz="0" w:space="0" w:color="auto"/>
            <w:bottom w:val="none" w:sz="0" w:space="0" w:color="auto"/>
            <w:right w:val="none" w:sz="0" w:space="0" w:color="auto"/>
          </w:divBdr>
        </w:div>
        <w:div w:id="1281838444">
          <w:marLeft w:val="0"/>
          <w:marRight w:val="0"/>
          <w:marTop w:val="0"/>
          <w:marBottom w:val="0"/>
          <w:divBdr>
            <w:top w:val="none" w:sz="0" w:space="0" w:color="auto"/>
            <w:left w:val="none" w:sz="0" w:space="0" w:color="auto"/>
            <w:bottom w:val="none" w:sz="0" w:space="0" w:color="auto"/>
            <w:right w:val="none" w:sz="0" w:space="0" w:color="auto"/>
          </w:divBdr>
        </w:div>
        <w:div w:id="1323199987">
          <w:marLeft w:val="0"/>
          <w:marRight w:val="0"/>
          <w:marTop w:val="0"/>
          <w:marBottom w:val="0"/>
          <w:divBdr>
            <w:top w:val="none" w:sz="0" w:space="0" w:color="auto"/>
            <w:left w:val="none" w:sz="0" w:space="0" w:color="auto"/>
            <w:bottom w:val="none" w:sz="0" w:space="0" w:color="auto"/>
            <w:right w:val="none" w:sz="0" w:space="0" w:color="auto"/>
          </w:divBdr>
        </w:div>
        <w:div w:id="1372808497">
          <w:marLeft w:val="0"/>
          <w:marRight w:val="0"/>
          <w:marTop w:val="0"/>
          <w:marBottom w:val="0"/>
          <w:divBdr>
            <w:top w:val="none" w:sz="0" w:space="0" w:color="auto"/>
            <w:left w:val="none" w:sz="0" w:space="0" w:color="auto"/>
            <w:bottom w:val="none" w:sz="0" w:space="0" w:color="auto"/>
            <w:right w:val="none" w:sz="0" w:space="0" w:color="auto"/>
          </w:divBdr>
        </w:div>
        <w:div w:id="1717007000">
          <w:marLeft w:val="0"/>
          <w:marRight w:val="0"/>
          <w:marTop w:val="0"/>
          <w:marBottom w:val="0"/>
          <w:divBdr>
            <w:top w:val="none" w:sz="0" w:space="0" w:color="auto"/>
            <w:left w:val="none" w:sz="0" w:space="0" w:color="auto"/>
            <w:bottom w:val="none" w:sz="0" w:space="0" w:color="auto"/>
            <w:right w:val="none" w:sz="0" w:space="0" w:color="auto"/>
          </w:divBdr>
        </w:div>
        <w:div w:id="1851868369">
          <w:marLeft w:val="0"/>
          <w:marRight w:val="0"/>
          <w:marTop w:val="0"/>
          <w:marBottom w:val="0"/>
          <w:divBdr>
            <w:top w:val="none" w:sz="0" w:space="0" w:color="auto"/>
            <w:left w:val="none" w:sz="0" w:space="0" w:color="auto"/>
            <w:bottom w:val="none" w:sz="0" w:space="0" w:color="auto"/>
            <w:right w:val="none" w:sz="0" w:space="0" w:color="auto"/>
          </w:divBdr>
        </w:div>
      </w:divsChild>
    </w:div>
    <w:div w:id="588201187">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596408864">
      <w:bodyDiv w:val="1"/>
      <w:marLeft w:val="0"/>
      <w:marRight w:val="0"/>
      <w:marTop w:val="0"/>
      <w:marBottom w:val="0"/>
      <w:divBdr>
        <w:top w:val="none" w:sz="0" w:space="0" w:color="auto"/>
        <w:left w:val="none" w:sz="0" w:space="0" w:color="auto"/>
        <w:bottom w:val="none" w:sz="0" w:space="0" w:color="auto"/>
        <w:right w:val="none" w:sz="0" w:space="0" w:color="auto"/>
      </w:divBdr>
    </w:div>
    <w:div w:id="621769647">
      <w:bodyDiv w:val="1"/>
      <w:marLeft w:val="0"/>
      <w:marRight w:val="0"/>
      <w:marTop w:val="0"/>
      <w:marBottom w:val="0"/>
      <w:divBdr>
        <w:top w:val="none" w:sz="0" w:space="0" w:color="auto"/>
        <w:left w:val="none" w:sz="0" w:space="0" w:color="auto"/>
        <w:bottom w:val="none" w:sz="0" w:space="0" w:color="auto"/>
        <w:right w:val="none" w:sz="0" w:space="0" w:color="auto"/>
      </w:divBdr>
    </w:div>
    <w:div w:id="639382981">
      <w:bodyDiv w:val="1"/>
      <w:marLeft w:val="0"/>
      <w:marRight w:val="0"/>
      <w:marTop w:val="0"/>
      <w:marBottom w:val="0"/>
      <w:divBdr>
        <w:top w:val="none" w:sz="0" w:space="0" w:color="auto"/>
        <w:left w:val="none" w:sz="0" w:space="0" w:color="auto"/>
        <w:bottom w:val="none" w:sz="0" w:space="0" w:color="auto"/>
        <w:right w:val="none" w:sz="0" w:space="0" w:color="auto"/>
      </w:divBdr>
    </w:div>
    <w:div w:id="653919895">
      <w:bodyDiv w:val="1"/>
      <w:marLeft w:val="0"/>
      <w:marRight w:val="0"/>
      <w:marTop w:val="0"/>
      <w:marBottom w:val="0"/>
      <w:divBdr>
        <w:top w:val="none" w:sz="0" w:space="0" w:color="auto"/>
        <w:left w:val="none" w:sz="0" w:space="0" w:color="auto"/>
        <w:bottom w:val="none" w:sz="0" w:space="0" w:color="auto"/>
        <w:right w:val="none" w:sz="0" w:space="0" w:color="auto"/>
      </w:divBdr>
    </w:div>
    <w:div w:id="656149411">
      <w:bodyDiv w:val="1"/>
      <w:marLeft w:val="0"/>
      <w:marRight w:val="0"/>
      <w:marTop w:val="0"/>
      <w:marBottom w:val="0"/>
      <w:divBdr>
        <w:top w:val="none" w:sz="0" w:space="0" w:color="auto"/>
        <w:left w:val="none" w:sz="0" w:space="0" w:color="auto"/>
        <w:bottom w:val="none" w:sz="0" w:space="0" w:color="auto"/>
        <w:right w:val="none" w:sz="0" w:space="0" w:color="auto"/>
      </w:divBdr>
    </w:div>
    <w:div w:id="671298499">
      <w:bodyDiv w:val="1"/>
      <w:marLeft w:val="0"/>
      <w:marRight w:val="0"/>
      <w:marTop w:val="0"/>
      <w:marBottom w:val="0"/>
      <w:divBdr>
        <w:top w:val="none" w:sz="0" w:space="0" w:color="auto"/>
        <w:left w:val="none" w:sz="0" w:space="0" w:color="auto"/>
        <w:bottom w:val="none" w:sz="0" w:space="0" w:color="auto"/>
        <w:right w:val="none" w:sz="0" w:space="0" w:color="auto"/>
      </w:divBdr>
    </w:div>
    <w:div w:id="702369279">
      <w:bodyDiv w:val="1"/>
      <w:marLeft w:val="0"/>
      <w:marRight w:val="0"/>
      <w:marTop w:val="0"/>
      <w:marBottom w:val="0"/>
      <w:divBdr>
        <w:top w:val="none" w:sz="0" w:space="0" w:color="auto"/>
        <w:left w:val="none" w:sz="0" w:space="0" w:color="auto"/>
        <w:bottom w:val="none" w:sz="0" w:space="0" w:color="auto"/>
        <w:right w:val="none" w:sz="0" w:space="0" w:color="auto"/>
      </w:divBdr>
    </w:div>
    <w:div w:id="709501545">
      <w:bodyDiv w:val="1"/>
      <w:marLeft w:val="0"/>
      <w:marRight w:val="0"/>
      <w:marTop w:val="0"/>
      <w:marBottom w:val="0"/>
      <w:divBdr>
        <w:top w:val="none" w:sz="0" w:space="0" w:color="auto"/>
        <w:left w:val="none" w:sz="0" w:space="0" w:color="auto"/>
        <w:bottom w:val="none" w:sz="0" w:space="0" w:color="auto"/>
        <w:right w:val="none" w:sz="0" w:space="0" w:color="auto"/>
      </w:divBdr>
    </w:div>
    <w:div w:id="735126159">
      <w:bodyDiv w:val="1"/>
      <w:marLeft w:val="0"/>
      <w:marRight w:val="0"/>
      <w:marTop w:val="0"/>
      <w:marBottom w:val="0"/>
      <w:divBdr>
        <w:top w:val="none" w:sz="0" w:space="0" w:color="auto"/>
        <w:left w:val="none" w:sz="0" w:space="0" w:color="auto"/>
        <w:bottom w:val="none" w:sz="0" w:space="0" w:color="auto"/>
        <w:right w:val="none" w:sz="0" w:space="0" w:color="auto"/>
      </w:divBdr>
    </w:div>
    <w:div w:id="746272304">
      <w:bodyDiv w:val="1"/>
      <w:marLeft w:val="0"/>
      <w:marRight w:val="0"/>
      <w:marTop w:val="0"/>
      <w:marBottom w:val="0"/>
      <w:divBdr>
        <w:top w:val="none" w:sz="0" w:space="0" w:color="auto"/>
        <w:left w:val="none" w:sz="0" w:space="0" w:color="auto"/>
        <w:bottom w:val="none" w:sz="0" w:space="0" w:color="auto"/>
        <w:right w:val="none" w:sz="0" w:space="0" w:color="auto"/>
      </w:divBdr>
    </w:div>
    <w:div w:id="770978255">
      <w:bodyDiv w:val="1"/>
      <w:marLeft w:val="0"/>
      <w:marRight w:val="0"/>
      <w:marTop w:val="0"/>
      <w:marBottom w:val="0"/>
      <w:divBdr>
        <w:top w:val="none" w:sz="0" w:space="0" w:color="auto"/>
        <w:left w:val="none" w:sz="0" w:space="0" w:color="auto"/>
        <w:bottom w:val="none" w:sz="0" w:space="0" w:color="auto"/>
        <w:right w:val="none" w:sz="0" w:space="0" w:color="auto"/>
      </w:divBdr>
    </w:div>
    <w:div w:id="776287859">
      <w:bodyDiv w:val="1"/>
      <w:marLeft w:val="0"/>
      <w:marRight w:val="0"/>
      <w:marTop w:val="0"/>
      <w:marBottom w:val="0"/>
      <w:divBdr>
        <w:top w:val="none" w:sz="0" w:space="0" w:color="auto"/>
        <w:left w:val="none" w:sz="0" w:space="0" w:color="auto"/>
        <w:bottom w:val="none" w:sz="0" w:space="0" w:color="auto"/>
        <w:right w:val="none" w:sz="0" w:space="0" w:color="auto"/>
      </w:divBdr>
    </w:div>
    <w:div w:id="778839740">
      <w:bodyDiv w:val="1"/>
      <w:marLeft w:val="0"/>
      <w:marRight w:val="0"/>
      <w:marTop w:val="0"/>
      <w:marBottom w:val="0"/>
      <w:divBdr>
        <w:top w:val="none" w:sz="0" w:space="0" w:color="auto"/>
        <w:left w:val="none" w:sz="0" w:space="0" w:color="auto"/>
        <w:bottom w:val="none" w:sz="0" w:space="0" w:color="auto"/>
        <w:right w:val="none" w:sz="0" w:space="0" w:color="auto"/>
      </w:divBdr>
    </w:div>
    <w:div w:id="784470342">
      <w:bodyDiv w:val="1"/>
      <w:marLeft w:val="0"/>
      <w:marRight w:val="0"/>
      <w:marTop w:val="0"/>
      <w:marBottom w:val="0"/>
      <w:divBdr>
        <w:top w:val="none" w:sz="0" w:space="0" w:color="auto"/>
        <w:left w:val="none" w:sz="0" w:space="0" w:color="auto"/>
        <w:bottom w:val="none" w:sz="0" w:space="0" w:color="auto"/>
        <w:right w:val="none" w:sz="0" w:space="0" w:color="auto"/>
      </w:divBdr>
    </w:div>
    <w:div w:id="794056524">
      <w:bodyDiv w:val="1"/>
      <w:marLeft w:val="0"/>
      <w:marRight w:val="0"/>
      <w:marTop w:val="0"/>
      <w:marBottom w:val="0"/>
      <w:divBdr>
        <w:top w:val="none" w:sz="0" w:space="0" w:color="auto"/>
        <w:left w:val="none" w:sz="0" w:space="0" w:color="auto"/>
        <w:bottom w:val="none" w:sz="0" w:space="0" w:color="auto"/>
        <w:right w:val="none" w:sz="0" w:space="0" w:color="auto"/>
      </w:divBdr>
    </w:div>
    <w:div w:id="794448611">
      <w:bodyDiv w:val="1"/>
      <w:marLeft w:val="0"/>
      <w:marRight w:val="0"/>
      <w:marTop w:val="0"/>
      <w:marBottom w:val="0"/>
      <w:divBdr>
        <w:top w:val="none" w:sz="0" w:space="0" w:color="auto"/>
        <w:left w:val="none" w:sz="0" w:space="0" w:color="auto"/>
        <w:bottom w:val="none" w:sz="0" w:space="0" w:color="auto"/>
        <w:right w:val="none" w:sz="0" w:space="0" w:color="auto"/>
      </w:divBdr>
    </w:div>
    <w:div w:id="795412036">
      <w:bodyDiv w:val="1"/>
      <w:marLeft w:val="0"/>
      <w:marRight w:val="0"/>
      <w:marTop w:val="0"/>
      <w:marBottom w:val="0"/>
      <w:divBdr>
        <w:top w:val="none" w:sz="0" w:space="0" w:color="auto"/>
        <w:left w:val="none" w:sz="0" w:space="0" w:color="auto"/>
        <w:bottom w:val="none" w:sz="0" w:space="0" w:color="auto"/>
        <w:right w:val="none" w:sz="0" w:space="0" w:color="auto"/>
      </w:divBdr>
    </w:div>
    <w:div w:id="808863050">
      <w:bodyDiv w:val="1"/>
      <w:marLeft w:val="0"/>
      <w:marRight w:val="0"/>
      <w:marTop w:val="0"/>
      <w:marBottom w:val="0"/>
      <w:divBdr>
        <w:top w:val="none" w:sz="0" w:space="0" w:color="auto"/>
        <w:left w:val="none" w:sz="0" w:space="0" w:color="auto"/>
        <w:bottom w:val="none" w:sz="0" w:space="0" w:color="auto"/>
        <w:right w:val="none" w:sz="0" w:space="0" w:color="auto"/>
      </w:divBdr>
    </w:div>
    <w:div w:id="818225686">
      <w:bodyDiv w:val="1"/>
      <w:marLeft w:val="0"/>
      <w:marRight w:val="0"/>
      <w:marTop w:val="0"/>
      <w:marBottom w:val="0"/>
      <w:divBdr>
        <w:top w:val="none" w:sz="0" w:space="0" w:color="auto"/>
        <w:left w:val="none" w:sz="0" w:space="0" w:color="auto"/>
        <w:bottom w:val="none" w:sz="0" w:space="0" w:color="auto"/>
        <w:right w:val="none" w:sz="0" w:space="0" w:color="auto"/>
      </w:divBdr>
    </w:div>
    <w:div w:id="827550401">
      <w:bodyDiv w:val="1"/>
      <w:marLeft w:val="0"/>
      <w:marRight w:val="0"/>
      <w:marTop w:val="0"/>
      <w:marBottom w:val="0"/>
      <w:divBdr>
        <w:top w:val="none" w:sz="0" w:space="0" w:color="auto"/>
        <w:left w:val="none" w:sz="0" w:space="0" w:color="auto"/>
        <w:bottom w:val="none" w:sz="0" w:space="0" w:color="auto"/>
        <w:right w:val="none" w:sz="0" w:space="0" w:color="auto"/>
      </w:divBdr>
    </w:div>
    <w:div w:id="837816072">
      <w:bodyDiv w:val="1"/>
      <w:marLeft w:val="0"/>
      <w:marRight w:val="0"/>
      <w:marTop w:val="0"/>
      <w:marBottom w:val="0"/>
      <w:divBdr>
        <w:top w:val="none" w:sz="0" w:space="0" w:color="auto"/>
        <w:left w:val="none" w:sz="0" w:space="0" w:color="auto"/>
        <w:bottom w:val="none" w:sz="0" w:space="0" w:color="auto"/>
        <w:right w:val="none" w:sz="0" w:space="0" w:color="auto"/>
      </w:divBdr>
    </w:div>
    <w:div w:id="843786591">
      <w:bodyDiv w:val="1"/>
      <w:marLeft w:val="0"/>
      <w:marRight w:val="0"/>
      <w:marTop w:val="0"/>
      <w:marBottom w:val="0"/>
      <w:divBdr>
        <w:top w:val="none" w:sz="0" w:space="0" w:color="auto"/>
        <w:left w:val="none" w:sz="0" w:space="0" w:color="auto"/>
        <w:bottom w:val="none" w:sz="0" w:space="0" w:color="auto"/>
        <w:right w:val="none" w:sz="0" w:space="0" w:color="auto"/>
      </w:divBdr>
    </w:div>
    <w:div w:id="871841402">
      <w:bodyDiv w:val="1"/>
      <w:marLeft w:val="0"/>
      <w:marRight w:val="0"/>
      <w:marTop w:val="0"/>
      <w:marBottom w:val="0"/>
      <w:divBdr>
        <w:top w:val="none" w:sz="0" w:space="0" w:color="auto"/>
        <w:left w:val="none" w:sz="0" w:space="0" w:color="auto"/>
        <w:bottom w:val="none" w:sz="0" w:space="0" w:color="auto"/>
        <w:right w:val="none" w:sz="0" w:space="0" w:color="auto"/>
      </w:divBdr>
    </w:div>
    <w:div w:id="872887799">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29897493">
      <w:bodyDiv w:val="1"/>
      <w:marLeft w:val="0"/>
      <w:marRight w:val="0"/>
      <w:marTop w:val="0"/>
      <w:marBottom w:val="0"/>
      <w:divBdr>
        <w:top w:val="none" w:sz="0" w:space="0" w:color="auto"/>
        <w:left w:val="none" w:sz="0" w:space="0" w:color="auto"/>
        <w:bottom w:val="none" w:sz="0" w:space="0" w:color="auto"/>
        <w:right w:val="none" w:sz="0" w:space="0" w:color="auto"/>
      </w:divBdr>
    </w:div>
    <w:div w:id="951860181">
      <w:bodyDiv w:val="1"/>
      <w:marLeft w:val="0"/>
      <w:marRight w:val="0"/>
      <w:marTop w:val="0"/>
      <w:marBottom w:val="0"/>
      <w:divBdr>
        <w:top w:val="none" w:sz="0" w:space="0" w:color="auto"/>
        <w:left w:val="none" w:sz="0" w:space="0" w:color="auto"/>
        <w:bottom w:val="none" w:sz="0" w:space="0" w:color="auto"/>
        <w:right w:val="none" w:sz="0" w:space="0" w:color="auto"/>
      </w:divBdr>
    </w:div>
    <w:div w:id="954361549">
      <w:bodyDiv w:val="1"/>
      <w:marLeft w:val="0"/>
      <w:marRight w:val="0"/>
      <w:marTop w:val="0"/>
      <w:marBottom w:val="0"/>
      <w:divBdr>
        <w:top w:val="none" w:sz="0" w:space="0" w:color="auto"/>
        <w:left w:val="none" w:sz="0" w:space="0" w:color="auto"/>
        <w:bottom w:val="none" w:sz="0" w:space="0" w:color="auto"/>
        <w:right w:val="none" w:sz="0" w:space="0" w:color="auto"/>
      </w:divBdr>
    </w:div>
    <w:div w:id="969289662">
      <w:bodyDiv w:val="1"/>
      <w:marLeft w:val="0"/>
      <w:marRight w:val="0"/>
      <w:marTop w:val="0"/>
      <w:marBottom w:val="0"/>
      <w:divBdr>
        <w:top w:val="none" w:sz="0" w:space="0" w:color="auto"/>
        <w:left w:val="none" w:sz="0" w:space="0" w:color="auto"/>
        <w:bottom w:val="none" w:sz="0" w:space="0" w:color="auto"/>
        <w:right w:val="none" w:sz="0" w:space="0" w:color="auto"/>
      </w:divBdr>
    </w:div>
    <w:div w:id="978926240">
      <w:bodyDiv w:val="1"/>
      <w:marLeft w:val="0"/>
      <w:marRight w:val="0"/>
      <w:marTop w:val="0"/>
      <w:marBottom w:val="0"/>
      <w:divBdr>
        <w:top w:val="none" w:sz="0" w:space="0" w:color="auto"/>
        <w:left w:val="none" w:sz="0" w:space="0" w:color="auto"/>
        <w:bottom w:val="none" w:sz="0" w:space="0" w:color="auto"/>
        <w:right w:val="none" w:sz="0" w:space="0" w:color="auto"/>
      </w:divBdr>
    </w:div>
    <w:div w:id="981157448">
      <w:bodyDiv w:val="1"/>
      <w:marLeft w:val="0"/>
      <w:marRight w:val="0"/>
      <w:marTop w:val="0"/>
      <w:marBottom w:val="0"/>
      <w:divBdr>
        <w:top w:val="none" w:sz="0" w:space="0" w:color="auto"/>
        <w:left w:val="none" w:sz="0" w:space="0" w:color="auto"/>
        <w:bottom w:val="none" w:sz="0" w:space="0" w:color="auto"/>
        <w:right w:val="none" w:sz="0" w:space="0" w:color="auto"/>
      </w:divBdr>
    </w:div>
    <w:div w:id="986278739">
      <w:bodyDiv w:val="1"/>
      <w:marLeft w:val="0"/>
      <w:marRight w:val="0"/>
      <w:marTop w:val="0"/>
      <w:marBottom w:val="0"/>
      <w:divBdr>
        <w:top w:val="none" w:sz="0" w:space="0" w:color="auto"/>
        <w:left w:val="none" w:sz="0" w:space="0" w:color="auto"/>
        <w:bottom w:val="none" w:sz="0" w:space="0" w:color="auto"/>
        <w:right w:val="none" w:sz="0" w:space="0" w:color="auto"/>
      </w:divBdr>
    </w:div>
    <w:div w:id="1004624848">
      <w:bodyDiv w:val="1"/>
      <w:marLeft w:val="0"/>
      <w:marRight w:val="0"/>
      <w:marTop w:val="0"/>
      <w:marBottom w:val="0"/>
      <w:divBdr>
        <w:top w:val="none" w:sz="0" w:space="0" w:color="auto"/>
        <w:left w:val="none" w:sz="0" w:space="0" w:color="auto"/>
        <w:bottom w:val="none" w:sz="0" w:space="0" w:color="auto"/>
        <w:right w:val="none" w:sz="0" w:space="0" w:color="auto"/>
      </w:divBdr>
    </w:div>
    <w:div w:id="1020472008">
      <w:bodyDiv w:val="1"/>
      <w:marLeft w:val="0"/>
      <w:marRight w:val="0"/>
      <w:marTop w:val="0"/>
      <w:marBottom w:val="0"/>
      <w:divBdr>
        <w:top w:val="none" w:sz="0" w:space="0" w:color="auto"/>
        <w:left w:val="none" w:sz="0" w:space="0" w:color="auto"/>
        <w:bottom w:val="none" w:sz="0" w:space="0" w:color="auto"/>
        <w:right w:val="none" w:sz="0" w:space="0" w:color="auto"/>
      </w:divBdr>
    </w:div>
    <w:div w:id="1023560025">
      <w:bodyDiv w:val="1"/>
      <w:marLeft w:val="0"/>
      <w:marRight w:val="0"/>
      <w:marTop w:val="0"/>
      <w:marBottom w:val="0"/>
      <w:divBdr>
        <w:top w:val="none" w:sz="0" w:space="0" w:color="auto"/>
        <w:left w:val="none" w:sz="0" w:space="0" w:color="auto"/>
        <w:bottom w:val="none" w:sz="0" w:space="0" w:color="auto"/>
        <w:right w:val="none" w:sz="0" w:space="0" w:color="auto"/>
      </w:divBdr>
    </w:div>
    <w:div w:id="1036348854">
      <w:bodyDiv w:val="1"/>
      <w:marLeft w:val="0"/>
      <w:marRight w:val="0"/>
      <w:marTop w:val="0"/>
      <w:marBottom w:val="0"/>
      <w:divBdr>
        <w:top w:val="none" w:sz="0" w:space="0" w:color="auto"/>
        <w:left w:val="none" w:sz="0" w:space="0" w:color="auto"/>
        <w:bottom w:val="none" w:sz="0" w:space="0" w:color="auto"/>
        <w:right w:val="none" w:sz="0" w:space="0" w:color="auto"/>
      </w:divBdr>
    </w:div>
    <w:div w:id="1075585573">
      <w:bodyDiv w:val="1"/>
      <w:marLeft w:val="0"/>
      <w:marRight w:val="0"/>
      <w:marTop w:val="0"/>
      <w:marBottom w:val="0"/>
      <w:divBdr>
        <w:top w:val="none" w:sz="0" w:space="0" w:color="auto"/>
        <w:left w:val="none" w:sz="0" w:space="0" w:color="auto"/>
        <w:bottom w:val="none" w:sz="0" w:space="0" w:color="auto"/>
        <w:right w:val="none" w:sz="0" w:space="0" w:color="auto"/>
      </w:divBdr>
    </w:div>
    <w:div w:id="1087337820">
      <w:bodyDiv w:val="1"/>
      <w:marLeft w:val="0"/>
      <w:marRight w:val="0"/>
      <w:marTop w:val="0"/>
      <w:marBottom w:val="0"/>
      <w:divBdr>
        <w:top w:val="none" w:sz="0" w:space="0" w:color="auto"/>
        <w:left w:val="none" w:sz="0" w:space="0" w:color="auto"/>
        <w:bottom w:val="none" w:sz="0" w:space="0" w:color="auto"/>
        <w:right w:val="none" w:sz="0" w:space="0" w:color="auto"/>
      </w:divBdr>
    </w:div>
    <w:div w:id="1113088806">
      <w:bodyDiv w:val="1"/>
      <w:marLeft w:val="0"/>
      <w:marRight w:val="0"/>
      <w:marTop w:val="0"/>
      <w:marBottom w:val="0"/>
      <w:divBdr>
        <w:top w:val="none" w:sz="0" w:space="0" w:color="auto"/>
        <w:left w:val="none" w:sz="0" w:space="0" w:color="auto"/>
        <w:bottom w:val="none" w:sz="0" w:space="0" w:color="auto"/>
        <w:right w:val="none" w:sz="0" w:space="0" w:color="auto"/>
      </w:divBdr>
    </w:div>
    <w:div w:id="1116101966">
      <w:bodyDiv w:val="1"/>
      <w:marLeft w:val="0"/>
      <w:marRight w:val="0"/>
      <w:marTop w:val="0"/>
      <w:marBottom w:val="0"/>
      <w:divBdr>
        <w:top w:val="none" w:sz="0" w:space="0" w:color="auto"/>
        <w:left w:val="none" w:sz="0" w:space="0" w:color="auto"/>
        <w:bottom w:val="none" w:sz="0" w:space="0" w:color="auto"/>
        <w:right w:val="none" w:sz="0" w:space="0" w:color="auto"/>
      </w:divBdr>
    </w:div>
    <w:div w:id="1126775261">
      <w:bodyDiv w:val="1"/>
      <w:marLeft w:val="0"/>
      <w:marRight w:val="0"/>
      <w:marTop w:val="0"/>
      <w:marBottom w:val="0"/>
      <w:divBdr>
        <w:top w:val="none" w:sz="0" w:space="0" w:color="auto"/>
        <w:left w:val="none" w:sz="0" w:space="0" w:color="auto"/>
        <w:bottom w:val="none" w:sz="0" w:space="0" w:color="auto"/>
        <w:right w:val="none" w:sz="0" w:space="0" w:color="auto"/>
      </w:divBdr>
    </w:div>
    <w:div w:id="1137649707">
      <w:bodyDiv w:val="1"/>
      <w:marLeft w:val="0"/>
      <w:marRight w:val="0"/>
      <w:marTop w:val="0"/>
      <w:marBottom w:val="0"/>
      <w:divBdr>
        <w:top w:val="none" w:sz="0" w:space="0" w:color="auto"/>
        <w:left w:val="none" w:sz="0" w:space="0" w:color="auto"/>
        <w:bottom w:val="none" w:sz="0" w:space="0" w:color="auto"/>
        <w:right w:val="none" w:sz="0" w:space="0" w:color="auto"/>
      </w:divBdr>
    </w:div>
    <w:div w:id="1137989090">
      <w:bodyDiv w:val="1"/>
      <w:marLeft w:val="0"/>
      <w:marRight w:val="0"/>
      <w:marTop w:val="0"/>
      <w:marBottom w:val="0"/>
      <w:divBdr>
        <w:top w:val="none" w:sz="0" w:space="0" w:color="auto"/>
        <w:left w:val="none" w:sz="0" w:space="0" w:color="auto"/>
        <w:bottom w:val="none" w:sz="0" w:space="0" w:color="auto"/>
        <w:right w:val="none" w:sz="0" w:space="0" w:color="auto"/>
      </w:divBdr>
    </w:div>
    <w:div w:id="1139570768">
      <w:bodyDiv w:val="1"/>
      <w:marLeft w:val="0"/>
      <w:marRight w:val="0"/>
      <w:marTop w:val="0"/>
      <w:marBottom w:val="0"/>
      <w:divBdr>
        <w:top w:val="none" w:sz="0" w:space="0" w:color="auto"/>
        <w:left w:val="none" w:sz="0" w:space="0" w:color="auto"/>
        <w:bottom w:val="none" w:sz="0" w:space="0" w:color="auto"/>
        <w:right w:val="none" w:sz="0" w:space="0" w:color="auto"/>
      </w:divBdr>
    </w:div>
    <w:div w:id="1141532684">
      <w:bodyDiv w:val="1"/>
      <w:marLeft w:val="0"/>
      <w:marRight w:val="0"/>
      <w:marTop w:val="0"/>
      <w:marBottom w:val="0"/>
      <w:divBdr>
        <w:top w:val="none" w:sz="0" w:space="0" w:color="auto"/>
        <w:left w:val="none" w:sz="0" w:space="0" w:color="auto"/>
        <w:bottom w:val="none" w:sz="0" w:space="0" w:color="auto"/>
        <w:right w:val="none" w:sz="0" w:space="0" w:color="auto"/>
      </w:divBdr>
    </w:div>
    <w:div w:id="1148519829">
      <w:bodyDiv w:val="1"/>
      <w:marLeft w:val="0"/>
      <w:marRight w:val="0"/>
      <w:marTop w:val="0"/>
      <w:marBottom w:val="0"/>
      <w:divBdr>
        <w:top w:val="none" w:sz="0" w:space="0" w:color="auto"/>
        <w:left w:val="none" w:sz="0" w:space="0" w:color="auto"/>
        <w:bottom w:val="none" w:sz="0" w:space="0" w:color="auto"/>
        <w:right w:val="none" w:sz="0" w:space="0" w:color="auto"/>
      </w:divBdr>
    </w:div>
    <w:div w:id="1168520090">
      <w:bodyDiv w:val="1"/>
      <w:marLeft w:val="0"/>
      <w:marRight w:val="0"/>
      <w:marTop w:val="0"/>
      <w:marBottom w:val="0"/>
      <w:divBdr>
        <w:top w:val="none" w:sz="0" w:space="0" w:color="auto"/>
        <w:left w:val="none" w:sz="0" w:space="0" w:color="auto"/>
        <w:bottom w:val="none" w:sz="0" w:space="0" w:color="auto"/>
        <w:right w:val="none" w:sz="0" w:space="0" w:color="auto"/>
      </w:divBdr>
    </w:div>
    <w:div w:id="1186094208">
      <w:bodyDiv w:val="1"/>
      <w:marLeft w:val="0"/>
      <w:marRight w:val="0"/>
      <w:marTop w:val="0"/>
      <w:marBottom w:val="0"/>
      <w:divBdr>
        <w:top w:val="none" w:sz="0" w:space="0" w:color="auto"/>
        <w:left w:val="none" w:sz="0" w:space="0" w:color="auto"/>
        <w:bottom w:val="none" w:sz="0" w:space="0" w:color="auto"/>
        <w:right w:val="none" w:sz="0" w:space="0" w:color="auto"/>
      </w:divBdr>
    </w:div>
    <w:div w:id="1188447024">
      <w:bodyDiv w:val="1"/>
      <w:marLeft w:val="0"/>
      <w:marRight w:val="0"/>
      <w:marTop w:val="0"/>
      <w:marBottom w:val="0"/>
      <w:divBdr>
        <w:top w:val="none" w:sz="0" w:space="0" w:color="auto"/>
        <w:left w:val="none" w:sz="0" w:space="0" w:color="auto"/>
        <w:bottom w:val="none" w:sz="0" w:space="0" w:color="auto"/>
        <w:right w:val="none" w:sz="0" w:space="0" w:color="auto"/>
      </w:divBdr>
    </w:div>
    <w:div w:id="1191996852">
      <w:bodyDiv w:val="1"/>
      <w:marLeft w:val="0"/>
      <w:marRight w:val="0"/>
      <w:marTop w:val="0"/>
      <w:marBottom w:val="0"/>
      <w:divBdr>
        <w:top w:val="none" w:sz="0" w:space="0" w:color="auto"/>
        <w:left w:val="none" w:sz="0" w:space="0" w:color="auto"/>
        <w:bottom w:val="none" w:sz="0" w:space="0" w:color="auto"/>
        <w:right w:val="none" w:sz="0" w:space="0" w:color="auto"/>
      </w:divBdr>
    </w:div>
    <w:div w:id="1204556217">
      <w:bodyDiv w:val="1"/>
      <w:marLeft w:val="0"/>
      <w:marRight w:val="0"/>
      <w:marTop w:val="0"/>
      <w:marBottom w:val="0"/>
      <w:divBdr>
        <w:top w:val="none" w:sz="0" w:space="0" w:color="auto"/>
        <w:left w:val="none" w:sz="0" w:space="0" w:color="auto"/>
        <w:bottom w:val="none" w:sz="0" w:space="0" w:color="auto"/>
        <w:right w:val="none" w:sz="0" w:space="0" w:color="auto"/>
      </w:divBdr>
    </w:div>
    <w:div w:id="1228226255">
      <w:bodyDiv w:val="1"/>
      <w:marLeft w:val="0"/>
      <w:marRight w:val="0"/>
      <w:marTop w:val="0"/>
      <w:marBottom w:val="0"/>
      <w:divBdr>
        <w:top w:val="none" w:sz="0" w:space="0" w:color="auto"/>
        <w:left w:val="none" w:sz="0" w:space="0" w:color="auto"/>
        <w:bottom w:val="none" w:sz="0" w:space="0" w:color="auto"/>
        <w:right w:val="none" w:sz="0" w:space="0" w:color="auto"/>
      </w:divBdr>
    </w:div>
    <w:div w:id="1247957621">
      <w:bodyDiv w:val="1"/>
      <w:marLeft w:val="0"/>
      <w:marRight w:val="0"/>
      <w:marTop w:val="0"/>
      <w:marBottom w:val="0"/>
      <w:divBdr>
        <w:top w:val="none" w:sz="0" w:space="0" w:color="auto"/>
        <w:left w:val="none" w:sz="0" w:space="0" w:color="auto"/>
        <w:bottom w:val="none" w:sz="0" w:space="0" w:color="auto"/>
        <w:right w:val="none" w:sz="0" w:space="0" w:color="auto"/>
      </w:divBdr>
    </w:div>
    <w:div w:id="1258371604">
      <w:bodyDiv w:val="1"/>
      <w:marLeft w:val="0"/>
      <w:marRight w:val="0"/>
      <w:marTop w:val="0"/>
      <w:marBottom w:val="0"/>
      <w:divBdr>
        <w:top w:val="none" w:sz="0" w:space="0" w:color="auto"/>
        <w:left w:val="none" w:sz="0" w:space="0" w:color="auto"/>
        <w:bottom w:val="none" w:sz="0" w:space="0" w:color="auto"/>
        <w:right w:val="none" w:sz="0" w:space="0" w:color="auto"/>
      </w:divBdr>
    </w:div>
    <w:div w:id="1264456478">
      <w:bodyDiv w:val="1"/>
      <w:marLeft w:val="0"/>
      <w:marRight w:val="0"/>
      <w:marTop w:val="0"/>
      <w:marBottom w:val="0"/>
      <w:divBdr>
        <w:top w:val="none" w:sz="0" w:space="0" w:color="auto"/>
        <w:left w:val="none" w:sz="0" w:space="0" w:color="auto"/>
        <w:bottom w:val="none" w:sz="0" w:space="0" w:color="auto"/>
        <w:right w:val="none" w:sz="0" w:space="0" w:color="auto"/>
      </w:divBdr>
    </w:div>
    <w:div w:id="1281187854">
      <w:bodyDiv w:val="1"/>
      <w:marLeft w:val="0"/>
      <w:marRight w:val="0"/>
      <w:marTop w:val="0"/>
      <w:marBottom w:val="0"/>
      <w:divBdr>
        <w:top w:val="none" w:sz="0" w:space="0" w:color="auto"/>
        <w:left w:val="none" w:sz="0" w:space="0" w:color="auto"/>
        <w:bottom w:val="none" w:sz="0" w:space="0" w:color="auto"/>
        <w:right w:val="none" w:sz="0" w:space="0" w:color="auto"/>
      </w:divBdr>
    </w:div>
    <w:div w:id="1284730199">
      <w:bodyDiv w:val="1"/>
      <w:marLeft w:val="0"/>
      <w:marRight w:val="0"/>
      <w:marTop w:val="0"/>
      <w:marBottom w:val="0"/>
      <w:divBdr>
        <w:top w:val="none" w:sz="0" w:space="0" w:color="auto"/>
        <w:left w:val="none" w:sz="0" w:space="0" w:color="auto"/>
        <w:bottom w:val="none" w:sz="0" w:space="0" w:color="auto"/>
        <w:right w:val="none" w:sz="0" w:space="0" w:color="auto"/>
      </w:divBdr>
      <w:divsChild>
        <w:div w:id="1145508570">
          <w:marLeft w:val="0"/>
          <w:marRight w:val="0"/>
          <w:marTop w:val="0"/>
          <w:marBottom w:val="0"/>
          <w:divBdr>
            <w:top w:val="none" w:sz="0" w:space="0" w:color="auto"/>
            <w:left w:val="none" w:sz="0" w:space="0" w:color="auto"/>
            <w:bottom w:val="none" w:sz="0" w:space="0" w:color="auto"/>
            <w:right w:val="none" w:sz="0" w:space="0" w:color="auto"/>
          </w:divBdr>
        </w:div>
      </w:divsChild>
    </w:div>
    <w:div w:id="1286304710">
      <w:bodyDiv w:val="1"/>
      <w:marLeft w:val="0"/>
      <w:marRight w:val="0"/>
      <w:marTop w:val="0"/>
      <w:marBottom w:val="0"/>
      <w:divBdr>
        <w:top w:val="none" w:sz="0" w:space="0" w:color="auto"/>
        <w:left w:val="none" w:sz="0" w:space="0" w:color="auto"/>
        <w:bottom w:val="none" w:sz="0" w:space="0" w:color="auto"/>
        <w:right w:val="none" w:sz="0" w:space="0" w:color="auto"/>
      </w:divBdr>
    </w:div>
    <w:div w:id="1290012006">
      <w:bodyDiv w:val="1"/>
      <w:marLeft w:val="0"/>
      <w:marRight w:val="0"/>
      <w:marTop w:val="0"/>
      <w:marBottom w:val="0"/>
      <w:divBdr>
        <w:top w:val="none" w:sz="0" w:space="0" w:color="auto"/>
        <w:left w:val="none" w:sz="0" w:space="0" w:color="auto"/>
        <w:bottom w:val="none" w:sz="0" w:space="0" w:color="auto"/>
        <w:right w:val="none" w:sz="0" w:space="0" w:color="auto"/>
      </w:divBdr>
    </w:div>
    <w:div w:id="1291471447">
      <w:bodyDiv w:val="1"/>
      <w:marLeft w:val="0"/>
      <w:marRight w:val="0"/>
      <w:marTop w:val="0"/>
      <w:marBottom w:val="0"/>
      <w:divBdr>
        <w:top w:val="none" w:sz="0" w:space="0" w:color="auto"/>
        <w:left w:val="none" w:sz="0" w:space="0" w:color="auto"/>
        <w:bottom w:val="none" w:sz="0" w:space="0" w:color="auto"/>
        <w:right w:val="none" w:sz="0" w:space="0" w:color="auto"/>
      </w:divBdr>
    </w:div>
    <w:div w:id="1294099202">
      <w:bodyDiv w:val="1"/>
      <w:marLeft w:val="0"/>
      <w:marRight w:val="0"/>
      <w:marTop w:val="0"/>
      <w:marBottom w:val="0"/>
      <w:divBdr>
        <w:top w:val="none" w:sz="0" w:space="0" w:color="auto"/>
        <w:left w:val="none" w:sz="0" w:space="0" w:color="auto"/>
        <w:bottom w:val="none" w:sz="0" w:space="0" w:color="auto"/>
        <w:right w:val="none" w:sz="0" w:space="0" w:color="auto"/>
      </w:divBdr>
    </w:div>
    <w:div w:id="1303657418">
      <w:bodyDiv w:val="1"/>
      <w:marLeft w:val="0"/>
      <w:marRight w:val="0"/>
      <w:marTop w:val="0"/>
      <w:marBottom w:val="0"/>
      <w:divBdr>
        <w:top w:val="none" w:sz="0" w:space="0" w:color="auto"/>
        <w:left w:val="none" w:sz="0" w:space="0" w:color="auto"/>
        <w:bottom w:val="none" w:sz="0" w:space="0" w:color="auto"/>
        <w:right w:val="none" w:sz="0" w:space="0" w:color="auto"/>
      </w:divBdr>
    </w:div>
    <w:div w:id="1306004023">
      <w:bodyDiv w:val="1"/>
      <w:marLeft w:val="0"/>
      <w:marRight w:val="0"/>
      <w:marTop w:val="0"/>
      <w:marBottom w:val="0"/>
      <w:divBdr>
        <w:top w:val="none" w:sz="0" w:space="0" w:color="auto"/>
        <w:left w:val="none" w:sz="0" w:space="0" w:color="auto"/>
        <w:bottom w:val="none" w:sz="0" w:space="0" w:color="auto"/>
        <w:right w:val="none" w:sz="0" w:space="0" w:color="auto"/>
      </w:divBdr>
    </w:div>
    <w:div w:id="1329333110">
      <w:bodyDiv w:val="1"/>
      <w:marLeft w:val="0"/>
      <w:marRight w:val="0"/>
      <w:marTop w:val="0"/>
      <w:marBottom w:val="0"/>
      <w:divBdr>
        <w:top w:val="none" w:sz="0" w:space="0" w:color="auto"/>
        <w:left w:val="none" w:sz="0" w:space="0" w:color="auto"/>
        <w:bottom w:val="none" w:sz="0" w:space="0" w:color="auto"/>
        <w:right w:val="none" w:sz="0" w:space="0" w:color="auto"/>
      </w:divBdr>
    </w:div>
    <w:div w:id="1345014535">
      <w:bodyDiv w:val="1"/>
      <w:marLeft w:val="0"/>
      <w:marRight w:val="0"/>
      <w:marTop w:val="0"/>
      <w:marBottom w:val="0"/>
      <w:divBdr>
        <w:top w:val="none" w:sz="0" w:space="0" w:color="auto"/>
        <w:left w:val="none" w:sz="0" w:space="0" w:color="auto"/>
        <w:bottom w:val="none" w:sz="0" w:space="0" w:color="auto"/>
        <w:right w:val="none" w:sz="0" w:space="0" w:color="auto"/>
      </w:divBdr>
    </w:div>
    <w:div w:id="1374502724">
      <w:bodyDiv w:val="1"/>
      <w:marLeft w:val="0"/>
      <w:marRight w:val="0"/>
      <w:marTop w:val="0"/>
      <w:marBottom w:val="0"/>
      <w:divBdr>
        <w:top w:val="none" w:sz="0" w:space="0" w:color="auto"/>
        <w:left w:val="none" w:sz="0" w:space="0" w:color="auto"/>
        <w:bottom w:val="none" w:sz="0" w:space="0" w:color="auto"/>
        <w:right w:val="none" w:sz="0" w:space="0" w:color="auto"/>
      </w:divBdr>
    </w:div>
    <w:div w:id="1389500110">
      <w:bodyDiv w:val="1"/>
      <w:marLeft w:val="0"/>
      <w:marRight w:val="0"/>
      <w:marTop w:val="0"/>
      <w:marBottom w:val="0"/>
      <w:divBdr>
        <w:top w:val="none" w:sz="0" w:space="0" w:color="auto"/>
        <w:left w:val="none" w:sz="0" w:space="0" w:color="auto"/>
        <w:bottom w:val="none" w:sz="0" w:space="0" w:color="auto"/>
        <w:right w:val="none" w:sz="0" w:space="0" w:color="auto"/>
      </w:divBdr>
    </w:div>
    <w:div w:id="1393851082">
      <w:bodyDiv w:val="1"/>
      <w:marLeft w:val="0"/>
      <w:marRight w:val="0"/>
      <w:marTop w:val="0"/>
      <w:marBottom w:val="0"/>
      <w:divBdr>
        <w:top w:val="none" w:sz="0" w:space="0" w:color="auto"/>
        <w:left w:val="none" w:sz="0" w:space="0" w:color="auto"/>
        <w:bottom w:val="none" w:sz="0" w:space="0" w:color="auto"/>
        <w:right w:val="none" w:sz="0" w:space="0" w:color="auto"/>
      </w:divBdr>
    </w:div>
    <w:div w:id="1417826655">
      <w:bodyDiv w:val="1"/>
      <w:marLeft w:val="0"/>
      <w:marRight w:val="0"/>
      <w:marTop w:val="0"/>
      <w:marBottom w:val="0"/>
      <w:divBdr>
        <w:top w:val="none" w:sz="0" w:space="0" w:color="auto"/>
        <w:left w:val="none" w:sz="0" w:space="0" w:color="auto"/>
        <w:bottom w:val="none" w:sz="0" w:space="0" w:color="auto"/>
        <w:right w:val="none" w:sz="0" w:space="0" w:color="auto"/>
      </w:divBdr>
    </w:div>
    <w:div w:id="1418331594">
      <w:bodyDiv w:val="1"/>
      <w:marLeft w:val="0"/>
      <w:marRight w:val="0"/>
      <w:marTop w:val="0"/>
      <w:marBottom w:val="0"/>
      <w:divBdr>
        <w:top w:val="none" w:sz="0" w:space="0" w:color="auto"/>
        <w:left w:val="none" w:sz="0" w:space="0" w:color="auto"/>
        <w:bottom w:val="none" w:sz="0" w:space="0" w:color="auto"/>
        <w:right w:val="none" w:sz="0" w:space="0" w:color="auto"/>
      </w:divBdr>
    </w:div>
    <w:div w:id="1418671181">
      <w:bodyDiv w:val="1"/>
      <w:marLeft w:val="0"/>
      <w:marRight w:val="0"/>
      <w:marTop w:val="0"/>
      <w:marBottom w:val="0"/>
      <w:divBdr>
        <w:top w:val="none" w:sz="0" w:space="0" w:color="auto"/>
        <w:left w:val="none" w:sz="0" w:space="0" w:color="auto"/>
        <w:bottom w:val="none" w:sz="0" w:space="0" w:color="auto"/>
        <w:right w:val="none" w:sz="0" w:space="0" w:color="auto"/>
      </w:divBdr>
    </w:div>
    <w:div w:id="1420636033">
      <w:bodyDiv w:val="1"/>
      <w:marLeft w:val="0"/>
      <w:marRight w:val="0"/>
      <w:marTop w:val="0"/>
      <w:marBottom w:val="0"/>
      <w:divBdr>
        <w:top w:val="none" w:sz="0" w:space="0" w:color="auto"/>
        <w:left w:val="none" w:sz="0" w:space="0" w:color="auto"/>
        <w:bottom w:val="none" w:sz="0" w:space="0" w:color="auto"/>
        <w:right w:val="none" w:sz="0" w:space="0" w:color="auto"/>
      </w:divBdr>
    </w:div>
    <w:div w:id="1431854401">
      <w:bodyDiv w:val="1"/>
      <w:marLeft w:val="0"/>
      <w:marRight w:val="0"/>
      <w:marTop w:val="0"/>
      <w:marBottom w:val="0"/>
      <w:divBdr>
        <w:top w:val="none" w:sz="0" w:space="0" w:color="auto"/>
        <w:left w:val="none" w:sz="0" w:space="0" w:color="auto"/>
        <w:bottom w:val="none" w:sz="0" w:space="0" w:color="auto"/>
        <w:right w:val="none" w:sz="0" w:space="0" w:color="auto"/>
      </w:divBdr>
    </w:div>
    <w:div w:id="1441337993">
      <w:bodyDiv w:val="1"/>
      <w:marLeft w:val="0"/>
      <w:marRight w:val="0"/>
      <w:marTop w:val="0"/>
      <w:marBottom w:val="0"/>
      <w:divBdr>
        <w:top w:val="none" w:sz="0" w:space="0" w:color="auto"/>
        <w:left w:val="none" w:sz="0" w:space="0" w:color="auto"/>
        <w:bottom w:val="none" w:sz="0" w:space="0" w:color="auto"/>
        <w:right w:val="none" w:sz="0" w:space="0" w:color="auto"/>
      </w:divBdr>
    </w:div>
    <w:div w:id="1453941317">
      <w:bodyDiv w:val="1"/>
      <w:marLeft w:val="0"/>
      <w:marRight w:val="0"/>
      <w:marTop w:val="0"/>
      <w:marBottom w:val="0"/>
      <w:divBdr>
        <w:top w:val="none" w:sz="0" w:space="0" w:color="auto"/>
        <w:left w:val="none" w:sz="0" w:space="0" w:color="auto"/>
        <w:bottom w:val="none" w:sz="0" w:space="0" w:color="auto"/>
        <w:right w:val="none" w:sz="0" w:space="0" w:color="auto"/>
      </w:divBdr>
    </w:div>
    <w:div w:id="1465468064">
      <w:bodyDiv w:val="1"/>
      <w:marLeft w:val="0"/>
      <w:marRight w:val="0"/>
      <w:marTop w:val="0"/>
      <w:marBottom w:val="0"/>
      <w:divBdr>
        <w:top w:val="none" w:sz="0" w:space="0" w:color="auto"/>
        <w:left w:val="none" w:sz="0" w:space="0" w:color="auto"/>
        <w:bottom w:val="none" w:sz="0" w:space="0" w:color="auto"/>
        <w:right w:val="none" w:sz="0" w:space="0" w:color="auto"/>
      </w:divBdr>
    </w:div>
    <w:div w:id="1491024018">
      <w:bodyDiv w:val="1"/>
      <w:marLeft w:val="0"/>
      <w:marRight w:val="0"/>
      <w:marTop w:val="0"/>
      <w:marBottom w:val="0"/>
      <w:divBdr>
        <w:top w:val="none" w:sz="0" w:space="0" w:color="auto"/>
        <w:left w:val="none" w:sz="0" w:space="0" w:color="auto"/>
        <w:bottom w:val="none" w:sz="0" w:space="0" w:color="auto"/>
        <w:right w:val="none" w:sz="0" w:space="0" w:color="auto"/>
      </w:divBdr>
    </w:div>
    <w:div w:id="1508325549">
      <w:bodyDiv w:val="1"/>
      <w:marLeft w:val="0"/>
      <w:marRight w:val="0"/>
      <w:marTop w:val="0"/>
      <w:marBottom w:val="0"/>
      <w:divBdr>
        <w:top w:val="none" w:sz="0" w:space="0" w:color="auto"/>
        <w:left w:val="none" w:sz="0" w:space="0" w:color="auto"/>
        <w:bottom w:val="none" w:sz="0" w:space="0" w:color="auto"/>
        <w:right w:val="none" w:sz="0" w:space="0" w:color="auto"/>
      </w:divBdr>
    </w:div>
    <w:div w:id="1520508934">
      <w:bodyDiv w:val="1"/>
      <w:marLeft w:val="0"/>
      <w:marRight w:val="0"/>
      <w:marTop w:val="0"/>
      <w:marBottom w:val="0"/>
      <w:divBdr>
        <w:top w:val="none" w:sz="0" w:space="0" w:color="auto"/>
        <w:left w:val="none" w:sz="0" w:space="0" w:color="auto"/>
        <w:bottom w:val="none" w:sz="0" w:space="0" w:color="auto"/>
        <w:right w:val="none" w:sz="0" w:space="0" w:color="auto"/>
      </w:divBdr>
    </w:div>
    <w:div w:id="1528064249">
      <w:bodyDiv w:val="1"/>
      <w:marLeft w:val="0"/>
      <w:marRight w:val="0"/>
      <w:marTop w:val="0"/>
      <w:marBottom w:val="0"/>
      <w:divBdr>
        <w:top w:val="none" w:sz="0" w:space="0" w:color="auto"/>
        <w:left w:val="none" w:sz="0" w:space="0" w:color="auto"/>
        <w:bottom w:val="none" w:sz="0" w:space="0" w:color="auto"/>
        <w:right w:val="none" w:sz="0" w:space="0" w:color="auto"/>
      </w:divBdr>
    </w:div>
    <w:div w:id="1531340740">
      <w:bodyDiv w:val="1"/>
      <w:marLeft w:val="0"/>
      <w:marRight w:val="0"/>
      <w:marTop w:val="0"/>
      <w:marBottom w:val="0"/>
      <w:divBdr>
        <w:top w:val="none" w:sz="0" w:space="0" w:color="auto"/>
        <w:left w:val="none" w:sz="0" w:space="0" w:color="auto"/>
        <w:bottom w:val="none" w:sz="0" w:space="0" w:color="auto"/>
        <w:right w:val="none" w:sz="0" w:space="0" w:color="auto"/>
      </w:divBdr>
    </w:div>
    <w:div w:id="1551454900">
      <w:bodyDiv w:val="1"/>
      <w:marLeft w:val="0"/>
      <w:marRight w:val="0"/>
      <w:marTop w:val="0"/>
      <w:marBottom w:val="0"/>
      <w:divBdr>
        <w:top w:val="none" w:sz="0" w:space="0" w:color="auto"/>
        <w:left w:val="none" w:sz="0" w:space="0" w:color="auto"/>
        <w:bottom w:val="none" w:sz="0" w:space="0" w:color="auto"/>
        <w:right w:val="none" w:sz="0" w:space="0" w:color="auto"/>
      </w:divBdr>
    </w:div>
    <w:div w:id="1572808155">
      <w:bodyDiv w:val="1"/>
      <w:marLeft w:val="0"/>
      <w:marRight w:val="0"/>
      <w:marTop w:val="0"/>
      <w:marBottom w:val="0"/>
      <w:divBdr>
        <w:top w:val="none" w:sz="0" w:space="0" w:color="auto"/>
        <w:left w:val="none" w:sz="0" w:space="0" w:color="auto"/>
        <w:bottom w:val="none" w:sz="0" w:space="0" w:color="auto"/>
        <w:right w:val="none" w:sz="0" w:space="0" w:color="auto"/>
      </w:divBdr>
    </w:div>
    <w:div w:id="1577662271">
      <w:bodyDiv w:val="1"/>
      <w:marLeft w:val="0"/>
      <w:marRight w:val="0"/>
      <w:marTop w:val="0"/>
      <w:marBottom w:val="0"/>
      <w:divBdr>
        <w:top w:val="none" w:sz="0" w:space="0" w:color="auto"/>
        <w:left w:val="none" w:sz="0" w:space="0" w:color="auto"/>
        <w:bottom w:val="none" w:sz="0" w:space="0" w:color="auto"/>
        <w:right w:val="none" w:sz="0" w:space="0" w:color="auto"/>
      </w:divBdr>
    </w:div>
    <w:div w:id="1600915697">
      <w:bodyDiv w:val="1"/>
      <w:marLeft w:val="0"/>
      <w:marRight w:val="0"/>
      <w:marTop w:val="0"/>
      <w:marBottom w:val="0"/>
      <w:divBdr>
        <w:top w:val="none" w:sz="0" w:space="0" w:color="auto"/>
        <w:left w:val="none" w:sz="0" w:space="0" w:color="auto"/>
        <w:bottom w:val="none" w:sz="0" w:space="0" w:color="auto"/>
        <w:right w:val="none" w:sz="0" w:space="0" w:color="auto"/>
      </w:divBdr>
    </w:div>
    <w:div w:id="1601912675">
      <w:bodyDiv w:val="1"/>
      <w:marLeft w:val="0"/>
      <w:marRight w:val="0"/>
      <w:marTop w:val="0"/>
      <w:marBottom w:val="0"/>
      <w:divBdr>
        <w:top w:val="none" w:sz="0" w:space="0" w:color="auto"/>
        <w:left w:val="none" w:sz="0" w:space="0" w:color="auto"/>
        <w:bottom w:val="none" w:sz="0" w:space="0" w:color="auto"/>
        <w:right w:val="none" w:sz="0" w:space="0" w:color="auto"/>
      </w:divBdr>
    </w:div>
    <w:div w:id="1603031883">
      <w:bodyDiv w:val="1"/>
      <w:marLeft w:val="0"/>
      <w:marRight w:val="0"/>
      <w:marTop w:val="0"/>
      <w:marBottom w:val="0"/>
      <w:divBdr>
        <w:top w:val="none" w:sz="0" w:space="0" w:color="auto"/>
        <w:left w:val="none" w:sz="0" w:space="0" w:color="auto"/>
        <w:bottom w:val="none" w:sz="0" w:space="0" w:color="auto"/>
        <w:right w:val="none" w:sz="0" w:space="0" w:color="auto"/>
      </w:divBdr>
    </w:div>
    <w:div w:id="1619406961">
      <w:bodyDiv w:val="1"/>
      <w:marLeft w:val="0"/>
      <w:marRight w:val="0"/>
      <w:marTop w:val="0"/>
      <w:marBottom w:val="0"/>
      <w:divBdr>
        <w:top w:val="none" w:sz="0" w:space="0" w:color="auto"/>
        <w:left w:val="none" w:sz="0" w:space="0" w:color="auto"/>
        <w:bottom w:val="none" w:sz="0" w:space="0" w:color="auto"/>
        <w:right w:val="none" w:sz="0" w:space="0" w:color="auto"/>
      </w:divBdr>
    </w:div>
    <w:div w:id="1628508994">
      <w:bodyDiv w:val="1"/>
      <w:marLeft w:val="0"/>
      <w:marRight w:val="0"/>
      <w:marTop w:val="0"/>
      <w:marBottom w:val="0"/>
      <w:divBdr>
        <w:top w:val="none" w:sz="0" w:space="0" w:color="auto"/>
        <w:left w:val="none" w:sz="0" w:space="0" w:color="auto"/>
        <w:bottom w:val="none" w:sz="0" w:space="0" w:color="auto"/>
        <w:right w:val="none" w:sz="0" w:space="0" w:color="auto"/>
      </w:divBdr>
    </w:div>
    <w:div w:id="1637562346">
      <w:bodyDiv w:val="1"/>
      <w:marLeft w:val="0"/>
      <w:marRight w:val="0"/>
      <w:marTop w:val="0"/>
      <w:marBottom w:val="0"/>
      <w:divBdr>
        <w:top w:val="none" w:sz="0" w:space="0" w:color="auto"/>
        <w:left w:val="none" w:sz="0" w:space="0" w:color="auto"/>
        <w:bottom w:val="none" w:sz="0" w:space="0" w:color="auto"/>
        <w:right w:val="none" w:sz="0" w:space="0" w:color="auto"/>
      </w:divBdr>
    </w:div>
    <w:div w:id="1651253384">
      <w:bodyDiv w:val="1"/>
      <w:marLeft w:val="0"/>
      <w:marRight w:val="0"/>
      <w:marTop w:val="0"/>
      <w:marBottom w:val="0"/>
      <w:divBdr>
        <w:top w:val="none" w:sz="0" w:space="0" w:color="auto"/>
        <w:left w:val="none" w:sz="0" w:space="0" w:color="auto"/>
        <w:bottom w:val="none" w:sz="0" w:space="0" w:color="auto"/>
        <w:right w:val="none" w:sz="0" w:space="0" w:color="auto"/>
      </w:divBdr>
    </w:div>
    <w:div w:id="1652324999">
      <w:bodyDiv w:val="1"/>
      <w:marLeft w:val="0"/>
      <w:marRight w:val="0"/>
      <w:marTop w:val="0"/>
      <w:marBottom w:val="0"/>
      <w:divBdr>
        <w:top w:val="none" w:sz="0" w:space="0" w:color="auto"/>
        <w:left w:val="none" w:sz="0" w:space="0" w:color="auto"/>
        <w:bottom w:val="none" w:sz="0" w:space="0" w:color="auto"/>
        <w:right w:val="none" w:sz="0" w:space="0" w:color="auto"/>
      </w:divBdr>
    </w:div>
    <w:div w:id="1671518528">
      <w:bodyDiv w:val="1"/>
      <w:marLeft w:val="0"/>
      <w:marRight w:val="0"/>
      <w:marTop w:val="0"/>
      <w:marBottom w:val="0"/>
      <w:divBdr>
        <w:top w:val="none" w:sz="0" w:space="0" w:color="auto"/>
        <w:left w:val="none" w:sz="0" w:space="0" w:color="auto"/>
        <w:bottom w:val="none" w:sz="0" w:space="0" w:color="auto"/>
        <w:right w:val="none" w:sz="0" w:space="0" w:color="auto"/>
      </w:divBdr>
    </w:div>
    <w:div w:id="1684435853">
      <w:bodyDiv w:val="1"/>
      <w:marLeft w:val="0"/>
      <w:marRight w:val="0"/>
      <w:marTop w:val="0"/>
      <w:marBottom w:val="0"/>
      <w:divBdr>
        <w:top w:val="none" w:sz="0" w:space="0" w:color="auto"/>
        <w:left w:val="none" w:sz="0" w:space="0" w:color="auto"/>
        <w:bottom w:val="none" w:sz="0" w:space="0" w:color="auto"/>
        <w:right w:val="none" w:sz="0" w:space="0" w:color="auto"/>
      </w:divBdr>
    </w:div>
    <w:div w:id="1685589921">
      <w:bodyDiv w:val="1"/>
      <w:marLeft w:val="0"/>
      <w:marRight w:val="0"/>
      <w:marTop w:val="0"/>
      <w:marBottom w:val="0"/>
      <w:divBdr>
        <w:top w:val="none" w:sz="0" w:space="0" w:color="auto"/>
        <w:left w:val="none" w:sz="0" w:space="0" w:color="auto"/>
        <w:bottom w:val="none" w:sz="0" w:space="0" w:color="auto"/>
        <w:right w:val="none" w:sz="0" w:space="0" w:color="auto"/>
      </w:divBdr>
    </w:div>
    <w:div w:id="1693650465">
      <w:bodyDiv w:val="1"/>
      <w:marLeft w:val="0"/>
      <w:marRight w:val="0"/>
      <w:marTop w:val="0"/>
      <w:marBottom w:val="0"/>
      <w:divBdr>
        <w:top w:val="none" w:sz="0" w:space="0" w:color="auto"/>
        <w:left w:val="none" w:sz="0" w:space="0" w:color="auto"/>
        <w:bottom w:val="none" w:sz="0" w:space="0" w:color="auto"/>
        <w:right w:val="none" w:sz="0" w:space="0" w:color="auto"/>
      </w:divBdr>
    </w:div>
    <w:div w:id="1694041048">
      <w:bodyDiv w:val="1"/>
      <w:marLeft w:val="0"/>
      <w:marRight w:val="0"/>
      <w:marTop w:val="0"/>
      <w:marBottom w:val="0"/>
      <w:divBdr>
        <w:top w:val="none" w:sz="0" w:space="0" w:color="auto"/>
        <w:left w:val="none" w:sz="0" w:space="0" w:color="auto"/>
        <w:bottom w:val="none" w:sz="0" w:space="0" w:color="auto"/>
        <w:right w:val="none" w:sz="0" w:space="0" w:color="auto"/>
      </w:divBdr>
    </w:div>
    <w:div w:id="1700354540">
      <w:bodyDiv w:val="1"/>
      <w:marLeft w:val="0"/>
      <w:marRight w:val="0"/>
      <w:marTop w:val="0"/>
      <w:marBottom w:val="0"/>
      <w:divBdr>
        <w:top w:val="none" w:sz="0" w:space="0" w:color="auto"/>
        <w:left w:val="none" w:sz="0" w:space="0" w:color="auto"/>
        <w:bottom w:val="none" w:sz="0" w:space="0" w:color="auto"/>
        <w:right w:val="none" w:sz="0" w:space="0" w:color="auto"/>
      </w:divBdr>
    </w:div>
    <w:div w:id="1705401381">
      <w:bodyDiv w:val="1"/>
      <w:marLeft w:val="0"/>
      <w:marRight w:val="0"/>
      <w:marTop w:val="0"/>
      <w:marBottom w:val="0"/>
      <w:divBdr>
        <w:top w:val="none" w:sz="0" w:space="0" w:color="auto"/>
        <w:left w:val="none" w:sz="0" w:space="0" w:color="auto"/>
        <w:bottom w:val="none" w:sz="0" w:space="0" w:color="auto"/>
        <w:right w:val="none" w:sz="0" w:space="0" w:color="auto"/>
      </w:divBdr>
    </w:div>
    <w:div w:id="1722753341">
      <w:bodyDiv w:val="1"/>
      <w:marLeft w:val="0"/>
      <w:marRight w:val="0"/>
      <w:marTop w:val="0"/>
      <w:marBottom w:val="0"/>
      <w:divBdr>
        <w:top w:val="none" w:sz="0" w:space="0" w:color="auto"/>
        <w:left w:val="none" w:sz="0" w:space="0" w:color="auto"/>
        <w:bottom w:val="none" w:sz="0" w:space="0" w:color="auto"/>
        <w:right w:val="none" w:sz="0" w:space="0" w:color="auto"/>
      </w:divBdr>
    </w:div>
    <w:div w:id="1723018527">
      <w:bodyDiv w:val="1"/>
      <w:marLeft w:val="0"/>
      <w:marRight w:val="0"/>
      <w:marTop w:val="0"/>
      <w:marBottom w:val="0"/>
      <w:divBdr>
        <w:top w:val="none" w:sz="0" w:space="0" w:color="auto"/>
        <w:left w:val="none" w:sz="0" w:space="0" w:color="auto"/>
        <w:bottom w:val="none" w:sz="0" w:space="0" w:color="auto"/>
        <w:right w:val="none" w:sz="0" w:space="0" w:color="auto"/>
      </w:divBdr>
    </w:div>
    <w:div w:id="1723138185">
      <w:bodyDiv w:val="1"/>
      <w:marLeft w:val="0"/>
      <w:marRight w:val="0"/>
      <w:marTop w:val="0"/>
      <w:marBottom w:val="0"/>
      <w:divBdr>
        <w:top w:val="none" w:sz="0" w:space="0" w:color="auto"/>
        <w:left w:val="none" w:sz="0" w:space="0" w:color="auto"/>
        <w:bottom w:val="none" w:sz="0" w:space="0" w:color="auto"/>
        <w:right w:val="none" w:sz="0" w:space="0" w:color="auto"/>
      </w:divBdr>
    </w:div>
    <w:div w:id="1725062455">
      <w:bodyDiv w:val="1"/>
      <w:marLeft w:val="0"/>
      <w:marRight w:val="0"/>
      <w:marTop w:val="0"/>
      <w:marBottom w:val="0"/>
      <w:divBdr>
        <w:top w:val="none" w:sz="0" w:space="0" w:color="auto"/>
        <w:left w:val="none" w:sz="0" w:space="0" w:color="auto"/>
        <w:bottom w:val="none" w:sz="0" w:space="0" w:color="auto"/>
        <w:right w:val="none" w:sz="0" w:space="0" w:color="auto"/>
      </w:divBdr>
    </w:div>
    <w:div w:id="1742946742">
      <w:bodyDiv w:val="1"/>
      <w:marLeft w:val="0"/>
      <w:marRight w:val="0"/>
      <w:marTop w:val="0"/>
      <w:marBottom w:val="0"/>
      <w:divBdr>
        <w:top w:val="none" w:sz="0" w:space="0" w:color="auto"/>
        <w:left w:val="none" w:sz="0" w:space="0" w:color="auto"/>
        <w:bottom w:val="none" w:sz="0" w:space="0" w:color="auto"/>
        <w:right w:val="none" w:sz="0" w:space="0" w:color="auto"/>
      </w:divBdr>
    </w:div>
    <w:div w:id="1767189828">
      <w:bodyDiv w:val="1"/>
      <w:marLeft w:val="0"/>
      <w:marRight w:val="0"/>
      <w:marTop w:val="0"/>
      <w:marBottom w:val="0"/>
      <w:divBdr>
        <w:top w:val="none" w:sz="0" w:space="0" w:color="auto"/>
        <w:left w:val="none" w:sz="0" w:space="0" w:color="auto"/>
        <w:bottom w:val="none" w:sz="0" w:space="0" w:color="auto"/>
        <w:right w:val="none" w:sz="0" w:space="0" w:color="auto"/>
      </w:divBdr>
    </w:div>
    <w:div w:id="1786801827">
      <w:bodyDiv w:val="1"/>
      <w:marLeft w:val="0"/>
      <w:marRight w:val="0"/>
      <w:marTop w:val="0"/>
      <w:marBottom w:val="0"/>
      <w:divBdr>
        <w:top w:val="none" w:sz="0" w:space="0" w:color="auto"/>
        <w:left w:val="none" w:sz="0" w:space="0" w:color="auto"/>
        <w:bottom w:val="none" w:sz="0" w:space="0" w:color="auto"/>
        <w:right w:val="none" w:sz="0" w:space="0" w:color="auto"/>
      </w:divBdr>
    </w:div>
    <w:div w:id="1805391565">
      <w:bodyDiv w:val="1"/>
      <w:marLeft w:val="0"/>
      <w:marRight w:val="0"/>
      <w:marTop w:val="0"/>
      <w:marBottom w:val="0"/>
      <w:divBdr>
        <w:top w:val="none" w:sz="0" w:space="0" w:color="auto"/>
        <w:left w:val="none" w:sz="0" w:space="0" w:color="auto"/>
        <w:bottom w:val="none" w:sz="0" w:space="0" w:color="auto"/>
        <w:right w:val="none" w:sz="0" w:space="0" w:color="auto"/>
      </w:divBdr>
    </w:div>
    <w:div w:id="1809518711">
      <w:bodyDiv w:val="1"/>
      <w:marLeft w:val="0"/>
      <w:marRight w:val="0"/>
      <w:marTop w:val="0"/>
      <w:marBottom w:val="0"/>
      <w:divBdr>
        <w:top w:val="none" w:sz="0" w:space="0" w:color="auto"/>
        <w:left w:val="none" w:sz="0" w:space="0" w:color="auto"/>
        <w:bottom w:val="none" w:sz="0" w:space="0" w:color="auto"/>
        <w:right w:val="none" w:sz="0" w:space="0" w:color="auto"/>
      </w:divBdr>
    </w:div>
    <w:div w:id="1813205960">
      <w:bodyDiv w:val="1"/>
      <w:marLeft w:val="0"/>
      <w:marRight w:val="0"/>
      <w:marTop w:val="0"/>
      <w:marBottom w:val="0"/>
      <w:divBdr>
        <w:top w:val="none" w:sz="0" w:space="0" w:color="auto"/>
        <w:left w:val="none" w:sz="0" w:space="0" w:color="auto"/>
        <w:bottom w:val="none" w:sz="0" w:space="0" w:color="auto"/>
        <w:right w:val="none" w:sz="0" w:space="0" w:color="auto"/>
      </w:divBdr>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64855113">
      <w:bodyDiv w:val="1"/>
      <w:marLeft w:val="0"/>
      <w:marRight w:val="0"/>
      <w:marTop w:val="0"/>
      <w:marBottom w:val="0"/>
      <w:divBdr>
        <w:top w:val="none" w:sz="0" w:space="0" w:color="auto"/>
        <w:left w:val="none" w:sz="0" w:space="0" w:color="auto"/>
        <w:bottom w:val="none" w:sz="0" w:space="0" w:color="auto"/>
        <w:right w:val="none" w:sz="0" w:space="0" w:color="auto"/>
      </w:divBdr>
    </w:div>
    <w:div w:id="1872958245">
      <w:bodyDiv w:val="1"/>
      <w:marLeft w:val="0"/>
      <w:marRight w:val="0"/>
      <w:marTop w:val="0"/>
      <w:marBottom w:val="0"/>
      <w:divBdr>
        <w:top w:val="none" w:sz="0" w:space="0" w:color="auto"/>
        <w:left w:val="none" w:sz="0" w:space="0" w:color="auto"/>
        <w:bottom w:val="none" w:sz="0" w:space="0" w:color="auto"/>
        <w:right w:val="none" w:sz="0" w:space="0" w:color="auto"/>
      </w:divBdr>
    </w:div>
    <w:div w:id="1880125504">
      <w:bodyDiv w:val="1"/>
      <w:marLeft w:val="0"/>
      <w:marRight w:val="0"/>
      <w:marTop w:val="0"/>
      <w:marBottom w:val="0"/>
      <w:divBdr>
        <w:top w:val="none" w:sz="0" w:space="0" w:color="auto"/>
        <w:left w:val="none" w:sz="0" w:space="0" w:color="auto"/>
        <w:bottom w:val="none" w:sz="0" w:space="0" w:color="auto"/>
        <w:right w:val="none" w:sz="0" w:space="0" w:color="auto"/>
      </w:divBdr>
    </w:div>
    <w:div w:id="1883903323">
      <w:bodyDiv w:val="1"/>
      <w:marLeft w:val="0"/>
      <w:marRight w:val="0"/>
      <w:marTop w:val="0"/>
      <w:marBottom w:val="0"/>
      <w:divBdr>
        <w:top w:val="none" w:sz="0" w:space="0" w:color="auto"/>
        <w:left w:val="none" w:sz="0" w:space="0" w:color="auto"/>
        <w:bottom w:val="none" w:sz="0" w:space="0" w:color="auto"/>
        <w:right w:val="none" w:sz="0" w:space="0" w:color="auto"/>
      </w:divBdr>
    </w:div>
    <w:div w:id="1921016694">
      <w:bodyDiv w:val="1"/>
      <w:marLeft w:val="0"/>
      <w:marRight w:val="0"/>
      <w:marTop w:val="0"/>
      <w:marBottom w:val="0"/>
      <w:divBdr>
        <w:top w:val="none" w:sz="0" w:space="0" w:color="auto"/>
        <w:left w:val="none" w:sz="0" w:space="0" w:color="auto"/>
        <w:bottom w:val="none" w:sz="0" w:space="0" w:color="auto"/>
        <w:right w:val="none" w:sz="0" w:space="0" w:color="auto"/>
      </w:divBdr>
    </w:div>
    <w:div w:id="1941639895">
      <w:bodyDiv w:val="1"/>
      <w:marLeft w:val="0"/>
      <w:marRight w:val="0"/>
      <w:marTop w:val="0"/>
      <w:marBottom w:val="0"/>
      <w:divBdr>
        <w:top w:val="none" w:sz="0" w:space="0" w:color="auto"/>
        <w:left w:val="none" w:sz="0" w:space="0" w:color="auto"/>
        <w:bottom w:val="none" w:sz="0" w:space="0" w:color="auto"/>
        <w:right w:val="none" w:sz="0" w:space="0" w:color="auto"/>
      </w:divBdr>
    </w:div>
    <w:div w:id="1945723633">
      <w:bodyDiv w:val="1"/>
      <w:marLeft w:val="0"/>
      <w:marRight w:val="0"/>
      <w:marTop w:val="0"/>
      <w:marBottom w:val="0"/>
      <w:divBdr>
        <w:top w:val="none" w:sz="0" w:space="0" w:color="auto"/>
        <w:left w:val="none" w:sz="0" w:space="0" w:color="auto"/>
        <w:bottom w:val="none" w:sz="0" w:space="0" w:color="auto"/>
        <w:right w:val="none" w:sz="0" w:space="0" w:color="auto"/>
      </w:divBdr>
    </w:div>
    <w:div w:id="1945764878">
      <w:bodyDiv w:val="1"/>
      <w:marLeft w:val="0"/>
      <w:marRight w:val="0"/>
      <w:marTop w:val="0"/>
      <w:marBottom w:val="0"/>
      <w:divBdr>
        <w:top w:val="none" w:sz="0" w:space="0" w:color="auto"/>
        <w:left w:val="none" w:sz="0" w:space="0" w:color="auto"/>
        <w:bottom w:val="none" w:sz="0" w:space="0" w:color="auto"/>
        <w:right w:val="none" w:sz="0" w:space="0" w:color="auto"/>
      </w:divBdr>
    </w:div>
    <w:div w:id="1958489518">
      <w:bodyDiv w:val="1"/>
      <w:marLeft w:val="0"/>
      <w:marRight w:val="0"/>
      <w:marTop w:val="0"/>
      <w:marBottom w:val="0"/>
      <w:divBdr>
        <w:top w:val="none" w:sz="0" w:space="0" w:color="auto"/>
        <w:left w:val="none" w:sz="0" w:space="0" w:color="auto"/>
        <w:bottom w:val="none" w:sz="0" w:space="0" w:color="auto"/>
        <w:right w:val="none" w:sz="0" w:space="0" w:color="auto"/>
      </w:divBdr>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
    <w:div w:id="1963611881">
      <w:bodyDiv w:val="1"/>
      <w:marLeft w:val="0"/>
      <w:marRight w:val="0"/>
      <w:marTop w:val="0"/>
      <w:marBottom w:val="0"/>
      <w:divBdr>
        <w:top w:val="none" w:sz="0" w:space="0" w:color="auto"/>
        <w:left w:val="none" w:sz="0" w:space="0" w:color="auto"/>
        <w:bottom w:val="none" w:sz="0" w:space="0" w:color="auto"/>
        <w:right w:val="none" w:sz="0" w:space="0" w:color="auto"/>
      </w:divBdr>
    </w:div>
    <w:div w:id="2010060217">
      <w:bodyDiv w:val="1"/>
      <w:marLeft w:val="0"/>
      <w:marRight w:val="0"/>
      <w:marTop w:val="0"/>
      <w:marBottom w:val="0"/>
      <w:divBdr>
        <w:top w:val="none" w:sz="0" w:space="0" w:color="auto"/>
        <w:left w:val="none" w:sz="0" w:space="0" w:color="auto"/>
        <w:bottom w:val="none" w:sz="0" w:space="0" w:color="auto"/>
        <w:right w:val="none" w:sz="0" w:space="0" w:color="auto"/>
      </w:divBdr>
    </w:div>
    <w:div w:id="2010597277">
      <w:bodyDiv w:val="1"/>
      <w:marLeft w:val="0"/>
      <w:marRight w:val="0"/>
      <w:marTop w:val="0"/>
      <w:marBottom w:val="0"/>
      <w:divBdr>
        <w:top w:val="none" w:sz="0" w:space="0" w:color="auto"/>
        <w:left w:val="none" w:sz="0" w:space="0" w:color="auto"/>
        <w:bottom w:val="none" w:sz="0" w:space="0" w:color="auto"/>
        <w:right w:val="none" w:sz="0" w:space="0" w:color="auto"/>
      </w:divBdr>
    </w:div>
    <w:div w:id="2036075293">
      <w:bodyDiv w:val="1"/>
      <w:marLeft w:val="0"/>
      <w:marRight w:val="0"/>
      <w:marTop w:val="0"/>
      <w:marBottom w:val="0"/>
      <w:divBdr>
        <w:top w:val="none" w:sz="0" w:space="0" w:color="auto"/>
        <w:left w:val="none" w:sz="0" w:space="0" w:color="auto"/>
        <w:bottom w:val="none" w:sz="0" w:space="0" w:color="auto"/>
        <w:right w:val="none" w:sz="0" w:space="0" w:color="auto"/>
      </w:divBdr>
    </w:div>
    <w:div w:id="2043822783">
      <w:bodyDiv w:val="1"/>
      <w:marLeft w:val="0"/>
      <w:marRight w:val="0"/>
      <w:marTop w:val="0"/>
      <w:marBottom w:val="0"/>
      <w:divBdr>
        <w:top w:val="none" w:sz="0" w:space="0" w:color="auto"/>
        <w:left w:val="none" w:sz="0" w:space="0" w:color="auto"/>
        <w:bottom w:val="none" w:sz="0" w:space="0" w:color="auto"/>
        <w:right w:val="none" w:sz="0" w:space="0" w:color="auto"/>
      </w:divBdr>
    </w:div>
    <w:div w:id="2044868042">
      <w:bodyDiv w:val="1"/>
      <w:marLeft w:val="0"/>
      <w:marRight w:val="0"/>
      <w:marTop w:val="0"/>
      <w:marBottom w:val="0"/>
      <w:divBdr>
        <w:top w:val="none" w:sz="0" w:space="0" w:color="auto"/>
        <w:left w:val="none" w:sz="0" w:space="0" w:color="auto"/>
        <w:bottom w:val="none" w:sz="0" w:space="0" w:color="auto"/>
        <w:right w:val="none" w:sz="0" w:space="0" w:color="auto"/>
      </w:divBdr>
    </w:div>
    <w:div w:id="2046982707">
      <w:bodyDiv w:val="1"/>
      <w:marLeft w:val="0"/>
      <w:marRight w:val="0"/>
      <w:marTop w:val="0"/>
      <w:marBottom w:val="0"/>
      <w:divBdr>
        <w:top w:val="none" w:sz="0" w:space="0" w:color="auto"/>
        <w:left w:val="none" w:sz="0" w:space="0" w:color="auto"/>
        <w:bottom w:val="none" w:sz="0" w:space="0" w:color="auto"/>
        <w:right w:val="none" w:sz="0" w:space="0" w:color="auto"/>
      </w:divBdr>
    </w:div>
    <w:div w:id="2051998666">
      <w:bodyDiv w:val="1"/>
      <w:marLeft w:val="0"/>
      <w:marRight w:val="0"/>
      <w:marTop w:val="0"/>
      <w:marBottom w:val="0"/>
      <w:divBdr>
        <w:top w:val="none" w:sz="0" w:space="0" w:color="auto"/>
        <w:left w:val="none" w:sz="0" w:space="0" w:color="auto"/>
        <w:bottom w:val="none" w:sz="0" w:space="0" w:color="auto"/>
        <w:right w:val="none" w:sz="0" w:space="0" w:color="auto"/>
      </w:divBdr>
    </w:div>
    <w:div w:id="2058696300">
      <w:bodyDiv w:val="1"/>
      <w:marLeft w:val="0"/>
      <w:marRight w:val="0"/>
      <w:marTop w:val="0"/>
      <w:marBottom w:val="0"/>
      <w:divBdr>
        <w:top w:val="none" w:sz="0" w:space="0" w:color="auto"/>
        <w:left w:val="none" w:sz="0" w:space="0" w:color="auto"/>
        <w:bottom w:val="none" w:sz="0" w:space="0" w:color="auto"/>
        <w:right w:val="none" w:sz="0" w:space="0" w:color="auto"/>
      </w:divBdr>
    </w:div>
    <w:div w:id="2070490019">
      <w:bodyDiv w:val="1"/>
      <w:marLeft w:val="0"/>
      <w:marRight w:val="0"/>
      <w:marTop w:val="0"/>
      <w:marBottom w:val="0"/>
      <w:divBdr>
        <w:top w:val="none" w:sz="0" w:space="0" w:color="auto"/>
        <w:left w:val="none" w:sz="0" w:space="0" w:color="auto"/>
        <w:bottom w:val="none" w:sz="0" w:space="0" w:color="auto"/>
        <w:right w:val="none" w:sz="0" w:space="0" w:color="auto"/>
      </w:divBdr>
    </w:div>
    <w:div w:id="2076274325">
      <w:bodyDiv w:val="1"/>
      <w:marLeft w:val="0"/>
      <w:marRight w:val="0"/>
      <w:marTop w:val="0"/>
      <w:marBottom w:val="0"/>
      <w:divBdr>
        <w:top w:val="none" w:sz="0" w:space="0" w:color="auto"/>
        <w:left w:val="none" w:sz="0" w:space="0" w:color="auto"/>
        <w:bottom w:val="none" w:sz="0" w:space="0" w:color="auto"/>
        <w:right w:val="none" w:sz="0" w:space="0" w:color="auto"/>
      </w:divBdr>
    </w:div>
    <w:div w:id="2078431707">
      <w:bodyDiv w:val="1"/>
      <w:marLeft w:val="0"/>
      <w:marRight w:val="0"/>
      <w:marTop w:val="0"/>
      <w:marBottom w:val="0"/>
      <w:divBdr>
        <w:top w:val="none" w:sz="0" w:space="0" w:color="auto"/>
        <w:left w:val="none" w:sz="0" w:space="0" w:color="auto"/>
        <w:bottom w:val="none" w:sz="0" w:space="0" w:color="auto"/>
        <w:right w:val="none" w:sz="0" w:space="0" w:color="auto"/>
      </w:divBdr>
    </w:div>
    <w:div w:id="2093118359">
      <w:bodyDiv w:val="1"/>
      <w:marLeft w:val="0"/>
      <w:marRight w:val="0"/>
      <w:marTop w:val="0"/>
      <w:marBottom w:val="0"/>
      <w:divBdr>
        <w:top w:val="none" w:sz="0" w:space="0" w:color="auto"/>
        <w:left w:val="none" w:sz="0" w:space="0" w:color="auto"/>
        <w:bottom w:val="none" w:sz="0" w:space="0" w:color="auto"/>
        <w:right w:val="none" w:sz="0" w:space="0" w:color="auto"/>
      </w:divBdr>
    </w:div>
    <w:div w:id="21269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3FC1E26E3BA4A907FBEE7D1494596" ma:contentTypeVersion="18" ma:contentTypeDescription="Create a new document." ma:contentTypeScope="" ma:versionID="8cbf9e9908a544af8761f7a941c65158">
  <xsd:schema xmlns:xsd="http://www.w3.org/2001/XMLSchema" xmlns:xs="http://www.w3.org/2001/XMLSchema" xmlns:p="http://schemas.microsoft.com/office/2006/metadata/properties" xmlns:ns2="bde1a614-31f7-438d-beec-b6de3b6557e4" xmlns:ns3="3e8073b6-3c35-47ec-bd0a-a1d0ba8cbf8f" targetNamespace="http://schemas.microsoft.com/office/2006/metadata/properties" ma:root="true" ma:fieldsID="1d31d5e06603306b38ed04d7d2438d06" ns2:_="" ns3:_="">
    <xsd:import namespace="bde1a614-31f7-438d-beec-b6de3b6557e4"/>
    <xsd:import namespace="3e8073b6-3c35-47ec-bd0a-a1d0ba8c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a614-31f7-438d-beec-b6de3b65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ca36d1-af7c-46e5-adbe-7b61b864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73b6-3c35-47ec-bd0a-a1d0ba8cb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6ed16-71c4-47f9-989c-d735444cd7e8}" ma:internalName="TaxCatchAll" ma:showField="CatchAllData" ma:web="3e8073b6-3c35-47ec-bd0a-a1d0ba8cb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8073b6-3c35-47ec-bd0a-a1d0ba8cbf8f" xsi:nil="true"/>
    <lcf76f155ced4ddcb4097134ff3c332f xmlns="bde1a614-31f7-438d-beec-b6de3b655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Swo15</b:Tag>
    <b:SourceType>Report</b:SourceType>
    <b:Guid>{A916264D-6F2B-4987-8B11-6F8548FF7E28}</b:Guid>
    <b:Title>Technical Assistance for Better Air Quality by Transposing the Large Combustion Plant Directive Regulatory Impact Assessment Report</b:Title>
    <b:Year>2015</b:Year>
    <b:Publisher>Turkish Ministry of Environment, Urbanization and Climate Change (MoEUCC)</b:Publisher>
    <b:City>Ankara</b:City>
    <b:Author>
      <b:Author>
        <b:NameList>
          <b:Person>
            <b:Last>Swords</b:Last>
            <b:First>Pat</b:First>
          </b:Person>
        </b:NameList>
      </b:Author>
    </b:Author>
    <b:RefOrder>5</b:RefOrder>
  </b:Source>
  <b:Source>
    <b:Tag>TCC19</b:Tag>
    <b:SourceType>Report</b:SourceType>
    <b:Guid>{69D53DFF-7548-4256-BE97-0AA0B092DCDE}</b:Guid>
    <b:Title>Eleventh Development Plan of Türkiye  (2019-2023)</b:Title>
    <b:Year>2019</b:Year>
    <b:Author>
      <b:Author>
        <b:NameList>
          <b:Person>
            <b:Last>T.C. Cumhurbaşkanlığı Strateji ve Bütçe Başkanlığı</b:Last>
          </b:Person>
        </b:NameList>
      </b:Author>
    </b:Author>
    <b:RefOrder>8</b:RefOrder>
  </b:Source>
  <b:Source>
    <b:Tag>Int21</b:Tag>
    <b:SourceType>Report</b:SourceType>
    <b:Guid>{1519E98D-3453-4D87-B76F-56D24CB0C1D3}</b:Guid>
    <b:Title>Turkey 2021 Energy Policy Review</b:Title>
    <b:Year>2021</b:Year>
    <b:Author>
      <b:Author>
        <b:NameList>
          <b:Person>
            <b:Last>International Energy Agency</b:Last>
          </b:Person>
        </b:NameList>
      </b:Author>
    </b:Author>
    <b:RefOrder>9</b:RefOrder>
  </b:Source>
  <b:Source>
    <b:Tag>Bou21</b:Tag>
    <b:SourceType>Report</b:SourceType>
    <b:Guid>{D33C8B87-6B01-4400-8009-02798D9B22A1}</b:Guid>
    <b:Title>Net Zero by 2050, A Roadmap for the Global Energy Sector</b:Title>
    <b:Year>2021</b:Year>
    <b:Publisher>International Energy Agency</b:Publisher>
    <b:Author>
      <b:Author>
        <b:NameList>
          <b:Person>
            <b:Last>Bouckaert</b:Last>
            <b:First>Stéphanie </b:First>
          </b:Person>
          <b:Person>
            <b:Last>Pales</b:Last>
            <b:First>Araceli Fernandez</b:First>
          </b:Person>
          <b:Person>
            <b:Last>McGlade</b:Last>
            <b:First>Christophe </b:First>
          </b:Person>
          <b:Person>
            <b:Last>Remme </b:Last>
            <b:First>Uwe </b:First>
          </b:Person>
          <b:Person>
            <b:Last>Wanner</b:Last>
            <b:First>Brent </b:First>
          </b:Person>
          <b:Person>
            <b:Last>Varro</b:Last>
            <b:First>Laszlo </b:First>
          </b:Person>
          <b:Person>
            <b:Last>D’Ambrosio</b:Last>
            <b:First>Davide </b:First>
          </b:Person>
          <b:Person>
            <b:Last>Spencer</b:Last>
            <b:First>Thomas </b:First>
          </b:Person>
          <b:Person>
            <b:Last>Abergel </b:Last>
            <b:First>Thibaut </b:First>
          </b:Person>
          <b:Person>
            <b:Last>Arsalane </b:Last>
            <b:First>Yasmine </b:First>
          </b:Person>
          <b:Person>
            <b:Last>Bains </b:Last>
            <b:First>Praveen </b:First>
          </b:Person>
          <b:Person>
            <b:Last>Bermudez Menendez </b:Last>
            <b:First>Jose Miguel</b:First>
          </b:Person>
          <b:Person>
            <b:Last>Connelly </b:Last>
            <b:First>Elizabeth </b:First>
          </b:Person>
          <b:Person>
            <b:Last>Crow </b:Last>
            <b:First>Daniel </b:First>
          </b:Person>
          <b:Person>
            <b:Last>Dasgupta </b:Last>
            <b:First>Amrita </b:First>
          </b:Person>
          <b:Person>
            <b:Last>Delmastro </b:Last>
            <b:First>Chiara </b:First>
          </b:Person>
          <b:Person>
            <b:Last>Goodson </b:Last>
            <b:First>Timothy </b:First>
          </b:Person>
          <b:Person>
            <b:Last>Gouy</b:Last>
            <b:First>Alexandre </b:First>
          </b:Person>
          <b:Person>
            <b:Last>Hugues </b:Last>
            <b:First>Paul </b:First>
          </b:Person>
          <b:Person>
            <b:Last>Lee </b:Last>
            <b:First>Lilly </b:First>
          </b:Person>
          <b:Person>
            <b:Last>Levi </b:Last>
            <b:First>Peter </b:First>
          </b:Person>
          <b:Person>
            <b:Last>Mandova </b:Last>
            <b:First>Hana </b:First>
          </b:Person>
          <b:Person>
            <b:Last>Millot </b:Last>
            <b:First>Ariane </b:First>
          </b:Person>
          <b:Person>
            <b:Last>Olejarnik </b:Last>
            <b:First>Paweł </b:First>
          </b:Person>
          <b:Person>
            <b:Last>Paoli </b:Last>
            <b:First>Leonardo </b:First>
          </b:Person>
          <b:Person>
            <b:Last>Papadimoulis </b:Last>
            <b:First>Faidon </b:First>
          </b:Person>
          <b:Person>
            <b:Last>Papapanagiotou </b:Last>
            <b:First>Sebastian </b:First>
          </b:Person>
          <b:Person>
            <b:Last>Pavan </b:Last>
            <b:First>Francesco </b:First>
          </b:Person>
          <b:Person>
            <b:Last>Petropoulos </b:Last>
            <b:First>Apostolos </b:First>
          </b:Person>
          <b:Person>
            <b:Last>Pośpiech </b:Last>
            <b:First>Ryszard </b:First>
          </b:Person>
          <b:Person>
            <b:Last>Staas</b:Last>
            <b:First>Leonie </b:First>
          </b:Person>
          <b:Person>
            <b:Last>Tattini </b:Last>
            <b:First>Jacopo </b:First>
          </b:Person>
          <b:Person>
            <b:Last>Teter </b:Last>
            <b:First>Jacob</b:First>
          </b:Person>
          <b:Person>
            <b:Last>Tonolo</b:Last>
            <b:First>Gianluca </b:First>
          </b:Person>
          <b:Person>
            <b:Last>Vass </b:Last>
            <b:First>Tiffany </b:First>
          </b:Person>
          <b:Person>
            <b:Last>Wetzel</b:Last>
            <b:First>Daniel </b:First>
          </b:Person>
        </b:NameList>
      </b:Author>
    </b:Author>
    <b:RefOrder>10</b:RefOrder>
  </b:Source>
  <b:Source>
    <b:Tag>Alp17</b:Tag>
    <b:SourceType>Report</b:SourceType>
    <b:Guid>{9037E0DB-BF14-4F85-AB90-4C6BDECD515E}</b:Guid>
    <b:Title>ENTEGRE ÇEVRE (EÇİ) TABİ ÇİMENTO ÜRETİM TESİSLERİNİN UYUM DURUMLARI VE GEREKLİLİKLERİN BELİRLENMESİ PROJESİ Nihai Rapor</b:Title>
    <b:Year>2017</b:Year>
    <b:Publisher>Ministry of Environment, Urbanization and Climate Change</b:Publisher>
    <b:City>Ankara</b:City>
    <b:Author>
      <b:Author>
        <b:NameList>
          <b:Person>
            <b:Last>Alp</b:Last>
            <b:First>Kadir</b:First>
          </b:Person>
          <b:Person>
            <b:Last>Toröz</b:Last>
            <b:First>İsmail</b:First>
          </b:Person>
          <b:Person>
            <b:Last>Okutan</b:Last>
            <b:First>Hasancan</b:First>
          </b:Person>
          <b:Person>
            <b:Last>Bayburtlu</b:Last>
            <b:First>Kadir</b:First>
          </b:Person>
          <b:Person>
            <b:Last>Özkul</b:Last>
            <b:First>Doğan</b:First>
          </b:Person>
          <b:Person>
            <b:Last>Dertli</b:Last>
            <b:First>Halil</b:First>
          </b:Person>
          <b:Person>
            <b:Last>Erşahin</b:Last>
            <b:First>Evren</b:First>
          </b:Person>
          <b:Person>
            <b:Last>Dereli</b:Last>
            <b:First>Kaan</b:First>
          </b:Person>
          <b:Person>
            <b:Last>Özgün</b:Last>
            <b:First>Hale</b:First>
          </b:Person>
          <b:Person>
            <b:Last>Özabalı Sabuncugil</b:Last>
            <b:First>Aslı</b:First>
          </b:Person>
        </b:NameList>
      </b:Author>
    </b:Author>
    <b:RefOrder>6</b:RefOrder>
  </b:Source>
  <b:Source>
    <b:Tag>IPP21</b:Tag>
    <b:SourceType>Report</b:SourceType>
    <b:Guid>{E743F193-454E-4B2C-86BB-404267A4AE59}</b:Guid>
    <b:LCID>en-US</b:LCID>
    <b:Author>
      <b:Author>
        <b:Corporate>IPPC METAL</b:Corporate>
      </b:Author>
    </b:Author>
    <b:Title>The Final Report for the Project of Evaluation of Metal Production and Processing Facilities within the Scope of IPPC</b:Title>
    <b:Year>2021</b:Year>
    <b:City>Ankara</b:City>
    <b:RefOrder>1</b:RefOrder>
  </b:Source>
  <b:Source>
    <b:Tag>BES20</b:Tag>
    <b:SourceType>Report</b:SourceType>
    <b:Guid>{F8351693-8AE0-463D-8E1A-4D548459DEAC}</b:Guid>
    <b:LCID>en-US</b:LCID>
    <b:Author>
      <b:Author>
        <b:Corporate>BESTU</b:Corporate>
      </b:Author>
    </b:Author>
    <b:Title>Belirli Sektörlerde Temiz Üretim Uygulamaları Projesi Final Raporu</b:Title>
    <b:Year>2020</b:Year>
    <b:Publisher>Çevre ve Şehircilik Bakanlığı - ODTÜ</b:Publisher>
    <b:City>Ankara</b:City>
    <b:RefOrder>7</b:RefOrder>
  </b:Source>
  <b:Source>
    <b:Tag>Aut16</b:Tag>
    <b:SourceType>Report</b:SourceType>
    <b:Guid>{0A5124C7-E776-45C6-ACA8-574295099CA3}</b:Guid>
    <b:LCID>en-US</b:LCID>
    <b:Author>
      <b:Author>
        <b:Corporate>Automotive Project</b:Corporate>
      </b:Author>
    </b:Author>
    <b:Title>Entegre Çevre İznine (EÇİ) Tabi Otomotiv Üretim Tesislerinin Uyum Durumları ve Gerekliliklerinin Belirlenmesi Projesi</b:Title>
    <b:Year>2016</b:Year>
    <b:Publisher>Çevre ve Şehircilik Bakanlığı - Ankara Yıldırım Beyazıt Üniversitesi</b:Publisher>
    <b:RefOrder>11</b:RefOrder>
  </b:Source>
  <b:Source>
    <b:Tag>Eur1</b:Tag>
    <b:SourceType>InternetSite</b:SourceType>
    <b:Guid>{DAE9D8B6-E500-4948-8BE3-692242202078}</b:Guid>
    <b:Author>
      <b:Author>
        <b:Corporate>European Commission</b:Corporate>
      </b:Author>
    </b:Author>
    <b:Title>Revision of the IPPC Directive</b:Title>
    <b:URL>https://ec.europa.eu/environment/archives/air/stationary/ippc/ippc_revision.htm</b:URL>
    <b:RefOrder>3</b:RefOrder>
  </b:Source>
  <b:Source>
    <b:Tag>Eur15</b:Tag>
    <b:SourceType>Report</b:SourceType>
    <b:Guid>{EFF7853B-FED7-4D84-868D-3A63A19D8C6E}</b:Guid>
    <b:Title>Study to analyse differences in costs of implementing EU policy</b:Title>
    <b:Year>2015</b:Year>
    <b:Author>
      <b:Author>
        <b:Corporate>European Commission</b:Corporate>
      </b:Author>
    </b:Author>
    <b:RefOrder>4</b:RefOrder>
  </b:Source>
  <b:Source>
    <b:Tag>ONe22</b:Tag>
    <b:SourceType>InternetSite</b:SourceType>
    <b:Guid>{48831B88-260E-4D1B-AC9A-DC0C8661D6AC}</b:Guid>
    <b:Title>Statista</b:Title>
    <b:Year>2022</b:Year>
    <b:LCID>en-US</b:LCID>
    <b:Author>
      <b:Author>
        <b:NameList>
          <b:Person>
            <b:Last>O'Neill</b:Last>
            <b:First>Aaron</b:First>
          </b:Person>
        </b:NameList>
      </b:Author>
    </b:Author>
    <b:Month>July</b:Month>
    <b:Day>27</b:Day>
    <b:URL>https://www.statista.com/statistics/267908/inflation-rate-in-eu-and-euro-area/</b:URL>
    <b:RefOrder>2</b:RefOrder>
  </b:Source>
</b:Sources>
</file>

<file path=customXml/itemProps1.xml><?xml version="1.0" encoding="utf-8"?>
<ds:datastoreItem xmlns:ds="http://schemas.openxmlformats.org/officeDocument/2006/customXml" ds:itemID="{F7D7B776-7199-48AD-BD4C-4111F31D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a614-31f7-438d-beec-b6de3b6557e4"/>
    <ds:schemaRef ds:uri="3e8073b6-3c35-47ec-bd0a-a1d0ba8c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81B57-3741-43E9-868E-F92E8B93A4B1}">
  <ds:schemaRefs>
    <ds:schemaRef ds:uri="http://schemas.microsoft.com/office/2006/metadata/properties"/>
    <ds:schemaRef ds:uri="http://schemas.microsoft.com/office/infopath/2007/PartnerControls"/>
    <ds:schemaRef ds:uri="3e8073b6-3c35-47ec-bd0a-a1d0ba8cbf8f"/>
    <ds:schemaRef ds:uri="bde1a614-31f7-438d-beec-b6de3b6557e4"/>
  </ds:schemaRefs>
</ds:datastoreItem>
</file>

<file path=customXml/itemProps3.xml><?xml version="1.0" encoding="utf-8"?>
<ds:datastoreItem xmlns:ds="http://schemas.openxmlformats.org/officeDocument/2006/customXml" ds:itemID="{83C26ECA-DF89-4AAE-BA18-EF2F11016261}">
  <ds:schemaRefs>
    <ds:schemaRef ds:uri="http://schemas.microsoft.com/sharepoint/v3/contenttype/forms"/>
  </ds:schemaRefs>
</ds:datastoreItem>
</file>

<file path=customXml/itemProps4.xml><?xml version="1.0" encoding="utf-8"?>
<ds:datastoreItem xmlns:ds="http://schemas.openxmlformats.org/officeDocument/2006/customXml" ds:itemID="{C6299E56-D66D-44CB-8CF9-8D3378E0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152</Pages>
  <Words>43495</Words>
  <Characters>247922</Characters>
  <Application>Microsoft Office Word</Application>
  <DocSecurity>0</DocSecurity>
  <Lines>2066</Lines>
  <Paragraphs>581</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290836</CharactersWithSpaces>
  <SharedDoc>false</SharedDoc>
  <HLinks>
    <vt:vector size="546" baseType="variant">
      <vt:variant>
        <vt:i4>917587</vt:i4>
      </vt:variant>
      <vt:variant>
        <vt:i4>648</vt:i4>
      </vt:variant>
      <vt:variant>
        <vt:i4>0</vt:i4>
      </vt:variant>
      <vt:variant>
        <vt:i4>5</vt:i4>
      </vt:variant>
      <vt:variant>
        <vt:lpwstr>https://eippcb.jrc.ec.europa.eu/reference/non-ferrous-metals-industries-0</vt:lpwstr>
      </vt:variant>
      <vt:variant>
        <vt:lpwstr/>
      </vt:variant>
      <vt:variant>
        <vt:i4>8126518</vt:i4>
      </vt:variant>
      <vt:variant>
        <vt:i4>510</vt:i4>
      </vt:variant>
      <vt:variant>
        <vt:i4>0</vt:i4>
      </vt:variant>
      <vt:variant>
        <vt:i4>5</vt:i4>
      </vt:variant>
      <vt:variant>
        <vt:lpwstr>https://tureng.com/en/turkish-english/independent industrialists and businessmen's association</vt:lpwstr>
      </vt:variant>
      <vt:variant>
        <vt:lpwstr/>
      </vt:variant>
      <vt:variant>
        <vt:i4>1703996</vt:i4>
      </vt:variant>
      <vt:variant>
        <vt:i4>503</vt:i4>
      </vt:variant>
      <vt:variant>
        <vt:i4>0</vt:i4>
      </vt:variant>
      <vt:variant>
        <vt:i4>5</vt:i4>
      </vt:variant>
      <vt:variant>
        <vt:lpwstr/>
      </vt:variant>
      <vt:variant>
        <vt:lpwstr>_Toc109738726</vt:lpwstr>
      </vt:variant>
      <vt:variant>
        <vt:i4>1703996</vt:i4>
      </vt:variant>
      <vt:variant>
        <vt:i4>497</vt:i4>
      </vt:variant>
      <vt:variant>
        <vt:i4>0</vt:i4>
      </vt:variant>
      <vt:variant>
        <vt:i4>5</vt:i4>
      </vt:variant>
      <vt:variant>
        <vt:lpwstr/>
      </vt:variant>
      <vt:variant>
        <vt:lpwstr>_Toc109738725</vt:lpwstr>
      </vt:variant>
      <vt:variant>
        <vt:i4>1703996</vt:i4>
      </vt:variant>
      <vt:variant>
        <vt:i4>491</vt:i4>
      </vt:variant>
      <vt:variant>
        <vt:i4>0</vt:i4>
      </vt:variant>
      <vt:variant>
        <vt:i4>5</vt:i4>
      </vt:variant>
      <vt:variant>
        <vt:lpwstr/>
      </vt:variant>
      <vt:variant>
        <vt:lpwstr>_Toc109738724</vt:lpwstr>
      </vt:variant>
      <vt:variant>
        <vt:i4>1703996</vt:i4>
      </vt:variant>
      <vt:variant>
        <vt:i4>485</vt:i4>
      </vt:variant>
      <vt:variant>
        <vt:i4>0</vt:i4>
      </vt:variant>
      <vt:variant>
        <vt:i4>5</vt:i4>
      </vt:variant>
      <vt:variant>
        <vt:lpwstr/>
      </vt:variant>
      <vt:variant>
        <vt:lpwstr>_Toc109738723</vt:lpwstr>
      </vt:variant>
      <vt:variant>
        <vt:i4>1703996</vt:i4>
      </vt:variant>
      <vt:variant>
        <vt:i4>479</vt:i4>
      </vt:variant>
      <vt:variant>
        <vt:i4>0</vt:i4>
      </vt:variant>
      <vt:variant>
        <vt:i4>5</vt:i4>
      </vt:variant>
      <vt:variant>
        <vt:lpwstr/>
      </vt:variant>
      <vt:variant>
        <vt:lpwstr>_Toc109738722</vt:lpwstr>
      </vt:variant>
      <vt:variant>
        <vt:i4>1703996</vt:i4>
      </vt:variant>
      <vt:variant>
        <vt:i4>473</vt:i4>
      </vt:variant>
      <vt:variant>
        <vt:i4>0</vt:i4>
      </vt:variant>
      <vt:variant>
        <vt:i4>5</vt:i4>
      </vt:variant>
      <vt:variant>
        <vt:lpwstr/>
      </vt:variant>
      <vt:variant>
        <vt:lpwstr>_Toc109738721</vt:lpwstr>
      </vt:variant>
      <vt:variant>
        <vt:i4>1703996</vt:i4>
      </vt:variant>
      <vt:variant>
        <vt:i4>467</vt:i4>
      </vt:variant>
      <vt:variant>
        <vt:i4>0</vt:i4>
      </vt:variant>
      <vt:variant>
        <vt:i4>5</vt:i4>
      </vt:variant>
      <vt:variant>
        <vt:lpwstr/>
      </vt:variant>
      <vt:variant>
        <vt:lpwstr>_Toc109738720</vt:lpwstr>
      </vt:variant>
      <vt:variant>
        <vt:i4>1638460</vt:i4>
      </vt:variant>
      <vt:variant>
        <vt:i4>461</vt:i4>
      </vt:variant>
      <vt:variant>
        <vt:i4>0</vt:i4>
      </vt:variant>
      <vt:variant>
        <vt:i4>5</vt:i4>
      </vt:variant>
      <vt:variant>
        <vt:lpwstr/>
      </vt:variant>
      <vt:variant>
        <vt:lpwstr>_Toc109738719</vt:lpwstr>
      </vt:variant>
      <vt:variant>
        <vt:i4>1966140</vt:i4>
      </vt:variant>
      <vt:variant>
        <vt:i4>452</vt:i4>
      </vt:variant>
      <vt:variant>
        <vt:i4>0</vt:i4>
      </vt:variant>
      <vt:variant>
        <vt:i4>5</vt:i4>
      </vt:variant>
      <vt:variant>
        <vt:lpwstr/>
      </vt:variant>
      <vt:variant>
        <vt:lpwstr>_Toc109737794</vt:lpwstr>
      </vt:variant>
      <vt:variant>
        <vt:i4>1966140</vt:i4>
      </vt:variant>
      <vt:variant>
        <vt:i4>446</vt:i4>
      </vt:variant>
      <vt:variant>
        <vt:i4>0</vt:i4>
      </vt:variant>
      <vt:variant>
        <vt:i4>5</vt:i4>
      </vt:variant>
      <vt:variant>
        <vt:lpwstr/>
      </vt:variant>
      <vt:variant>
        <vt:lpwstr>_Toc109737793</vt:lpwstr>
      </vt:variant>
      <vt:variant>
        <vt:i4>1966140</vt:i4>
      </vt:variant>
      <vt:variant>
        <vt:i4>440</vt:i4>
      </vt:variant>
      <vt:variant>
        <vt:i4>0</vt:i4>
      </vt:variant>
      <vt:variant>
        <vt:i4>5</vt:i4>
      </vt:variant>
      <vt:variant>
        <vt:lpwstr/>
      </vt:variant>
      <vt:variant>
        <vt:lpwstr>_Toc109737792</vt:lpwstr>
      </vt:variant>
      <vt:variant>
        <vt:i4>1966140</vt:i4>
      </vt:variant>
      <vt:variant>
        <vt:i4>434</vt:i4>
      </vt:variant>
      <vt:variant>
        <vt:i4>0</vt:i4>
      </vt:variant>
      <vt:variant>
        <vt:i4>5</vt:i4>
      </vt:variant>
      <vt:variant>
        <vt:lpwstr/>
      </vt:variant>
      <vt:variant>
        <vt:lpwstr>_Toc109737791</vt:lpwstr>
      </vt:variant>
      <vt:variant>
        <vt:i4>1966140</vt:i4>
      </vt:variant>
      <vt:variant>
        <vt:i4>428</vt:i4>
      </vt:variant>
      <vt:variant>
        <vt:i4>0</vt:i4>
      </vt:variant>
      <vt:variant>
        <vt:i4>5</vt:i4>
      </vt:variant>
      <vt:variant>
        <vt:lpwstr/>
      </vt:variant>
      <vt:variant>
        <vt:lpwstr>_Toc109737790</vt:lpwstr>
      </vt:variant>
      <vt:variant>
        <vt:i4>2031676</vt:i4>
      </vt:variant>
      <vt:variant>
        <vt:i4>422</vt:i4>
      </vt:variant>
      <vt:variant>
        <vt:i4>0</vt:i4>
      </vt:variant>
      <vt:variant>
        <vt:i4>5</vt:i4>
      </vt:variant>
      <vt:variant>
        <vt:lpwstr/>
      </vt:variant>
      <vt:variant>
        <vt:lpwstr>_Toc109737789</vt:lpwstr>
      </vt:variant>
      <vt:variant>
        <vt:i4>2031676</vt:i4>
      </vt:variant>
      <vt:variant>
        <vt:i4>416</vt:i4>
      </vt:variant>
      <vt:variant>
        <vt:i4>0</vt:i4>
      </vt:variant>
      <vt:variant>
        <vt:i4>5</vt:i4>
      </vt:variant>
      <vt:variant>
        <vt:lpwstr/>
      </vt:variant>
      <vt:variant>
        <vt:lpwstr>_Toc109737788</vt:lpwstr>
      </vt:variant>
      <vt:variant>
        <vt:i4>2031676</vt:i4>
      </vt:variant>
      <vt:variant>
        <vt:i4>410</vt:i4>
      </vt:variant>
      <vt:variant>
        <vt:i4>0</vt:i4>
      </vt:variant>
      <vt:variant>
        <vt:i4>5</vt:i4>
      </vt:variant>
      <vt:variant>
        <vt:lpwstr/>
      </vt:variant>
      <vt:variant>
        <vt:lpwstr>_Toc109737787</vt:lpwstr>
      </vt:variant>
      <vt:variant>
        <vt:i4>2031676</vt:i4>
      </vt:variant>
      <vt:variant>
        <vt:i4>404</vt:i4>
      </vt:variant>
      <vt:variant>
        <vt:i4>0</vt:i4>
      </vt:variant>
      <vt:variant>
        <vt:i4>5</vt:i4>
      </vt:variant>
      <vt:variant>
        <vt:lpwstr/>
      </vt:variant>
      <vt:variant>
        <vt:lpwstr>_Toc109737786</vt:lpwstr>
      </vt:variant>
      <vt:variant>
        <vt:i4>2031676</vt:i4>
      </vt:variant>
      <vt:variant>
        <vt:i4>398</vt:i4>
      </vt:variant>
      <vt:variant>
        <vt:i4>0</vt:i4>
      </vt:variant>
      <vt:variant>
        <vt:i4>5</vt:i4>
      </vt:variant>
      <vt:variant>
        <vt:lpwstr/>
      </vt:variant>
      <vt:variant>
        <vt:lpwstr>_Toc109737785</vt:lpwstr>
      </vt:variant>
      <vt:variant>
        <vt:i4>2031676</vt:i4>
      </vt:variant>
      <vt:variant>
        <vt:i4>392</vt:i4>
      </vt:variant>
      <vt:variant>
        <vt:i4>0</vt:i4>
      </vt:variant>
      <vt:variant>
        <vt:i4>5</vt:i4>
      </vt:variant>
      <vt:variant>
        <vt:lpwstr/>
      </vt:variant>
      <vt:variant>
        <vt:lpwstr>_Toc109737784</vt:lpwstr>
      </vt:variant>
      <vt:variant>
        <vt:i4>2031676</vt:i4>
      </vt:variant>
      <vt:variant>
        <vt:i4>386</vt:i4>
      </vt:variant>
      <vt:variant>
        <vt:i4>0</vt:i4>
      </vt:variant>
      <vt:variant>
        <vt:i4>5</vt:i4>
      </vt:variant>
      <vt:variant>
        <vt:lpwstr/>
      </vt:variant>
      <vt:variant>
        <vt:lpwstr>_Toc109737783</vt:lpwstr>
      </vt:variant>
      <vt:variant>
        <vt:i4>2031676</vt:i4>
      </vt:variant>
      <vt:variant>
        <vt:i4>380</vt:i4>
      </vt:variant>
      <vt:variant>
        <vt:i4>0</vt:i4>
      </vt:variant>
      <vt:variant>
        <vt:i4>5</vt:i4>
      </vt:variant>
      <vt:variant>
        <vt:lpwstr/>
      </vt:variant>
      <vt:variant>
        <vt:lpwstr>_Toc109737782</vt:lpwstr>
      </vt:variant>
      <vt:variant>
        <vt:i4>2031676</vt:i4>
      </vt:variant>
      <vt:variant>
        <vt:i4>374</vt:i4>
      </vt:variant>
      <vt:variant>
        <vt:i4>0</vt:i4>
      </vt:variant>
      <vt:variant>
        <vt:i4>5</vt:i4>
      </vt:variant>
      <vt:variant>
        <vt:lpwstr/>
      </vt:variant>
      <vt:variant>
        <vt:lpwstr>_Toc109737781</vt:lpwstr>
      </vt:variant>
      <vt:variant>
        <vt:i4>2031676</vt:i4>
      </vt:variant>
      <vt:variant>
        <vt:i4>368</vt:i4>
      </vt:variant>
      <vt:variant>
        <vt:i4>0</vt:i4>
      </vt:variant>
      <vt:variant>
        <vt:i4>5</vt:i4>
      </vt:variant>
      <vt:variant>
        <vt:lpwstr/>
      </vt:variant>
      <vt:variant>
        <vt:lpwstr>_Toc109737780</vt:lpwstr>
      </vt:variant>
      <vt:variant>
        <vt:i4>1048636</vt:i4>
      </vt:variant>
      <vt:variant>
        <vt:i4>362</vt:i4>
      </vt:variant>
      <vt:variant>
        <vt:i4>0</vt:i4>
      </vt:variant>
      <vt:variant>
        <vt:i4>5</vt:i4>
      </vt:variant>
      <vt:variant>
        <vt:lpwstr/>
      </vt:variant>
      <vt:variant>
        <vt:lpwstr>_Toc109737779</vt:lpwstr>
      </vt:variant>
      <vt:variant>
        <vt:i4>1048636</vt:i4>
      </vt:variant>
      <vt:variant>
        <vt:i4>356</vt:i4>
      </vt:variant>
      <vt:variant>
        <vt:i4>0</vt:i4>
      </vt:variant>
      <vt:variant>
        <vt:i4>5</vt:i4>
      </vt:variant>
      <vt:variant>
        <vt:lpwstr/>
      </vt:variant>
      <vt:variant>
        <vt:lpwstr>_Toc109737778</vt:lpwstr>
      </vt:variant>
      <vt:variant>
        <vt:i4>1048636</vt:i4>
      </vt:variant>
      <vt:variant>
        <vt:i4>350</vt:i4>
      </vt:variant>
      <vt:variant>
        <vt:i4>0</vt:i4>
      </vt:variant>
      <vt:variant>
        <vt:i4>5</vt:i4>
      </vt:variant>
      <vt:variant>
        <vt:lpwstr/>
      </vt:variant>
      <vt:variant>
        <vt:lpwstr>_Toc109737777</vt:lpwstr>
      </vt:variant>
      <vt:variant>
        <vt:i4>1048636</vt:i4>
      </vt:variant>
      <vt:variant>
        <vt:i4>344</vt:i4>
      </vt:variant>
      <vt:variant>
        <vt:i4>0</vt:i4>
      </vt:variant>
      <vt:variant>
        <vt:i4>5</vt:i4>
      </vt:variant>
      <vt:variant>
        <vt:lpwstr/>
      </vt:variant>
      <vt:variant>
        <vt:lpwstr>_Toc109737776</vt:lpwstr>
      </vt:variant>
      <vt:variant>
        <vt:i4>1048636</vt:i4>
      </vt:variant>
      <vt:variant>
        <vt:i4>338</vt:i4>
      </vt:variant>
      <vt:variant>
        <vt:i4>0</vt:i4>
      </vt:variant>
      <vt:variant>
        <vt:i4>5</vt:i4>
      </vt:variant>
      <vt:variant>
        <vt:lpwstr/>
      </vt:variant>
      <vt:variant>
        <vt:lpwstr>_Toc109737775</vt:lpwstr>
      </vt:variant>
      <vt:variant>
        <vt:i4>1048636</vt:i4>
      </vt:variant>
      <vt:variant>
        <vt:i4>332</vt:i4>
      </vt:variant>
      <vt:variant>
        <vt:i4>0</vt:i4>
      </vt:variant>
      <vt:variant>
        <vt:i4>5</vt:i4>
      </vt:variant>
      <vt:variant>
        <vt:lpwstr/>
      </vt:variant>
      <vt:variant>
        <vt:lpwstr>_Toc109737774</vt:lpwstr>
      </vt:variant>
      <vt:variant>
        <vt:i4>1048636</vt:i4>
      </vt:variant>
      <vt:variant>
        <vt:i4>326</vt:i4>
      </vt:variant>
      <vt:variant>
        <vt:i4>0</vt:i4>
      </vt:variant>
      <vt:variant>
        <vt:i4>5</vt:i4>
      </vt:variant>
      <vt:variant>
        <vt:lpwstr/>
      </vt:variant>
      <vt:variant>
        <vt:lpwstr>_Toc109737773</vt:lpwstr>
      </vt:variant>
      <vt:variant>
        <vt:i4>1048636</vt:i4>
      </vt:variant>
      <vt:variant>
        <vt:i4>320</vt:i4>
      </vt:variant>
      <vt:variant>
        <vt:i4>0</vt:i4>
      </vt:variant>
      <vt:variant>
        <vt:i4>5</vt:i4>
      </vt:variant>
      <vt:variant>
        <vt:lpwstr/>
      </vt:variant>
      <vt:variant>
        <vt:lpwstr>_Toc109737772</vt:lpwstr>
      </vt:variant>
      <vt:variant>
        <vt:i4>1048636</vt:i4>
      </vt:variant>
      <vt:variant>
        <vt:i4>314</vt:i4>
      </vt:variant>
      <vt:variant>
        <vt:i4>0</vt:i4>
      </vt:variant>
      <vt:variant>
        <vt:i4>5</vt:i4>
      </vt:variant>
      <vt:variant>
        <vt:lpwstr/>
      </vt:variant>
      <vt:variant>
        <vt:lpwstr>_Toc109737771</vt:lpwstr>
      </vt:variant>
      <vt:variant>
        <vt:i4>1048636</vt:i4>
      </vt:variant>
      <vt:variant>
        <vt:i4>308</vt:i4>
      </vt:variant>
      <vt:variant>
        <vt:i4>0</vt:i4>
      </vt:variant>
      <vt:variant>
        <vt:i4>5</vt:i4>
      </vt:variant>
      <vt:variant>
        <vt:lpwstr/>
      </vt:variant>
      <vt:variant>
        <vt:lpwstr>_Toc109737770</vt:lpwstr>
      </vt:variant>
      <vt:variant>
        <vt:i4>1114172</vt:i4>
      </vt:variant>
      <vt:variant>
        <vt:i4>302</vt:i4>
      </vt:variant>
      <vt:variant>
        <vt:i4>0</vt:i4>
      </vt:variant>
      <vt:variant>
        <vt:i4>5</vt:i4>
      </vt:variant>
      <vt:variant>
        <vt:lpwstr/>
      </vt:variant>
      <vt:variant>
        <vt:lpwstr>_Toc109737769</vt:lpwstr>
      </vt:variant>
      <vt:variant>
        <vt:i4>1114172</vt:i4>
      </vt:variant>
      <vt:variant>
        <vt:i4>296</vt:i4>
      </vt:variant>
      <vt:variant>
        <vt:i4>0</vt:i4>
      </vt:variant>
      <vt:variant>
        <vt:i4>5</vt:i4>
      </vt:variant>
      <vt:variant>
        <vt:lpwstr/>
      </vt:variant>
      <vt:variant>
        <vt:lpwstr>_Toc109737768</vt:lpwstr>
      </vt:variant>
      <vt:variant>
        <vt:i4>1114172</vt:i4>
      </vt:variant>
      <vt:variant>
        <vt:i4>290</vt:i4>
      </vt:variant>
      <vt:variant>
        <vt:i4>0</vt:i4>
      </vt:variant>
      <vt:variant>
        <vt:i4>5</vt:i4>
      </vt:variant>
      <vt:variant>
        <vt:lpwstr/>
      </vt:variant>
      <vt:variant>
        <vt:lpwstr>_Toc109737767</vt:lpwstr>
      </vt:variant>
      <vt:variant>
        <vt:i4>1114172</vt:i4>
      </vt:variant>
      <vt:variant>
        <vt:i4>284</vt:i4>
      </vt:variant>
      <vt:variant>
        <vt:i4>0</vt:i4>
      </vt:variant>
      <vt:variant>
        <vt:i4>5</vt:i4>
      </vt:variant>
      <vt:variant>
        <vt:lpwstr/>
      </vt:variant>
      <vt:variant>
        <vt:lpwstr>_Toc109737766</vt:lpwstr>
      </vt:variant>
      <vt:variant>
        <vt:i4>1114172</vt:i4>
      </vt:variant>
      <vt:variant>
        <vt:i4>278</vt:i4>
      </vt:variant>
      <vt:variant>
        <vt:i4>0</vt:i4>
      </vt:variant>
      <vt:variant>
        <vt:i4>5</vt:i4>
      </vt:variant>
      <vt:variant>
        <vt:lpwstr/>
      </vt:variant>
      <vt:variant>
        <vt:lpwstr>_Toc109737765</vt:lpwstr>
      </vt:variant>
      <vt:variant>
        <vt:i4>1114172</vt:i4>
      </vt:variant>
      <vt:variant>
        <vt:i4>272</vt:i4>
      </vt:variant>
      <vt:variant>
        <vt:i4>0</vt:i4>
      </vt:variant>
      <vt:variant>
        <vt:i4>5</vt:i4>
      </vt:variant>
      <vt:variant>
        <vt:lpwstr/>
      </vt:variant>
      <vt:variant>
        <vt:lpwstr>_Toc109737764</vt:lpwstr>
      </vt:variant>
      <vt:variant>
        <vt:i4>1114172</vt:i4>
      </vt:variant>
      <vt:variant>
        <vt:i4>266</vt:i4>
      </vt:variant>
      <vt:variant>
        <vt:i4>0</vt:i4>
      </vt:variant>
      <vt:variant>
        <vt:i4>5</vt:i4>
      </vt:variant>
      <vt:variant>
        <vt:lpwstr/>
      </vt:variant>
      <vt:variant>
        <vt:lpwstr>_Toc109737763</vt:lpwstr>
      </vt:variant>
      <vt:variant>
        <vt:i4>1114172</vt:i4>
      </vt:variant>
      <vt:variant>
        <vt:i4>260</vt:i4>
      </vt:variant>
      <vt:variant>
        <vt:i4>0</vt:i4>
      </vt:variant>
      <vt:variant>
        <vt:i4>5</vt:i4>
      </vt:variant>
      <vt:variant>
        <vt:lpwstr/>
      </vt:variant>
      <vt:variant>
        <vt:lpwstr>_Toc109737762</vt:lpwstr>
      </vt:variant>
      <vt:variant>
        <vt:i4>1114172</vt:i4>
      </vt:variant>
      <vt:variant>
        <vt:i4>254</vt:i4>
      </vt:variant>
      <vt:variant>
        <vt:i4>0</vt:i4>
      </vt:variant>
      <vt:variant>
        <vt:i4>5</vt:i4>
      </vt:variant>
      <vt:variant>
        <vt:lpwstr/>
      </vt:variant>
      <vt:variant>
        <vt:lpwstr>_Toc109737761</vt:lpwstr>
      </vt:variant>
      <vt:variant>
        <vt:i4>1114172</vt:i4>
      </vt:variant>
      <vt:variant>
        <vt:i4>248</vt:i4>
      </vt:variant>
      <vt:variant>
        <vt:i4>0</vt:i4>
      </vt:variant>
      <vt:variant>
        <vt:i4>5</vt:i4>
      </vt:variant>
      <vt:variant>
        <vt:lpwstr/>
      </vt:variant>
      <vt:variant>
        <vt:lpwstr>_Toc109737760</vt:lpwstr>
      </vt:variant>
      <vt:variant>
        <vt:i4>1179708</vt:i4>
      </vt:variant>
      <vt:variant>
        <vt:i4>242</vt:i4>
      </vt:variant>
      <vt:variant>
        <vt:i4>0</vt:i4>
      </vt:variant>
      <vt:variant>
        <vt:i4>5</vt:i4>
      </vt:variant>
      <vt:variant>
        <vt:lpwstr/>
      </vt:variant>
      <vt:variant>
        <vt:lpwstr>_Toc109737759</vt:lpwstr>
      </vt:variant>
      <vt:variant>
        <vt:i4>1179708</vt:i4>
      </vt:variant>
      <vt:variant>
        <vt:i4>236</vt:i4>
      </vt:variant>
      <vt:variant>
        <vt:i4>0</vt:i4>
      </vt:variant>
      <vt:variant>
        <vt:i4>5</vt:i4>
      </vt:variant>
      <vt:variant>
        <vt:lpwstr/>
      </vt:variant>
      <vt:variant>
        <vt:lpwstr>_Toc109737758</vt:lpwstr>
      </vt:variant>
      <vt:variant>
        <vt:i4>1048637</vt:i4>
      </vt:variant>
      <vt:variant>
        <vt:i4>227</vt:i4>
      </vt:variant>
      <vt:variant>
        <vt:i4>0</vt:i4>
      </vt:variant>
      <vt:variant>
        <vt:i4>5</vt:i4>
      </vt:variant>
      <vt:variant>
        <vt:lpwstr/>
      </vt:variant>
      <vt:variant>
        <vt:lpwstr>_Toc112661816</vt:lpwstr>
      </vt:variant>
      <vt:variant>
        <vt:i4>1048637</vt:i4>
      </vt:variant>
      <vt:variant>
        <vt:i4>221</vt:i4>
      </vt:variant>
      <vt:variant>
        <vt:i4>0</vt:i4>
      </vt:variant>
      <vt:variant>
        <vt:i4>5</vt:i4>
      </vt:variant>
      <vt:variant>
        <vt:lpwstr/>
      </vt:variant>
      <vt:variant>
        <vt:lpwstr>_Toc112661815</vt:lpwstr>
      </vt:variant>
      <vt:variant>
        <vt:i4>1048637</vt:i4>
      </vt:variant>
      <vt:variant>
        <vt:i4>215</vt:i4>
      </vt:variant>
      <vt:variant>
        <vt:i4>0</vt:i4>
      </vt:variant>
      <vt:variant>
        <vt:i4>5</vt:i4>
      </vt:variant>
      <vt:variant>
        <vt:lpwstr/>
      </vt:variant>
      <vt:variant>
        <vt:lpwstr>_Toc112661814</vt:lpwstr>
      </vt:variant>
      <vt:variant>
        <vt:i4>1048637</vt:i4>
      </vt:variant>
      <vt:variant>
        <vt:i4>209</vt:i4>
      </vt:variant>
      <vt:variant>
        <vt:i4>0</vt:i4>
      </vt:variant>
      <vt:variant>
        <vt:i4>5</vt:i4>
      </vt:variant>
      <vt:variant>
        <vt:lpwstr/>
      </vt:variant>
      <vt:variant>
        <vt:lpwstr>_Toc112661813</vt:lpwstr>
      </vt:variant>
      <vt:variant>
        <vt:i4>1048637</vt:i4>
      </vt:variant>
      <vt:variant>
        <vt:i4>203</vt:i4>
      </vt:variant>
      <vt:variant>
        <vt:i4>0</vt:i4>
      </vt:variant>
      <vt:variant>
        <vt:i4>5</vt:i4>
      </vt:variant>
      <vt:variant>
        <vt:lpwstr/>
      </vt:variant>
      <vt:variant>
        <vt:lpwstr>_Toc112661812</vt:lpwstr>
      </vt:variant>
      <vt:variant>
        <vt:i4>1048637</vt:i4>
      </vt:variant>
      <vt:variant>
        <vt:i4>197</vt:i4>
      </vt:variant>
      <vt:variant>
        <vt:i4>0</vt:i4>
      </vt:variant>
      <vt:variant>
        <vt:i4>5</vt:i4>
      </vt:variant>
      <vt:variant>
        <vt:lpwstr/>
      </vt:variant>
      <vt:variant>
        <vt:lpwstr>_Toc112661811</vt:lpwstr>
      </vt:variant>
      <vt:variant>
        <vt:i4>1048637</vt:i4>
      </vt:variant>
      <vt:variant>
        <vt:i4>191</vt:i4>
      </vt:variant>
      <vt:variant>
        <vt:i4>0</vt:i4>
      </vt:variant>
      <vt:variant>
        <vt:i4>5</vt:i4>
      </vt:variant>
      <vt:variant>
        <vt:lpwstr/>
      </vt:variant>
      <vt:variant>
        <vt:lpwstr>_Toc112661810</vt:lpwstr>
      </vt:variant>
      <vt:variant>
        <vt:i4>1114173</vt:i4>
      </vt:variant>
      <vt:variant>
        <vt:i4>185</vt:i4>
      </vt:variant>
      <vt:variant>
        <vt:i4>0</vt:i4>
      </vt:variant>
      <vt:variant>
        <vt:i4>5</vt:i4>
      </vt:variant>
      <vt:variant>
        <vt:lpwstr/>
      </vt:variant>
      <vt:variant>
        <vt:lpwstr>_Toc112661809</vt:lpwstr>
      </vt:variant>
      <vt:variant>
        <vt:i4>1114173</vt:i4>
      </vt:variant>
      <vt:variant>
        <vt:i4>179</vt:i4>
      </vt:variant>
      <vt:variant>
        <vt:i4>0</vt:i4>
      </vt:variant>
      <vt:variant>
        <vt:i4>5</vt:i4>
      </vt:variant>
      <vt:variant>
        <vt:lpwstr/>
      </vt:variant>
      <vt:variant>
        <vt:lpwstr>_Toc112661808</vt:lpwstr>
      </vt:variant>
      <vt:variant>
        <vt:i4>1114173</vt:i4>
      </vt:variant>
      <vt:variant>
        <vt:i4>173</vt:i4>
      </vt:variant>
      <vt:variant>
        <vt:i4>0</vt:i4>
      </vt:variant>
      <vt:variant>
        <vt:i4>5</vt:i4>
      </vt:variant>
      <vt:variant>
        <vt:lpwstr/>
      </vt:variant>
      <vt:variant>
        <vt:lpwstr>_Toc112661807</vt:lpwstr>
      </vt:variant>
      <vt:variant>
        <vt:i4>1114173</vt:i4>
      </vt:variant>
      <vt:variant>
        <vt:i4>167</vt:i4>
      </vt:variant>
      <vt:variant>
        <vt:i4>0</vt:i4>
      </vt:variant>
      <vt:variant>
        <vt:i4>5</vt:i4>
      </vt:variant>
      <vt:variant>
        <vt:lpwstr/>
      </vt:variant>
      <vt:variant>
        <vt:lpwstr>_Toc112661806</vt:lpwstr>
      </vt:variant>
      <vt:variant>
        <vt:i4>1114173</vt:i4>
      </vt:variant>
      <vt:variant>
        <vt:i4>161</vt:i4>
      </vt:variant>
      <vt:variant>
        <vt:i4>0</vt:i4>
      </vt:variant>
      <vt:variant>
        <vt:i4>5</vt:i4>
      </vt:variant>
      <vt:variant>
        <vt:lpwstr/>
      </vt:variant>
      <vt:variant>
        <vt:lpwstr>_Toc112661805</vt:lpwstr>
      </vt:variant>
      <vt:variant>
        <vt:i4>1114173</vt:i4>
      </vt:variant>
      <vt:variant>
        <vt:i4>155</vt:i4>
      </vt:variant>
      <vt:variant>
        <vt:i4>0</vt:i4>
      </vt:variant>
      <vt:variant>
        <vt:i4>5</vt:i4>
      </vt:variant>
      <vt:variant>
        <vt:lpwstr/>
      </vt:variant>
      <vt:variant>
        <vt:lpwstr>_Toc112661804</vt:lpwstr>
      </vt:variant>
      <vt:variant>
        <vt:i4>1114173</vt:i4>
      </vt:variant>
      <vt:variant>
        <vt:i4>149</vt:i4>
      </vt:variant>
      <vt:variant>
        <vt:i4>0</vt:i4>
      </vt:variant>
      <vt:variant>
        <vt:i4>5</vt:i4>
      </vt:variant>
      <vt:variant>
        <vt:lpwstr/>
      </vt:variant>
      <vt:variant>
        <vt:lpwstr>_Toc112661803</vt:lpwstr>
      </vt:variant>
      <vt:variant>
        <vt:i4>1114173</vt:i4>
      </vt:variant>
      <vt:variant>
        <vt:i4>143</vt:i4>
      </vt:variant>
      <vt:variant>
        <vt:i4>0</vt:i4>
      </vt:variant>
      <vt:variant>
        <vt:i4>5</vt:i4>
      </vt:variant>
      <vt:variant>
        <vt:lpwstr/>
      </vt:variant>
      <vt:variant>
        <vt:lpwstr>_Toc112661802</vt:lpwstr>
      </vt:variant>
      <vt:variant>
        <vt:i4>1114173</vt:i4>
      </vt:variant>
      <vt:variant>
        <vt:i4>137</vt:i4>
      </vt:variant>
      <vt:variant>
        <vt:i4>0</vt:i4>
      </vt:variant>
      <vt:variant>
        <vt:i4>5</vt:i4>
      </vt:variant>
      <vt:variant>
        <vt:lpwstr/>
      </vt:variant>
      <vt:variant>
        <vt:lpwstr>_Toc112661801</vt:lpwstr>
      </vt:variant>
      <vt:variant>
        <vt:i4>1114173</vt:i4>
      </vt:variant>
      <vt:variant>
        <vt:i4>131</vt:i4>
      </vt:variant>
      <vt:variant>
        <vt:i4>0</vt:i4>
      </vt:variant>
      <vt:variant>
        <vt:i4>5</vt:i4>
      </vt:variant>
      <vt:variant>
        <vt:lpwstr/>
      </vt:variant>
      <vt:variant>
        <vt:lpwstr>_Toc112661800</vt:lpwstr>
      </vt:variant>
      <vt:variant>
        <vt:i4>1572914</vt:i4>
      </vt:variant>
      <vt:variant>
        <vt:i4>125</vt:i4>
      </vt:variant>
      <vt:variant>
        <vt:i4>0</vt:i4>
      </vt:variant>
      <vt:variant>
        <vt:i4>5</vt:i4>
      </vt:variant>
      <vt:variant>
        <vt:lpwstr/>
      </vt:variant>
      <vt:variant>
        <vt:lpwstr>_Toc112661799</vt:lpwstr>
      </vt:variant>
      <vt:variant>
        <vt:i4>1572914</vt:i4>
      </vt:variant>
      <vt:variant>
        <vt:i4>119</vt:i4>
      </vt:variant>
      <vt:variant>
        <vt:i4>0</vt:i4>
      </vt:variant>
      <vt:variant>
        <vt:i4>5</vt:i4>
      </vt:variant>
      <vt:variant>
        <vt:lpwstr/>
      </vt:variant>
      <vt:variant>
        <vt:lpwstr>_Toc112661798</vt:lpwstr>
      </vt:variant>
      <vt:variant>
        <vt:i4>1572914</vt:i4>
      </vt:variant>
      <vt:variant>
        <vt:i4>113</vt:i4>
      </vt:variant>
      <vt:variant>
        <vt:i4>0</vt:i4>
      </vt:variant>
      <vt:variant>
        <vt:i4>5</vt:i4>
      </vt:variant>
      <vt:variant>
        <vt:lpwstr/>
      </vt:variant>
      <vt:variant>
        <vt:lpwstr>_Toc112661797</vt:lpwstr>
      </vt:variant>
      <vt:variant>
        <vt:i4>1572914</vt:i4>
      </vt:variant>
      <vt:variant>
        <vt:i4>107</vt:i4>
      </vt:variant>
      <vt:variant>
        <vt:i4>0</vt:i4>
      </vt:variant>
      <vt:variant>
        <vt:i4>5</vt:i4>
      </vt:variant>
      <vt:variant>
        <vt:lpwstr/>
      </vt:variant>
      <vt:variant>
        <vt:lpwstr>_Toc112661796</vt:lpwstr>
      </vt:variant>
      <vt:variant>
        <vt:i4>1572914</vt:i4>
      </vt:variant>
      <vt:variant>
        <vt:i4>101</vt:i4>
      </vt:variant>
      <vt:variant>
        <vt:i4>0</vt:i4>
      </vt:variant>
      <vt:variant>
        <vt:i4>5</vt:i4>
      </vt:variant>
      <vt:variant>
        <vt:lpwstr/>
      </vt:variant>
      <vt:variant>
        <vt:lpwstr>_Toc112661795</vt:lpwstr>
      </vt:variant>
      <vt:variant>
        <vt:i4>1572914</vt:i4>
      </vt:variant>
      <vt:variant>
        <vt:i4>95</vt:i4>
      </vt:variant>
      <vt:variant>
        <vt:i4>0</vt:i4>
      </vt:variant>
      <vt:variant>
        <vt:i4>5</vt:i4>
      </vt:variant>
      <vt:variant>
        <vt:lpwstr/>
      </vt:variant>
      <vt:variant>
        <vt:lpwstr>_Toc112661794</vt:lpwstr>
      </vt:variant>
      <vt:variant>
        <vt:i4>1572914</vt:i4>
      </vt:variant>
      <vt:variant>
        <vt:i4>89</vt:i4>
      </vt:variant>
      <vt:variant>
        <vt:i4>0</vt:i4>
      </vt:variant>
      <vt:variant>
        <vt:i4>5</vt:i4>
      </vt:variant>
      <vt:variant>
        <vt:lpwstr/>
      </vt:variant>
      <vt:variant>
        <vt:lpwstr>_Toc112661793</vt:lpwstr>
      </vt:variant>
      <vt:variant>
        <vt:i4>1572914</vt:i4>
      </vt:variant>
      <vt:variant>
        <vt:i4>83</vt:i4>
      </vt:variant>
      <vt:variant>
        <vt:i4>0</vt:i4>
      </vt:variant>
      <vt:variant>
        <vt:i4>5</vt:i4>
      </vt:variant>
      <vt:variant>
        <vt:lpwstr/>
      </vt:variant>
      <vt:variant>
        <vt:lpwstr>_Toc112661792</vt:lpwstr>
      </vt:variant>
      <vt:variant>
        <vt:i4>1572914</vt:i4>
      </vt:variant>
      <vt:variant>
        <vt:i4>77</vt:i4>
      </vt:variant>
      <vt:variant>
        <vt:i4>0</vt:i4>
      </vt:variant>
      <vt:variant>
        <vt:i4>5</vt:i4>
      </vt:variant>
      <vt:variant>
        <vt:lpwstr/>
      </vt:variant>
      <vt:variant>
        <vt:lpwstr>_Toc112661791</vt:lpwstr>
      </vt:variant>
      <vt:variant>
        <vt:i4>1572914</vt:i4>
      </vt:variant>
      <vt:variant>
        <vt:i4>71</vt:i4>
      </vt:variant>
      <vt:variant>
        <vt:i4>0</vt:i4>
      </vt:variant>
      <vt:variant>
        <vt:i4>5</vt:i4>
      </vt:variant>
      <vt:variant>
        <vt:lpwstr/>
      </vt:variant>
      <vt:variant>
        <vt:lpwstr>_Toc112661790</vt:lpwstr>
      </vt:variant>
      <vt:variant>
        <vt:i4>1638450</vt:i4>
      </vt:variant>
      <vt:variant>
        <vt:i4>65</vt:i4>
      </vt:variant>
      <vt:variant>
        <vt:i4>0</vt:i4>
      </vt:variant>
      <vt:variant>
        <vt:i4>5</vt:i4>
      </vt:variant>
      <vt:variant>
        <vt:lpwstr/>
      </vt:variant>
      <vt:variant>
        <vt:lpwstr>_Toc112661789</vt:lpwstr>
      </vt:variant>
      <vt:variant>
        <vt:i4>1638450</vt:i4>
      </vt:variant>
      <vt:variant>
        <vt:i4>59</vt:i4>
      </vt:variant>
      <vt:variant>
        <vt:i4>0</vt:i4>
      </vt:variant>
      <vt:variant>
        <vt:i4>5</vt:i4>
      </vt:variant>
      <vt:variant>
        <vt:lpwstr/>
      </vt:variant>
      <vt:variant>
        <vt:lpwstr>_Toc112661788</vt:lpwstr>
      </vt:variant>
      <vt:variant>
        <vt:i4>1638450</vt:i4>
      </vt:variant>
      <vt:variant>
        <vt:i4>53</vt:i4>
      </vt:variant>
      <vt:variant>
        <vt:i4>0</vt:i4>
      </vt:variant>
      <vt:variant>
        <vt:i4>5</vt:i4>
      </vt:variant>
      <vt:variant>
        <vt:lpwstr/>
      </vt:variant>
      <vt:variant>
        <vt:lpwstr>_Toc112661787</vt:lpwstr>
      </vt:variant>
      <vt:variant>
        <vt:i4>1638450</vt:i4>
      </vt:variant>
      <vt:variant>
        <vt:i4>47</vt:i4>
      </vt:variant>
      <vt:variant>
        <vt:i4>0</vt:i4>
      </vt:variant>
      <vt:variant>
        <vt:i4>5</vt:i4>
      </vt:variant>
      <vt:variant>
        <vt:lpwstr/>
      </vt:variant>
      <vt:variant>
        <vt:lpwstr>_Toc112661786</vt:lpwstr>
      </vt:variant>
      <vt:variant>
        <vt:i4>1638450</vt:i4>
      </vt:variant>
      <vt:variant>
        <vt:i4>41</vt:i4>
      </vt:variant>
      <vt:variant>
        <vt:i4>0</vt:i4>
      </vt:variant>
      <vt:variant>
        <vt:i4>5</vt:i4>
      </vt:variant>
      <vt:variant>
        <vt:lpwstr/>
      </vt:variant>
      <vt:variant>
        <vt:lpwstr>_Toc112661785</vt:lpwstr>
      </vt:variant>
      <vt:variant>
        <vt:i4>1638450</vt:i4>
      </vt:variant>
      <vt:variant>
        <vt:i4>35</vt:i4>
      </vt:variant>
      <vt:variant>
        <vt:i4>0</vt:i4>
      </vt:variant>
      <vt:variant>
        <vt:i4>5</vt:i4>
      </vt:variant>
      <vt:variant>
        <vt:lpwstr/>
      </vt:variant>
      <vt:variant>
        <vt:lpwstr>_Toc112661784</vt:lpwstr>
      </vt:variant>
      <vt:variant>
        <vt:i4>1638450</vt:i4>
      </vt:variant>
      <vt:variant>
        <vt:i4>29</vt:i4>
      </vt:variant>
      <vt:variant>
        <vt:i4>0</vt:i4>
      </vt:variant>
      <vt:variant>
        <vt:i4>5</vt:i4>
      </vt:variant>
      <vt:variant>
        <vt:lpwstr/>
      </vt:variant>
      <vt:variant>
        <vt:lpwstr>_Toc112661783</vt:lpwstr>
      </vt:variant>
      <vt:variant>
        <vt:i4>1638450</vt:i4>
      </vt:variant>
      <vt:variant>
        <vt:i4>23</vt:i4>
      </vt:variant>
      <vt:variant>
        <vt:i4>0</vt:i4>
      </vt:variant>
      <vt:variant>
        <vt:i4>5</vt:i4>
      </vt:variant>
      <vt:variant>
        <vt:lpwstr/>
      </vt:variant>
      <vt:variant>
        <vt:lpwstr>_Toc112661782</vt:lpwstr>
      </vt:variant>
      <vt:variant>
        <vt:i4>1638450</vt:i4>
      </vt:variant>
      <vt:variant>
        <vt:i4>17</vt:i4>
      </vt:variant>
      <vt:variant>
        <vt:i4>0</vt:i4>
      </vt:variant>
      <vt:variant>
        <vt:i4>5</vt:i4>
      </vt:variant>
      <vt:variant>
        <vt:lpwstr/>
      </vt:variant>
      <vt:variant>
        <vt:lpwstr>_Toc112661781</vt:lpwstr>
      </vt:variant>
      <vt:variant>
        <vt:i4>1638450</vt:i4>
      </vt:variant>
      <vt:variant>
        <vt:i4>11</vt:i4>
      </vt:variant>
      <vt:variant>
        <vt:i4>0</vt:i4>
      </vt:variant>
      <vt:variant>
        <vt:i4>5</vt:i4>
      </vt:variant>
      <vt:variant>
        <vt:lpwstr/>
      </vt:variant>
      <vt:variant>
        <vt:lpwstr>_Toc112661780</vt:lpwstr>
      </vt:variant>
      <vt:variant>
        <vt:i4>4194348</vt:i4>
      </vt:variant>
      <vt:variant>
        <vt:i4>6</vt:i4>
      </vt:variant>
      <vt:variant>
        <vt:i4>0</vt:i4>
      </vt:variant>
      <vt:variant>
        <vt:i4>5</vt:i4>
      </vt:variant>
      <vt:variant>
        <vt:lpwstr>mailto:dubravka.pajkin@gmail.com</vt:lpwstr>
      </vt:variant>
      <vt:variant>
        <vt:lpwstr/>
      </vt:variant>
      <vt:variant>
        <vt:i4>3145774</vt:i4>
      </vt:variant>
      <vt:variant>
        <vt:i4>3</vt:i4>
      </vt:variant>
      <vt:variant>
        <vt:i4>0</vt:i4>
      </vt:variant>
      <vt:variant>
        <vt:i4>5</vt:i4>
      </vt:variant>
      <vt:variant>
        <vt:lpwstr>mailto:rade_glomazic@dai.com</vt:lpwstr>
      </vt:variant>
      <vt:variant>
        <vt:lpwstr/>
      </vt:variant>
      <vt:variant>
        <vt:i4>917549</vt:i4>
      </vt:variant>
      <vt:variant>
        <vt:i4>0</vt:i4>
      </vt:variant>
      <vt:variant>
        <vt:i4>0</vt:i4>
      </vt:variant>
      <vt:variant>
        <vt:i4>5</vt:i4>
      </vt:variant>
      <vt:variant>
        <vt:lpwstr>mailto:iraci.bayer@csb.gov.tr</vt:lpwstr>
      </vt:variant>
      <vt:variant>
        <vt:lpwstr/>
      </vt:variant>
      <vt:variant>
        <vt:i4>8126588</vt:i4>
      </vt:variant>
      <vt:variant>
        <vt:i4>6</vt:i4>
      </vt:variant>
      <vt:variant>
        <vt:i4>0</vt:i4>
      </vt:variant>
      <vt:variant>
        <vt:i4>5</vt:i4>
      </vt:variant>
      <vt:variant>
        <vt:lpwstr>https://emis.vito.be/nl/bbt/bbt-tools/selectiesystemen/wass/technieken</vt:lpwstr>
      </vt:variant>
      <vt:variant>
        <vt:lpwstr/>
      </vt:variant>
      <vt:variant>
        <vt:i4>8061047</vt:i4>
      </vt:variant>
      <vt:variant>
        <vt:i4>3</vt:i4>
      </vt:variant>
      <vt:variant>
        <vt:i4>0</vt:i4>
      </vt:variant>
      <vt:variant>
        <vt:i4>5</vt:i4>
      </vt:variant>
      <vt:variant>
        <vt:lpwstr>https://iplo.nl/thema/lucht/technieken-beperking-luchtemissie/</vt:lpwstr>
      </vt:variant>
      <vt:variant>
        <vt:lpwstr/>
      </vt:variant>
      <vt:variant>
        <vt:i4>4391005</vt:i4>
      </vt:variant>
      <vt:variant>
        <vt:i4>0</vt:i4>
      </vt:variant>
      <vt:variant>
        <vt:i4>0</vt:i4>
      </vt:variant>
      <vt:variant>
        <vt:i4>5</vt:i4>
      </vt:variant>
      <vt:variant>
        <vt:lpwstr>https://www.rateinflation.com/inflation-rate/euro-area-historical-inflation-rate/</vt:lpwstr>
      </vt:variant>
      <vt:variant>
        <vt:lpwstr/>
      </vt:variant>
      <vt:variant>
        <vt:i4>655466</vt:i4>
      </vt:variant>
      <vt:variant>
        <vt:i4>0</vt:i4>
      </vt:variant>
      <vt:variant>
        <vt:i4>0</vt:i4>
      </vt:variant>
      <vt:variant>
        <vt:i4>5</vt:i4>
      </vt:variant>
      <vt:variant>
        <vt:lpwstr>mailto:elif.kucuk@ekodenge.com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elifcan.kanatli@csb.gov.tr</dc:creator>
  <cp:keywords/>
  <dc:description/>
  <cp:lastModifiedBy>Makbule Bal</cp:lastModifiedBy>
  <cp:revision>30</cp:revision>
  <dcterms:created xsi:type="dcterms:W3CDTF">2025-03-13T06:52:00Z</dcterms:created>
  <dcterms:modified xsi:type="dcterms:W3CDTF">2025-03-14T06:39:00Z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0x01010004A3FC1E26E3BA4A907FBEE7D1494596</vt:lpwstr>
  </property>
  <property fmtid="{D5CDD505-2E9C-101B-9397-08002B2CF9AE}" pid="3" name="MediaServiceImageTags">
    <vt:lpwstr/>
  </property>
</Properties>
</file>