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E5" w:rsidRDefault="00FE61E5" w:rsidP="00FE61E5">
      <w:pPr>
        <w:pStyle w:val="KonuBal"/>
        <w:rPr>
          <w:b/>
          <w:sz w:val="24"/>
        </w:rPr>
      </w:pPr>
      <w:bookmarkStart w:id="0" w:name="_GoBack"/>
      <w:bookmarkEnd w:id="0"/>
      <w:r>
        <w:rPr>
          <w:b/>
          <w:sz w:val="24"/>
        </w:rPr>
        <w:t>REPUBLIC OF TURKEY</w:t>
      </w:r>
    </w:p>
    <w:p w:rsidR="00FE61E5" w:rsidRDefault="00FE61E5" w:rsidP="00FE61E5">
      <w:pPr>
        <w:jc w:val="center"/>
        <w:rPr>
          <w:b/>
          <w:lang w:val="en-US"/>
        </w:rPr>
      </w:pPr>
      <w:r w:rsidRPr="00A344D0">
        <w:rPr>
          <w:b/>
          <w:lang w:val="en-US"/>
        </w:rPr>
        <w:t>MINISTRY OF ENVIRONMENT AND URBANIZATION</w:t>
      </w:r>
      <w:r>
        <w:rPr>
          <w:b/>
          <w:lang w:val="en-US"/>
        </w:rPr>
        <w:t xml:space="preserve"> </w:t>
      </w:r>
    </w:p>
    <w:p w:rsidR="00FE61E5" w:rsidRDefault="00FE61E5" w:rsidP="00FE61E5">
      <w:pPr>
        <w:jc w:val="center"/>
        <w:rPr>
          <w:b/>
          <w:lang w:val="en-US"/>
        </w:rPr>
      </w:pPr>
      <w:r>
        <w:rPr>
          <w:b/>
          <w:lang w:val="en-US"/>
        </w:rPr>
        <w:t>General Directorate of Environmental Management</w:t>
      </w:r>
    </w:p>
    <w:p w:rsidR="00FE61E5" w:rsidRDefault="00FE61E5" w:rsidP="00FE61E5">
      <w:pPr>
        <w:jc w:val="center"/>
        <w:rPr>
          <w:b/>
          <w:lang w:val="en-US"/>
        </w:rPr>
      </w:pPr>
    </w:p>
    <w:p w:rsidR="00FE61E5" w:rsidRDefault="00FE61E5" w:rsidP="00FE61E5">
      <w:pPr>
        <w:jc w:val="center"/>
        <w:rPr>
          <w:b/>
          <w:lang w:val="en-US"/>
        </w:rPr>
      </w:pPr>
      <w:r w:rsidRPr="00A344D0">
        <w:rPr>
          <w:b/>
          <w:lang w:val="en-US"/>
        </w:rPr>
        <w:t xml:space="preserve">PARTNERSHIP FOR MARKET READINESS </w:t>
      </w:r>
      <w:r>
        <w:rPr>
          <w:b/>
          <w:lang w:val="en-US"/>
        </w:rPr>
        <w:t xml:space="preserve">PROJECT </w:t>
      </w:r>
      <w:r w:rsidR="007C01FC">
        <w:rPr>
          <w:b/>
          <w:lang w:val="en-US"/>
        </w:rPr>
        <w:t>TURKEY II</w:t>
      </w:r>
    </w:p>
    <w:p w:rsidR="00FE61E5" w:rsidRDefault="003A5107" w:rsidP="00FE61E5">
      <w:pPr>
        <w:jc w:val="center"/>
        <w:rPr>
          <w:b/>
          <w:lang w:val="en-US"/>
        </w:rPr>
      </w:pPr>
      <w:r w:rsidRPr="003A5107">
        <w:rPr>
          <w:b/>
          <w:lang w:val="en-US"/>
        </w:rPr>
        <w:t>(TF0A9626)</w:t>
      </w:r>
    </w:p>
    <w:p w:rsidR="003A5107" w:rsidRDefault="003A5107" w:rsidP="00FE61E5">
      <w:pPr>
        <w:jc w:val="center"/>
        <w:rPr>
          <w:b/>
          <w:lang w:val="en-US"/>
        </w:rPr>
      </w:pPr>
    </w:p>
    <w:p w:rsidR="00FE61E5" w:rsidRDefault="00FE61E5" w:rsidP="00FE61E5">
      <w:pPr>
        <w:jc w:val="center"/>
        <w:rPr>
          <w:b/>
          <w:lang w:val="en-US"/>
        </w:rPr>
      </w:pPr>
      <w:r>
        <w:rPr>
          <w:b/>
          <w:lang w:val="en-US"/>
        </w:rPr>
        <w:t xml:space="preserve">TERMS OF REFERENCE FOR CONSULTANCY SERVICES FOR </w:t>
      </w:r>
    </w:p>
    <w:p w:rsidR="00FE61E5" w:rsidRDefault="00BE67B8" w:rsidP="00FE61E5">
      <w:pPr>
        <w:jc w:val="center"/>
        <w:rPr>
          <w:b/>
          <w:lang w:val="en-US"/>
        </w:rPr>
      </w:pPr>
      <w:r>
        <w:rPr>
          <w:b/>
          <w:lang w:val="en-US"/>
        </w:rPr>
        <w:t>BOTTOM-UP ENERGY MODEL EXPERT</w:t>
      </w:r>
    </w:p>
    <w:p w:rsidR="00FE61E5" w:rsidRDefault="003211BA" w:rsidP="00FE61E5">
      <w:pPr>
        <w:jc w:val="center"/>
        <w:rPr>
          <w:b/>
          <w:lang w:val="en-US"/>
        </w:rPr>
      </w:pPr>
      <w:r>
        <w:rPr>
          <w:b/>
          <w:lang w:val="en-US"/>
        </w:rPr>
        <w:t>(PMR-TRII-C2-IC1</w:t>
      </w:r>
      <w:r w:rsidR="00FE61E5" w:rsidRPr="002A5C27">
        <w:rPr>
          <w:b/>
          <w:lang w:val="en-US"/>
        </w:rPr>
        <w:t>)</w:t>
      </w:r>
    </w:p>
    <w:p w:rsidR="00FE61E5" w:rsidRDefault="00FE61E5" w:rsidP="00FE61E5">
      <w:pPr>
        <w:jc w:val="both"/>
        <w:rPr>
          <w:lang w:val="en-US"/>
        </w:rPr>
      </w:pPr>
    </w:p>
    <w:p w:rsidR="00FE61E5" w:rsidRPr="00735B2C" w:rsidRDefault="00FE61E5" w:rsidP="00FE61E5">
      <w:pPr>
        <w:numPr>
          <w:ilvl w:val="0"/>
          <w:numId w:val="1"/>
        </w:numPr>
        <w:jc w:val="both"/>
        <w:rPr>
          <w:b/>
          <w:lang w:val="en-US"/>
        </w:rPr>
      </w:pPr>
      <w:r w:rsidRPr="00735B2C">
        <w:rPr>
          <w:b/>
          <w:lang w:val="en-US"/>
        </w:rPr>
        <w:t>BACKGROUND</w:t>
      </w:r>
    </w:p>
    <w:p w:rsidR="00FE61E5" w:rsidRDefault="00FE61E5" w:rsidP="00FE61E5">
      <w:pPr>
        <w:jc w:val="both"/>
        <w:rPr>
          <w:lang w:val="en-US"/>
        </w:rPr>
      </w:pPr>
    </w:p>
    <w:p w:rsidR="00FE61E5" w:rsidRPr="00C70AA4" w:rsidRDefault="00FE61E5" w:rsidP="00FE61E5">
      <w:pPr>
        <w:pStyle w:val="Default"/>
        <w:jc w:val="both"/>
        <w:rPr>
          <w:color w:val="auto"/>
          <w:sz w:val="23"/>
          <w:szCs w:val="23"/>
        </w:rPr>
      </w:pPr>
      <w:r w:rsidRPr="00C70AA4">
        <w:rPr>
          <w:color w:val="auto"/>
          <w:sz w:val="23"/>
          <w:szCs w:val="23"/>
        </w:rPr>
        <w:t xml:space="preserve">The Government of Turkey has been awarded a grant from the World Bank Partnership for Market Readiness (PMR) trust fund to finance the implementation phase of the Partnership for Market Readiness Project (PMR Project) and intends to apply part of the proceeds to payments for consulting services contract which will be implemented by the Ministry of Environment and Urbanization (MoEU) through the Climate Change Department (CCD). </w:t>
      </w:r>
    </w:p>
    <w:p w:rsidR="00FE61E5" w:rsidRPr="00C70AA4" w:rsidRDefault="00FE61E5" w:rsidP="00FE61E5">
      <w:pPr>
        <w:pStyle w:val="Default"/>
        <w:jc w:val="both"/>
        <w:rPr>
          <w:color w:val="auto"/>
          <w:sz w:val="23"/>
          <w:szCs w:val="23"/>
        </w:rPr>
      </w:pPr>
    </w:p>
    <w:p w:rsidR="00FE61E5" w:rsidRPr="00C70AA4" w:rsidRDefault="00FE61E5" w:rsidP="00FE61E5">
      <w:pPr>
        <w:keepNext/>
        <w:jc w:val="both"/>
      </w:pPr>
      <w:r w:rsidRPr="00C70AA4">
        <w:t>The core objective of the PMR work in Turkey is to produce robust analytical reports on suitability of carbon pricing to inform decision-making processes in formulation of Turkey’s low carbon development policies. The following reports are produced to ensure the objective is met: (i)  an analytical report on the consideration of establishment and operation of an emission trading scheme (ETS) for Turkey; (ii) an analytical report to assess applicability of other carbon pricing mechanism; (iii) a study on modelling potential economic and sectoral impacts of carbon pricing; (iv) a study on developing Turkey’s marginal abatement and cost curves (MACC) in energy sectors; (v) assessment on the risk of carbon leakage and (vi) a synthesis report on the implementation of carbon pricing policies in Turkey.</w:t>
      </w:r>
    </w:p>
    <w:p w:rsidR="00FE61E5" w:rsidRPr="00C70AA4" w:rsidRDefault="00FE61E5" w:rsidP="00FE61E5">
      <w:pPr>
        <w:autoSpaceDE w:val="0"/>
        <w:autoSpaceDN w:val="0"/>
        <w:adjustRightInd w:val="0"/>
        <w:jc w:val="both"/>
      </w:pPr>
    </w:p>
    <w:p w:rsidR="00FE61E5" w:rsidRPr="00C70AA4" w:rsidRDefault="00FE61E5" w:rsidP="00FE61E5">
      <w:pPr>
        <w:autoSpaceDE w:val="0"/>
        <w:autoSpaceDN w:val="0"/>
        <w:adjustRightInd w:val="0"/>
        <w:jc w:val="both"/>
      </w:pPr>
      <w:r w:rsidRPr="00C70AA4">
        <w:t>PMR in Turkey includes extensive stakeholder training, consultation/engagement and public awareness activities, including, inter alia, (i) conferences and workshops supporting the activities; (ii) consultation meetings with stakeholders; and (iii) public awareness activities (media, high level public/private meetings, etc.).</w:t>
      </w:r>
    </w:p>
    <w:p w:rsidR="00FE61E5" w:rsidRPr="00C70AA4" w:rsidRDefault="00FE61E5" w:rsidP="00FE61E5">
      <w:pPr>
        <w:autoSpaceDE w:val="0"/>
        <w:autoSpaceDN w:val="0"/>
        <w:adjustRightInd w:val="0"/>
        <w:jc w:val="both"/>
      </w:pPr>
    </w:p>
    <w:p w:rsidR="00FE61E5" w:rsidRPr="00C70AA4" w:rsidRDefault="00FE61E5" w:rsidP="00FE61E5">
      <w:pPr>
        <w:autoSpaceDE w:val="0"/>
        <w:autoSpaceDN w:val="0"/>
        <w:adjustRightInd w:val="0"/>
        <w:jc w:val="both"/>
      </w:pPr>
      <w:r w:rsidRPr="00C70AA4">
        <w:t>The Closing Date of Grant Agreement for the 1</w:t>
      </w:r>
      <w:r w:rsidRPr="00C70AA4">
        <w:rPr>
          <w:vertAlign w:val="superscript"/>
        </w:rPr>
        <w:t>st</w:t>
      </w:r>
      <w:r w:rsidRPr="00C70AA4">
        <w:t xml:space="preserve"> implementation phase (2014-2018) is December 31, 2018. PMR Turkey is allocated an additional funding at the 17</w:t>
      </w:r>
      <w:r w:rsidRPr="00C70AA4">
        <w:rPr>
          <w:vertAlign w:val="superscript"/>
        </w:rPr>
        <w:t>th</w:t>
      </w:r>
      <w:r w:rsidRPr="00C70AA4">
        <w:t xml:space="preserve"> Partnership Assembly, the decision-making body of the PMR in October 2017, to</w:t>
      </w:r>
      <w:r>
        <w:t xml:space="preserve"> assist</w:t>
      </w:r>
      <w:r w:rsidRPr="00C70AA4">
        <w:t xml:space="preserve"> the Turkish government further the work on the deliverables of the 1</w:t>
      </w:r>
      <w:r w:rsidRPr="00C70AA4">
        <w:rPr>
          <w:vertAlign w:val="superscript"/>
        </w:rPr>
        <w:t>st</w:t>
      </w:r>
      <w:r w:rsidRPr="00C70AA4">
        <w:t xml:space="preserve"> implementation phase. The 2</w:t>
      </w:r>
      <w:r w:rsidRPr="00C70AA4">
        <w:rPr>
          <w:vertAlign w:val="superscript"/>
        </w:rPr>
        <w:t>nd</w:t>
      </w:r>
      <w:r>
        <w:t xml:space="preserve"> phase of the project started in January 2019</w:t>
      </w:r>
      <w:r w:rsidRPr="00C70AA4">
        <w:t xml:space="preserve"> and will last until June 2020. </w:t>
      </w:r>
    </w:p>
    <w:p w:rsidR="00FE61E5" w:rsidRDefault="00FE61E5" w:rsidP="00FE61E5">
      <w:pPr>
        <w:jc w:val="both"/>
        <w:rPr>
          <w:bCs/>
        </w:rPr>
      </w:pPr>
    </w:p>
    <w:p w:rsidR="00FE61E5" w:rsidRPr="008930C6" w:rsidRDefault="00FE61E5" w:rsidP="00FE61E5">
      <w:pPr>
        <w:pStyle w:val="GvdeMetniGirintisi"/>
        <w:ind w:left="0"/>
        <w:jc w:val="both"/>
      </w:pPr>
      <w:r w:rsidRPr="005051B0">
        <w:rPr>
          <w:bCs/>
        </w:rPr>
        <w:t>Within the framework of the</w:t>
      </w:r>
      <w:r>
        <w:t xml:space="preserve"> PMR Implementation Phase II</w:t>
      </w:r>
      <w:r w:rsidRPr="005051B0">
        <w:t xml:space="preserve">, a </w:t>
      </w:r>
      <w:r w:rsidR="0098449F">
        <w:t xml:space="preserve">Bottom-up Energy Model </w:t>
      </w:r>
      <w:r>
        <w:t xml:space="preserve">Expert will be employed at </w:t>
      </w:r>
      <w:r>
        <w:rPr>
          <w:bCs/>
        </w:rPr>
        <w:t xml:space="preserve">PMR </w:t>
      </w:r>
      <w:r w:rsidRPr="007B52E1">
        <w:t>Project Implementation Unit (PIU)</w:t>
      </w:r>
      <w:r>
        <w:t xml:space="preserve">, </w:t>
      </w:r>
      <w:r w:rsidRPr="005051B0">
        <w:t xml:space="preserve">General Directorate of Environmental </w:t>
      </w:r>
      <w:r w:rsidRPr="008930C6">
        <w:rPr>
          <w:bCs/>
        </w:rPr>
        <w:t>Management of Ministry of Environment and Urbanization (MoEU)</w:t>
      </w:r>
      <w:r>
        <w:rPr>
          <w:bCs/>
        </w:rPr>
        <w:t xml:space="preserve"> </w:t>
      </w:r>
      <w:r w:rsidRPr="008930C6">
        <w:rPr>
          <w:bCs/>
        </w:rPr>
        <w:t xml:space="preserve">to </w:t>
      </w:r>
      <w:r w:rsidR="00E15B99">
        <w:rPr>
          <w:bCs/>
        </w:rPr>
        <w:t xml:space="preserve">help MoEU interpreting the outcomes of the </w:t>
      </w:r>
      <w:r w:rsidR="00E15B99">
        <w:t xml:space="preserve">“Cap Setting and Allocation Plan for a Pilot ETS in Turkey” assignment. </w:t>
      </w:r>
    </w:p>
    <w:p w:rsidR="00FE61E5" w:rsidRPr="008930C6" w:rsidRDefault="00FE61E5" w:rsidP="00FE61E5">
      <w:pPr>
        <w:autoSpaceDE w:val="0"/>
        <w:autoSpaceDN w:val="0"/>
        <w:adjustRightInd w:val="0"/>
        <w:jc w:val="both"/>
        <w:rPr>
          <w:bCs/>
        </w:rPr>
      </w:pPr>
    </w:p>
    <w:p w:rsidR="00FE61E5" w:rsidRPr="008930C6" w:rsidRDefault="00FE61E5" w:rsidP="00FE61E5">
      <w:pPr>
        <w:autoSpaceDE w:val="0"/>
        <w:autoSpaceDN w:val="0"/>
        <w:adjustRightInd w:val="0"/>
        <w:jc w:val="both"/>
        <w:rPr>
          <w:lang w:val="en-US"/>
        </w:rPr>
      </w:pPr>
      <w:r w:rsidRPr="008930C6">
        <w:rPr>
          <w:lang w:val="en-US"/>
        </w:rPr>
        <w:lastRenderedPageBreak/>
        <w:t>For more information on the project official d</w:t>
      </w:r>
      <w:r>
        <w:rPr>
          <w:lang w:val="en-US"/>
        </w:rPr>
        <w:t>ocuments and activities, please see</w:t>
      </w:r>
      <w:r w:rsidRPr="008930C6">
        <w:rPr>
          <w:lang w:val="en-US"/>
        </w:rPr>
        <w:t xml:space="preserve"> the following websites; </w:t>
      </w:r>
      <w:hyperlink r:id="rId7" w:history="1">
        <w:r w:rsidRPr="008930C6">
          <w:rPr>
            <w:lang w:val="en-US"/>
          </w:rPr>
          <w:t>http://www.thepmr.org/</w:t>
        </w:r>
      </w:hyperlink>
      <w:r w:rsidRPr="008930C6">
        <w:rPr>
          <w:lang w:val="en-US"/>
        </w:rPr>
        <w:t xml:space="preserve"> and  </w:t>
      </w:r>
      <w:hyperlink r:id="rId8" w:history="1">
        <w:r w:rsidRPr="008930C6">
          <w:rPr>
            <w:lang w:val="en-US"/>
          </w:rPr>
          <w:t>http://www.pmrturkiye.org/</w:t>
        </w:r>
      </w:hyperlink>
      <w:r w:rsidRPr="008930C6">
        <w:rPr>
          <w:lang w:val="en-US"/>
        </w:rPr>
        <w:t xml:space="preserve"> .</w:t>
      </w:r>
    </w:p>
    <w:p w:rsidR="00FE61E5" w:rsidRDefault="00FE61E5" w:rsidP="00FE61E5">
      <w:pPr>
        <w:jc w:val="both"/>
      </w:pPr>
    </w:p>
    <w:p w:rsidR="00FE61E5" w:rsidRPr="00F846B7" w:rsidRDefault="00FE61E5" w:rsidP="00FE61E5">
      <w:pPr>
        <w:numPr>
          <w:ilvl w:val="0"/>
          <w:numId w:val="1"/>
        </w:numPr>
        <w:jc w:val="both"/>
        <w:rPr>
          <w:b/>
          <w:lang w:val="en-US"/>
        </w:rPr>
      </w:pPr>
      <w:r w:rsidRPr="00F846B7">
        <w:rPr>
          <w:b/>
          <w:lang w:val="en-US"/>
        </w:rPr>
        <w:t>OBJECTIVES</w:t>
      </w:r>
    </w:p>
    <w:p w:rsidR="00FE61E5" w:rsidRDefault="00FE61E5" w:rsidP="00FE61E5">
      <w:pPr>
        <w:pStyle w:val="GvdeMetniGirintisi"/>
        <w:ind w:left="0"/>
        <w:jc w:val="both"/>
      </w:pPr>
    </w:p>
    <w:p w:rsidR="00FE61E5" w:rsidRDefault="00FE61E5" w:rsidP="00FE61E5">
      <w:pPr>
        <w:pStyle w:val="GvdeMetniGirintisi"/>
        <w:ind w:left="0"/>
        <w:jc w:val="both"/>
      </w:pPr>
      <w:r w:rsidRPr="007B52E1">
        <w:t>The main objective of the con</w:t>
      </w:r>
      <w:r>
        <w:t>sultant’s services under this To</w:t>
      </w:r>
      <w:r w:rsidRPr="007B52E1">
        <w:t xml:space="preserve">R is to employ an experienced consultant </w:t>
      </w:r>
      <w:r w:rsidRPr="00B44B96">
        <w:t xml:space="preserve">to support the project </w:t>
      </w:r>
      <w:r>
        <w:t xml:space="preserve">by providing technical expertise on the “Cap Setting and Allocation Plan for a Pilot ETS in Turkey” assignment which will be done by the international consultants. </w:t>
      </w:r>
    </w:p>
    <w:p w:rsidR="00FE61E5" w:rsidRDefault="00FE61E5" w:rsidP="00FE61E5">
      <w:pPr>
        <w:pStyle w:val="GvdeMetniGirintisi"/>
        <w:ind w:left="0"/>
        <w:jc w:val="both"/>
      </w:pPr>
    </w:p>
    <w:p w:rsidR="00FE61E5" w:rsidRDefault="00FE61E5" w:rsidP="00FE61E5">
      <w:pPr>
        <w:numPr>
          <w:ilvl w:val="0"/>
          <w:numId w:val="1"/>
        </w:numPr>
        <w:jc w:val="both"/>
        <w:rPr>
          <w:b/>
          <w:lang w:val="en-US"/>
        </w:rPr>
      </w:pPr>
      <w:r w:rsidRPr="00F846B7">
        <w:rPr>
          <w:b/>
          <w:lang w:val="en-US"/>
        </w:rPr>
        <w:t>SCOPE OF THE SERVICES</w:t>
      </w:r>
      <w:r>
        <w:rPr>
          <w:b/>
          <w:lang w:val="en-US"/>
        </w:rPr>
        <w:t xml:space="preserve"> </w:t>
      </w:r>
    </w:p>
    <w:p w:rsidR="00FE61E5" w:rsidRDefault="00FE61E5" w:rsidP="00FE61E5">
      <w:pPr>
        <w:jc w:val="both"/>
        <w:rPr>
          <w:b/>
          <w:lang w:val="en-US"/>
        </w:rPr>
      </w:pPr>
    </w:p>
    <w:p w:rsidR="00FE61E5" w:rsidRPr="008930C6" w:rsidRDefault="00FE61E5" w:rsidP="00FE61E5">
      <w:pPr>
        <w:jc w:val="both"/>
        <w:rPr>
          <w:lang w:val="en-US"/>
        </w:rPr>
      </w:pPr>
      <w:r w:rsidRPr="008930C6">
        <w:rPr>
          <w:lang w:val="en-US"/>
        </w:rPr>
        <w:t xml:space="preserve">The </w:t>
      </w:r>
      <w:r w:rsidR="000C12F2">
        <w:rPr>
          <w:lang w:val="en-US"/>
        </w:rPr>
        <w:t xml:space="preserve">Bottom-up Energy Model </w:t>
      </w:r>
      <w:r>
        <w:rPr>
          <w:lang w:val="en-US"/>
        </w:rPr>
        <w:t>Expert</w:t>
      </w:r>
      <w:r w:rsidRPr="008930C6">
        <w:rPr>
          <w:lang w:val="en-US"/>
        </w:rPr>
        <w:t xml:space="preserve"> is expected to perform following tasks:</w:t>
      </w:r>
    </w:p>
    <w:p w:rsidR="00FE61E5" w:rsidRPr="008930C6" w:rsidRDefault="00FE61E5" w:rsidP="00FE61E5">
      <w:pPr>
        <w:pStyle w:val="ListeParagraf"/>
        <w:numPr>
          <w:ilvl w:val="0"/>
          <w:numId w:val="2"/>
        </w:numPr>
        <w:jc w:val="both"/>
        <w:rPr>
          <w:lang w:val="en-US"/>
        </w:rPr>
      </w:pPr>
      <w:r w:rsidRPr="008930C6">
        <w:rPr>
          <w:lang w:val="en-US"/>
        </w:rPr>
        <w:t xml:space="preserve">Conduct a desk review on </w:t>
      </w:r>
      <w:r>
        <w:rPr>
          <w:lang w:val="en-US"/>
        </w:rPr>
        <w:t xml:space="preserve">the data requirements for developing National Cap and Allocation Plans for MRV sectors in Turkey </w:t>
      </w:r>
    </w:p>
    <w:p w:rsidR="00FE61E5" w:rsidRDefault="00FE61E5" w:rsidP="00FE61E5">
      <w:pPr>
        <w:pStyle w:val="ListeParagraf"/>
        <w:numPr>
          <w:ilvl w:val="0"/>
          <w:numId w:val="2"/>
        </w:numPr>
        <w:jc w:val="both"/>
        <w:rPr>
          <w:lang w:val="en-US"/>
        </w:rPr>
      </w:pPr>
      <w:r>
        <w:rPr>
          <w:lang w:val="en-US"/>
        </w:rPr>
        <w:t>Review the “D</w:t>
      </w:r>
      <w:r w:rsidRPr="00FE61E5">
        <w:rPr>
          <w:lang w:val="en-US"/>
        </w:rPr>
        <w:t>ata collection templates</w:t>
      </w:r>
      <w:r>
        <w:rPr>
          <w:lang w:val="en-US"/>
        </w:rPr>
        <w:t xml:space="preserve">” which will be developed by the Consultants for collecting data from the institutions and installations in Turkey </w:t>
      </w:r>
    </w:p>
    <w:p w:rsidR="00FE61E5" w:rsidRDefault="00FE61E5" w:rsidP="00FE61E5">
      <w:pPr>
        <w:pStyle w:val="ListeParagraf"/>
        <w:numPr>
          <w:ilvl w:val="0"/>
          <w:numId w:val="2"/>
        </w:numPr>
        <w:jc w:val="both"/>
        <w:rPr>
          <w:lang w:val="en-US"/>
        </w:rPr>
      </w:pPr>
      <w:r>
        <w:rPr>
          <w:lang w:val="en-US"/>
        </w:rPr>
        <w:t>Provide feedback on the GHG trajectories developed by the Consultants for developing National Cap</w:t>
      </w:r>
    </w:p>
    <w:p w:rsidR="00E84F18" w:rsidRDefault="00E84F18" w:rsidP="00FE61E5">
      <w:pPr>
        <w:pStyle w:val="ListeParagraf"/>
        <w:numPr>
          <w:ilvl w:val="0"/>
          <w:numId w:val="2"/>
        </w:numPr>
        <w:jc w:val="both"/>
        <w:rPr>
          <w:lang w:val="en-US"/>
        </w:rPr>
      </w:pPr>
      <w:r>
        <w:rPr>
          <w:lang w:val="en-US"/>
        </w:rPr>
        <w:t xml:space="preserve">Provide feedback on the methodology applied by the Consultants for developing National Cap and Allocation Plans for MRV sectors </w:t>
      </w:r>
    </w:p>
    <w:p w:rsidR="00E84F18" w:rsidRDefault="00E84F18" w:rsidP="00FE61E5">
      <w:pPr>
        <w:pStyle w:val="ListeParagraf"/>
        <w:numPr>
          <w:ilvl w:val="0"/>
          <w:numId w:val="2"/>
        </w:numPr>
        <w:jc w:val="both"/>
        <w:rPr>
          <w:lang w:val="en-US"/>
        </w:rPr>
      </w:pPr>
      <w:r>
        <w:rPr>
          <w:lang w:val="en-US"/>
        </w:rPr>
        <w:t xml:space="preserve">Provide feedback on the Model developed by the Consultants </w:t>
      </w:r>
    </w:p>
    <w:p w:rsidR="00FE61E5" w:rsidRDefault="00FE61E5" w:rsidP="00FE61E5">
      <w:pPr>
        <w:pStyle w:val="ListeParagraf"/>
        <w:numPr>
          <w:ilvl w:val="0"/>
          <w:numId w:val="2"/>
        </w:numPr>
        <w:jc w:val="both"/>
        <w:rPr>
          <w:lang w:val="en-US"/>
        </w:rPr>
      </w:pPr>
      <w:r>
        <w:rPr>
          <w:lang w:val="en-US"/>
        </w:rPr>
        <w:t>Provide feedback on the assumptions defined by the Consultants for developing and running TIMES model</w:t>
      </w:r>
    </w:p>
    <w:p w:rsidR="00FE61E5" w:rsidRDefault="00FE61E5" w:rsidP="00FE61E5">
      <w:pPr>
        <w:pStyle w:val="ListeParagraf"/>
        <w:numPr>
          <w:ilvl w:val="0"/>
          <w:numId w:val="2"/>
        </w:numPr>
        <w:jc w:val="both"/>
        <w:rPr>
          <w:lang w:val="en-US"/>
        </w:rPr>
      </w:pPr>
      <w:r>
        <w:rPr>
          <w:lang w:val="en-US"/>
        </w:rPr>
        <w:t xml:space="preserve">Provide feedback on the Cap and Allocation scenarios which will be developed by the Consultants </w:t>
      </w:r>
    </w:p>
    <w:p w:rsidR="00E84F18" w:rsidRDefault="00FE61E5" w:rsidP="00FE61E5">
      <w:pPr>
        <w:pStyle w:val="ListeParagraf"/>
        <w:numPr>
          <w:ilvl w:val="0"/>
          <w:numId w:val="2"/>
        </w:numPr>
        <w:jc w:val="both"/>
        <w:rPr>
          <w:lang w:val="en-US"/>
        </w:rPr>
      </w:pPr>
      <w:r>
        <w:rPr>
          <w:lang w:val="en-US"/>
        </w:rPr>
        <w:t xml:space="preserve">Provide feedback on the Manual </w:t>
      </w:r>
      <w:r w:rsidR="00E84F18">
        <w:rPr>
          <w:lang w:val="en-US"/>
        </w:rPr>
        <w:t xml:space="preserve">and Excel tool </w:t>
      </w:r>
      <w:r>
        <w:rPr>
          <w:lang w:val="en-US"/>
        </w:rPr>
        <w:t>which will be devel</w:t>
      </w:r>
      <w:r w:rsidR="00E84F18">
        <w:rPr>
          <w:lang w:val="en-US"/>
        </w:rPr>
        <w:t>oped by the Consultants for formulating Cap and Allocations</w:t>
      </w:r>
    </w:p>
    <w:p w:rsidR="00BF3A61" w:rsidRDefault="00BF3A61" w:rsidP="00FE61E5">
      <w:pPr>
        <w:pStyle w:val="ListeParagraf"/>
        <w:numPr>
          <w:ilvl w:val="0"/>
          <w:numId w:val="2"/>
        </w:numPr>
        <w:jc w:val="both"/>
        <w:rPr>
          <w:lang w:val="en-US"/>
        </w:rPr>
      </w:pPr>
      <w:r>
        <w:rPr>
          <w:lang w:val="en-US"/>
        </w:rPr>
        <w:t>Provide feedback on the Final Report which will be developed by the Consultants</w:t>
      </w:r>
    </w:p>
    <w:p w:rsidR="00E84F18" w:rsidRDefault="00E84F18" w:rsidP="00FE61E5">
      <w:pPr>
        <w:pStyle w:val="ListeParagraf"/>
        <w:numPr>
          <w:ilvl w:val="0"/>
          <w:numId w:val="2"/>
        </w:numPr>
        <w:jc w:val="both"/>
        <w:rPr>
          <w:lang w:val="en-US"/>
        </w:rPr>
      </w:pPr>
      <w:r>
        <w:rPr>
          <w:lang w:val="en-US"/>
        </w:rPr>
        <w:t>Attend the Closure Conference</w:t>
      </w:r>
    </w:p>
    <w:p w:rsidR="00E42547" w:rsidRDefault="00E84F18" w:rsidP="00E42547">
      <w:pPr>
        <w:pStyle w:val="ListeParagraf"/>
        <w:numPr>
          <w:ilvl w:val="0"/>
          <w:numId w:val="2"/>
        </w:numPr>
        <w:jc w:val="both"/>
        <w:rPr>
          <w:lang w:val="en-US"/>
        </w:rPr>
      </w:pPr>
      <w:r>
        <w:rPr>
          <w:lang w:val="en-US"/>
        </w:rPr>
        <w:t>Attend critical project teleconferences between the MoEU and the Consultants</w:t>
      </w:r>
    </w:p>
    <w:p w:rsidR="00E42547" w:rsidRDefault="00E42547" w:rsidP="00E42547">
      <w:pPr>
        <w:pStyle w:val="ListeParagraf"/>
        <w:numPr>
          <w:ilvl w:val="0"/>
          <w:numId w:val="2"/>
        </w:numPr>
        <w:jc w:val="both"/>
        <w:rPr>
          <w:lang w:val="en-US"/>
        </w:rPr>
      </w:pPr>
      <w:r>
        <w:rPr>
          <w:lang w:val="en-US"/>
        </w:rPr>
        <w:t xml:space="preserve">Closely follow-up the assignment </w:t>
      </w:r>
    </w:p>
    <w:p w:rsidR="00FE61E5" w:rsidRPr="00590EA2" w:rsidRDefault="00E42547" w:rsidP="00590EA2">
      <w:pPr>
        <w:pStyle w:val="ListeParagraf"/>
        <w:numPr>
          <w:ilvl w:val="0"/>
          <w:numId w:val="2"/>
        </w:numPr>
        <w:jc w:val="both"/>
        <w:rPr>
          <w:lang w:val="en-US"/>
        </w:rPr>
      </w:pPr>
      <w:r>
        <w:rPr>
          <w:lang w:val="en-US"/>
        </w:rPr>
        <w:t>Attend bi-weekly progress calls with the Technical Project Coordinator</w:t>
      </w:r>
    </w:p>
    <w:p w:rsidR="00FE61E5" w:rsidRDefault="00FE61E5" w:rsidP="00FE61E5">
      <w:pPr>
        <w:pStyle w:val="GvdeMetniGirintisi"/>
        <w:ind w:left="0"/>
        <w:jc w:val="both"/>
      </w:pPr>
    </w:p>
    <w:p w:rsidR="00FE61E5" w:rsidRPr="00F846B7" w:rsidRDefault="00FE61E5" w:rsidP="00FE61E5">
      <w:pPr>
        <w:numPr>
          <w:ilvl w:val="0"/>
          <w:numId w:val="1"/>
        </w:numPr>
        <w:jc w:val="both"/>
        <w:rPr>
          <w:b/>
          <w:lang w:val="en-US"/>
        </w:rPr>
      </w:pPr>
      <w:r w:rsidRPr="00F846B7">
        <w:rPr>
          <w:b/>
          <w:lang w:val="en-US"/>
        </w:rPr>
        <w:t xml:space="preserve">REPORTS </w:t>
      </w:r>
    </w:p>
    <w:p w:rsidR="00FE61E5" w:rsidRDefault="00FE61E5" w:rsidP="00FE61E5">
      <w:pPr>
        <w:pStyle w:val="GvdeMetniGirintisi"/>
        <w:ind w:left="0"/>
        <w:jc w:val="both"/>
      </w:pPr>
    </w:p>
    <w:p w:rsidR="00FE61E5" w:rsidRDefault="00FE61E5" w:rsidP="00FE61E5">
      <w:pPr>
        <w:pStyle w:val="GvdeMetniGirintisi"/>
        <w:ind w:left="0"/>
        <w:jc w:val="both"/>
      </w:pPr>
      <w:r>
        <w:t xml:space="preserve">The Consultant shall </w:t>
      </w:r>
      <w:r w:rsidRPr="00833205">
        <w:t>submit monthly progress</w:t>
      </w:r>
      <w:r>
        <w:t xml:space="preserve"> reports at the end of each month summarizing the </w:t>
      </w:r>
      <w:r w:rsidR="00E84F18">
        <w:t xml:space="preserve">work done </w:t>
      </w:r>
      <w:r>
        <w:t xml:space="preserve">and activities planned in the next month. </w:t>
      </w:r>
    </w:p>
    <w:p w:rsidR="00FE61E5" w:rsidRDefault="00FE61E5" w:rsidP="00FE61E5">
      <w:pPr>
        <w:pStyle w:val="GvdeMetniGirintisi"/>
        <w:ind w:left="0"/>
        <w:jc w:val="both"/>
      </w:pPr>
    </w:p>
    <w:p w:rsidR="00FE61E5" w:rsidRPr="00735B2C" w:rsidRDefault="00FE61E5" w:rsidP="00FE61E5">
      <w:pPr>
        <w:numPr>
          <w:ilvl w:val="0"/>
          <w:numId w:val="1"/>
        </w:numPr>
        <w:jc w:val="both"/>
        <w:rPr>
          <w:b/>
        </w:rPr>
      </w:pPr>
      <w:r>
        <w:rPr>
          <w:b/>
          <w:lang w:val="en-US"/>
        </w:rPr>
        <w:t>DURATION OF THE SERVICES</w:t>
      </w:r>
    </w:p>
    <w:p w:rsidR="00FE61E5" w:rsidRDefault="00FE61E5" w:rsidP="00FE61E5">
      <w:pPr>
        <w:pStyle w:val="GvdeMetniGirintisi"/>
        <w:ind w:left="0"/>
        <w:jc w:val="both"/>
      </w:pPr>
    </w:p>
    <w:p w:rsidR="00FE61E5" w:rsidRDefault="00FE61E5" w:rsidP="00FE61E5">
      <w:pPr>
        <w:pStyle w:val="GvdeMetniGirintisi"/>
        <w:ind w:left="0"/>
        <w:jc w:val="both"/>
      </w:pPr>
      <w:r w:rsidRPr="00E74EEE">
        <w:t xml:space="preserve">The </w:t>
      </w:r>
      <w:r w:rsidR="002A5C27">
        <w:t>Bottom-up Energy Expert</w:t>
      </w:r>
      <w:r w:rsidRPr="00E74EEE">
        <w:t xml:space="preserve"> shall be hired </w:t>
      </w:r>
      <w:r w:rsidR="001D3143">
        <w:t>in</w:t>
      </w:r>
      <w:r w:rsidRPr="00E74EEE">
        <w:t xml:space="preserve"> </w:t>
      </w:r>
      <w:r w:rsidR="002A5C27">
        <w:t xml:space="preserve">November </w:t>
      </w:r>
      <w:r w:rsidRPr="00E74EEE">
        <w:t xml:space="preserve">2019 </w:t>
      </w:r>
      <w:r>
        <w:t xml:space="preserve">until the end of </w:t>
      </w:r>
      <w:r w:rsidR="00E42547">
        <w:t>assignment</w:t>
      </w:r>
      <w:r w:rsidR="00E84F18">
        <w:t xml:space="preserve"> completion</w:t>
      </w:r>
      <w:r w:rsidR="00E42547">
        <w:t xml:space="preserve"> (C2-CS1-“</w:t>
      </w:r>
      <w:r w:rsidR="00E42547" w:rsidRPr="00E42547">
        <w:t>Cap</w:t>
      </w:r>
      <w:r w:rsidR="00E42547">
        <w:t xml:space="preserve"> Setting and Allocation Plan for a Pilot ETS in Turkey”)</w:t>
      </w:r>
      <w:r w:rsidRPr="00E74EEE">
        <w:t xml:space="preserve">. The time required for the Consultant to perform the activities described above will be </w:t>
      </w:r>
      <w:r w:rsidR="00AE2E1B">
        <w:t xml:space="preserve">about </w:t>
      </w:r>
      <w:r w:rsidR="000C12F2">
        <w:t>3</w:t>
      </w:r>
      <w:r w:rsidR="00E42547">
        <w:t>0</w:t>
      </w:r>
      <w:r>
        <w:t xml:space="preserve"> working</w:t>
      </w:r>
      <w:r w:rsidRPr="00E74EEE">
        <w:t xml:space="preserve"> days during the contract period. The number of days may </w:t>
      </w:r>
      <w:r>
        <w:t>be extended by the MoEU</w:t>
      </w:r>
      <w:r w:rsidRPr="00E74EEE">
        <w:t xml:space="preserve"> if deemed necessary.</w:t>
      </w:r>
    </w:p>
    <w:p w:rsidR="00E42547" w:rsidRDefault="00E42547" w:rsidP="00FE61E5">
      <w:pPr>
        <w:pStyle w:val="GvdeMetniGirintisi"/>
        <w:ind w:left="0"/>
        <w:jc w:val="both"/>
      </w:pPr>
    </w:p>
    <w:p w:rsidR="00E42547" w:rsidRDefault="00E42547" w:rsidP="00FE61E5">
      <w:pPr>
        <w:pStyle w:val="GvdeMetniGirintisi"/>
        <w:ind w:left="0"/>
        <w:jc w:val="both"/>
      </w:pPr>
    </w:p>
    <w:p w:rsidR="00E42547" w:rsidRPr="00E74EEE" w:rsidRDefault="00E42547" w:rsidP="00FE61E5">
      <w:pPr>
        <w:pStyle w:val="GvdeMetniGirintisi"/>
        <w:ind w:left="0"/>
        <w:jc w:val="both"/>
      </w:pPr>
    </w:p>
    <w:p w:rsidR="00FE61E5" w:rsidRDefault="00FE61E5" w:rsidP="00FE61E5">
      <w:pPr>
        <w:pStyle w:val="GvdeMetniGirintisi"/>
        <w:ind w:left="0"/>
        <w:jc w:val="both"/>
      </w:pPr>
    </w:p>
    <w:p w:rsidR="00FE61E5" w:rsidRPr="00CB0F32" w:rsidRDefault="00FE61E5" w:rsidP="00FE61E5">
      <w:pPr>
        <w:numPr>
          <w:ilvl w:val="0"/>
          <w:numId w:val="1"/>
        </w:numPr>
        <w:jc w:val="both"/>
        <w:rPr>
          <w:b/>
          <w:lang w:val="en-US"/>
        </w:rPr>
      </w:pPr>
      <w:r w:rsidRPr="00F846B7">
        <w:rPr>
          <w:b/>
          <w:lang w:val="en-US"/>
        </w:rPr>
        <w:t>QUALIFICATION REQUIREMENTS</w:t>
      </w:r>
    </w:p>
    <w:p w:rsidR="00FE61E5" w:rsidRDefault="00FE61E5" w:rsidP="00FE61E5">
      <w:pPr>
        <w:pStyle w:val="GvdeMetniGirintisi"/>
        <w:jc w:val="both"/>
      </w:pPr>
    </w:p>
    <w:p w:rsidR="00E84F18" w:rsidRDefault="00E84F18" w:rsidP="00E84F18">
      <w:pPr>
        <w:pStyle w:val="Default"/>
        <w:numPr>
          <w:ilvl w:val="0"/>
          <w:numId w:val="5"/>
        </w:numPr>
        <w:jc w:val="both"/>
        <w:rPr>
          <w:rFonts w:eastAsia="Times New Roman"/>
          <w:color w:val="auto"/>
          <w:lang w:val="en-US"/>
        </w:rPr>
      </w:pPr>
      <w:r w:rsidRPr="00E84F18">
        <w:rPr>
          <w:rFonts w:eastAsia="Times New Roman"/>
          <w:color w:val="auto"/>
          <w:lang w:val="en-US"/>
        </w:rPr>
        <w:t>A minimum of 15 years proven expertise and hands-on experience in economic modelling in the energy and climate sector in developing countries.</w:t>
      </w:r>
    </w:p>
    <w:p w:rsidR="00E84F18" w:rsidRPr="00E84F18" w:rsidRDefault="00E84F18" w:rsidP="00E84F18">
      <w:pPr>
        <w:pStyle w:val="Default"/>
        <w:numPr>
          <w:ilvl w:val="0"/>
          <w:numId w:val="5"/>
        </w:numPr>
        <w:jc w:val="both"/>
        <w:rPr>
          <w:rFonts w:eastAsia="Times New Roman"/>
          <w:color w:val="auto"/>
          <w:lang w:val="en-US"/>
        </w:rPr>
      </w:pPr>
      <w:r w:rsidRPr="00E84F18">
        <w:rPr>
          <w:rFonts w:eastAsia="Times New Roman"/>
          <w:color w:val="auto"/>
          <w:lang w:val="en-US"/>
        </w:rPr>
        <w:t>Experience in bottom-up based hybrid modelling and emissions modelling (i.e.;TIMES MACRO);</w:t>
      </w:r>
    </w:p>
    <w:p w:rsidR="00E84F18" w:rsidRPr="00E84F18" w:rsidRDefault="00E84F18" w:rsidP="00E84F18">
      <w:pPr>
        <w:pStyle w:val="Default"/>
        <w:numPr>
          <w:ilvl w:val="0"/>
          <w:numId w:val="5"/>
        </w:numPr>
        <w:jc w:val="both"/>
        <w:rPr>
          <w:rFonts w:eastAsia="Times New Roman"/>
          <w:color w:val="auto"/>
          <w:lang w:val="en-US"/>
        </w:rPr>
      </w:pPr>
      <w:r w:rsidRPr="00E84F18">
        <w:rPr>
          <w:rFonts w:eastAsia="Times New Roman"/>
          <w:color w:val="auto"/>
          <w:lang w:val="en-US"/>
        </w:rPr>
        <w:t>Demonstrable experience in cap setting and preparing national allocation plans, particularly in the EU countries;</w:t>
      </w:r>
    </w:p>
    <w:p w:rsidR="00E84F18" w:rsidRPr="00E84F18" w:rsidRDefault="00E84F18" w:rsidP="00E84F18">
      <w:pPr>
        <w:pStyle w:val="Default"/>
        <w:numPr>
          <w:ilvl w:val="0"/>
          <w:numId w:val="5"/>
        </w:numPr>
        <w:jc w:val="both"/>
        <w:rPr>
          <w:rFonts w:eastAsia="Times New Roman"/>
          <w:color w:val="auto"/>
          <w:lang w:val="en-US"/>
        </w:rPr>
      </w:pPr>
      <w:r w:rsidRPr="00E84F18">
        <w:rPr>
          <w:rFonts w:eastAsia="Times New Roman"/>
          <w:color w:val="auto"/>
          <w:lang w:val="en-US"/>
        </w:rPr>
        <w:t xml:space="preserve">Advanced degree(s) in a scientific discipline, engineering, economics, finance, or policy field related to energy and climate policies. </w:t>
      </w:r>
    </w:p>
    <w:p w:rsidR="00E84F18" w:rsidRPr="00E84F18" w:rsidRDefault="00E84F18" w:rsidP="00E84F18">
      <w:pPr>
        <w:pStyle w:val="Default"/>
        <w:numPr>
          <w:ilvl w:val="0"/>
          <w:numId w:val="5"/>
        </w:numPr>
        <w:jc w:val="both"/>
        <w:rPr>
          <w:rFonts w:eastAsia="Times New Roman"/>
          <w:color w:val="auto"/>
          <w:lang w:val="en-US"/>
        </w:rPr>
      </w:pPr>
      <w:r w:rsidRPr="00E84F18">
        <w:rPr>
          <w:rFonts w:eastAsia="Times New Roman"/>
          <w:color w:val="auto"/>
          <w:lang w:val="en-US"/>
        </w:rPr>
        <w:t xml:space="preserve">Capacity to work with - and take into account - feedback from other experts.  </w:t>
      </w:r>
    </w:p>
    <w:p w:rsidR="00E84F18" w:rsidRPr="00E84F18" w:rsidRDefault="00E84F18" w:rsidP="00E84F18">
      <w:pPr>
        <w:pStyle w:val="Default"/>
        <w:numPr>
          <w:ilvl w:val="0"/>
          <w:numId w:val="5"/>
        </w:numPr>
        <w:jc w:val="both"/>
        <w:rPr>
          <w:rFonts w:eastAsia="Times New Roman"/>
          <w:color w:val="auto"/>
          <w:lang w:val="en-US"/>
        </w:rPr>
      </w:pPr>
      <w:r w:rsidRPr="00E84F18">
        <w:rPr>
          <w:rFonts w:eastAsia="Times New Roman"/>
          <w:color w:val="auto"/>
          <w:lang w:val="en-US"/>
        </w:rPr>
        <w:t>Action-oriented and demonstrated ability to deliver quality products, in English, and on time.</w:t>
      </w:r>
    </w:p>
    <w:p w:rsidR="00E84F18" w:rsidRDefault="00E84F18" w:rsidP="00E84F18">
      <w:pPr>
        <w:pStyle w:val="Default"/>
        <w:numPr>
          <w:ilvl w:val="0"/>
          <w:numId w:val="5"/>
        </w:numPr>
        <w:jc w:val="both"/>
        <w:rPr>
          <w:rFonts w:eastAsia="Times New Roman"/>
          <w:color w:val="auto"/>
          <w:lang w:val="en-US"/>
        </w:rPr>
      </w:pPr>
      <w:r w:rsidRPr="00E84F18">
        <w:rPr>
          <w:rFonts w:eastAsia="Times New Roman"/>
          <w:color w:val="auto"/>
          <w:lang w:val="en-US"/>
        </w:rPr>
        <w:t>Ability to present technical concepts clearly to both technical and non-technical experts, including through the use of appropriate graphical elements.</w:t>
      </w:r>
    </w:p>
    <w:p w:rsidR="00E84F18" w:rsidRPr="00E84F18" w:rsidRDefault="00E84F18" w:rsidP="00E84F18">
      <w:pPr>
        <w:pStyle w:val="Default"/>
        <w:ind w:left="720"/>
        <w:jc w:val="both"/>
        <w:rPr>
          <w:rFonts w:eastAsia="Times New Roman"/>
          <w:color w:val="auto"/>
          <w:lang w:val="en-US"/>
        </w:rPr>
      </w:pPr>
    </w:p>
    <w:p w:rsidR="00FE61E5" w:rsidRPr="00C70AA4" w:rsidRDefault="00FE61E5" w:rsidP="00FE61E5">
      <w:pPr>
        <w:pStyle w:val="Default"/>
        <w:jc w:val="both"/>
        <w:rPr>
          <w:color w:val="auto"/>
          <w:sz w:val="23"/>
          <w:szCs w:val="23"/>
        </w:rPr>
      </w:pPr>
    </w:p>
    <w:p w:rsidR="00FE61E5" w:rsidRPr="00C70AA4" w:rsidRDefault="00FE61E5" w:rsidP="00FE61E5">
      <w:pPr>
        <w:numPr>
          <w:ilvl w:val="0"/>
          <w:numId w:val="1"/>
        </w:numPr>
        <w:jc w:val="both"/>
        <w:rPr>
          <w:b/>
          <w:bCs/>
          <w:sz w:val="23"/>
          <w:szCs w:val="23"/>
        </w:rPr>
      </w:pPr>
      <w:r w:rsidRPr="00253DD6">
        <w:rPr>
          <w:b/>
          <w:lang w:val="en-US"/>
        </w:rPr>
        <w:t xml:space="preserve">METHODOLOGY </w:t>
      </w:r>
    </w:p>
    <w:p w:rsidR="00FE61E5" w:rsidRPr="00C70AA4" w:rsidRDefault="00FE61E5" w:rsidP="00FE61E5">
      <w:pPr>
        <w:pStyle w:val="Default"/>
        <w:jc w:val="both"/>
        <w:rPr>
          <w:color w:val="auto"/>
          <w:sz w:val="23"/>
          <w:szCs w:val="23"/>
        </w:rPr>
      </w:pPr>
    </w:p>
    <w:p w:rsidR="00FE61E5" w:rsidRPr="000C12F2" w:rsidRDefault="00FE61E5" w:rsidP="00FE61E5">
      <w:pPr>
        <w:pStyle w:val="Default"/>
        <w:jc w:val="both"/>
        <w:rPr>
          <w:color w:val="auto"/>
        </w:rPr>
      </w:pPr>
      <w:r w:rsidRPr="000C12F2">
        <w:rPr>
          <w:color w:val="auto"/>
        </w:rPr>
        <w:t xml:space="preserve">The consultant will be hired on the basis of the World Bank’s Guidelines for Selection and Employment of Consultants (January 2011). The contracted consultant will take a position of </w:t>
      </w:r>
      <w:r w:rsidR="00590EA2" w:rsidRPr="000C12F2">
        <w:rPr>
          <w:color w:val="auto"/>
        </w:rPr>
        <w:t xml:space="preserve">Bottom-up Energy Model </w:t>
      </w:r>
      <w:r w:rsidRPr="000C12F2">
        <w:rPr>
          <w:color w:val="auto"/>
        </w:rPr>
        <w:t>Expert of MoEU PIU under PMR. The contract will be signed between the General Directorate of Environmental Management of MoEU or his designee and the consultant.</w:t>
      </w:r>
    </w:p>
    <w:p w:rsidR="00FE61E5" w:rsidRPr="000C12F2" w:rsidRDefault="00FE61E5" w:rsidP="00FE61E5">
      <w:pPr>
        <w:pStyle w:val="Default"/>
        <w:jc w:val="both"/>
        <w:rPr>
          <w:color w:val="auto"/>
        </w:rPr>
      </w:pPr>
    </w:p>
    <w:p w:rsidR="00FE61E5" w:rsidRPr="00253DD6" w:rsidRDefault="00FE61E5" w:rsidP="00FE61E5">
      <w:pPr>
        <w:numPr>
          <w:ilvl w:val="0"/>
          <w:numId w:val="1"/>
        </w:numPr>
        <w:jc w:val="both"/>
        <w:rPr>
          <w:b/>
          <w:lang w:val="en-US"/>
        </w:rPr>
      </w:pPr>
      <w:r w:rsidRPr="00253DD6">
        <w:rPr>
          <w:b/>
          <w:lang w:val="en-US"/>
        </w:rPr>
        <w:t xml:space="preserve">APPLICATION </w:t>
      </w:r>
    </w:p>
    <w:p w:rsidR="00FE61E5" w:rsidRPr="00C70AA4" w:rsidRDefault="00FE61E5" w:rsidP="00FE61E5">
      <w:pPr>
        <w:pStyle w:val="Default"/>
        <w:jc w:val="both"/>
        <w:rPr>
          <w:color w:val="auto"/>
          <w:sz w:val="22"/>
          <w:szCs w:val="22"/>
        </w:rPr>
      </w:pPr>
    </w:p>
    <w:p w:rsidR="00FE61E5" w:rsidRPr="000C12F2" w:rsidRDefault="00FE61E5" w:rsidP="00FE61E5">
      <w:pPr>
        <w:pStyle w:val="Default"/>
        <w:jc w:val="both"/>
        <w:rPr>
          <w:color w:val="auto"/>
        </w:rPr>
      </w:pPr>
      <w:r w:rsidRPr="000C12F2">
        <w:rPr>
          <w:color w:val="auto"/>
        </w:rPr>
        <w:t>The CVs should provide information required in the</w:t>
      </w:r>
      <w:r w:rsidR="000C12F2">
        <w:rPr>
          <w:color w:val="auto"/>
        </w:rPr>
        <w:t xml:space="preserve"> position. CVs in</w:t>
      </w:r>
      <w:r w:rsidRPr="000C12F2">
        <w:rPr>
          <w:color w:val="auto"/>
        </w:rPr>
        <w:t xml:space="preserve"> English together with an application letter should be ema</w:t>
      </w:r>
      <w:r w:rsidR="00590EA2" w:rsidRPr="000C12F2">
        <w:rPr>
          <w:color w:val="auto"/>
        </w:rPr>
        <w:t>iled or subm</w:t>
      </w:r>
      <w:r w:rsidR="00AE2E1B">
        <w:rPr>
          <w:color w:val="auto"/>
        </w:rPr>
        <w:t>itted no later than October 7</w:t>
      </w:r>
      <w:r w:rsidR="00590EA2" w:rsidRPr="000C12F2">
        <w:rPr>
          <w:color w:val="auto"/>
        </w:rPr>
        <w:t xml:space="preserve">, </w:t>
      </w:r>
      <w:r w:rsidRPr="000C12F2">
        <w:rPr>
          <w:color w:val="auto"/>
        </w:rPr>
        <w:t xml:space="preserve">2019 to: </w:t>
      </w:r>
    </w:p>
    <w:p w:rsidR="00FE61E5" w:rsidRPr="000C12F2" w:rsidRDefault="00FE61E5" w:rsidP="00FE61E5">
      <w:pPr>
        <w:pStyle w:val="Default"/>
        <w:jc w:val="center"/>
        <w:rPr>
          <w:color w:val="auto"/>
        </w:rPr>
      </w:pPr>
    </w:p>
    <w:p w:rsidR="00FE61E5" w:rsidRPr="000C12F2" w:rsidRDefault="00FE61E5" w:rsidP="00FE61E5">
      <w:pPr>
        <w:pStyle w:val="Default"/>
        <w:jc w:val="center"/>
        <w:rPr>
          <w:color w:val="auto"/>
        </w:rPr>
      </w:pPr>
      <w:r w:rsidRPr="000C12F2">
        <w:rPr>
          <w:color w:val="auto"/>
        </w:rPr>
        <w:t>Çevre Yönetimi Genel Müdürlüğü (General Directorate of Environmental Management)</w:t>
      </w:r>
    </w:p>
    <w:p w:rsidR="00FE61E5" w:rsidRPr="000C12F2" w:rsidRDefault="00FE61E5" w:rsidP="00FE61E5">
      <w:pPr>
        <w:pStyle w:val="Default"/>
        <w:jc w:val="center"/>
        <w:rPr>
          <w:color w:val="auto"/>
        </w:rPr>
      </w:pPr>
      <w:r w:rsidRPr="000C12F2">
        <w:rPr>
          <w:color w:val="auto"/>
        </w:rPr>
        <w:t>İklim Değişikliği Daire Başkanlığı (Department of Climate Change)</w:t>
      </w:r>
    </w:p>
    <w:p w:rsidR="00FE61E5" w:rsidRPr="000C12F2" w:rsidRDefault="00FE61E5" w:rsidP="00FE61E5">
      <w:pPr>
        <w:pStyle w:val="Default"/>
        <w:jc w:val="center"/>
        <w:rPr>
          <w:color w:val="auto"/>
        </w:rPr>
      </w:pPr>
      <w:r w:rsidRPr="000C12F2">
        <w:rPr>
          <w:color w:val="auto"/>
        </w:rPr>
        <w:t>Mustafa Kemal Mahallesi Eskişehir Devlet Yolu (Dumlupınar Bulvarı)</w:t>
      </w:r>
    </w:p>
    <w:p w:rsidR="00FE61E5" w:rsidRPr="000C12F2" w:rsidRDefault="00FE61E5" w:rsidP="00FE61E5">
      <w:pPr>
        <w:pStyle w:val="Default"/>
        <w:jc w:val="center"/>
        <w:rPr>
          <w:color w:val="auto"/>
        </w:rPr>
      </w:pPr>
      <w:r w:rsidRPr="000C12F2">
        <w:rPr>
          <w:color w:val="auto"/>
        </w:rPr>
        <w:t>9. km. No: 278 Kat: 5 Oda No. 525 Çankaya / Ankara</w:t>
      </w:r>
    </w:p>
    <w:p w:rsidR="00FE61E5" w:rsidRPr="000C12F2" w:rsidRDefault="00FE61E5" w:rsidP="00FE61E5">
      <w:pPr>
        <w:jc w:val="center"/>
      </w:pPr>
      <w:r w:rsidRPr="000C12F2">
        <w:t xml:space="preserve">E-mail: </w:t>
      </w:r>
      <w:r w:rsidR="00590EA2" w:rsidRPr="000C12F2">
        <w:t>tuba</w:t>
      </w:r>
      <w:r w:rsidRPr="000C12F2">
        <w:t>.</w:t>
      </w:r>
      <w:r w:rsidR="00590EA2" w:rsidRPr="000C12F2">
        <w:t>seyyah</w:t>
      </w:r>
      <w:r w:rsidRPr="000C12F2">
        <w:t>@csb.gov.tr</w:t>
      </w:r>
    </w:p>
    <w:p w:rsidR="005530E3" w:rsidRPr="000C12F2" w:rsidRDefault="00B76A07"/>
    <w:sectPr w:rsidR="005530E3" w:rsidRPr="000C12F2" w:rsidSect="00B44B96">
      <w:footerReference w:type="even" r:id="rId9"/>
      <w:footerReference w:type="default" r:id="rId10"/>
      <w:pgSz w:w="12240" w:h="15840"/>
      <w:pgMar w:top="1418"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A07" w:rsidRDefault="00B76A07">
      <w:r>
        <w:separator/>
      </w:r>
    </w:p>
  </w:endnote>
  <w:endnote w:type="continuationSeparator" w:id="0">
    <w:p w:rsidR="00B76A07" w:rsidRDefault="00B7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92" w:rsidRDefault="00E84F18">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FE0A92" w:rsidRDefault="00B76A07">
    <w:pPr>
      <w:pStyle w:val="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92" w:rsidRDefault="00E84F18">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973CC">
      <w:rPr>
        <w:rStyle w:val="SayfaNumaras"/>
        <w:noProof/>
      </w:rPr>
      <w:t>1</w:t>
    </w:r>
    <w:r>
      <w:rPr>
        <w:rStyle w:val="SayfaNumaras"/>
      </w:rPr>
      <w:fldChar w:fldCharType="end"/>
    </w:r>
  </w:p>
  <w:p w:rsidR="00FE0A92" w:rsidRDefault="00B76A07">
    <w:pPr>
      <w:pStyle w:val="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A07" w:rsidRDefault="00B76A07">
      <w:r>
        <w:separator/>
      </w:r>
    </w:p>
  </w:footnote>
  <w:footnote w:type="continuationSeparator" w:id="0">
    <w:p w:rsidR="00B76A07" w:rsidRDefault="00B76A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C28"/>
    <w:multiLevelType w:val="hybridMultilevel"/>
    <w:tmpl w:val="8A0C7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A4046D"/>
    <w:multiLevelType w:val="hybridMultilevel"/>
    <w:tmpl w:val="2B4A4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D53052"/>
    <w:multiLevelType w:val="hybridMultilevel"/>
    <w:tmpl w:val="C2BE7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35379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731118BD"/>
    <w:multiLevelType w:val="hybridMultilevel"/>
    <w:tmpl w:val="D93C4F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6E"/>
    <w:rsid w:val="000A0A2B"/>
    <w:rsid w:val="000C12F2"/>
    <w:rsid w:val="000D4087"/>
    <w:rsid w:val="001A2E21"/>
    <w:rsid w:val="001D3143"/>
    <w:rsid w:val="002A5C27"/>
    <w:rsid w:val="003211BA"/>
    <w:rsid w:val="0032458A"/>
    <w:rsid w:val="003A5107"/>
    <w:rsid w:val="004644A9"/>
    <w:rsid w:val="0052595C"/>
    <w:rsid w:val="00563004"/>
    <w:rsid w:val="00590EA2"/>
    <w:rsid w:val="00631302"/>
    <w:rsid w:val="006F4E6E"/>
    <w:rsid w:val="00720CAA"/>
    <w:rsid w:val="00724928"/>
    <w:rsid w:val="007C01FC"/>
    <w:rsid w:val="008973CC"/>
    <w:rsid w:val="008A0759"/>
    <w:rsid w:val="008E5AD9"/>
    <w:rsid w:val="00904A80"/>
    <w:rsid w:val="0098449F"/>
    <w:rsid w:val="00990375"/>
    <w:rsid w:val="00996C34"/>
    <w:rsid w:val="00A15AC6"/>
    <w:rsid w:val="00AD5ADE"/>
    <w:rsid w:val="00AE2E1B"/>
    <w:rsid w:val="00AF3A8C"/>
    <w:rsid w:val="00B408BE"/>
    <w:rsid w:val="00B76A07"/>
    <w:rsid w:val="00B97BD6"/>
    <w:rsid w:val="00BC008D"/>
    <w:rsid w:val="00BD06A4"/>
    <w:rsid w:val="00BE67B8"/>
    <w:rsid w:val="00BF3A61"/>
    <w:rsid w:val="00CE7DF7"/>
    <w:rsid w:val="00D20910"/>
    <w:rsid w:val="00DE6DD7"/>
    <w:rsid w:val="00E15B99"/>
    <w:rsid w:val="00E42547"/>
    <w:rsid w:val="00E50962"/>
    <w:rsid w:val="00E84C38"/>
    <w:rsid w:val="00E84F18"/>
    <w:rsid w:val="00F0656C"/>
    <w:rsid w:val="00F13FD5"/>
    <w:rsid w:val="00FE61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6732B-07E1-4A49-941D-BF553A4F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E5"/>
    <w:pPr>
      <w:spacing w:after="0" w:line="240" w:lineRule="auto"/>
    </w:pPr>
    <w:rPr>
      <w:rFonts w:ascii="Times New Roman" w:eastAsia="Times New Roman" w:hAnsi="Times New Roman" w:cs="Times New Roman"/>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FE61E5"/>
    <w:pPr>
      <w:ind w:left="720"/>
    </w:pPr>
    <w:rPr>
      <w:lang w:val="en-US"/>
    </w:rPr>
  </w:style>
  <w:style w:type="character" w:customStyle="1" w:styleId="GvdeMetniGirintisiChar">
    <w:name w:val="Gövde Metni Girintisi Char"/>
    <w:basedOn w:val="VarsaylanParagrafYazTipi"/>
    <w:link w:val="GvdeMetniGirintisi"/>
    <w:rsid w:val="00FE61E5"/>
    <w:rPr>
      <w:rFonts w:ascii="Times New Roman" w:eastAsia="Times New Roman" w:hAnsi="Times New Roman" w:cs="Times New Roman"/>
      <w:sz w:val="24"/>
      <w:szCs w:val="24"/>
      <w:lang w:val="en-US"/>
    </w:rPr>
  </w:style>
  <w:style w:type="paragraph" w:styleId="KonuBal">
    <w:name w:val="Title"/>
    <w:basedOn w:val="Normal"/>
    <w:link w:val="KonuBalChar"/>
    <w:qFormat/>
    <w:rsid w:val="00FE61E5"/>
    <w:pPr>
      <w:jc w:val="center"/>
    </w:pPr>
    <w:rPr>
      <w:sz w:val="28"/>
      <w:lang w:val="en-US"/>
    </w:rPr>
  </w:style>
  <w:style w:type="character" w:customStyle="1" w:styleId="KonuBalChar">
    <w:name w:val="Konu Başlığı Char"/>
    <w:basedOn w:val="VarsaylanParagrafYazTipi"/>
    <w:link w:val="KonuBal"/>
    <w:rsid w:val="00FE61E5"/>
    <w:rPr>
      <w:rFonts w:ascii="Times New Roman" w:eastAsia="Times New Roman" w:hAnsi="Times New Roman" w:cs="Times New Roman"/>
      <w:sz w:val="28"/>
      <w:szCs w:val="24"/>
      <w:lang w:val="en-US"/>
    </w:rPr>
  </w:style>
  <w:style w:type="paragraph" w:customStyle="1" w:styleId="a">
    <w:basedOn w:val="Normal"/>
    <w:next w:val="AltBilgi"/>
    <w:rsid w:val="00FE61E5"/>
    <w:pPr>
      <w:tabs>
        <w:tab w:val="center" w:pos="4320"/>
        <w:tab w:val="right" w:pos="8640"/>
      </w:tabs>
    </w:pPr>
  </w:style>
  <w:style w:type="character" w:styleId="SayfaNumaras">
    <w:name w:val="page number"/>
    <w:basedOn w:val="VarsaylanParagrafYazTipi"/>
    <w:semiHidden/>
    <w:rsid w:val="00FE61E5"/>
  </w:style>
  <w:style w:type="paragraph" w:customStyle="1" w:styleId="Default">
    <w:name w:val="Default"/>
    <w:rsid w:val="00FE61E5"/>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ListeParagraf">
    <w:name w:val="List Paragraph"/>
    <w:aliases w:val="Bullet Points,Liststycke SKL,Bullet list,Table of contents numbered,Normal bullet 2,List Paragraph1,içindekiler vb,Sombreado multicolor - Énfasis 31,Elenco Bullet point,Liste Paragraf1,Paragrafo elenco,Bullet OFM,PROVERE 1"/>
    <w:basedOn w:val="Normal"/>
    <w:link w:val="ListeParagrafChar"/>
    <w:uiPriority w:val="34"/>
    <w:qFormat/>
    <w:rsid w:val="00FE61E5"/>
    <w:pPr>
      <w:ind w:left="720"/>
    </w:pPr>
  </w:style>
  <w:style w:type="character" w:customStyle="1" w:styleId="ListeParagrafChar">
    <w:name w:val="Liste Paragraf Char"/>
    <w:aliases w:val="Bullet Points Char,Liststycke SKL Char,Bullet list Char,Table of contents numbered Char,Normal bullet 2 Char,List Paragraph1 Char,içindekiler vb Char,Sombreado multicolor - Énfasis 31 Char,Elenco Bullet point Char,Bullet OFM Char"/>
    <w:link w:val="ListeParagraf"/>
    <w:uiPriority w:val="34"/>
    <w:locked/>
    <w:rsid w:val="00FE61E5"/>
    <w:rPr>
      <w:rFonts w:ascii="Times New Roman" w:eastAsia="Times New Roman" w:hAnsi="Times New Roman" w:cs="Times New Roman"/>
      <w:sz w:val="24"/>
      <w:szCs w:val="24"/>
      <w:lang w:val="en-GB"/>
    </w:rPr>
  </w:style>
  <w:style w:type="paragraph" w:styleId="NormalWeb">
    <w:name w:val="Normal (Web)"/>
    <w:basedOn w:val="Normal"/>
    <w:uiPriority w:val="99"/>
    <w:rsid w:val="00FE61E5"/>
    <w:pPr>
      <w:spacing w:before="165" w:after="100" w:afterAutospacing="1"/>
    </w:pPr>
    <w:rPr>
      <w:rFonts w:ascii="Arial" w:hAnsi="Arial" w:cs="Arial"/>
      <w:sz w:val="17"/>
      <w:szCs w:val="17"/>
      <w:lang w:val="en-US"/>
    </w:rPr>
  </w:style>
  <w:style w:type="paragraph" w:styleId="AltBilgi">
    <w:name w:val="footer"/>
    <w:basedOn w:val="Normal"/>
    <w:link w:val="AltBilgiChar"/>
    <w:uiPriority w:val="99"/>
    <w:semiHidden/>
    <w:unhideWhenUsed/>
    <w:rsid w:val="00FE61E5"/>
    <w:pPr>
      <w:tabs>
        <w:tab w:val="center" w:pos="4536"/>
        <w:tab w:val="right" w:pos="9072"/>
      </w:tabs>
    </w:pPr>
  </w:style>
  <w:style w:type="character" w:customStyle="1" w:styleId="AltBilgiChar">
    <w:name w:val="Alt Bilgi Char"/>
    <w:basedOn w:val="VarsaylanParagrafYazTipi"/>
    <w:link w:val="AltBilgi"/>
    <w:uiPriority w:val="99"/>
    <w:semiHidden/>
    <w:rsid w:val="00FE61E5"/>
    <w:rPr>
      <w:rFonts w:ascii="Times New Roman" w:eastAsia="Times New Roman" w:hAnsi="Times New Roman" w:cs="Times New Roman"/>
      <w:sz w:val="24"/>
      <w:szCs w:val="24"/>
      <w:lang w:val="en-GB"/>
    </w:rPr>
  </w:style>
  <w:style w:type="paragraph" w:styleId="GvdeMetni">
    <w:name w:val="Body Text"/>
    <w:basedOn w:val="Normal"/>
    <w:link w:val="GvdeMetniChar"/>
    <w:uiPriority w:val="99"/>
    <w:semiHidden/>
    <w:unhideWhenUsed/>
    <w:rsid w:val="00E84F18"/>
    <w:pPr>
      <w:spacing w:after="120"/>
    </w:pPr>
  </w:style>
  <w:style w:type="character" w:customStyle="1" w:styleId="GvdeMetniChar">
    <w:name w:val="Gövde Metni Char"/>
    <w:basedOn w:val="VarsaylanParagrafYazTipi"/>
    <w:link w:val="GvdeMetni"/>
    <w:uiPriority w:val="99"/>
    <w:semiHidden/>
    <w:rsid w:val="00E84F1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rturkiye.org/" TargetMode="External"/><Relationship Id="rId3" Type="http://schemas.openxmlformats.org/officeDocument/2006/relationships/settings" Target="settings.xml"/><Relationship Id="rId7" Type="http://schemas.openxmlformats.org/officeDocument/2006/relationships/hyperlink" Target="http://www.thepm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Mert</dc:creator>
  <cp:keywords/>
  <dc:description/>
  <cp:lastModifiedBy>Sezin Sönmez Erbaş</cp:lastModifiedBy>
  <cp:revision>2</cp:revision>
  <dcterms:created xsi:type="dcterms:W3CDTF">2019-09-19T11:35:00Z</dcterms:created>
  <dcterms:modified xsi:type="dcterms:W3CDTF">2019-09-19T11:35:00Z</dcterms:modified>
</cp:coreProperties>
</file>