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C6B" w:rsidRPr="00EA4C6B" w:rsidRDefault="00EA4C6B" w:rsidP="0055158F">
      <w:pPr>
        <w:jc w:val="center"/>
        <w:rPr>
          <w:rFonts w:asciiTheme="minorHAnsi" w:hAnsiTheme="minorHAnsi" w:cstheme="minorHAnsi"/>
          <w:color w:val="000000" w:themeColor="text1"/>
          <w:lang w:val="tr-TR"/>
        </w:rPr>
      </w:pPr>
      <w:r w:rsidRPr="00EA4C6B">
        <w:rPr>
          <w:noProof/>
          <w:color w:val="000000" w:themeColor="text1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6F69C" wp14:editId="37FF773E">
                <wp:simplePos x="0" y="0"/>
                <wp:positionH relativeFrom="column">
                  <wp:posOffset>-9525</wp:posOffset>
                </wp:positionH>
                <wp:positionV relativeFrom="paragraph">
                  <wp:posOffset>885825</wp:posOffset>
                </wp:positionV>
                <wp:extent cx="6800850" cy="0"/>
                <wp:effectExtent l="9525" t="9525" r="9525" b="952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7C4E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69.75pt" to="534.7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" strokeweight="1.5pt"/>
            </w:pict>
          </mc:Fallback>
        </mc:AlternateContent>
      </w:r>
      <w:r w:rsidR="00900F6A" w:rsidRPr="00CC45EF">
        <w:rPr>
          <w:noProof/>
          <w:color w:val="000000" w:themeColor="text1"/>
          <w:lang w:val="en-GB" w:eastAsia="en-GB" w:bidi="ar-SA"/>
        </w:rPr>
        <w:drawing>
          <wp:inline distT="0" distB="0" distL="0" distR="0" wp14:anchorId="23A69FB9" wp14:editId="4A4A5200">
            <wp:extent cx="954911" cy="950555"/>
            <wp:effectExtent l="0" t="0" r="0" b="254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410" cy="101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9EE" w:rsidRPr="000572F0" w:rsidRDefault="00C109EE" w:rsidP="00EA4C6B">
      <w:pPr>
        <w:jc w:val="center"/>
        <w:rPr>
          <w:b/>
          <w:caps/>
          <w:color w:val="000000" w:themeColor="text1"/>
          <w:lang w:val="tr-TR"/>
        </w:rPr>
      </w:pPr>
      <w:r w:rsidRPr="000572F0">
        <w:rPr>
          <w:b/>
          <w:caps/>
          <w:color w:val="000000" w:themeColor="text1"/>
          <w:lang w:val="tr-TR"/>
        </w:rPr>
        <w:t>TÜRKİYE’DEKİ GENLEŞTİRİLMİŞ VE SIKIŞTIRILMIŞ POLİSTİREN ENDÜSTRİLERİNDE ÇEVRESEL PERFORMANSIN GELİŞRTİRİLMESİ PROJESİ</w:t>
      </w:r>
    </w:p>
    <w:p w:rsidR="00EA4C6B" w:rsidRPr="000572F0" w:rsidRDefault="00C109EE" w:rsidP="00EA4C6B">
      <w:pPr>
        <w:jc w:val="center"/>
        <w:rPr>
          <w:b/>
          <w:caps/>
          <w:color w:val="000000" w:themeColor="text1"/>
          <w:lang w:val="tr-TR"/>
        </w:rPr>
      </w:pPr>
      <w:r w:rsidRPr="000572F0">
        <w:rPr>
          <w:b/>
          <w:caps/>
          <w:color w:val="000000" w:themeColor="text1"/>
          <w:lang w:val="tr-TR"/>
        </w:rPr>
        <w:t xml:space="preserve">ULUSAL PROJE </w:t>
      </w:r>
      <w:r w:rsidR="00900F6A" w:rsidRPr="000572F0">
        <w:rPr>
          <w:b/>
          <w:caps/>
          <w:color w:val="000000" w:themeColor="text1"/>
          <w:lang w:val="tr-TR"/>
        </w:rPr>
        <w:t xml:space="preserve">TEKNİK </w:t>
      </w:r>
      <w:r w:rsidRPr="000572F0">
        <w:rPr>
          <w:b/>
          <w:caps/>
          <w:color w:val="000000" w:themeColor="text1"/>
          <w:lang w:val="tr-TR"/>
        </w:rPr>
        <w:t>DANIŞMANI İŞ TANIMI</w:t>
      </w:r>
    </w:p>
    <w:p w:rsidR="00EA4C6B" w:rsidRPr="000572F0" w:rsidRDefault="00EA4C6B" w:rsidP="00EA4C6B">
      <w:pPr>
        <w:jc w:val="center"/>
        <w:rPr>
          <w:color w:val="000000" w:themeColor="text1"/>
          <w:lang w:val="tr-TR"/>
        </w:rPr>
      </w:pPr>
      <w:r w:rsidRPr="000572F0">
        <w:rPr>
          <w:noProof/>
          <w:color w:val="000000" w:themeColor="text1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EF7422" wp14:editId="4946FED0">
                <wp:simplePos x="0" y="0"/>
                <wp:positionH relativeFrom="column">
                  <wp:posOffset>-9525</wp:posOffset>
                </wp:positionH>
                <wp:positionV relativeFrom="paragraph">
                  <wp:posOffset>214630</wp:posOffset>
                </wp:positionV>
                <wp:extent cx="6800850" cy="0"/>
                <wp:effectExtent l="9525" t="14605" r="9525" b="13970"/>
                <wp:wrapNone/>
                <wp:docPr id="6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860F7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6.9pt" to="534.7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" strokeweight="1.5pt"/>
            </w:pict>
          </mc:Fallback>
        </mc:AlternateContent>
      </w:r>
      <w:r w:rsidR="00535DBF">
        <w:rPr>
          <w:b/>
          <w:caps/>
          <w:color w:val="000000" w:themeColor="text1"/>
          <w:lang w:val="tr-TR"/>
        </w:rPr>
        <w:t>unI</w:t>
      </w:r>
      <w:r w:rsidRPr="000572F0">
        <w:rPr>
          <w:b/>
          <w:caps/>
          <w:color w:val="000000" w:themeColor="text1"/>
          <w:lang w:val="tr-TR"/>
        </w:rPr>
        <w:t xml:space="preserve">do </w:t>
      </w:r>
      <w:r w:rsidR="00C109EE" w:rsidRPr="000572F0">
        <w:rPr>
          <w:b/>
          <w:color w:val="000000" w:themeColor="text1"/>
          <w:lang w:val="tr-TR"/>
        </w:rPr>
        <w:t>Proje No</w:t>
      </w:r>
      <w:r w:rsidRPr="000572F0">
        <w:rPr>
          <w:b/>
          <w:color w:val="000000" w:themeColor="text1"/>
          <w:lang w:val="tr-TR"/>
        </w:rPr>
        <w:t>: 170008</w:t>
      </w:r>
    </w:p>
    <w:p w:rsidR="00EA4C6B" w:rsidRPr="00EA4C6B" w:rsidRDefault="00EA4C6B" w:rsidP="00EA4C6B">
      <w:pPr>
        <w:spacing w:after="20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  <w:lang w:val="tr-TR"/>
        </w:rPr>
      </w:pPr>
    </w:p>
    <w:p w:rsidR="00EA4C6B" w:rsidRPr="00EA4C6B" w:rsidRDefault="00EA4C6B" w:rsidP="00EA4C6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621"/>
          <w:tab w:val="left" w:pos="1982"/>
          <w:tab w:val="left" w:pos="8844"/>
          <w:tab w:val="left" w:pos="9360"/>
          <w:tab w:val="left" w:pos="10080"/>
          <w:tab w:val="left" w:pos="10800"/>
        </w:tabs>
        <w:jc w:val="both"/>
        <w:rPr>
          <w:bCs/>
          <w:color w:val="000000" w:themeColor="text1"/>
          <w:sz w:val="20"/>
          <w:szCs w:val="20"/>
          <w:lang w:val="tr-T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0"/>
        <w:gridCol w:w="4962"/>
      </w:tblGrid>
      <w:tr w:rsidR="003E24A6" w:rsidRPr="00900F6A" w:rsidTr="00D77D76">
        <w:trPr>
          <w:trHeight w:val="432"/>
        </w:trPr>
        <w:tc>
          <w:tcPr>
            <w:tcW w:w="4000" w:type="dxa"/>
          </w:tcPr>
          <w:p w:rsidR="003E24A6" w:rsidRPr="00900F6A" w:rsidRDefault="003E24A6" w:rsidP="003E24A6">
            <w:pPr>
              <w:rPr>
                <w:bCs/>
                <w:color w:val="000000" w:themeColor="text1"/>
                <w:sz w:val="22"/>
                <w:szCs w:val="20"/>
                <w:lang w:val="tr-TR"/>
              </w:rPr>
            </w:pPr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 xml:space="preserve">Görev </w:t>
            </w:r>
            <w:r w:rsidR="00184928"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Unvanı</w:t>
            </w:r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:</w:t>
            </w:r>
          </w:p>
        </w:tc>
        <w:tc>
          <w:tcPr>
            <w:tcW w:w="4962" w:type="dxa"/>
            <w:vAlign w:val="center"/>
          </w:tcPr>
          <w:p w:rsidR="003E24A6" w:rsidRPr="00900F6A" w:rsidRDefault="002A327A" w:rsidP="003E24A6">
            <w:pPr>
              <w:tabs>
                <w:tab w:val="left" w:pos="0"/>
                <w:tab w:val="center" w:pos="5556"/>
                <w:tab w:val="left" w:pos="5629"/>
                <w:tab w:val="left" w:pos="6529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bCs/>
                <w:color w:val="000000" w:themeColor="text1"/>
                <w:sz w:val="22"/>
                <w:szCs w:val="20"/>
                <w:lang w:val="tr-TR"/>
              </w:rPr>
            </w:pPr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Ulusal Proje Teknik</w:t>
            </w:r>
            <w:r w:rsidR="003E24A6"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 xml:space="preserve"> Danışmanı</w:t>
            </w:r>
          </w:p>
        </w:tc>
      </w:tr>
      <w:tr w:rsidR="003E24A6" w:rsidRPr="00900F6A" w:rsidTr="00D77D76">
        <w:trPr>
          <w:trHeight w:val="432"/>
        </w:trPr>
        <w:tc>
          <w:tcPr>
            <w:tcW w:w="4000" w:type="dxa"/>
          </w:tcPr>
          <w:p w:rsidR="003E24A6" w:rsidRPr="00900F6A" w:rsidRDefault="003E24A6" w:rsidP="003E24A6">
            <w:pPr>
              <w:rPr>
                <w:bCs/>
                <w:color w:val="000000" w:themeColor="text1"/>
                <w:sz w:val="22"/>
                <w:szCs w:val="20"/>
                <w:lang w:val="tr-TR"/>
              </w:rPr>
            </w:pPr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Görev yeri:</w:t>
            </w:r>
          </w:p>
        </w:tc>
        <w:tc>
          <w:tcPr>
            <w:tcW w:w="4962" w:type="dxa"/>
            <w:vAlign w:val="center"/>
          </w:tcPr>
          <w:p w:rsidR="003E24A6" w:rsidRPr="00900F6A" w:rsidRDefault="00900F6A" w:rsidP="003E24A6">
            <w:pPr>
              <w:tabs>
                <w:tab w:val="left" w:pos="0"/>
                <w:tab w:val="center" w:pos="5556"/>
                <w:tab w:val="left" w:pos="5629"/>
                <w:tab w:val="left" w:pos="6529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bCs/>
                <w:color w:val="000000" w:themeColor="text1"/>
                <w:sz w:val="22"/>
                <w:szCs w:val="20"/>
                <w:lang w:val="tr-TR"/>
              </w:rPr>
            </w:pPr>
            <w:r>
              <w:rPr>
                <w:bCs/>
                <w:color w:val="000000" w:themeColor="text1"/>
                <w:sz w:val="22"/>
                <w:szCs w:val="20"/>
                <w:lang w:val="tr-TR"/>
              </w:rPr>
              <w:t>Ankara-</w:t>
            </w:r>
            <w:r w:rsidR="00DD396D"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Tü</w:t>
            </w:r>
            <w:r w:rsidR="003E24A6"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rkiye</w:t>
            </w:r>
          </w:p>
        </w:tc>
      </w:tr>
      <w:tr w:rsidR="003E24A6" w:rsidRPr="00900F6A" w:rsidTr="00D77D76">
        <w:trPr>
          <w:trHeight w:val="432"/>
        </w:trPr>
        <w:tc>
          <w:tcPr>
            <w:tcW w:w="4000" w:type="dxa"/>
          </w:tcPr>
          <w:p w:rsidR="003E24A6" w:rsidRPr="00900F6A" w:rsidRDefault="003E24A6" w:rsidP="003E24A6">
            <w:pPr>
              <w:rPr>
                <w:bCs/>
                <w:color w:val="000000" w:themeColor="text1"/>
                <w:sz w:val="22"/>
                <w:szCs w:val="20"/>
                <w:lang w:val="tr-TR"/>
              </w:rPr>
            </w:pPr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Misyon aktiviteleri:</w:t>
            </w:r>
          </w:p>
        </w:tc>
        <w:tc>
          <w:tcPr>
            <w:tcW w:w="4962" w:type="dxa"/>
            <w:vAlign w:val="center"/>
          </w:tcPr>
          <w:p w:rsidR="003E24A6" w:rsidRPr="00900F6A" w:rsidRDefault="003E24A6" w:rsidP="003E24A6">
            <w:pPr>
              <w:tabs>
                <w:tab w:val="left" w:pos="0"/>
                <w:tab w:val="center" w:pos="5556"/>
                <w:tab w:val="left" w:pos="5629"/>
                <w:tab w:val="left" w:pos="6529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bCs/>
                <w:color w:val="000000" w:themeColor="text1"/>
                <w:sz w:val="22"/>
                <w:szCs w:val="20"/>
                <w:lang w:val="tr-TR"/>
              </w:rPr>
            </w:pPr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Ayrıca düzenlenecektir</w:t>
            </w:r>
          </w:p>
        </w:tc>
      </w:tr>
      <w:tr w:rsidR="003E24A6" w:rsidRPr="00900F6A" w:rsidTr="00D77D76">
        <w:trPr>
          <w:trHeight w:val="432"/>
        </w:trPr>
        <w:tc>
          <w:tcPr>
            <w:tcW w:w="4000" w:type="dxa"/>
          </w:tcPr>
          <w:p w:rsidR="003E24A6" w:rsidRPr="00900F6A" w:rsidRDefault="003E24A6" w:rsidP="003E24A6">
            <w:pPr>
              <w:rPr>
                <w:bCs/>
                <w:color w:val="000000" w:themeColor="text1"/>
                <w:sz w:val="22"/>
                <w:szCs w:val="20"/>
                <w:lang w:val="tr-TR"/>
              </w:rPr>
            </w:pPr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Kontrat Başlangıç Tarihi:</w:t>
            </w:r>
          </w:p>
        </w:tc>
        <w:tc>
          <w:tcPr>
            <w:tcW w:w="4962" w:type="dxa"/>
            <w:vAlign w:val="center"/>
          </w:tcPr>
          <w:p w:rsidR="003E24A6" w:rsidRPr="00900F6A" w:rsidRDefault="003E24A6" w:rsidP="003E24A6">
            <w:pPr>
              <w:tabs>
                <w:tab w:val="left" w:pos="0"/>
                <w:tab w:val="center" w:pos="5556"/>
                <w:tab w:val="left" w:pos="5629"/>
                <w:tab w:val="left" w:pos="6529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bCs/>
                <w:color w:val="000000" w:themeColor="text1"/>
                <w:sz w:val="22"/>
                <w:szCs w:val="20"/>
                <w:lang w:val="tr-TR"/>
              </w:rPr>
            </w:pPr>
          </w:p>
        </w:tc>
      </w:tr>
      <w:tr w:rsidR="003E24A6" w:rsidRPr="00900F6A" w:rsidTr="00D77D76">
        <w:trPr>
          <w:trHeight w:val="432"/>
        </w:trPr>
        <w:tc>
          <w:tcPr>
            <w:tcW w:w="4000" w:type="dxa"/>
          </w:tcPr>
          <w:p w:rsidR="003E24A6" w:rsidRPr="00900F6A" w:rsidRDefault="003E24A6" w:rsidP="003E24A6">
            <w:pPr>
              <w:rPr>
                <w:bCs/>
                <w:color w:val="000000" w:themeColor="text1"/>
                <w:sz w:val="22"/>
                <w:szCs w:val="20"/>
                <w:lang w:val="tr-TR"/>
              </w:rPr>
            </w:pPr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Kontrat Bitiş Tarihi:</w:t>
            </w:r>
          </w:p>
        </w:tc>
        <w:tc>
          <w:tcPr>
            <w:tcW w:w="4962" w:type="dxa"/>
            <w:vAlign w:val="center"/>
          </w:tcPr>
          <w:p w:rsidR="003E24A6" w:rsidRPr="00900F6A" w:rsidRDefault="003E24A6" w:rsidP="003E24A6">
            <w:pPr>
              <w:tabs>
                <w:tab w:val="left" w:pos="0"/>
                <w:tab w:val="center" w:pos="5556"/>
                <w:tab w:val="left" w:pos="5629"/>
                <w:tab w:val="left" w:pos="6529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bCs/>
                <w:color w:val="000000" w:themeColor="text1"/>
                <w:sz w:val="22"/>
                <w:szCs w:val="20"/>
                <w:lang w:val="tr-TR"/>
              </w:rPr>
            </w:pPr>
          </w:p>
        </w:tc>
      </w:tr>
      <w:tr w:rsidR="003E24A6" w:rsidRPr="00900F6A" w:rsidTr="00D77D76">
        <w:trPr>
          <w:trHeight w:val="432"/>
        </w:trPr>
        <w:tc>
          <w:tcPr>
            <w:tcW w:w="4000" w:type="dxa"/>
          </w:tcPr>
          <w:p w:rsidR="003E24A6" w:rsidRPr="00900F6A" w:rsidRDefault="003E24A6" w:rsidP="003E24A6">
            <w:pPr>
              <w:rPr>
                <w:bCs/>
                <w:color w:val="000000" w:themeColor="text1"/>
                <w:sz w:val="22"/>
                <w:szCs w:val="20"/>
                <w:lang w:val="tr-TR"/>
              </w:rPr>
            </w:pPr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Çalışacağı Gün Sayısı:</w:t>
            </w:r>
          </w:p>
        </w:tc>
        <w:tc>
          <w:tcPr>
            <w:tcW w:w="4962" w:type="dxa"/>
            <w:vAlign w:val="center"/>
          </w:tcPr>
          <w:p w:rsidR="003E24A6" w:rsidRPr="00900F6A" w:rsidRDefault="002A327A" w:rsidP="003E24A6">
            <w:pPr>
              <w:tabs>
                <w:tab w:val="left" w:pos="0"/>
                <w:tab w:val="center" w:pos="5556"/>
                <w:tab w:val="left" w:pos="5629"/>
                <w:tab w:val="left" w:pos="6529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bCs/>
                <w:color w:val="000000" w:themeColor="text1"/>
                <w:sz w:val="22"/>
                <w:szCs w:val="20"/>
                <w:lang w:val="tr-TR"/>
              </w:rPr>
            </w:pPr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375 gün</w:t>
            </w:r>
          </w:p>
        </w:tc>
      </w:tr>
    </w:tbl>
    <w:p w:rsidR="00EA4C6B" w:rsidRPr="00900F6A" w:rsidRDefault="00EA4C6B" w:rsidP="00EA4C6B">
      <w:pPr>
        <w:pBdr>
          <w:top w:val="single" w:sz="6" w:space="0" w:color="FFFFFF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0"/>
          <w:tab w:val="center" w:pos="5556"/>
          <w:tab w:val="left" w:pos="5629"/>
          <w:tab w:val="left" w:pos="6529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Cs/>
          <w:color w:val="000000" w:themeColor="text1"/>
          <w:sz w:val="20"/>
          <w:szCs w:val="20"/>
          <w:lang w:val="tr-TR"/>
        </w:rPr>
      </w:pPr>
    </w:p>
    <w:p w:rsidR="00EE4E6A" w:rsidRPr="00B4173B" w:rsidRDefault="00EE4E6A" w:rsidP="00EE4E6A">
      <w:pPr>
        <w:spacing w:line="236" w:lineRule="auto"/>
        <w:ind w:left="4"/>
        <w:jc w:val="both"/>
        <w:rPr>
          <w:rFonts w:eastAsia="Times New Roman"/>
          <w:sz w:val="22"/>
          <w:szCs w:val="22"/>
          <w:lang w:val="tr-TR"/>
        </w:rPr>
      </w:pPr>
      <w:proofErr w:type="gramStart"/>
      <w:r w:rsidRPr="00B4173B">
        <w:rPr>
          <w:rFonts w:eastAsia="Times New Roman"/>
          <w:sz w:val="22"/>
          <w:szCs w:val="22"/>
          <w:lang w:val="tr-TR"/>
        </w:rPr>
        <w:t xml:space="preserve">T.C. Çevre, Şehircilik ve İklim Değişikliği Bakanlığı, Çevre Yönetimi Genel Müdürlüğü; Küresel </w:t>
      </w:r>
      <w:r>
        <w:rPr>
          <w:rFonts w:eastAsia="Times New Roman"/>
          <w:sz w:val="22"/>
          <w:szCs w:val="22"/>
          <w:lang w:val="tr-TR"/>
        </w:rPr>
        <w:t>Ç</w:t>
      </w:r>
      <w:r w:rsidRPr="00B4173B">
        <w:rPr>
          <w:rFonts w:eastAsia="Times New Roman"/>
          <w:sz w:val="22"/>
          <w:szCs w:val="22"/>
          <w:lang w:val="tr-TR"/>
        </w:rPr>
        <w:t xml:space="preserve">evre Fonu (GEF) </w:t>
      </w:r>
      <w:r>
        <w:rPr>
          <w:rFonts w:eastAsia="Times New Roman"/>
          <w:sz w:val="22"/>
          <w:szCs w:val="22"/>
          <w:lang w:val="tr-TR"/>
        </w:rPr>
        <w:t xml:space="preserve">tarafından desteklenen ve Birleşmiş Milletler Kalkınma ve Sanayi Organizasyonu (UNIDO) uygulayıcılığı altında gerçekleştirilecek olan </w:t>
      </w:r>
      <w:r w:rsidRPr="00BF1F5F">
        <w:t>“</w:t>
      </w:r>
      <w:proofErr w:type="spellStart"/>
      <w:r w:rsidRPr="00BF1F5F">
        <w:t>Türkiye’deki</w:t>
      </w:r>
      <w:proofErr w:type="spellEnd"/>
      <w:r w:rsidRPr="00BF1F5F">
        <w:t xml:space="preserve"> </w:t>
      </w:r>
      <w:proofErr w:type="spellStart"/>
      <w:r w:rsidRPr="00BF1F5F">
        <w:t>Sıkıştırılmış</w:t>
      </w:r>
      <w:proofErr w:type="spellEnd"/>
      <w:r w:rsidRPr="00BF1F5F">
        <w:t xml:space="preserve"> </w:t>
      </w:r>
      <w:proofErr w:type="spellStart"/>
      <w:r w:rsidRPr="00BF1F5F">
        <w:t>ve</w:t>
      </w:r>
      <w:proofErr w:type="spellEnd"/>
      <w:r w:rsidRPr="00BF1F5F">
        <w:t xml:space="preserve"> </w:t>
      </w:r>
      <w:proofErr w:type="spellStart"/>
      <w:r w:rsidRPr="00BF1F5F">
        <w:t>Genleştirilmiş</w:t>
      </w:r>
      <w:proofErr w:type="spellEnd"/>
      <w:r w:rsidRPr="00BF1F5F">
        <w:t xml:space="preserve"> </w:t>
      </w:r>
      <w:proofErr w:type="spellStart"/>
      <w:r w:rsidRPr="00BF1F5F">
        <w:t>Polistiren</w:t>
      </w:r>
      <w:proofErr w:type="spellEnd"/>
      <w:r w:rsidRPr="00BF1F5F">
        <w:t xml:space="preserve"> </w:t>
      </w:r>
      <w:proofErr w:type="spellStart"/>
      <w:r w:rsidRPr="00BF1F5F">
        <w:t>Endüstrilerinde</w:t>
      </w:r>
      <w:proofErr w:type="spellEnd"/>
      <w:r w:rsidRPr="00BF1F5F">
        <w:t xml:space="preserve"> </w:t>
      </w:r>
      <w:proofErr w:type="spellStart"/>
      <w:r w:rsidRPr="00BF1F5F">
        <w:t>Çevresel</w:t>
      </w:r>
      <w:proofErr w:type="spellEnd"/>
      <w:r w:rsidRPr="00BF1F5F">
        <w:t xml:space="preserve"> </w:t>
      </w:r>
      <w:proofErr w:type="spellStart"/>
      <w:r w:rsidRPr="00BF1F5F">
        <w:t>Performansın</w:t>
      </w:r>
      <w:proofErr w:type="spellEnd"/>
      <w:r w:rsidRPr="00BF1F5F">
        <w:t xml:space="preserve"> </w:t>
      </w:r>
      <w:proofErr w:type="spellStart"/>
      <w:r w:rsidRPr="00BF1F5F">
        <w:t>Geliştirilmesi</w:t>
      </w:r>
      <w:proofErr w:type="spellEnd"/>
      <w:r w:rsidRPr="00BF1F5F">
        <w:t xml:space="preserve"> </w:t>
      </w:r>
      <w:proofErr w:type="spellStart"/>
      <w:r w:rsidRPr="00BF1F5F">
        <w:t>Projesi</w:t>
      </w:r>
      <w:proofErr w:type="spellEnd"/>
      <w:r>
        <w:rPr>
          <w:rFonts w:eastAsia="Times New Roman"/>
          <w:sz w:val="22"/>
          <w:szCs w:val="22"/>
          <w:lang w:val="tr-TR"/>
        </w:rPr>
        <w:t xml:space="preserve"> </w:t>
      </w:r>
      <w:r w:rsidRPr="00B4173B">
        <w:rPr>
          <w:rFonts w:eastAsia="Times New Roman"/>
          <w:sz w:val="22"/>
          <w:szCs w:val="22"/>
          <w:lang w:val="tr-TR"/>
        </w:rPr>
        <w:t>faaliyetler</w:t>
      </w:r>
      <w:r>
        <w:rPr>
          <w:rFonts w:eastAsia="Times New Roman"/>
          <w:sz w:val="22"/>
          <w:szCs w:val="22"/>
          <w:lang w:val="tr-TR"/>
        </w:rPr>
        <w:t>in</w:t>
      </w:r>
      <w:r w:rsidRPr="00B4173B">
        <w:rPr>
          <w:rFonts w:eastAsia="Times New Roman"/>
          <w:sz w:val="22"/>
          <w:szCs w:val="22"/>
          <w:lang w:val="tr-TR"/>
        </w:rPr>
        <w:t>de çalıştırmak üzere 1 (bir) adet</w:t>
      </w:r>
      <w:r>
        <w:rPr>
          <w:rFonts w:eastAsia="Times New Roman"/>
          <w:sz w:val="22"/>
          <w:szCs w:val="22"/>
          <w:lang w:val="tr-TR"/>
        </w:rPr>
        <w:t xml:space="preserve"> ulusal</w:t>
      </w:r>
      <w:r w:rsidRPr="00B4173B">
        <w:rPr>
          <w:rFonts w:eastAsia="Times New Roman"/>
          <w:sz w:val="22"/>
          <w:szCs w:val="22"/>
          <w:lang w:val="tr-TR"/>
        </w:rPr>
        <w:t xml:space="preserve"> proje </w:t>
      </w:r>
      <w:r>
        <w:rPr>
          <w:rFonts w:eastAsia="Times New Roman"/>
          <w:sz w:val="22"/>
          <w:szCs w:val="22"/>
          <w:lang w:val="tr-TR"/>
        </w:rPr>
        <w:t xml:space="preserve">teknik danışmanı </w:t>
      </w:r>
      <w:r w:rsidRPr="00B4173B">
        <w:rPr>
          <w:rFonts w:eastAsia="Times New Roman"/>
          <w:sz w:val="22"/>
          <w:szCs w:val="22"/>
          <w:lang w:val="tr-TR"/>
        </w:rPr>
        <w:t>istihdam edecektir.</w:t>
      </w:r>
      <w:proofErr w:type="gramEnd"/>
    </w:p>
    <w:p w:rsidR="00EA4C6B" w:rsidRPr="00900F6A" w:rsidRDefault="00EA4C6B" w:rsidP="00EA4C6B">
      <w:pPr>
        <w:pBdr>
          <w:top w:val="single" w:sz="6" w:space="0" w:color="FFFFFF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0"/>
          <w:tab w:val="center" w:pos="5556"/>
          <w:tab w:val="left" w:pos="5629"/>
          <w:tab w:val="left" w:pos="6529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Cs/>
          <w:color w:val="000000" w:themeColor="text1"/>
          <w:sz w:val="20"/>
          <w:szCs w:val="20"/>
          <w:lang w:val="tr-TR"/>
        </w:rPr>
      </w:pPr>
    </w:p>
    <w:p w:rsidR="003E24A6" w:rsidRPr="00900F6A" w:rsidRDefault="003E24A6" w:rsidP="003E24A6">
      <w:pPr>
        <w:jc w:val="both"/>
        <w:rPr>
          <w:b/>
          <w:bCs/>
          <w:color w:val="000000" w:themeColor="text1"/>
          <w:sz w:val="22"/>
          <w:szCs w:val="20"/>
          <w:u w:val="single"/>
          <w:lang w:val="tr-TR"/>
        </w:rPr>
      </w:pPr>
      <w:r w:rsidRPr="00900F6A">
        <w:rPr>
          <w:b/>
          <w:bCs/>
          <w:color w:val="000000" w:themeColor="text1"/>
          <w:sz w:val="22"/>
          <w:szCs w:val="20"/>
          <w:u w:val="single"/>
          <w:lang w:val="tr-TR"/>
        </w:rPr>
        <w:t>TEMEL GÖREVLER</w:t>
      </w:r>
    </w:p>
    <w:p w:rsidR="00EA4C6B" w:rsidRPr="00900F6A" w:rsidRDefault="003E24A6" w:rsidP="00EA4C6B">
      <w:pPr>
        <w:rPr>
          <w:bCs/>
          <w:color w:val="000000" w:themeColor="text1"/>
          <w:sz w:val="22"/>
          <w:szCs w:val="20"/>
          <w:lang w:val="tr-TR"/>
        </w:rPr>
      </w:pPr>
      <w:r w:rsidRPr="00900F6A">
        <w:rPr>
          <w:bCs/>
          <w:color w:val="000000" w:themeColor="text1"/>
          <w:sz w:val="22"/>
          <w:szCs w:val="20"/>
          <w:lang w:val="tr-TR"/>
        </w:rPr>
        <w:t>Ulusal</w:t>
      </w:r>
      <w:r w:rsidR="00AB2403">
        <w:rPr>
          <w:bCs/>
          <w:color w:val="000000" w:themeColor="text1"/>
          <w:sz w:val="22"/>
          <w:szCs w:val="20"/>
          <w:lang w:val="tr-TR"/>
        </w:rPr>
        <w:t xml:space="preserve"> Proje Teknik</w:t>
      </w:r>
      <w:r w:rsidRPr="00900F6A">
        <w:rPr>
          <w:bCs/>
          <w:color w:val="000000" w:themeColor="text1"/>
          <w:sz w:val="22"/>
          <w:szCs w:val="20"/>
          <w:lang w:val="tr-TR"/>
        </w:rPr>
        <w:t xml:space="preserve"> Danışman</w:t>
      </w:r>
      <w:r w:rsidR="00AB2403">
        <w:rPr>
          <w:bCs/>
          <w:color w:val="000000" w:themeColor="text1"/>
          <w:sz w:val="22"/>
          <w:szCs w:val="20"/>
          <w:lang w:val="tr-TR"/>
        </w:rPr>
        <w:t>ı</w:t>
      </w:r>
      <w:r w:rsidRPr="00900F6A">
        <w:rPr>
          <w:bCs/>
          <w:color w:val="000000" w:themeColor="text1"/>
          <w:sz w:val="22"/>
          <w:szCs w:val="20"/>
          <w:lang w:val="tr-TR"/>
        </w:rPr>
        <w:t xml:space="preserve">, </w:t>
      </w:r>
      <w:proofErr w:type="spellStart"/>
      <w:r w:rsidRPr="00900F6A">
        <w:rPr>
          <w:bCs/>
          <w:color w:val="000000" w:themeColor="text1"/>
          <w:sz w:val="22"/>
          <w:szCs w:val="20"/>
          <w:lang w:val="tr-TR"/>
        </w:rPr>
        <w:t>ÇŞ</w:t>
      </w:r>
      <w:r w:rsidR="00900F6A">
        <w:rPr>
          <w:bCs/>
          <w:color w:val="000000" w:themeColor="text1"/>
          <w:sz w:val="22"/>
          <w:szCs w:val="20"/>
          <w:lang w:val="tr-TR"/>
        </w:rPr>
        <w:t>İD</w:t>
      </w:r>
      <w:r w:rsidR="00AB2403">
        <w:rPr>
          <w:bCs/>
          <w:color w:val="000000" w:themeColor="text1"/>
          <w:sz w:val="22"/>
          <w:szCs w:val="20"/>
          <w:lang w:val="tr-TR"/>
        </w:rPr>
        <w:t>B'deki</w:t>
      </w:r>
      <w:proofErr w:type="spellEnd"/>
      <w:r w:rsidR="00AB2403">
        <w:rPr>
          <w:bCs/>
          <w:color w:val="000000" w:themeColor="text1"/>
          <w:sz w:val="22"/>
          <w:szCs w:val="20"/>
          <w:lang w:val="tr-TR"/>
        </w:rPr>
        <w:t xml:space="preserve"> Proje yürütücü birim</w:t>
      </w:r>
      <w:r w:rsidRPr="00900F6A">
        <w:rPr>
          <w:bCs/>
          <w:color w:val="000000" w:themeColor="text1"/>
          <w:sz w:val="22"/>
          <w:szCs w:val="20"/>
          <w:lang w:val="tr-TR"/>
        </w:rPr>
        <w:t xml:space="preserve">, </w:t>
      </w:r>
      <w:r w:rsidR="00AB2403">
        <w:rPr>
          <w:bCs/>
          <w:color w:val="000000" w:themeColor="text1"/>
          <w:sz w:val="22"/>
          <w:szCs w:val="20"/>
          <w:lang w:val="tr-TR"/>
        </w:rPr>
        <w:t xml:space="preserve">proje yönetim birimi </w:t>
      </w:r>
      <w:r w:rsidRPr="00900F6A">
        <w:rPr>
          <w:bCs/>
          <w:color w:val="000000" w:themeColor="text1"/>
          <w:sz w:val="22"/>
          <w:szCs w:val="20"/>
          <w:lang w:val="tr-TR"/>
        </w:rPr>
        <w:t>ve diğer ilgili uzmanlar/danışmanlarla işbirliği içinde projenin uygulanmasını sağlayacak ve aşağıdaki görevlerden sorumlu olacaktır</w:t>
      </w:r>
      <w:r w:rsidR="00EA4C6B" w:rsidRPr="00900F6A">
        <w:rPr>
          <w:bCs/>
          <w:color w:val="000000" w:themeColor="text1"/>
          <w:sz w:val="22"/>
          <w:szCs w:val="20"/>
          <w:lang w:val="tr-TR"/>
        </w:rPr>
        <w:t>;</w:t>
      </w:r>
    </w:p>
    <w:p w:rsidR="00EA4C6B" w:rsidRPr="00900F6A" w:rsidRDefault="00EA4C6B" w:rsidP="00EA4C6B">
      <w:pPr>
        <w:rPr>
          <w:bCs/>
          <w:color w:val="000000" w:themeColor="text1"/>
          <w:sz w:val="22"/>
          <w:szCs w:val="20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75"/>
        <w:gridCol w:w="3441"/>
      </w:tblGrid>
      <w:tr w:rsidR="00EA4C6B" w:rsidRPr="00900F6A" w:rsidTr="007A716A">
        <w:tc>
          <w:tcPr>
            <w:tcW w:w="5575" w:type="dxa"/>
          </w:tcPr>
          <w:p w:rsidR="00EA4C6B" w:rsidRPr="00900F6A" w:rsidRDefault="003E47F7" w:rsidP="007A716A">
            <w:pPr>
              <w:rPr>
                <w:b/>
                <w:bCs/>
                <w:color w:val="000000" w:themeColor="text1"/>
                <w:sz w:val="22"/>
                <w:szCs w:val="20"/>
                <w:lang w:val="tr-TR"/>
              </w:rPr>
            </w:pPr>
            <w:r w:rsidRPr="00900F6A">
              <w:rPr>
                <w:b/>
                <w:bCs/>
                <w:color w:val="000000" w:themeColor="text1"/>
                <w:sz w:val="22"/>
                <w:szCs w:val="20"/>
                <w:lang w:val="tr-TR"/>
              </w:rPr>
              <w:t>Görevler</w:t>
            </w:r>
          </w:p>
        </w:tc>
        <w:tc>
          <w:tcPr>
            <w:tcW w:w="3441" w:type="dxa"/>
          </w:tcPr>
          <w:p w:rsidR="00EA4C6B" w:rsidRPr="00900F6A" w:rsidRDefault="003E47F7" w:rsidP="007A716A">
            <w:pPr>
              <w:rPr>
                <w:b/>
                <w:bCs/>
                <w:color w:val="000000" w:themeColor="text1"/>
                <w:sz w:val="22"/>
                <w:szCs w:val="20"/>
                <w:lang w:val="tr-TR"/>
              </w:rPr>
            </w:pPr>
            <w:r w:rsidRPr="00900F6A">
              <w:rPr>
                <w:b/>
                <w:bCs/>
                <w:color w:val="000000" w:themeColor="text1"/>
                <w:sz w:val="22"/>
                <w:szCs w:val="20"/>
                <w:lang w:val="tr-TR"/>
              </w:rPr>
              <w:t>Çıktılar</w:t>
            </w:r>
          </w:p>
        </w:tc>
      </w:tr>
      <w:tr w:rsidR="00EA4C6B" w:rsidRPr="00900F6A" w:rsidTr="007A716A">
        <w:tc>
          <w:tcPr>
            <w:tcW w:w="5575" w:type="dxa"/>
          </w:tcPr>
          <w:p w:rsidR="00EA4C6B" w:rsidRPr="00900F6A" w:rsidRDefault="00EA4C6B" w:rsidP="007A716A">
            <w:pPr>
              <w:rPr>
                <w:b/>
                <w:bCs/>
                <w:color w:val="000000" w:themeColor="text1"/>
                <w:sz w:val="22"/>
                <w:szCs w:val="20"/>
                <w:u w:val="single"/>
                <w:lang w:val="tr-TR"/>
              </w:rPr>
            </w:pPr>
            <w:r w:rsidRPr="00900F6A">
              <w:rPr>
                <w:b/>
                <w:bCs/>
                <w:color w:val="000000" w:themeColor="text1"/>
                <w:sz w:val="22"/>
                <w:szCs w:val="20"/>
                <w:u w:val="single"/>
                <w:lang w:val="tr-TR"/>
              </w:rPr>
              <w:t>1. Başlangıç aşamasının yürütülmesi</w:t>
            </w:r>
          </w:p>
          <w:p w:rsidR="00EA4C6B" w:rsidRPr="00900F6A" w:rsidRDefault="00EA4C6B" w:rsidP="007A716A">
            <w:pPr>
              <w:rPr>
                <w:bCs/>
                <w:color w:val="000000" w:themeColor="text1"/>
                <w:sz w:val="22"/>
                <w:szCs w:val="20"/>
                <w:lang w:val="tr-TR"/>
              </w:rPr>
            </w:pPr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1.1. Projeyi oluşturan ve başlatma faaliyetlerini içeren ilk yıl için ayrıntılı iş planı hazırlamak</w:t>
            </w:r>
            <w:r w:rsidR="003E47F7"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 xml:space="preserve"> ve yıllık olarak güncellemek</w:t>
            </w:r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;</w:t>
            </w:r>
          </w:p>
          <w:p w:rsidR="00EA4C6B" w:rsidRPr="00900F6A" w:rsidRDefault="00EA4C6B" w:rsidP="007A716A">
            <w:pPr>
              <w:rPr>
                <w:bCs/>
                <w:color w:val="000000" w:themeColor="text1"/>
                <w:sz w:val="22"/>
                <w:szCs w:val="20"/>
                <w:lang w:val="tr-TR"/>
              </w:rPr>
            </w:pPr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1.2. Belirli raporlama kilometre taşları, izleme hedefleri ve göstergeleri ile izleme ve değerlendirme planı oluşturmak;</w:t>
            </w:r>
          </w:p>
          <w:p w:rsidR="00EA4C6B" w:rsidRPr="00900F6A" w:rsidRDefault="00EA4C6B" w:rsidP="007A716A">
            <w:pPr>
              <w:rPr>
                <w:bCs/>
                <w:color w:val="000000" w:themeColor="text1"/>
                <w:sz w:val="22"/>
                <w:szCs w:val="20"/>
                <w:lang w:val="tr-TR"/>
              </w:rPr>
            </w:pPr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1.3. K</w:t>
            </w:r>
            <w:r w:rsidR="007D6C02"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urumsal roller,</w:t>
            </w:r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 xml:space="preserve"> sorumluluklar ve </w:t>
            </w:r>
            <w:r w:rsidR="007D6C02"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 xml:space="preserve">proje ortaklarının koordinasyonunun </w:t>
            </w:r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belirtilmesi;</w:t>
            </w:r>
          </w:p>
          <w:p w:rsidR="00EA4C6B" w:rsidRPr="00900F6A" w:rsidRDefault="00EA4C6B" w:rsidP="00EA4C6B">
            <w:pPr>
              <w:rPr>
                <w:bCs/>
                <w:color w:val="000000" w:themeColor="text1"/>
                <w:sz w:val="22"/>
                <w:szCs w:val="20"/>
                <w:lang w:val="tr-TR"/>
              </w:rPr>
            </w:pPr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 xml:space="preserve">1.4. Başlangıç aşaması </w:t>
            </w:r>
            <w:proofErr w:type="spellStart"/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çalıştayına</w:t>
            </w:r>
            <w:proofErr w:type="spellEnd"/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 xml:space="preserve"> destek sağlamak, proje çıktılarını ve hedeflerini tüm ilgili paydaşlara açıklamak ve gelecekteki koordinasyon için bir temel sağlamak;</w:t>
            </w:r>
          </w:p>
          <w:p w:rsidR="00DF16B3" w:rsidRPr="00900F6A" w:rsidRDefault="00DF16B3" w:rsidP="00325E40">
            <w:pPr>
              <w:rPr>
                <w:bCs/>
                <w:color w:val="000000" w:themeColor="text1"/>
                <w:sz w:val="22"/>
                <w:szCs w:val="20"/>
                <w:lang w:val="tr-TR"/>
              </w:rPr>
            </w:pPr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1.5. Hibe dağıtımı için Çevre ve Şehircilik Bakanlığı ile firmalar arasında imzalanacak hibe pro</w:t>
            </w:r>
            <w:r w:rsidR="00325E40">
              <w:rPr>
                <w:bCs/>
                <w:color w:val="000000" w:themeColor="text1"/>
                <w:sz w:val="22"/>
                <w:szCs w:val="20"/>
                <w:lang w:val="tr-TR"/>
              </w:rPr>
              <w:t>tokolün</w:t>
            </w:r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 xml:space="preserve"> nihai halini hazırlamak.</w:t>
            </w:r>
          </w:p>
        </w:tc>
        <w:tc>
          <w:tcPr>
            <w:tcW w:w="3441" w:type="dxa"/>
          </w:tcPr>
          <w:p w:rsidR="00EA4C6B" w:rsidRPr="00900F6A" w:rsidRDefault="003E47F7" w:rsidP="003E47F7">
            <w:pPr>
              <w:rPr>
                <w:bCs/>
                <w:color w:val="000000" w:themeColor="text1"/>
                <w:sz w:val="22"/>
                <w:szCs w:val="20"/>
                <w:lang w:val="tr-TR"/>
              </w:rPr>
            </w:pPr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Proje başlangıç</w:t>
            </w:r>
            <w:r w:rsidR="00EA4C6B"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 xml:space="preserve"> raporu</w:t>
            </w:r>
          </w:p>
          <w:p w:rsidR="00DF16B3" w:rsidRPr="00900F6A" w:rsidRDefault="00DF16B3" w:rsidP="003E47F7">
            <w:pPr>
              <w:rPr>
                <w:bCs/>
                <w:color w:val="000000" w:themeColor="text1"/>
                <w:sz w:val="22"/>
                <w:szCs w:val="20"/>
                <w:lang w:val="tr-TR"/>
              </w:rPr>
            </w:pPr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Hibe protokolünün nihai halinin hazırlanması</w:t>
            </w:r>
          </w:p>
        </w:tc>
      </w:tr>
      <w:tr w:rsidR="00EA4C6B" w:rsidRPr="00900F6A" w:rsidTr="007A716A">
        <w:tc>
          <w:tcPr>
            <w:tcW w:w="5575" w:type="dxa"/>
          </w:tcPr>
          <w:p w:rsidR="00EA4C6B" w:rsidRPr="00900F6A" w:rsidRDefault="00EA4C6B" w:rsidP="007A716A">
            <w:pPr>
              <w:rPr>
                <w:b/>
                <w:bCs/>
                <w:color w:val="000000" w:themeColor="text1"/>
                <w:sz w:val="22"/>
                <w:szCs w:val="20"/>
                <w:u w:val="single"/>
                <w:lang w:val="tr-TR"/>
              </w:rPr>
            </w:pPr>
            <w:r w:rsidRPr="00900F6A">
              <w:rPr>
                <w:b/>
                <w:bCs/>
                <w:color w:val="000000" w:themeColor="text1"/>
                <w:sz w:val="22"/>
                <w:szCs w:val="20"/>
                <w:u w:val="single"/>
                <w:lang w:val="tr-TR"/>
              </w:rPr>
              <w:lastRenderedPageBreak/>
              <w:t>2. HBCD kullanımının değiştirilmesi için çevreye duyarlı alternatiflerin doğrulanması konusunda paydaş farkındalığının yürütülmesi</w:t>
            </w:r>
          </w:p>
          <w:p w:rsidR="00EA4C6B" w:rsidRPr="00900F6A" w:rsidRDefault="00645C27" w:rsidP="007A716A">
            <w:pPr>
              <w:rPr>
                <w:bCs/>
                <w:color w:val="000000" w:themeColor="text1"/>
                <w:sz w:val="22"/>
                <w:szCs w:val="20"/>
                <w:lang w:val="tr-TR"/>
              </w:rPr>
            </w:pPr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 xml:space="preserve">2.1. </w:t>
            </w:r>
            <w:r w:rsidR="00EA4C6B"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 xml:space="preserve"> </w:t>
            </w:r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 xml:space="preserve">İlgili tüm paydaşlar için üç bilgi yayma </w:t>
            </w:r>
            <w:proofErr w:type="spellStart"/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çalıştayının</w:t>
            </w:r>
            <w:proofErr w:type="spellEnd"/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 xml:space="preserve"> yönetilmesi</w:t>
            </w:r>
          </w:p>
          <w:p w:rsidR="00645C27" w:rsidRPr="00900F6A" w:rsidRDefault="00645C27" w:rsidP="007A716A">
            <w:pPr>
              <w:rPr>
                <w:bCs/>
                <w:color w:val="000000" w:themeColor="text1"/>
                <w:sz w:val="22"/>
                <w:szCs w:val="20"/>
                <w:lang w:val="tr-TR"/>
              </w:rPr>
            </w:pPr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2.2. EPS/XPS sektörü için ihtiyaçlarına göre uzman irtibatların sağlanması</w:t>
            </w:r>
          </w:p>
          <w:p w:rsidR="00645C27" w:rsidRPr="00900F6A" w:rsidRDefault="00645C27" w:rsidP="007A716A">
            <w:pPr>
              <w:rPr>
                <w:bCs/>
                <w:color w:val="000000" w:themeColor="text1"/>
                <w:sz w:val="22"/>
                <w:szCs w:val="20"/>
                <w:lang w:val="tr-TR"/>
              </w:rPr>
            </w:pPr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 xml:space="preserve">2.3. Ulusal ve uluslararası uzmanların organize edilmesi ve </w:t>
            </w:r>
            <w:proofErr w:type="spellStart"/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çalıştay</w:t>
            </w:r>
            <w:proofErr w:type="spellEnd"/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 xml:space="preserve"> içeriğinin oluşturulması, </w:t>
            </w:r>
            <w:proofErr w:type="spellStart"/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çalıştayda</w:t>
            </w:r>
            <w:proofErr w:type="spellEnd"/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 xml:space="preserve"> yer alacak uzmanlara görev verilmesi, </w:t>
            </w:r>
            <w:proofErr w:type="spellStart"/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çalıştaya</w:t>
            </w:r>
            <w:proofErr w:type="spellEnd"/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 xml:space="preserve"> teknik destek sağlanması</w:t>
            </w:r>
          </w:p>
          <w:p w:rsidR="00463771" w:rsidRPr="00900F6A" w:rsidRDefault="00463771" w:rsidP="007A716A">
            <w:pPr>
              <w:rPr>
                <w:bCs/>
                <w:color w:val="000000" w:themeColor="text1"/>
                <w:sz w:val="22"/>
                <w:szCs w:val="20"/>
                <w:lang w:val="tr-TR"/>
              </w:rPr>
            </w:pPr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 xml:space="preserve">2.4. Kapanış </w:t>
            </w:r>
            <w:proofErr w:type="spellStart"/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çalıştayının</w:t>
            </w:r>
            <w:proofErr w:type="spellEnd"/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 xml:space="preserve"> yönetilmesi</w:t>
            </w:r>
          </w:p>
        </w:tc>
        <w:tc>
          <w:tcPr>
            <w:tcW w:w="3441" w:type="dxa"/>
          </w:tcPr>
          <w:p w:rsidR="00EA4C6B" w:rsidRPr="00900F6A" w:rsidRDefault="00A43FA8" w:rsidP="0038560F">
            <w:pPr>
              <w:rPr>
                <w:bCs/>
                <w:color w:val="000000" w:themeColor="text1"/>
                <w:sz w:val="22"/>
                <w:szCs w:val="20"/>
                <w:lang w:val="tr-TR"/>
              </w:rPr>
            </w:pPr>
            <w:proofErr w:type="spellStart"/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Çalıştay</w:t>
            </w:r>
            <w:proofErr w:type="spellEnd"/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 xml:space="preserve"> raporu (</w:t>
            </w:r>
            <w:r w:rsidR="0038560F"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 xml:space="preserve">Her bir </w:t>
            </w:r>
            <w:proofErr w:type="spellStart"/>
            <w:r w:rsidR="0038560F"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çalıştay</w:t>
            </w:r>
            <w:proofErr w:type="spellEnd"/>
            <w:r w:rsidR="00EA4C6B"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 xml:space="preserve"> </w:t>
            </w:r>
            <w:proofErr w:type="spellStart"/>
            <w:r w:rsidR="00EA4C6B"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çalıştay</w:t>
            </w:r>
            <w:proofErr w:type="spellEnd"/>
            <w:r w:rsidR="00EA4C6B"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 xml:space="preserve"> için birer tane)</w:t>
            </w:r>
          </w:p>
        </w:tc>
      </w:tr>
      <w:tr w:rsidR="00EA4C6B" w:rsidRPr="00900F6A" w:rsidTr="007A716A">
        <w:tc>
          <w:tcPr>
            <w:tcW w:w="5575" w:type="dxa"/>
          </w:tcPr>
          <w:p w:rsidR="00EA4C6B" w:rsidRPr="00900F6A" w:rsidRDefault="00463771" w:rsidP="007A716A">
            <w:pPr>
              <w:rPr>
                <w:b/>
                <w:bCs/>
                <w:color w:val="000000" w:themeColor="text1"/>
                <w:sz w:val="22"/>
                <w:szCs w:val="20"/>
                <w:u w:val="single"/>
                <w:lang w:val="tr-TR"/>
              </w:rPr>
            </w:pPr>
            <w:r w:rsidRPr="00900F6A">
              <w:rPr>
                <w:b/>
                <w:bCs/>
                <w:color w:val="000000" w:themeColor="text1"/>
                <w:sz w:val="22"/>
                <w:szCs w:val="20"/>
                <w:u w:val="single"/>
                <w:lang w:val="tr-TR"/>
              </w:rPr>
              <w:t>3. HBCD içeren atıkların çevreye duyarlı yönetimi</w:t>
            </w:r>
          </w:p>
          <w:p w:rsidR="00463771" w:rsidRPr="00900F6A" w:rsidRDefault="00463771" w:rsidP="007A716A">
            <w:pPr>
              <w:rPr>
                <w:bCs/>
                <w:color w:val="000000" w:themeColor="text1"/>
                <w:sz w:val="22"/>
                <w:szCs w:val="20"/>
                <w:lang w:val="tr-TR"/>
              </w:rPr>
            </w:pPr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KOK/Tehlikeli Atık Danışmanı ve Ulusal Danışman ile yakın işbirliği içinde olarak;</w:t>
            </w:r>
          </w:p>
          <w:p w:rsidR="00463771" w:rsidRPr="00900F6A" w:rsidRDefault="00463771" w:rsidP="00463771">
            <w:pPr>
              <w:rPr>
                <w:bCs/>
                <w:color w:val="000000" w:themeColor="text1"/>
                <w:sz w:val="22"/>
                <w:szCs w:val="20"/>
                <w:lang w:val="tr-TR"/>
              </w:rPr>
            </w:pPr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3.1. HBCD atık yönetimine gerekli destek ve uzman girdilerinin sağlanması</w:t>
            </w:r>
          </w:p>
          <w:p w:rsidR="00463771" w:rsidRPr="00900F6A" w:rsidRDefault="00463771" w:rsidP="00463771">
            <w:pPr>
              <w:rPr>
                <w:bCs/>
                <w:color w:val="000000" w:themeColor="text1"/>
                <w:sz w:val="22"/>
                <w:szCs w:val="20"/>
                <w:lang w:val="tr-TR"/>
              </w:rPr>
            </w:pPr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3.2. Yönetim stratejisinin geliştirilmesine destek olmak.</w:t>
            </w:r>
          </w:p>
        </w:tc>
        <w:tc>
          <w:tcPr>
            <w:tcW w:w="3441" w:type="dxa"/>
          </w:tcPr>
          <w:p w:rsidR="008A76AC" w:rsidRPr="00900F6A" w:rsidRDefault="008A76AC" w:rsidP="008A76AC">
            <w:pPr>
              <w:rPr>
                <w:bCs/>
                <w:color w:val="000000" w:themeColor="text1"/>
                <w:sz w:val="22"/>
                <w:szCs w:val="20"/>
                <w:lang w:val="tr-TR"/>
              </w:rPr>
            </w:pPr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HBCD atık yönetimine uzman katkılarına istinaden rapor hazırlanması</w:t>
            </w:r>
          </w:p>
          <w:p w:rsidR="00EA4C6B" w:rsidRPr="00900F6A" w:rsidRDefault="008A76AC" w:rsidP="008A76AC">
            <w:pPr>
              <w:rPr>
                <w:bCs/>
                <w:color w:val="000000" w:themeColor="text1"/>
                <w:sz w:val="22"/>
                <w:szCs w:val="20"/>
                <w:lang w:val="tr-TR"/>
              </w:rPr>
            </w:pPr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Strateji geliştirme raporuna destek olunması</w:t>
            </w:r>
          </w:p>
        </w:tc>
      </w:tr>
      <w:tr w:rsidR="00EA4C6B" w:rsidRPr="00900F6A" w:rsidTr="007A716A">
        <w:tc>
          <w:tcPr>
            <w:tcW w:w="5575" w:type="dxa"/>
          </w:tcPr>
          <w:p w:rsidR="00EA4C6B" w:rsidRPr="00900F6A" w:rsidRDefault="00463771" w:rsidP="007A716A">
            <w:pPr>
              <w:rPr>
                <w:b/>
                <w:bCs/>
                <w:color w:val="000000" w:themeColor="text1"/>
                <w:sz w:val="22"/>
                <w:szCs w:val="20"/>
                <w:u w:val="single"/>
                <w:lang w:val="tr-TR"/>
              </w:rPr>
            </w:pPr>
            <w:r w:rsidRPr="00900F6A">
              <w:rPr>
                <w:b/>
                <w:bCs/>
                <w:color w:val="000000" w:themeColor="text1"/>
                <w:sz w:val="22"/>
                <w:szCs w:val="20"/>
                <w:u w:val="single"/>
                <w:lang w:val="tr-TR"/>
              </w:rPr>
              <w:t>4. EPS&amp;XPS Sektörlerine ve derneklerine teknik yardım sağlamak</w:t>
            </w:r>
          </w:p>
          <w:p w:rsidR="00463771" w:rsidRPr="00900F6A" w:rsidRDefault="00463771" w:rsidP="007A716A">
            <w:pPr>
              <w:rPr>
                <w:bCs/>
                <w:color w:val="000000" w:themeColor="text1"/>
                <w:sz w:val="22"/>
                <w:szCs w:val="20"/>
                <w:lang w:val="tr-TR"/>
              </w:rPr>
            </w:pPr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 xml:space="preserve">4.1. </w:t>
            </w:r>
            <w:r w:rsidR="009E71D6"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EPS&amp;XPS sektörünün her biri için yapılacak olan üç eğitim etkinliğinin teknik yönlerinin yönetimi</w:t>
            </w:r>
          </w:p>
          <w:p w:rsidR="009E71D6" w:rsidRPr="00900F6A" w:rsidRDefault="009E71D6" w:rsidP="009E71D6">
            <w:pPr>
              <w:rPr>
                <w:bCs/>
                <w:color w:val="000000" w:themeColor="text1"/>
                <w:sz w:val="22"/>
                <w:szCs w:val="20"/>
                <w:lang w:val="tr-TR"/>
              </w:rPr>
            </w:pPr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 xml:space="preserve">4.2. </w:t>
            </w:r>
            <w:proofErr w:type="spellStart"/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HBCD'nin</w:t>
            </w:r>
            <w:proofErr w:type="spellEnd"/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 xml:space="preserve"> aşamalı olarak kaldırılması için gerekli yatırım ve alternatif seçimlerinin tamamlanması</w:t>
            </w:r>
          </w:p>
          <w:p w:rsidR="009E71D6" w:rsidRPr="00900F6A" w:rsidRDefault="009E71D6" w:rsidP="00451504">
            <w:pPr>
              <w:rPr>
                <w:bCs/>
                <w:color w:val="000000" w:themeColor="text1"/>
                <w:sz w:val="22"/>
                <w:szCs w:val="20"/>
                <w:lang w:val="tr-TR"/>
              </w:rPr>
            </w:pPr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 xml:space="preserve">4.3. Tüm üyelerin çevreye duyarlı </w:t>
            </w:r>
            <w:r w:rsidR="00451504"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alev geciktiricilere</w:t>
            </w:r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 xml:space="preserve"> geçişle ilgili teknik ilkelere, fırsatlara ve </w:t>
            </w:r>
            <w:r w:rsidR="00451504"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çıkarılan derslere</w:t>
            </w:r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 xml:space="preserve"> </w:t>
            </w:r>
            <w:r w:rsidR="00451504"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aşina olduğundan emin olmak</w:t>
            </w:r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.</w:t>
            </w:r>
          </w:p>
          <w:p w:rsidR="00451504" w:rsidRPr="00900F6A" w:rsidRDefault="00451504" w:rsidP="00451504">
            <w:pPr>
              <w:rPr>
                <w:bCs/>
                <w:color w:val="000000" w:themeColor="text1"/>
                <w:sz w:val="22"/>
                <w:szCs w:val="20"/>
                <w:lang w:val="tr-TR"/>
              </w:rPr>
            </w:pPr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4.4. Hem EPS hem de XPS sektörlerine etkin ürün geliştirme ve belgelendirme desteği sağlayan TSE/ÇEVKAK laboratuvar aktivitelerine destek sağlamak.</w:t>
            </w:r>
          </w:p>
          <w:p w:rsidR="00FD2A6C" w:rsidRPr="00900F6A" w:rsidRDefault="00FD2A6C" w:rsidP="00451504">
            <w:pPr>
              <w:rPr>
                <w:bCs/>
                <w:color w:val="000000" w:themeColor="text1"/>
                <w:sz w:val="22"/>
                <w:szCs w:val="20"/>
                <w:lang w:val="tr-TR"/>
              </w:rPr>
            </w:pPr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 xml:space="preserve">4.5. Teknik kapanış </w:t>
            </w:r>
            <w:proofErr w:type="spellStart"/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çalıştayının</w:t>
            </w:r>
            <w:proofErr w:type="spellEnd"/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 xml:space="preserve"> yönetilmesi</w:t>
            </w:r>
          </w:p>
        </w:tc>
        <w:tc>
          <w:tcPr>
            <w:tcW w:w="3441" w:type="dxa"/>
          </w:tcPr>
          <w:p w:rsidR="00EA4C6B" w:rsidRPr="00900F6A" w:rsidRDefault="0038560F" w:rsidP="007A716A">
            <w:pPr>
              <w:rPr>
                <w:bCs/>
                <w:color w:val="000000" w:themeColor="text1"/>
                <w:sz w:val="22"/>
                <w:szCs w:val="20"/>
                <w:lang w:val="tr-TR"/>
              </w:rPr>
            </w:pPr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Her bir</w:t>
            </w:r>
            <w:r w:rsidR="00A43FA8"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 xml:space="preserve"> eğitim için e</w:t>
            </w:r>
            <w:r w:rsidR="00DF16B3"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ğitim raporları</w:t>
            </w:r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nın hazırlanması</w:t>
            </w:r>
            <w:r w:rsidR="00DF16B3"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,</w:t>
            </w:r>
          </w:p>
          <w:p w:rsidR="00DF16B3" w:rsidRPr="00900F6A" w:rsidRDefault="00DF16B3" w:rsidP="007A716A">
            <w:pPr>
              <w:rPr>
                <w:bCs/>
                <w:color w:val="000000" w:themeColor="text1"/>
                <w:sz w:val="22"/>
                <w:szCs w:val="20"/>
                <w:lang w:val="tr-TR"/>
              </w:rPr>
            </w:pPr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Her işletme için doğrulama raporlarının hazırlanması</w:t>
            </w:r>
          </w:p>
          <w:p w:rsidR="00CC5CB5" w:rsidRPr="00900F6A" w:rsidRDefault="00FD2A6C" w:rsidP="00FD2A6C">
            <w:pPr>
              <w:rPr>
                <w:bCs/>
                <w:color w:val="000000" w:themeColor="text1"/>
                <w:sz w:val="22"/>
                <w:szCs w:val="20"/>
                <w:lang w:val="tr-TR"/>
              </w:rPr>
            </w:pPr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 xml:space="preserve">Teknik kapanış </w:t>
            </w:r>
            <w:proofErr w:type="spellStart"/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ça</w:t>
            </w:r>
            <w:r w:rsidR="00CC5CB5"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lıştay</w:t>
            </w:r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ı</w:t>
            </w:r>
            <w:proofErr w:type="spellEnd"/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 xml:space="preserve"> raporlarının hazırlanması</w:t>
            </w:r>
          </w:p>
        </w:tc>
      </w:tr>
      <w:tr w:rsidR="00EA4C6B" w:rsidRPr="00900F6A" w:rsidTr="007A716A">
        <w:tc>
          <w:tcPr>
            <w:tcW w:w="5575" w:type="dxa"/>
          </w:tcPr>
          <w:p w:rsidR="00EA4C6B" w:rsidRPr="00900F6A" w:rsidRDefault="00FD2A6C" w:rsidP="007A716A">
            <w:pPr>
              <w:rPr>
                <w:b/>
                <w:bCs/>
                <w:color w:val="000000" w:themeColor="text1"/>
                <w:sz w:val="22"/>
                <w:szCs w:val="20"/>
                <w:u w:val="single"/>
                <w:lang w:val="tr-TR"/>
              </w:rPr>
            </w:pPr>
            <w:r w:rsidRPr="00900F6A">
              <w:rPr>
                <w:b/>
                <w:bCs/>
                <w:color w:val="000000" w:themeColor="text1"/>
                <w:sz w:val="22"/>
                <w:szCs w:val="20"/>
                <w:u w:val="single"/>
                <w:lang w:val="tr-TR"/>
              </w:rPr>
              <w:t>5. İzleme ve değerlendirme faaliyetlerine destek sağlamak</w:t>
            </w:r>
          </w:p>
          <w:p w:rsidR="00FD2A6C" w:rsidRPr="00900F6A" w:rsidRDefault="00FD2A6C" w:rsidP="00FD2A6C">
            <w:pPr>
              <w:rPr>
                <w:bCs/>
                <w:color w:val="000000" w:themeColor="text1"/>
                <w:sz w:val="22"/>
                <w:szCs w:val="20"/>
                <w:lang w:val="tr-TR"/>
              </w:rPr>
            </w:pPr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5.1. İzleme ve Değerlendirmenin her aşamasında uzmanla işbirliği yapılması</w:t>
            </w:r>
          </w:p>
          <w:p w:rsidR="00FD2A6C" w:rsidRPr="00900F6A" w:rsidRDefault="00FD2A6C" w:rsidP="00FD2A6C">
            <w:pPr>
              <w:rPr>
                <w:bCs/>
                <w:color w:val="000000" w:themeColor="text1"/>
                <w:sz w:val="22"/>
                <w:szCs w:val="20"/>
                <w:lang w:val="tr-TR"/>
              </w:rPr>
            </w:pPr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5.2. Ulusal danışmanın görevleri çerçevesinde yürütülen ve tamamlanan çalışmaların takibinin yapılması. Bu takip kapsamında veriler ölçme ve değerlendirme uzmanı ile de paylaşılacaktır.</w:t>
            </w:r>
          </w:p>
          <w:p w:rsidR="00FD2A6C" w:rsidRPr="00900F6A" w:rsidRDefault="00FD2A6C" w:rsidP="00FD2A6C">
            <w:pPr>
              <w:rPr>
                <w:bCs/>
                <w:color w:val="000000" w:themeColor="text1"/>
                <w:sz w:val="22"/>
                <w:szCs w:val="20"/>
                <w:lang w:val="tr-TR"/>
              </w:rPr>
            </w:pPr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5.3. İzleme ve değerlendirme çalışmalarında alınan kararlarda proje yönetim birimine katkıda bulunmak</w:t>
            </w:r>
          </w:p>
        </w:tc>
        <w:tc>
          <w:tcPr>
            <w:tcW w:w="3441" w:type="dxa"/>
          </w:tcPr>
          <w:p w:rsidR="00EA4C6B" w:rsidRPr="00900F6A" w:rsidRDefault="002A327A" w:rsidP="00FD2A6C">
            <w:pPr>
              <w:rPr>
                <w:bCs/>
                <w:color w:val="000000" w:themeColor="text1"/>
                <w:sz w:val="22"/>
                <w:szCs w:val="20"/>
                <w:lang w:val="tr-TR"/>
              </w:rPr>
            </w:pPr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 xml:space="preserve">İlgili </w:t>
            </w:r>
            <w:r w:rsidR="00FD2A6C"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 xml:space="preserve">Danışman tarafından tamamlanan ve izlenen izleme ve </w:t>
            </w:r>
            <w:r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>değerlendirme çalışmalarının</w:t>
            </w:r>
            <w:r w:rsidR="00FD2A6C" w:rsidRPr="00900F6A">
              <w:rPr>
                <w:bCs/>
                <w:color w:val="000000" w:themeColor="text1"/>
                <w:sz w:val="22"/>
                <w:szCs w:val="20"/>
                <w:lang w:val="tr-TR"/>
              </w:rPr>
              <w:t xml:space="preserve"> raporu (Yılda iki kez hazırlanacak)</w:t>
            </w:r>
          </w:p>
        </w:tc>
      </w:tr>
    </w:tbl>
    <w:p w:rsidR="00EA4C6B" w:rsidRPr="00900F6A" w:rsidRDefault="00EA4C6B" w:rsidP="00EA4C6B">
      <w:pPr>
        <w:rPr>
          <w:bCs/>
          <w:color w:val="000000" w:themeColor="text1"/>
          <w:sz w:val="22"/>
          <w:szCs w:val="20"/>
          <w:lang w:val="tr-TR"/>
        </w:rPr>
      </w:pPr>
    </w:p>
    <w:p w:rsidR="00B8339D" w:rsidRPr="00900F6A" w:rsidRDefault="00B8339D" w:rsidP="00B8339D">
      <w:pPr>
        <w:spacing w:after="160" w:line="259" w:lineRule="auto"/>
        <w:jc w:val="both"/>
        <w:rPr>
          <w:bCs/>
          <w:color w:val="000000" w:themeColor="text1"/>
          <w:sz w:val="22"/>
          <w:szCs w:val="20"/>
          <w:lang w:val="tr-TR"/>
        </w:rPr>
      </w:pPr>
    </w:p>
    <w:p w:rsidR="00B8339D" w:rsidRPr="0038696A" w:rsidRDefault="00B8339D" w:rsidP="00B8339D">
      <w:pPr>
        <w:spacing w:after="160" w:line="259" w:lineRule="auto"/>
        <w:jc w:val="both"/>
        <w:rPr>
          <w:b/>
          <w:bCs/>
          <w:color w:val="000000" w:themeColor="text1"/>
          <w:sz w:val="22"/>
          <w:szCs w:val="20"/>
          <w:u w:val="single"/>
          <w:lang w:val="tr-TR"/>
        </w:rPr>
      </w:pPr>
      <w:r w:rsidRPr="0038696A">
        <w:rPr>
          <w:b/>
          <w:bCs/>
          <w:color w:val="000000" w:themeColor="text1"/>
          <w:sz w:val="22"/>
          <w:szCs w:val="20"/>
          <w:u w:val="single"/>
          <w:lang w:val="tr-TR"/>
        </w:rPr>
        <w:t>MİNİMUM GEREKLİLİKLER</w:t>
      </w:r>
    </w:p>
    <w:p w:rsidR="00B8339D" w:rsidRPr="00CC45EF" w:rsidRDefault="00B8339D" w:rsidP="00B8339D">
      <w:pPr>
        <w:spacing w:after="160" w:line="259" w:lineRule="auto"/>
        <w:jc w:val="both"/>
        <w:rPr>
          <w:bCs/>
          <w:color w:val="000000" w:themeColor="text1"/>
          <w:sz w:val="22"/>
          <w:szCs w:val="20"/>
          <w:lang w:val="tr-TR"/>
        </w:rPr>
      </w:pPr>
      <w:r w:rsidRPr="00CC45EF">
        <w:rPr>
          <w:b/>
          <w:bCs/>
          <w:color w:val="000000" w:themeColor="text1"/>
          <w:sz w:val="22"/>
          <w:szCs w:val="20"/>
          <w:lang w:val="tr-TR"/>
        </w:rPr>
        <w:t xml:space="preserve">Eğitim: </w:t>
      </w:r>
      <w:r w:rsidRPr="00CC45EF">
        <w:rPr>
          <w:bCs/>
          <w:color w:val="000000" w:themeColor="text1"/>
          <w:sz w:val="22"/>
          <w:szCs w:val="20"/>
          <w:lang w:val="tr-TR"/>
        </w:rPr>
        <w:t xml:space="preserve">Üniversitelerin ilgili mühendislik (kimya, çevre, inşaat, </w:t>
      </w:r>
      <w:r w:rsidR="0064692F" w:rsidRPr="00CC45EF">
        <w:rPr>
          <w:bCs/>
          <w:color w:val="000000" w:themeColor="text1"/>
          <w:sz w:val="22"/>
          <w:szCs w:val="20"/>
          <w:lang w:val="tr-TR"/>
        </w:rPr>
        <w:t>metalürji</w:t>
      </w:r>
      <w:r w:rsidRPr="00CC45EF">
        <w:rPr>
          <w:bCs/>
          <w:color w:val="000000" w:themeColor="text1"/>
          <w:sz w:val="22"/>
          <w:szCs w:val="20"/>
          <w:lang w:val="tr-TR"/>
        </w:rPr>
        <w:t xml:space="preserve"> ve malzeme</w:t>
      </w:r>
      <w:r>
        <w:rPr>
          <w:bCs/>
          <w:color w:val="000000" w:themeColor="text1"/>
          <w:sz w:val="22"/>
          <w:szCs w:val="20"/>
          <w:lang w:val="tr-TR"/>
        </w:rPr>
        <w:t>, endüstri vb</w:t>
      </w:r>
      <w:r w:rsidR="0064692F">
        <w:rPr>
          <w:bCs/>
          <w:color w:val="000000" w:themeColor="text1"/>
          <w:sz w:val="22"/>
          <w:szCs w:val="20"/>
          <w:lang w:val="tr-TR"/>
        </w:rPr>
        <w:t>.)</w:t>
      </w:r>
      <w:r w:rsidRPr="00CC45EF">
        <w:rPr>
          <w:bCs/>
          <w:color w:val="000000" w:themeColor="text1"/>
          <w:sz w:val="22"/>
          <w:szCs w:val="20"/>
          <w:lang w:val="tr-TR"/>
        </w:rPr>
        <w:t xml:space="preserve"> fakültelerinden lisans derecesine sahip olmak. </w:t>
      </w:r>
    </w:p>
    <w:p w:rsidR="00B8339D" w:rsidRPr="00B8339D" w:rsidRDefault="00B8339D" w:rsidP="00B8339D">
      <w:pPr>
        <w:jc w:val="both"/>
        <w:rPr>
          <w:bCs/>
          <w:color w:val="000000" w:themeColor="text1"/>
          <w:sz w:val="22"/>
          <w:szCs w:val="22"/>
          <w:lang w:val="tr-TR"/>
        </w:rPr>
      </w:pPr>
      <w:r w:rsidRPr="00CC45EF">
        <w:rPr>
          <w:b/>
          <w:bCs/>
          <w:color w:val="000000" w:themeColor="text1"/>
          <w:sz w:val="22"/>
          <w:szCs w:val="20"/>
          <w:lang w:val="tr-TR"/>
        </w:rPr>
        <w:t xml:space="preserve">Teknik Deneyim: </w:t>
      </w:r>
      <w:r w:rsidRPr="00B8339D">
        <w:rPr>
          <w:bCs/>
          <w:color w:val="000000" w:themeColor="text1"/>
          <w:sz w:val="22"/>
          <w:szCs w:val="22"/>
          <w:lang w:val="tr-TR"/>
        </w:rPr>
        <w:t xml:space="preserve">Tehlikeli atık ve/veya kimyasalların yönetimi ile ilgili uluslararası çevre projelerinin yürütülmesinde ve yönetiminde </w:t>
      </w:r>
      <w:r w:rsidR="000572F0">
        <w:rPr>
          <w:bCs/>
          <w:color w:val="000000" w:themeColor="text1"/>
          <w:sz w:val="22"/>
          <w:szCs w:val="22"/>
          <w:lang w:val="tr-TR"/>
        </w:rPr>
        <w:t>en az 5</w:t>
      </w:r>
      <w:r w:rsidRPr="00B8339D">
        <w:rPr>
          <w:bCs/>
          <w:color w:val="000000" w:themeColor="text1"/>
          <w:sz w:val="22"/>
          <w:szCs w:val="22"/>
          <w:lang w:val="tr-TR"/>
        </w:rPr>
        <w:t xml:space="preserve"> yıllık bilgi ve profesyonel deneyim, </w:t>
      </w:r>
      <w:r w:rsidR="00E700DA">
        <w:rPr>
          <w:bCs/>
          <w:color w:val="000000" w:themeColor="text1"/>
          <w:sz w:val="22"/>
          <w:szCs w:val="22"/>
          <w:lang w:val="tr-TR"/>
        </w:rPr>
        <w:t xml:space="preserve">konuya ilişkin </w:t>
      </w:r>
      <w:r w:rsidRPr="00B8339D">
        <w:rPr>
          <w:bCs/>
          <w:color w:val="000000" w:themeColor="text1"/>
          <w:sz w:val="22"/>
          <w:szCs w:val="22"/>
          <w:lang w:val="tr-TR"/>
        </w:rPr>
        <w:t xml:space="preserve">kurumsal, teknik ve </w:t>
      </w:r>
      <w:r w:rsidR="0064692F">
        <w:rPr>
          <w:bCs/>
          <w:color w:val="000000" w:themeColor="text1"/>
          <w:sz w:val="22"/>
          <w:szCs w:val="22"/>
          <w:lang w:val="tr-TR"/>
        </w:rPr>
        <w:t>sahada</w:t>
      </w:r>
      <w:r w:rsidR="006A099C">
        <w:rPr>
          <w:bCs/>
          <w:color w:val="000000" w:themeColor="text1"/>
          <w:sz w:val="22"/>
          <w:szCs w:val="22"/>
          <w:lang w:val="tr-TR"/>
        </w:rPr>
        <w:t xml:space="preserve"> deneyim</w:t>
      </w:r>
      <w:r w:rsidR="00E700DA">
        <w:rPr>
          <w:bCs/>
          <w:color w:val="000000" w:themeColor="text1"/>
          <w:sz w:val="22"/>
          <w:szCs w:val="22"/>
          <w:lang w:val="tr-TR"/>
        </w:rPr>
        <w:t>li olmak.</w:t>
      </w:r>
      <w:r w:rsidRPr="00B8339D">
        <w:rPr>
          <w:bCs/>
          <w:color w:val="000000" w:themeColor="text1"/>
          <w:sz w:val="22"/>
          <w:szCs w:val="22"/>
          <w:lang w:val="tr-TR"/>
        </w:rPr>
        <w:t xml:space="preserve"> Türkiye'de </w:t>
      </w:r>
      <w:proofErr w:type="spellStart"/>
      <w:r w:rsidRPr="00B8339D">
        <w:rPr>
          <w:bCs/>
          <w:color w:val="000000" w:themeColor="text1"/>
          <w:sz w:val="22"/>
          <w:szCs w:val="22"/>
          <w:lang w:val="tr-TR"/>
        </w:rPr>
        <w:t>polisitiren</w:t>
      </w:r>
      <w:proofErr w:type="spellEnd"/>
      <w:r w:rsidRPr="00B8339D">
        <w:rPr>
          <w:bCs/>
          <w:color w:val="000000" w:themeColor="text1"/>
          <w:sz w:val="22"/>
          <w:szCs w:val="22"/>
          <w:lang w:val="tr-TR"/>
        </w:rPr>
        <w:t xml:space="preserve"> köpük endüstrisi hakkında sanayi bilgi sahibi olmak. Türkiye'de Küresel Çevre Fonu (GEF) tarafından finanse edilen Projelerin proje döngüsü boyunca uygulanmasıyla ilgili doğrudan deneyim olumlu değerlendirilecektir.</w:t>
      </w:r>
    </w:p>
    <w:p w:rsidR="00B8339D" w:rsidRPr="00CC45EF" w:rsidRDefault="00B8339D" w:rsidP="00B8339D">
      <w:pPr>
        <w:spacing w:after="160" w:line="259" w:lineRule="auto"/>
        <w:jc w:val="both"/>
        <w:rPr>
          <w:bCs/>
          <w:color w:val="000000" w:themeColor="text1"/>
          <w:sz w:val="22"/>
          <w:szCs w:val="20"/>
          <w:lang w:val="tr-TR"/>
        </w:rPr>
      </w:pPr>
      <w:r w:rsidRPr="00CC45EF">
        <w:rPr>
          <w:bCs/>
          <w:color w:val="000000" w:themeColor="text1"/>
          <w:sz w:val="22"/>
          <w:szCs w:val="20"/>
          <w:lang w:val="tr-TR"/>
        </w:rPr>
        <w:t xml:space="preserve">İyi derecede kişilerarası ve iletişim becerilerine sahip olmak. </w:t>
      </w:r>
    </w:p>
    <w:p w:rsidR="00B8339D" w:rsidRDefault="00B8339D" w:rsidP="00B8339D">
      <w:pPr>
        <w:spacing w:after="160" w:line="259" w:lineRule="auto"/>
        <w:jc w:val="both"/>
        <w:rPr>
          <w:bCs/>
          <w:color w:val="000000" w:themeColor="text1"/>
          <w:sz w:val="22"/>
          <w:szCs w:val="20"/>
          <w:lang w:val="tr-TR"/>
        </w:rPr>
      </w:pPr>
      <w:r w:rsidRPr="00CC45EF">
        <w:rPr>
          <w:b/>
          <w:bCs/>
          <w:color w:val="000000" w:themeColor="text1"/>
          <w:sz w:val="22"/>
          <w:szCs w:val="20"/>
          <w:lang w:val="tr-TR"/>
        </w:rPr>
        <w:lastRenderedPageBreak/>
        <w:t xml:space="preserve">Dil: </w:t>
      </w:r>
      <w:r w:rsidRPr="00CC45EF">
        <w:rPr>
          <w:bCs/>
          <w:color w:val="000000" w:themeColor="text1"/>
          <w:sz w:val="22"/>
          <w:szCs w:val="20"/>
          <w:lang w:val="tr-TR"/>
        </w:rPr>
        <w:t>İngilizce bilgisini göstermek üzere KPDS/YDS ve bunun uluslararası eşdeğeri olan sınavlardan en az B seviyesi üzeri puan almış olmak ve akıcı bir şekilde İngilizce konuşmak</w:t>
      </w:r>
      <w:r w:rsidR="0087160C">
        <w:rPr>
          <w:bCs/>
          <w:color w:val="000000" w:themeColor="text1"/>
          <w:sz w:val="22"/>
          <w:szCs w:val="20"/>
          <w:lang w:val="tr-TR"/>
        </w:rPr>
        <w:t xml:space="preserve"> ve yazmak</w:t>
      </w:r>
      <w:r w:rsidRPr="00CC45EF">
        <w:rPr>
          <w:bCs/>
          <w:color w:val="000000" w:themeColor="text1"/>
          <w:sz w:val="22"/>
          <w:szCs w:val="20"/>
          <w:lang w:val="tr-TR"/>
        </w:rPr>
        <w:t xml:space="preserve">. </w:t>
      </w:r>
    </w:p>
    <w:p w:rsidR="0064692F" w:rsidRDefault="0064692F" w:rsidP="00B8339D">
      <w:pPr>
        <w:spacing w:line="0" w:lineRule="atLeast"/>
        <w:jc w:val="both"/>
        <w:rPr>
          <w:bCs/>
          <w:color w:val="000000" w:themeColor="text1"/>
          <w:sz w:val="22"/>
          <w:szCs w:val="20"/>
          <w:lang w:val="tr-TR"/>
        </w:rPr>
      </w:pPr>
    </w:p>
    <w:p w:rsidR="00B8339D" w:rsidRPr="00CF308A" w:rsidRDefault="00B8339D" w:rsidP="00B8339D">
      <w:pPr>
        <w:spacing w:line="0" w:lineRule="atLeast"/>
        <w:jc w:val="both"/>
        <w:rPr>
          <w:rFonts w:eastAsia="Times New Roman"/>
          <w:b/>
          <w:sz w:val="22"/>
          <w:szCs w:val="22"/>
          <w:u w:val="single"/>
        </w:rPr>
      </w:pPr>
      <w:r w:rsidRPr="00CF308A">
        <w:rPr>
          <w:rFonts w:eastAsia="Times New Roman"/>
          <w:b/>
          <w:sz w:val="22"/>
          <w:szCs w:val="22"/>
          <w:u w:val="single"/>
        </w:rPr>
        <w:t>BAŞVURU YÖNTEMİ</w:t>
      </w:r>
    </w:p>
    <w:p w:rsidR="00B8339D" w:rsidRPr="00F3253E" w:rsidRDefault="00B8339D" w:rsidP="00B8339D">
      <w:pPr>
        <w:spacing w:line="283" w:lineRule="exact"/>
        <w:jc w:val="both"/>
        <w:rPr>
          <w:rFonts w:eastAsia="Times New Roman"/>
          <w:sz w:val="22"/>
          <w:szCs w:val="22"/>
        </w:rPr>
      </w:pPr>
    </w:p>
    <w:p w:rsidR="00B8339D" w:rsidRPr="00A416C3" w:rsidRDefault="00B8339D" w:rsidP="00B8339D">
      <w:pPr>
        <w:spacing w:line="237" w:lineRule="auto"/>
        <w:ind w:left="4"/>
        <w:jc w:val="both"/>
        <w:rPr>
          <w:rFonts w:eastAsia="Times New Roman"/>
          <w:sz w:val="22"/>
          <w:szCs w:val="22"/>
          <w:lang w:val="tr-TR"/>
        </w:rPr>
      </w:pPr>
      <w:proofErr w:type="gramStart"/>
      <w:r w:rsidRPr="00A416C3">
        <w:rPr>
          <w:rFonts w:eastAsia="Times New Roman"/>
          <w:sz w:val="22"/>
          <w:szCs w:val="22"/>
          <w:lang w:val="tr-TR"/>
        </w:rPr>
        <w:t xml:space="preserve">Başvurular, adayların Türkçe ve İngilizce </w:t>
      </w:r>
      <w:proofErr w:type="spellStart"/>
      <w:r w:rsidRPr="00A416C3">
        <w:rPr>
          <w:rFonts w:eastAsia="Times New Roman"/>
          <w:sz w:val="22"/>
          <w:szCs w:val="22"/>
          <w:lang w:val="tr-TR"/>
        </w:rPr>
        <w:t>CV’leri</w:t>
      </w:r>
      <w:proofErr w:type="spellEnd"/>
      <w:r w:rsidRPr="00A416C3">
        <w:rPr>
          <w:rFonts w:eastAsia="Times New Roman"/>
          <w:sz w:val="22"/>
          <w:szCs w:val="22"/>
          <w:lang w:val="tr-TR"/>
        </w:rPr>
        <w:t xml:space="preserve"> ile birlikte İngilizce dilinde,  başvurma iradesini içerir nitelikte h</w:t>
      </w:r>
      <w:r w:rsidR="00BE5A7E">
        <w:rPr>
          <w:rFonts w:eastAsia="Times New Roman"/>
          <w:sz w:val="22"/>
          <w:szCs w:val="22"/>
          <w:lang w:val="tr-TR"/>
        </w:rPr>
        <w:t>azırlanacak elektronik posta ve</w:t>
      </w:r>
      <w:r w:rsidRPr="00A416C3">
        <w:rPr>
          <w:rFonts w:eastAsia="Times New Roman"/>
          <w:sz w:val="22"/>
          <w:szCs w:val="22"/>
          <w:lang w:val="tr-TR"/>
        </w:rPr>
        <w:t xml:space="preserve"> </w:t>
      </w:r>
      <w:r w:rsidR="00BE5A7E">
        <w:rPr>
          <w:rFonts w:eastAsia="Times New Roman"/>
          <w:sz w:val="22"/>
          <w:szCs w:val="22"/>
          <w:lang w:val="tr-TR"/>
        </w:rPr>
        <w:t>diploma, daha önceki</w:t>
      </w:r>
      <w:r w:rsidR="005862B2">
        <w:rPr>
          <w:rFonts w:eastAsia="Times New Roman"/>
          <w:sz w:val="22"/>
          <w:szCs w:val="22"/>
          <w:lang w:val="tr-TR"/>
        </w:rPr>
        <w:t xml:space="preserve"> çalışma konuları, projeleri, saha ve </w:t>
      </w:r>
      <w:r w:rsidR="00BE5A7E">
        <w:rPr>
          <w:rFonts w:eastAsia="Times New Roman"/>
          <w:sz w:val="22"/>
          <w:szCs w:val="22"/>
          <w:lang w:val="tr-TR"/>
        </w:rPr>
        <w:t>iş deneyimlerini ortaya koyan belge</w:t>
      </w:r>
      <w:r w:rsidR="000572F0">
        <w:rPr>
          <w:rFonts w:eastAsia="Times New Roman"/>
          <w:sz w:val="22"/>
          <w:szCs w:val="22"/>
          <w:lang w:val="tr-TR"/>
        </w:rPr>
        <w:t>ler</w:t>
      </w:r>
      <w:r w:rsidR="00BE5A7E">
        <w:rPr>
          <w:rFonts w:eastAsia="Times New Roman"/>
          <w:sz w:val="22"/>
          <w:szCs w:val="22"/>
          <w:lang w:val="tr-TR"/>
        </w:rPr>
        <w:t xml:space="preserve"> ve yabancı dil belgesi</w:t>
      </w:r>
      <w:r w:rsidR="002D2437">
        <w:rPr>
          <w:rFonts w:eastAsia="Times New Roman"/>
          <w:sz w:val="22"/>
          <w:szCs w:val="22"/>
          <w:lang w:val="tr-TR"/>
        </w:rPr>
        <w:t xml:space="preserve"> ile</w:t>
      </w:r>
      <w:r w:rsidR="00BE5A7E">
        <w:rPr>
          <w:rFonts w:eastAsia="Times New Roman"/>
          <w:sz w:val="22"/>
          <w:szCs w:val="22"/>
          <w:lang w:val="tr-TR"/>
        </w:rPr>
        <w:t xml:space="preserve"> birlikte </w:t>
      </w:r>
      <w:r w:rsidRPr="00A416C3">
        <w:rPr>
          <w:rFonts w:eastAsia="Times New Roman"/>
          <w:sz w:val="22"/>
          <w:szCs w:val="22"/>
          <w:lang w:val="tr-TR"/>
        </w:rPr>
        <w:t>Genel Müdürlüğün Kimyasallar Yönetimi Dairesi Başkanlığının</w:t>
      </w:r>
      <w:r>
        <w:rPr>
          <w:rFonts w:eastAsia="Times New Roman"/>
          <w:sz w:val="22"/>
          <w:szCs w:val="22"/>
          <w:lang w:val="tr-TR"/>
        </w:rPr>
        <w:t xml:space="preserve"> e-posta adresine </w:t>
      </w:r>
      <w:hyperlink r:id="rId7" w:history="1">
        <w:r w:rsidRPr="00EA0101">
          <w:rPr>
            <w:rStyle w:val="Kpr"/>
            <w:rFonts w:eastAsia="Times New Roman"/>
            <w:sz w:val="22"/>
            <w:szCs w:val="22"/>
            <w:lang w:val="tr-TR"/>
          </w:rPr>
          <w:t xml:space="preserve">(oky@csb.gov.tr) </w:t>
        </w:r>
      </w:hyperlink>
      <w:r w:rsidRPr="00A416C3">
        <w:rPr>
          <w:rFonts w:eastAsia="Times New Roman"/>
          <w:sz w:val="22"/>
          <w:szCs w:val="22"/>
          <w:lang w:val="tr-TR"/>
        </w:rPr>
        <w:t xml:space="preserve"> gönderilmesi şeklinde yapılacaktır. </w:t>
      </w:r>
      <w:proofErr w:type="gramEnd"/>
    </w:p>
    <w:p w:rsidR="00B8339D" w:rsidRPr="00A416C3" w:rsidRDefault="00B8339D" w:rsidP="00B8339D">
      <w:pPr>
        <w:spacing w:line="359" w:lineRule="exact"/>
        <w:jc w:val="both"/>
        <w:rPr>
          <w:rFonts w:eastAsia="Times New Roman"/>
          <w:sz w:val="22"/>
          <w:szCs w:val="22"/>
          <w:lang w:val="tr-TR"/>
        </w:rPr>
      </w:pPr>
    </w:p>
    <w:p w:rsidR="00B8339D" w:rsidRPr="00A416C3" w:rsidRDefault="00B8339D" w:rsidP="00B8339D">
      <w:pPr>
        <w:spacing w:line="0" w:lineRule="atLeast"/>
        <w:jc w:val="both"/>
        <w:rPr>
          <w:rFonts w:eastAsia="Times New Roman"/>
          <w:b/>
          <w:sz w:val="22"/>
          <w:szCs w:val="22"/>
          <w:u w:val="single"/>
          <w:lang w:val="tr-TR"/>
        </w:rPr>
      </w:pPr>
      <w:r w:rsidRPr="00A416C3">
        <w:rPr>
          <w:rFonts w:eastAsia="Times New Roman"/>
          <w:b/>
          <w:sz w:val="22"/>
          <w:szCs w:val="22"/>
          <w:u w:val="single"/>
          <w:lang w:val="tr-TR"/>
        </w:rPr>
        <w:t>DEĞERLENDİRME SÜRECİ</w:t>
      </w:r>
      <w:r>
        <w:rPr>
          <w:rFonts w:eastAsia="Times New Roman"/>
          <w:b/>
          <w:sz w:val="22"/>
          <w:szCs w:val="22"/>
          <w:u w:val="single"/>
          <w:lang w:val="tr-TR"/>
        </w:rPr>
        <w:t xml:space="preserve"> </w:t>
      </w:r>
    </w:p>
    <w:p w:rsidR="00B8339D" w:rsidRPr="00A416C3" w:rsidRDefault="00B8339D" w:rsidP="00B8339D">
      <w:pPr>
        <w:widowControl w:val="0"/>
        <w:shd w:val="clear" w:color="auto" w:fill="FFFFFF"/>
        <w:autoSpaceDE w:val="0"/>
        <w:autoSpaceDN w:val="0"/>
        <w:adjustRightInd w:val="0"/>
        <w:spacing w:before="274" w:line="274" w:lineRule="exact"/>
        <w:jc w:val="both"/>
        <w:rPr>
          <w:rFonts w:ascii="Times Roman" w:eastAsia="Times New Roman" w:hAnsi="Times Roman"/>
          <w:sz w:val="22"/>
          <w:szCs w:val="22"/>
          <w:lang w:val="tr-TR"/>
        </w:rPr>
      </w:pPr>
      <w:r w:rsidRPr="00A416C3">
        <w:rPr>
          <w:rFonts w:ascii="Times Roman" w:eastAsia="Times New Roman" w:hAnsi="Times Roman"/>
          <w:sz w:val="22"/>
          <w:szCs w:val="22"/>
          <w:lang w:val="tr-TR"/>
        </w:rPr>
        <w:t>Ön de</w:t>
      </w:r>
      <w:r w:rsidRPr="00A416C3">
        <w:rPr>
          <w:rFonts w:eastAsia="Times New Roman"/>
          <w:sz w:val="22"/>
          <w:szCs w:val="22"/>
          <w:lang w:val="tr-TR"/>
        </w:rPr>
        <w:t>ğ</w:t>
      </w:r>
      <w:r w:rsidRPr="00A416C3">
        <w:rPr>
          <w:rFonts w:ascii="Times Roman" w:eastAsia="Times New Roman" w:hAnsi="Times Roman"/>
          <w:sz w:val="22"/>
          <w:szCs w:val="22"/>
          <w:lang w:val="tr-TR"/>
        </w:rPr>
        <w:t>erlendirme s</w:t>
      </w:r>
      <w:r w:rsidRPr="00A416C3">
        <w:rPr>
          <w:rFonts w:ascii="Times Roman" w:eastAsia="Times New Roman" w:hAnsi="Times Roman" w:cs="Times Roman"/>
          <w:sz w:val="22"/>
          <w:szCs w:val="22"/>
          <w:lang w:val="tr-TR"/>
        </w:rPr>
        <w:t>ü</w:t>
      </w:r>
      <w:r w:rsidRPr="00A416C3">
        <w:rPr>
          <w:rFonts w:ascii="Times Roman" w:eastAsia="Times New Roman" w:hAnsi="Times Roman"/>
          <w:sz w:val="22"/>
          <w:szCs w:val="22"/>
          <w:lang w:val="tr-TR"/>
        </w:rPr>
        <w:t>recini takiben, ilk etapta ihtiya</w:t>
      </w:r>
      <w:r w:rsidRPr="00A416C3">
        <w:rPr>
          <w:rFonts w:ascii="Times Roman" w:eastAsia="Times New Roman" w:hAnsi="Times Roman" w:cs="Times Roman"/>
          <w:sz w:val="22"/>
          <w:szCs w:val="22"/>
          <w:lang w:val="tr-TR"/>
        </w:rPr>
        <w:t>ç</w:t>
      </w:r>
      <w:r w:rsidRPr="00A416C3">
        <w:rPr>
          <w:rFonts w:ascii="Times Roman" w:eastAsia="Times New Roman" w:hAnsi="Times Roman"/>
          <w:sz w:val="22"/>
          <w:szCs w:val="22"/>
          <w:lang w:val="tr-TR"/>
        </w:rPr>
        <w:t xml:space="preserve"> duyulan pozisyonlar i</w:t>
      </w:r>
      <w:r w:rsidRPr="00A416C3">
        <w:rPr>
          <w:rFonts w:ascii="Times Roman" w:eastAsia="Times New Roman" w:hAnsi="Times Roman" w:cs="Times Roman"/>
          <w:sz w:val="22"/>
          <w:szCs w:val="22"/>
          <w:lang w:val="tr-TR"/>
        </w:rPr>
        <w:t>ç</w:t>
      </w:r>
      <w:r w:rsidRPr="00A416C3">
        <w:rPr>
          <w:rFonts w:ascii="Times Roman" w:eastAsia="Times New Roman" w:hAnsi="Times Roman"/>
          <w:sz w:val="22"/>
          <w:szCs w:val="22"/>
          <w:lang w:val="tr-TR"/>
        </w:rPr>
        <w:t xml:space="preserve">in uygun bulunan adaylar </w:t>
      </w:r>
      <w:r w:rsidR="000572F0">
        <w:rPr>
          <w:rFonts w:eastAsia="Times New Roman"/>
          <w:b/>
          <w:sz w:val="22"/>
          <w:szCs w:val="22"/>
          <w:lang w:val="tr-TR"/>
        </w:rPr>
        <w:t>Şubat</w:t>
      </w:r>
      <w:r w:rsidRPr="00A416C3">
        <w:rPr>
          <w:rFonts w:eastAsia="Times New Roman"/>
          <w:b/>
          <w:sz w:val="22"/>
          <w:szCs w:val="22"/>
          <w:lang w:val="tr-TR"/>
        </w:rPr>
        <w:t xml:space="preserve"> 2</w:t>
      </w:r>
      <w:r w:rsidRPr="00A416C3">
        <w:rPr>
          <w:rFonts w:ascii="Times Roman" w:eastAsia="Times New Roman" w:hAnsi="Times Roman"/>
          <w:b/>
          <w:sz w:val="22"/>
          <w:szCs w:val="22"/>
          <w:lang w:val="tr-TR"/>
        </w:rPr>
        <w:t>022</w:t>
      </w:r>
      <w:r w:rsidRPr="00A416C3">
        <w:rPr>
          <w:rFonts w:ascii="Times Roman" w:eastAsia="Times New Roman" w:hAnsi="Times Roman"/>
          <w:sz w:val="22"/>
          <w:szCs w:val="22"/>
          <w:lang w:val="tr-TR"/>
        </w:rPr>
        <w:t xml:space="preserve"> i</w:t>
      </w:r>
      <w:r w:rsidRPr="00A416C3">
        <w:rPr>
          <w:rFonts w:ascii="Times Roman" w:eastAsia="Times New Roman" w:hAnsi="Times Roman" w:cs="Times Roman"/>
          <w:sz w:val="22"/>
          <w:szCs w:val="22"/>
          <w:lang w:val="tr-TR"/>
        </w:rPr>
        <w:t>ç</w:t>
      </w:r>
      <w:r w:rsidRPr="00A416C3">
        <w:rPr>
          <w:rFonts w:ascii="Times Roman" w:eastAsia="Times New Roman" w:hAnsi="Times Roman"/>
          <w:sz w:val="22"/>
          <w:szCs w:val="22"/>
          <w:lang w:val="tr-TR"/>
        </w:rPr>
        <w:t>erisinde m</w:t>
      </w:r>
      <w:r w:rsidRPr="00A416C3">
        <w:rPr>
          <w:rFonts w:ascii="Times Roman" w:eastAsia="Times New Roman" w:hAnsi="Times Roman" w:cs="Times Roman"/>
          <w:sz w:val="22"/>
          <w:szCs w:val="22"/>
          <w:lang w:val="tr-TR"/>
        </w:rPr>
        <w:t>ü</w:t>
      </w:r>
      <w:r w:rsidRPr="00A416C3">
        <w:rPr>
          <w:rFonts w:ascii="Times Roman" w:eastAsia="Times New Roman" w:hAnsi="Times Roman"/>
          <w:sz w:val="22"/>
          <w:szCs w:val="22"/>
          <w:lang w:val="tr-TR"/>
        </w:rPr>
        <w:t xml:space="preserve">lakata </w:t>
      </w:r>
      <w:r w:rsidRPr="00A416C3">
        <w:rPr>
          <w:rFonts w:ascii="Times Roman" w:eastAsia="Times New Roman" w:hAnsi="Times Roman" w:cs="Times Roman"/>
          <w:sz w:val="22"/>
          <w:szCs w:val="22"/>
          <w:lang w:val="tr-TR"/>
        </w:rPr>
        <w:t>ç</w:t>
      </w:r>
      <w:r w:rsidRPr="00A416C3">
        <w:rPr>
          <w:rFonts w:ascii="Times Roman" w:eastAsia="Times New Roman" w:hAnsi="Times Roman"/>
          <w:sz w:val="22"/>
          <w:szCs w:val="22"/>
          <w:lang w:val="tr-TR"/>
        </w:rPr>
        <w:t>a</w:t>
      </w:r>
      <w:r w:rsidRPr="00A416C3">
        <w:rPr>
          <w:rFonts w:eastAsia="Times New Roman"/>
          <w:sz w:val="22"/>
          <w:szCs w:val="22"/>
          <w:lang w:val="tr-TR"/>
        </w:rPr>
        <w:t>ğı</w:t>
      </w:r>
      <w:r w:rsidRPr="00A416C3">
        <w:rPr>
          <w:rFonts w:ascii="Times Roman" w:eastAsia="Times New Roman" w:hAnsi="Times Roman"/>
          <w:sz w:val="22"/>
          <w:szCs w:val="22"/>
          <w:lang w:val="tr-TR"/>
        </w:rPr>
        <w:t>r</w:t>
      </w:r>
      <w:r w:rsidRPr="00A416C3">
        <w:rPr>
          <w:rFonts w:eastAsia="Times New Roman"/>
          <w:sz w:val="22"/>
          <w:szCs w:val="22"/>
          <w:lang w:val="tr-TR"/>
        </w:rPr>
        <w:t>ı</w:t>
      </w:r>
      <w:r w:rsidRPr="00A416C3">
        <w:rPr>
          <w:rFonts w:ascii="Times Roman" w:eastAsia="Times New Roman" w:hAnsi="Times Roman"/>
          <w:sz w:val="22"/>
          <w:szCs w:val="22"/>
          <w:lang w:val="tr-TR"/>
        </w:rPr>
        <w:t>lacaklard</w:t>
      </w:r>
      <w:r w:rsidRPr="00A416C3">
        <w:rPr>
          <w:rFonts w:eastAsia="Times New Roman"/>
          <w:sz w:val="22"/>
          <w:szCs w:val="22"/>
          <w:lang w:val="tr-TR"/>
        </w:rPr>
        <w:t>ı</w:t>
      </w:r>
      <w:r w:rsidRPr="00A416C3">
        <w:rPr>
          <w:rFonts w:ascii="Times Roman" w:eastAsia="Times New Roman" w:hAnsi="Times Roman"/>
          <w:sz w:val="22"/>
          <w:szCs w:val="22"/>
          <w:lang w:val="tr-TR"/>
        </w:rPr>
        <w:t>r.</w:t>
      </w:r>
      <w:r w:rsidR="007C4F6D">
        <w:rPr>
          <w:rFonts w:ascii="Times Roman" w:eastAsia="Times New Roman" w:hAnsi="Times Roman"/>
          <w:sz w:val="22"/>
          <w:szCs w:val="22"/>
          <w:lang w:val="tr-TR"/>
        </w:rPr>
        <w:t xml:space="preserve"> </w:t>
      </w:r>
      <w:r w:rsidRPr="00A416C3">
        <w:rPr>
          <w:rFonts w:ascii="Times Roman" w:eastAsia="Times New Roman" w:hAnsi="Times Roman"/>
          <w:sz w:val="22"/>
          <w:szCs w:val="22"/>
          <w:lang w:val="tr-TR"/>
        </w:rPr>
        <w:t xml:space="preserve"> Bakanl</w:t>
      </w:r>
      <w:r w:rsidRPr="00A416C3">
        <w:rPr>
          <w:rFonts w:eastAsia="Times New Roman"/>
          <w:sz w:val="22"/>
          <w:szCs w:val="22"/>
          <w:lang w:val="tr-TR"/>
        </w:rPr>
        <w:t>ığı</w:t>
      </w:r>
      <w:r w:rsidRPr="00A416C3">
        <w:rPr>
          <w:rFonts w:ascii="Times Roman" w:eastAsia="Times New Roman" w:hAnsi="Times Roman"/>
          <w:sz w:val="22"/>
          <w:szCs w:val="22"/>
          <w:lang w:val="tr-TR"/>
        </w:rPr>
        <w:t>m</w:t>
      </w:r>
      <w:r w:rsidRPr="00A416C3">
        <w:rPr>
          <w:rFonts w:eastAsia="Times New Roman"/>
          <w:sz w:val="22"/>
          <w:szCs w:val="22"/>
          <w:lang w:val="tr-TR"/>
        </w:rPr>
        <w:t>ı</w:t>
      </w:r>
      <w:r w:rsidRPr="00A416C3">
        <w:rPr>
          <w:rFonts w:ascii="Times Roman" w:eastAsia="Times New Roman" w:hAnsi="Times Roman"/>
          <w:sz w:val="22"/>
          <w:szCs w:val="22"/>
          <w:lang w:val="tr-TR"/>
        </w:rPr>
        <w:t>z temsilcilerinin kat</w:t>
      </w:r>
      <w:r w:rsidRPr="00A416C3">
        <w:rPr>
          <w:rFonts w:eastAsia="Times New Roman"/>
          <w:sz w:val="22"/>
          <w:szCs w:val="22"/>
          <w:lang w:val="tr-TR"/>
        </w:rPr>
        <w:t>ı</w:t>
      </w:r>
      <w:r w:rsidRPr="00A416C3">
        <w:rPr>
          <w:rFonts w:ascii="Times Roman" w:eastAsia="Times New Roman" w:hAnsi="Times Roman"/>
          <w:sz w:val="22"/>
          <w:szCs w:val="22"/>
          <w:lang w:val="tr-TR"/>
        </w:rPr>
        <w:t>l</w:t>
      </w:r>
      <w:r w:rsidRPr="00A416C3">
        <w:rPr>
          <w:rFonts w:eastAsia="Times New Roman"/>
          <w:sz w:val="22"/>
          <w:szCs w:val="22"/>
          <w:lang w:val="tr-TR"/>
        </w:rPr>
        <w:t>ı</w:t>
      </w:r>
      <w:r w:rsidRPr="00A416C3">
        <w:rPr>
          <w:rFonts w:ascii="Times Roman" w:eastAsia="Times New Roman" w:hAnsi="Times Roman"/>
          <w:sz w:val="22"/>
          <w:szCs w:val="22"/>
          <w:lang w:val="tr-TR"/>
        </w:rPr>
        <w:t>m</w:t>
      </w:r>
      <w:r w:rsidRPr="00A416C3">
        <w:rPr>
          <w:rFonts w:eastAsia="Times New Roman"/>
          <w:sz w:val="22"/>
          <w:szCs w:val="22"/>
          <w:lang w:val="tr-TR"/>
        </w:rPr>
        <w:t>ı</w:t>
      </w:r>
      <w:r w:rsidRPr="00A416C3">
        <w:rPr>
          <w:rFonts w:ascii="Times Roman" w:eastAsia="Times New Roman" w:hAnsi="Times Roman"/>
          <w:sz w:val="22"/>
          <w:szCs w:val="22"/>
          <w:lang w:val="tr-TR"/>
        </w:rPr>
        <w:t xml:space="preserve"> ile Türkçe ve </w:t>
      </w:r>
      <w:r w:rsidRPr="00A416C3">
        <w:rPr>
          <w:rFonts w:eastAsia="Times New Roman"/>
          <w:sz w:val="22"/>
          <w:szCs w:val="22"/>
          <w:lang w:val="tr-TR"/>
        </w:rPr>
        <w:t>İ</w:t>
      </w:r>
      <w:r w:rsidRPr="00A416C3">
        <w:rPr>
          <w:rFonts w:ascii="Times Roman" w:eastAsia="Times New Roman" w:hAnsi="Times Roman"/>
          <w:sz w:val="22"/>
          <w:szCs w:val="22"/>
          <w:lang w:val="tr-TR"/>
        </w:rPr>
        <w:t>ngilizce dilinde ger</w:t>
      </w:r>
      <w:r w:rsidRPr="00A416C3">
        <w:rPr>
          <w:rFonts w:ascii="Times Roman" w:eastAsia="Times New Roman" w:hAnsi="Times Roman" w:cs="Times Roman"/>
          <w:sz w:val="22"/>
          <w:szCs w:val="22"/>
          <w:lang w:val="tr-TR"/>
        </w:rPr>
        <w:t>ç</w:t>
      </w:r>
      <w:r w:rsidRPr="00A416C3">
        <w:rPr>
          <w:rFonts w:ascii="Times Roman" w:eastAsia="Times New Roman" w:hAnsi="Times Roman"/>
          <w:sz w:val="22"/>
          <w:szCs w:val="22"/>
          <w:lang w:val="tr-TR"/>
        </w:rPr>
        <w:t>ekle</w:t>
      </w:r>
      <w:r w:rsidRPr="00A416C3">
        <w:rPr>
          <w:rFonts w:eastAsia="Times New Roman"/>
          <w:sz w:val="22"/>
          <w:szCs w:val="22"/>
          <w:lang w:val="tr-TR"/>
        </w:rPr>
        <w:t>ş</w:t>
      </w:r>
      <w:r w:rsidRPr="00A416C3">
        <w:rPr>
          <w:rFonts w:ascii="Times Roman" w:eastAsia="Times New Roman" w:hAnsi="Times Roman"/>
          <w:sz w:val="22"/>
          <w:szCs w:val="22"/>
          <w:lang w:val="tr-TR"/>
        </w:rPr>
        <w:t>tirilecek m</w:t>
      </w:r>
      <w:r w:rsidRPr="00A416C3">
        <w:rPr>
          <w:rFonts w:ascii="Times Roman" w:eastAsia="Times New Roman" w:hAnsi="Times Roman" w:cs="Times Roman"/>
          <w:sz w:val="22"/>
          <w:szCs w:val="22"/>
          <w:lang w:val="tr-TR"/>
        </w:rPr>
        <w:t>ü</w:t>
      </w:r>
      <w:r w:rsidRPr="00A416C3">
        <w:rPr>
          <w:rFonts w:ascii="Times Roman" w:eastAsia="Times New Roman" w:hAnsi="Times Roman"/>
          <w:sz w:val="22"/>
          <w:szCs w:val="22"/>
          <w:lang w:val="tr-TR"/>
        </w:rPr>
        <w:t>lakat ve de</w:t>
      </w:r>
      <w:r w:rsidRPr="00A416C3">
        <w:rPr>
          <w:rFonts w:eastAsia="Times New Roman"/>
          <w:sz w:val="22"/>
          <w:szCs w:val="22"/>
          <w:lang w:val="tr-TR"/>
        </w:rPr>
        <w:t>ğ</w:t>
      </w:r>
      <w:r w:rsidRPr="00A416C3">
        <w:rPr>
          <w:rFonts w:ascii="Times Roman" w:eastAsia="Times New Roman" w:hAnsi="Times Roman"/>
          <w:sz w:val="22"/>
          <w:szCs w:val="22"/>
          <w:lang w:val="tr-TR"/>
        </w:rPr>
        <w:t>erlendirme süreci sonucunda ba</w:t>
      </w:r>
      <w:r w:rsidRPr="00A416C3">
        <w:rPr>
          <w:rFonts w:eastAsia="Times New Roman"/>
          <w:sz w:val="22"/>
          <w:szCs w:val="22"/>
          <w:lang w:val="tr-TR"/>
        </w:rPr>
        <w:t>ş</w:t>
      </w:r>
      <w:r w:rsidRPr="00A416C3">
        <w:rPr>
          <w:rFonts w:ascii="Times Roman" w:eastAsia="Times New Roman" w:hAnsi="Times Roman"/>
          <w:sz w:val="22"/>
          <w:szCs w:val="22"/>
          <w:lang w:val="tr-TR"/>
        </w:rPr>
        <w:t>ar</w:t>
      </w:r>
      <w:r w:rsidRPr="00A416C3">
        <w:rPr>
          <w:rFonts w:eastAsia="Times New Roman"/>
          <w:sz w:val="22"/>
          <w:szCs w:val="22"/>
          <w:lang w:val="tr-TR"/>
        </w:rPr>
        <w:t>ı</w:t>
      </w:r>
      <w:r w:rsidRPr="00A416C3">
        <w:rPr>
          <w:rFonts w:ascii="Times Roman" w:eastAsia="Times New Roman" w:hAnsi="Times Roman"/>
          <w:sz w:val="22"/>
          <w:szCs w:val="22"/>
          <w:lang w:val="tr-TR"/>
        </w:rPr>
        <w:t>l</w:t>
      </w:r>
      <w:r w:rsidRPr="00A416C3">
        <w:rPr>
          <w:rFonts w:eastAsia="Times New Roman"/>
          <w:sz w:val="22"/>
          <w:szCs w:val="22"/>
          <w:lang w:val="tr-TR"/>
        </w:rPr>
        <w:t>ı</w:t>
      </w:r>
      <w:r w:rsidRPr="00A416C3">
        <w:rPr>
          <w:rFonts w:ascii="Times Roman" w:eastAsia="Times New Roman" w:hAnsi="Times Roman"/>
          <w:sz w:val="22"/>
          <w:szCs w:val="22"/>
          <w:lang w:val="tr-TR"/>
        </w:rPr>
        <w:t xml:space="preserve"> bulunan adaylar</w:t>
      </w:r>
      <w:r w:rsidRPr="00A416C3">
        <w:rPr>
          <w:rFonts w:eastAsia="Times New Roman"/>
          <w:sz w:val="22"/>
          <w:szCs w:val="22"/>
          <w:lang w:val="tr-TR"/>
        </w:rPr>
        <w:t>ı</w:t>
      </w:r>
      <w:r w:rsidRPr="00A416C3">
        <w:rPr>
          <w:rFonts w:ascii="Times Roman" w:eastAsia="Times New Roman" w:hAnsi="Times Roman"/>
          <w:sz w:val="22"/>
          <w:szCs w:val="22"/>
          <w:lang w:val="tr-TR"/>
        </w:rPr>
        <w:t>n ayn</w:t>
      </w:r>
      <w:r w:rsidRPr="00A416C3">
        <w:rPr>
          <w:rFonts w:eastAsia="Times New Roman"/>
          <w:sz w:val="22"/>
          <w:szCs w:val="22"/>
          <w:lang w:val="tr-TR"/>
        </w:rPr>
        <w:t>ı</w:t>
      </w:r>
      <w:r w:rsidRPr="00A416C3">
        <w:rPr>
          <w:rFonts w:ascii="Times Roman" w:eastAsia="Times New Roman" w:hAnsi="Times Roman"/>
          <w:sz w:val="22"/>
          <w:szCs w:val="22"/>
          <w:lang w:val="tr-TR"/>
        </w:rPr>
        <w:t xml:space="preserve"> ay veya takip eden ay i</w:t>
      </w:r>
      <w:r w:rsidRPr="00A416C3">
        <w:rPr>
          <w:rFonts w:ascii="Times Roman" w:eastAsia="Times New Roman" w:hAnsi="Times Roman" w:cs="Times Roman"/>
          <w:sz w:val="22"/>
          <w:szCs w:val="22"/>
          <w:lang w:val="tr-TR"/>
        </w:rPr>
        <w:t>ç</w:t>
      </w:r>
      <w:r w:rsidRPr="00A416C3">
        <w:rPr>
          <w:rFonts w:ascii="Times Roman" w:eastAsia="Times New Roman" w:hAnsi="Times Roman"/>
          <w:sz w:val="22"/>
          <w:szCs w:val="22"/>
          <w:lang w:val="tr-TR"/>
        </w:rPr>
        <w:t>erisinde s</w:t>
      </w:r>
      <w:r w:rsidRPr="00A416C3">
        <w:rPr>
          <w:rFonts w:ascii="Times Roman" w:eastAsia="Times New Roman" w:hAnsi="Times Roman" w:cs="Times Roman"/>
          <w:sz w:val="22"/>
          <w:szCs w:val="22"/>
          <w:lang w:val="tr-TR"/>
        </w:rPr>
        <w:t>ö</w:t>
      </w:r>
      <w:r w:rsidRPr="00A416C3">
        <w:rPr>
          <w:rFonts w:ascii="Times Roman" w:eastAsia="Times New Roman" w:hAnsi="Times Roman"/>
          <w:sz w:val="22"/>
          <w:szCs w:val="22"/>
          <w:lang w:val="tr-TR"/>
        </w:rPr>
        <w:t>zle</w:t>
      </w:r>
      <w:r w:rsidRPr="00A416C3">
        <w:rPr>
          <w:rFonts w:eastAsia="Times New Roman"/>
          <w:sz w:val="22"/>
          <w:szCs w:val="22"/>
          <w:lang w:val="tr-TR"/>
        </w:rPr>
        <w:t>ş</w:t>
      </w:r>
      <w:r w:rsidRPr="00A416C3">
        <w:rPr>
          <w:rFonts w:ascii="Times Roman" w:eastAsia="Times New Roman" w:hAnsi="Times Roman"/>
          <w:sz w:val="22"/>
          <w:szCs w:val="22"/>
          <w:lang w:val="tr-TR"/>
        </w:rPr>
        <w:t>me imzalayarak i</w:t>
      </w:r>
      <w:r w:rsidRPr="00A416C3">
        <w:rPr>
          <w:rFonts w:eastAsia="Times New Roman"/>
          <w:sz w:val="22"/>
          <w:szCs w:val="22"/>
          <w:lang w:val="tr-TR"/>
        </w:rPr>
        <w:t>ş</w:t>
      </w:r>
      <w:r w:rsidRPr="00A416C3">
        <w:rPr>
          <w:rFonts w:ascii="Times Roman" w:eastAsia="Times New Roman" w:hAnsi="Times Roman"/>
          <w:sz w:val="22"/>
          <w:szCs w:val="22"/>
          <w:lang w:val="tr-TR"/>
        </w:rPr>
        <w:t>e ba</w:t>
      </w:r>
      <w:r w:rsidRPr="00A416C3">
        <w:rPr>
          <w:rFonts w:eastAsia="Times New Roman"/>
          <w:sz w:val="22"/>
          <w:szCs w:val="22"/>
          <w:lang w:val="tr-TR"/>
        </w:rPr>
        <w:t>ş</w:t>
      </w:r>
      <w:r w:rsidRPr="00A416C3">
        <w:rPr>
          <w:rFonts w:ascii="Times Roman" w:eastAsia="Times New Roman" w:hAnsi="Times Roman"/>
          <w:sz w:val="22"/>
          <w:szCs w:val="22"/>
          <w:lang w:val="tr-TR"/>
        </w:rPr>
        <w:t>lamas</w:t>
      </w:r>
      <w:r w:rsidRPr="00A416C3">
        <w:rPr>
          <w:rFonts w:eastAsia="Times New Roman"/>
          <w:sz w:val="22"/>
          <w:szCs w:val="22"/>
          <w:lang w:val="tr-TR"/>
        </w:rPr>
        <w:t>ı</w:t>
      </w:r>
      <w:r w:rsidRPr="00A416C3">
        <w:rPr>
          <w:rFonts w:ascii="Times Roman" w:eastAsia="Times New Roman" w:hAnsi="Times Roman"/>
          <w:sz w:val="22"/>
          <w:szCs w:val="22"/>
          <w:lang w:val="tr-TR"/>
        </w:rPr>
        <w:t xml:space="preserve"> hedeflenmektedir. </w:t>
      </w:r>
    </w:p>
    <w:p w:rsidR="00B8339D" w:rsidRPr="00A416C3" w:rsidRDefault="00B8339D" w:rsidP="00B8339D">
      <w:pPr>
        <w:spacing w:line="358" w:lineRule="exact"/>
        <w:jc w:val="both"/>
        <w:rPr>
          <w:rFonts w:eastAsia="Times New Roman"/>
          <w:sz w:val="22"/>
          <w:szCs w:val="22"/>
          <w:lang w:val="tr-TR"/>
        </w:rPr>
      </w:pPr>
    </w:p>
    <w:p w:rsidR="00B8339D" w:rsidRPr="007C4F6D" w:rsidRDefault="00B8339D" w:rsidP="00B8339D">
      <w:pPr>
        <w:spacing w:line="0" w:lineRule="atLeast"/>
        <w:jc w:val="both"/>
        <w:rPr>
          <w:rFonts w:eastAsia="Times New Roman"/>
          <w:b/>
          <w:sz w:val="22"/>
          <w:szCs w:val="22"/>
          <w:u w:val="single"/>
          <w:lang w:val="tr-TR"/>
        </w:rPr>
      </w:pPr>
      <w:r w:rsidRPr="007C4F6D">
        <w:rPr>
          <w:rFonts w:eastAsia="Times New Roman"/>
          <w:b/>
          <w:sz w:val="22"/>
          <w:szCs w:val="22"/>
          <w:u w:val="single"/>
          <w:lang w:val="tr-TR"/>
        </w:rPr>
        <w:t>SON BAŞVURU TARİHİ</w:t>
      </w:r>
    </w:p>
    <w:p w:rsidR="00B8339D" w:rsidRPr="00A416C3" w:rsidRDefault="00B8339D" w:rsidP="00B8339D">
      <w:pPr>
        <w:spacing w:line="271" w:lineRule="exact"/>
        <w:jc w:val="both"/>
        <w:rPr>
          <w:rFonts w:eastAsia="Times New Roman"/>
          <w:sz w:val="22"/>
          <w:szCs w:val="22"/>
          <w:lang w:val="tr-TR"/>
        </w:rPr>
      </w:pPr>
    </w:p>
    <w:p w:rsidR="00B8339D" w:rsidRDefault="00B8339D" w:rsidP="00B8339D">
      <w:pPr>
        <w:spacing w:line="0" w:lineRule="atLeast"/>
        <w:ind w:left="4"/>
        <w:jc w:val="both"/>
        <w:rPr>
          <w:rFonts w:eastAsia="Times New Roman"/>
          <w:sz w:val="22"/>
          <w:szCs w:val="22"/>
          <w:lang w:val="tr-TR"/>
        </w:rPr>
      </w:pPr>
      <w:r w:rsidRPr="00A416C3">
        <w:rPr>
          <w:rFonts w:eastAsia="Times New Roman"/>
          <w:sz w:val="22"/>
          <w:szCs w:val="22"/>
          <w:lang w:val="tr-TR"/>
        </w:rPr>
        <w:t xml:space="preserve">İşbu istihdam duyurusu için son başvuru tarihi </w:t>
      </w:r>
      <w:r w:rsidR="00020AD2">
        <w:rPr>
          <w:rFonts w:eastAsia="Times New Roman"/>
          <w:b/>
          <w:sz w:val="22"/>
          <w:szCs w:val="22"/>
          <w:lang w:val="tr-TR"/>
        </w:rPr>
        <w:t>03</w:t>
      </w:r>
      <w:bookmarkStart w:id="0" w:name="_GoBack"/>
      <w:bookmarkEnd w:id="0"/>
      <w:r w:rsidR="000572F0">
        <w:rPr>
          <w:rFonts w:eastAsia="Times New Roman"/>
          <w:sz w:val="22"/>
          <w:szCs w:val="22"/>
          <w:lang w:val="tr-TR"/>
        </w:rPr>
        <w:t xml:space="preserve"> </w:t>
      </w:r>
      <w:r w:rsidR="000572F0">
        <w:rPr>
          <w:rFonts w:eastAsia="Times New Roman"/>
          <w:b/>
          <w:sz w:val="22"/>
          <w:szCs w:val="22"/>
          <w:lang w:val="tr-TR"/>
        </w:rPr>
        <w:t>Şubat</w:t>
      </w:r>
      <w:r w:rsidRPr="00A416C3">
        <w:rPr>
          <w:rFonts w:eastAsia="Times New Roman"/>
          <w:b/>
          <w:sz w:val="22"/>
          <w:szCs w:val="22"/>
          <w:lang w:val="tr-TR"/>
        </w:rPr>
        <w:t xml:space="preserve"> 2022</w:t>
      </w:r>
      <w:r>
        <w:rPr>
          <w:rFonts w:eastAsia="Times New Roman"/>
          <w:sz w:val="22"/>
          <w:szCs w:val="22"/>
          <w:lang w:val="tr-TR"/>
        </w:rPr>
        <w:t>’di</w:t>
      </w:r>
      <w:r w:rsidRPr="00A416C3">
        <w:rPr>
          <w:rFonts w:eastAsia="Times New Roman"/>
          <w:sz w:val="22"/>
          <w:szCs w:val="22"/>
          <w:lang w:val="tr-TR"/>
        </w:rPr>
        <w:t xml:space="preserve">r. </w:t>
      </w:r>
    </w:p>
    <w:p w:rsidR="007C4F6D" w:rsidRDefault="007C4F6D" w:rsidP="00B8339D">
      <w:pPr>
        <w:spacing w:line="0" w:lineRule="atLeast"/>
        <w:ind w:left="4"/>
        <w:jc w:val="both"/>
        <w:rPr>
          <w:rFonts w:eastAsia="Times New Roman"/>
          <w:sz w:val="22"/>
          <w:szCs w:val="22"/>
          <w:lang w:val="tr-TR"/>
        </w:rPr>
      </w:pPr>
    </w:p>
    <w:p w:rsidR="007C4F6D" w:rsidRPr="00A416C3" w:rsidRDefault="007C4F6D" w:rsidP="00B8339D">
      <w:pPr>
        <w:spacing w:line="0" w:lineRule="atLeast"/>
        <w:ind w:left="4"/>
        <w:jc w:val="both"/>
        <w:rPr>
          <w:rFonts w:eastAsia="Times New Roman"/>
          <w:sz w:val="22"/>
          <w:szCs w:val="22"/>
          <w:lang w:val="tr-TR"/>
        </w:rPr>
      </w:pPr>
    </w:p>
    <w:p w:rsidR="00B8339D" w:rsidRPr="00A416C3" w:rsidRDefault="00B8339D" w:rsidP="00B8339D">
      <w:pPr>
        <w:jc w:val="both"/>
        <w:rPr>
          <w:b/>
          <w:lang w:val="tr-TR"/>
        </w:rPr>
      </w:pPr>
    </w:p>
    <w:p w:rsidR="00EB1B00" w:rsidRPr="00EB1B00" w:rsidRDefault="00EB1B00" w:rsidP="00EB1B00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  <w:lang w:val="tr-TR"/>
        </w:rPr>
      </w:pPr>
    </w:p>
    <w:p w:rsidR="00EB1B00" w:rsidRPr="00EB1B00" w:rsidRDefault="00EB1B00" w:rsidP="00EB1B00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0"/>
          <w:lang w:val="tr-TR"/>
        </w:rPr>
      </w:pPr>
    </w:p>
    <w:sectPr w:rsidR="00EB1B00" w:rsidRPr="00EB1B00" w:rsidSect="0063052C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D02" w:rsidRDefault="00A63D02">
      <w:r>
        <w:separator/>
      </w:r>
    </w:p>
  </w:endnote>
  <w:endnote w:type="continuationSeparator" w:id="0">
    <w:p w:rsidR="00A63D02" w:rsidRDefault="00A6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D02" w:rsidRDefault="00A63D02">
      <w:r>
        <w:separator/>
      </w:r>
    </w:p>
  </w:footnote>
  <w:footnote w:type="continuationSeparator" w:id="0">
    <w:p w:rsidR="00A63D02" w:rsidRDefault="00A63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A9B" w:rsidRPr="00503A9B" w:rsidRDefault="00B226F0" w:rsidP="00503A9B">
    <w:pPr>
      <w:pStyle w:val="stBilgi"/>
      <w:jc w:val="right"/>
      <w:rPr>
        <w:rFonts w:ascii="Calibri" w:hAnsi="Calibri" w:cs="Calibri"/>
        <w:sz w:val="20"/>
      </w:rPr>
    </w:pPr>
    <w:r w:rsidRPr="00554F06">
      <w:rPr>
        <w:rFonts w:ascii="Calibri" w:hAnsi="Calibri" w:cs="Calibri"/>
        <w:sz w:val="20"/>
      </w:rPr>
      <w:t>SAP ID 170008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03"/>
    <w:rsid w:val="00020AD2"/>
    <w:rsid w:val="000572F0"/>
    <w:rsid w:val="000B6658"/>
    <w:rsid w:val="00184928"/>
    <w:rsid w:val="001E3F43"/>
    <w:rsid w:val="00295F76"/>
    <w:rsid w:val="002A327A"/>
    <w:rsid w:val="002D2437"/>
    <w:rsid w:val="00325E40"/>
    <w:rsid w:val="0038560F"/>
    <w:rsid w:val="00397503"/>
    <w:rsid w:val="003D1805"/>
    <w:rsid w:val="003E24A6"/>
    <w:rsid w:val="003E47F7"/>
    <w:rsid w:val="00451504"/>
    <w:rsid w:val="00463771"/>
    <w:rsid w:val="00483558"/>
    <w:rsid w:val="004C1FA8"/>
    <w:rsid w:val="004D3AAA"/>
    <w:rsid w:val="00511CE6"/>
    <w:rsid w:val="00535DBF"/>
    <w:rsid w:val="0055158F"/>
    <w:rsid w:val="005862B2"/>
    <w:rsid w:val="00604E44"/>
    <w:rsid w:val="00645C27"/>
    <w:rsid w:val="0064692F"/>
    <w:rsid w:val="006A099C"/>
    <w:rsid w:val="00701D80"/>
    <w:rsid w:val="0076065F"/>
    <w:rsid w:val="007B23FC"/>
    <w:rsid w:val="007C4F6D"/>
    <w:rsid w:val="007D6C02"/>
    <w:rsid w:val="00812257"/>
    <w:rsid w:val="0087160C"/>
    <w:rsid w:val="00877EB5"/>
    <w:rsid w:val="008A76AC"/>
    <w:rsid w:val="00900F6A"/>
    <w:rsid w:val="00941E42"/>
    <w:rsid w:val="009E71D6"/>
    <w:rsid w:val="00A43FA8"/>
    <w:rsid w:val="00A63D02"/>
    <w:rsid w:val="00AB2403"/>
    <w:rsid w:val="00B226F0"/>
    <w:rsid w:val="00B8339D"/>
    <w:rsid w:val="00BE5A7E"/>
    <w:rsid w:val="00C109EE"/>
    <w:rsid w:val="00CC5CB5"/>
    <w:rsid w:val="00CC7044"/>
    <w:rsid w:val="00D270F1"/>
    <w:rsid w:val="00DD396D"/>
    <w:rsid w:val="00DF16B3"/>
    <w:rsid w:val="00E602D5"/>
    <w:rsid w:val="00E700DA"/>
    <w:rsid w:val="00E912A3"/>
    <w:rsid w:val="00EA4C6B"/>
    <w:rsid w:val="00EB1B00"/>
    <w:rsid w:val="00EB6B5B"/>
    <w:rsid w:val="00EE4E6A"/>
    <w:rsid w:val="00F95AA0"/>
    <w:rsid w:val="00FD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160B"/>
  <w15:chartTrackingRefBased/>
  <w15:docId w15:val="{E8CC3199-52D4-4899-8452-155F5F4A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C6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A4C6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A4C6B"/>
    <w:rPr>
      <w:rFonts w:ascii="Times New Roman" w:eastAsia="SimSun" w:hAnsi="Times New Roman" w:cs="Times New Roman"/>
      <w:sz w:val="24"/>
      <w:szCs w:val="24"/>
      <w:lang w:val="en-US" w:eastAsia="zh-CN" w:bidi="en-US"/>
    </w:rPr>
  </w:style>
  <w:style w:type="table" w:styleId="TabloKlavuzu">
    <w:name w:val="Table Grid"/>
    <w:basedOn w:val="NormalTablo"/>
    <w:uiPriority w:val="39"/>
    <w:rsid w:val="00EA4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833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(oky@csb.gov.tr)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Öncelikli Kimyasalların Yönetimi Şube Müdürlüğü</dc:creator>
  <cp:keywords/>
  <dc:description/>
  <cp:lastModifiedBy>Menekşe Keski</cp:lastModifiedBy>
  <cp:revision>26</cp:revision>
  <cp:lastPrinted>2022-01-18T10:50:00Z</cp:lastPrinted>
  <dcterms:created xsi:type="dcterms:W3CDTF">2021-12-26T11:17:00Z</dcterms:created>
  <dcterms:modified xsi:type="dcterms:W3CDTF">2022-01-21T07:40:00Z</dcterms:modified>
</cp:coreProperties>
</file>