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017" w14:textId="77777777" w:rsidR="009649FA" w:rsidRPr="00AE2909" w:rsidRDefault="009649FA" w:rsidP="007F68BF">
      <w:pPr>
        <w:pStyle w:val="KonuBal"/>
        <w:ind w:firstLine="708"/>
      </w:pPr>
      <w:r w:rsidRPr="00AE2909">
        <w:t>ÇEVRE LİSANSI</w:t>
      </w:r>
    </w:p>
    <w:p w14:paraId="30C748C0" w14:textId="77777777" w:rsidR="009649FA" w:rsidRPr="00AE2909" w:rsidRDefault="009649FA" w:rsidP="007F68BF">
      <w:pPr>
        <w:pStyle w:val="KonuBal"/>
        <w:ind w:firstLine="708"/>
      </w:pPr>
      <w:r w:rsidRPr="00AE2909">
        <w:t>BAŞVURUSUNDA BULUNACAK İŞLETMELERİN</w:t>
      </w:r>
    </w:p>
    <w:p w14:paraId="683EC8C9" w14:textId="77777777" w:rsidR="009649FA" w:rsidRPr="00AE2909" w:rsidRDefault="009649FA" w:rsidP="007F68BF">
      <w:pPr>
        <w:pStyle w:val="KonuBal"/>
        <w:ind w:firstLine="708"/>
      </w:pPr>
      <w:r w:rsidRPr="00AE2909">
        <w:t>SAĞLAMASI GEREKEN FİZİKİ ŞARTLAR</w:t>
      </w:r>
    </w:p>
    <w:p w14:paraId="4BA9BB75" w14:textId="77777777" w:rsidR="009649FA" w:rsidRPr="00AE2909" w:rsidRDefault="009649FA" w:rsidP="007F68BF">
      <w:pPr>
        <w:pStyle w:val="AralkYok"/>
        <w:jc w:val="both"/>
        <w:rPr>
          <w:rFonts w:ascii="Times New Roman" w:hAnsi="Times New Roman"/>
          <w:sz w:val="24"/>
          <w:szCs w:val="24"/>
        </w:rPr>
      </w:pPr>
    </w:p>
    <w:p w14:paraId="49895BAF" w14:textId="77777777" w:rsidR="00F67707" w:rsidRPr="00AE2909" w:rsidRDefault="00F67707" w:rsidP="007F68BF">
      <w:pPr>
        <w:pStyle w:val="AralkYok"/>
        <w:jc w:val="both"/>
        <w:rPr>
          <w:rFonts w:ascii="Times New Roman" w:hAnsi="Times New Roman"/>
          <w:b/>
          <w:sz w:val="24"/>
          <w:szCs w:val="24"/>
        </w:rPr>
      </w:pPr>
      <w:r w:rsidRPr="00AE2909">
        <w:rPr>
          <w:rFonts w:ascii="Times New Roman" w:hAnsi="Times New Roman"/>
          <w:b/>
          <w:sz w:val="24"/>
          <w:szCs w:val="24"/>
        </w:rPr>
        <w:t>Tesisin Adı</w:t>
      </w:r>
      <w:r w:rsidR="00022EF1" w:rsidRPr="00AE2909">
        <w:rPr>
          <w:rFonts w:ascii="Times New Roman" w:hAnsi="Times New Roman"/>
          <w:b/>
          <w:sz w:val="24"/>
          <w:szCs w:val="24"/>
        </w:rPr>
        <w:tab/>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358F1CCB" w14:textId="77777777" w:rsidR="00F67707" w:rsidRPr="00AE2909" w:rsidRDefault="00F67707" w:rsidP="007F68BF">
      <w:pPr>
        <w:pStyle w:val="AralkYok"/>
        <w:jc w:val="both"/>
        <w:rPr>
          <w:rFonts w:ascii="Times New Roman" w:hAnsi="Times New Roman"/>
          <w:b/>
          <w:sz w:val="24"/>
          <w:szCs w:val="24"/>
        </w:rPr>
      </w:pPr>
      <w:r w:rsidRPr="00AE2909">
        <w:rPr>
          <w:rFonts w:ascii="Times New Roman" w:hAnsi="Times New Roman"/>
          <w:b/>
          <w:sz w:val="24"/>
          <w:szCs w:val="24"/>
        </w:rPr>
        <w:t>Tesisin Adresi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4E5077E1" w14:textId="77777777" w:rsidR="00B80F1E" w:rsidRPr="00AE2909" w:rsidRDefault="00B80F1E" w:rsidP="007F68BF">
      <w:pPr>
        <w:pStyle w:val="AralkYok"/>
        <w:jc w:val="both"/>
        <w:rPr>
          <w:rFonts w:ascii="Times New Roman" w:hAnsi="Times New Roman"/>
          <w:b/>
          <w:sz w:val="24"/>
          <w:szCs w:val="24"/>
        </w:rPr>
      </w:pPr>
    </w:p>
    <w:p w14:paraId="0013CE4E" w14:textId="58DA187F" w:rsidR="00F67707" w:rsidRPr="00AE2909" w:rsidRDefault="00F67707" w:rsidP="007F68BF">
      <w:pPr>
        <w:pStyle w:val="AralkYok"/>
        <w:jc w:val="both"/>
        <w:rPr>
          <w:rFonts w:ascii="Times New Roman" w:hAnsi="Times New Roman"/>
          <w:sz w:val="24"/>
          <w:szCs w:val="24"/>
        </w:rPr>
      </w:pPr>
      <w:r w:rsidRPr="00AE2909">
        <w:rPr>
          <w:rFonts w:ascii="Times New Roman" w:hAnsi="Times New Roman"/>
          <w:b/>
          <w:sz w:val="24"/>
          <w:szCs w:val="24"/>
        </w:rPr>
        <w:t>Çevre Lisansının Konusu</w:t>
      </w:r>
      <w:r w:rsidRPr="00AE2909">
        <w:rPr>
          <w:rFonts w:ascii="Times New Roman" w:hAnsi="Times New Roman"/>
          <w:b/>
          <w:sz w:val="24"/>
          <w:szCs w:val="24"/>
        </w:rPr>
        <w:tab/>
        <w:t>:</w:t>
      </w:r>
      <w:r w:rsidR="00FC47DA" w:rsidRPr="00AE2909">
        <w:rPr>
          <w:rFonts w:ascii="Times New Roman" w:hAnsi="Times New Roman"/>
          <w:b/>
          <w:sz w:val="24"/>
          <w:szCs w:val="24"/>
        </w:rPr>
        <w:t xml:space="preserve"> </w:t>
      </w:r>
      <w:r w:rsidR="00580F20">
        <w:rPr>
          <w:rFonts w:ascii="Times New Roman" w:hAnsi="Times New Roman"/>
          <w:sz w:val="24"/>
          <w:szCs w:val="24"/>
        </w:rPr>
        <w:t>Tehlikesiz</w:t>
      </w:r>
      <w:r w:rsidR="008D215D">
        <w:rPr>
          <w:rFonts w:ascii="Times New Roman" w:hAnsi="Times New Roman"/>
          <w:sz w:val="24"/>
          <w:szCs w:val="24"/>
        </w:rPr>
        <w:t xml:space="preserve"> Atık G</w:t>
      </w:r>
      <w:r w:rsidR="002F1947" w:rsidRPr="00AE2909">
        <w:rPr>
          <w:rFonts w:ascii="Times New Roman" w:hAnsi="Times New Roman"/>
          <w:sz w:val="24"/>
          <w:szCs w:val="24"/>
        </w:rPr>
        <w:t>eri Kazanım</w:t>
      </w:r>
    </w:p>
    <w:p w14:paraId="12DE3877" w14:textId="77777777" w:rsidR="00F67707" w:rsidRPr="00AE2909" w:rsidRDefault="00F67707" w:rsidP="007F68BF">
      <w:pPr>
        <w:pStyle w:val="AralkYok"/>
        <w:jc w:val="both"/>
        <w:rPr>
          <w:rFonts w:ascii="Times New Roman" w:hAnsi="Times New Roman"/>
          <w:sz w:val="24"/>
          <w:szCs w:val="24"/>
        </w:rPr>
      </w:pPr>
      <w:r w:rsidRPr="00AE2909">
        <w:rPr>
          <w:rFonts w:ascii="Times New Roman" w:hAnsi="Times New Roman"/>
          <w:b/>
          <w:sz w:val="24"/>
          <w:szCs w:val="24"/>
        </w:rPr>
        <w:t>İlgili Yönetmelik</w:t>
      </w:r>
      <w:r w:rsidRPr="00AE2909">
        <w:rPr>
          <w:rFonts w:ascii="Times New Roman" w:hAnsi="Times New Roman"/>
          <w:b/>
          <w:sz w:val="24"/>
          <w:szCs w:val="24"/>
        </w:rPr>
        <w:tab/>
      </w:r>
      <w:r w:rsidRPr="00AE2909">
        <w:rPr>
          <w:rFonts w:ascii="Times New Roman" w:hAnsi="Times New Roman"/>
          <w:b/>
          <w:sz w:val="24"/>
          <w:szCs w:val="24"/>
        </w:rPr>
        <w:tab/>
        <w:t xml:space="preserve">: </w:t>
      </w:r>
      <w:r w:rsidR="00463A09" w:rsidRPr="00AE2909">
        <w:rPr>
          <w:rFonts w:ascii="Times New Roman" w:hAnsi="Times New Roman"/>
          <w:sz w:val="24"/>
          <w:szCs w:val="24"/>
        </w:rPr>
        <w:t xml:space="preserve">Atık Ön İşlem ve Geri Kazanım Tesislerinin Genel Esaslarına </w:t>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t xml:space="preserve">İlişkin Yönetmelik </w:t>
      </w:r>
    </w:p>
    <w:p w14:paraId="7228F490" w14:textId="77777777" w:rsidR="00F67707" w:rsidRPr="00AE2909" w:rsidRDefault="00F67707" w:rsidP="007F68BF">
      <w:pPr>
        <w:pStyle w:val="AralkYok"/>
        <w:jc w:val="both"/>
        <w:rPr>
          <w:rFonts w:ascii="Times New Roman" w:hAnsi="Times New Roman"/>
          <w:b/>
          <w:sz w:val="24"/>
          <w:szCs w:val="24"/>
        </w:rPr>
      </w:pPr>
      <w:r w:rsidRPr="00AE2909">
        <w:rPr>
          <w:rFonts w:ascii="Times New Roman" w:hAnsi="Times New Roman"/>
          <w:b/>
          <w:sz w:val="24"/>
          <w:szCs w:val="24"/>
        </w:rPr>
        <w:t>İnceleme Tarihi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283B1CD0" w14:textId="77777777" w:rsidR="006C39B5" w:rsidRPr="00AE2909" w:rsidRDefault="006C39B5" w:rsidP="007F68BF">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34"/>
      </w:tblGrid>
      <w:tr w:rsidR="00463A09" w:rsidRPr="00AE2909" w14:paraId="3D95391D" w14:textId="77777777" w:rsidTr="008D215D">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7ECD1992" w14:textId="77777777" w:rsidR="00463A09" w:rsidRPr="00AE2909" w:rsidRDefault="00463A09" w:rsidP="007F68BF">
            <w:pPr>
              <w:pStyle w:val="AralkYok"/>
              <w:jc w:val="both"/>
              <w:rPr>
                <w:rFonts w:ascii="Times New Roman" w:hAnsi="Times New Roman"/>
                <w:b/>
                <w:bCs/>
                <w:sz w:val="24"/>
                <w:szCs w:val="24"/>
              </w:rPr>
            </w:pPr>
          </w:p>
          <w:p w14:paraId="1D5AF738" w14:textId="77777777" w:rsidR="00463A09" w:rsidRPr="00AE2909" w:rsidRDefault="00463A09" w:rsidP="007F68BF">
            <w:pPr>
              <w:pStyle w:val="AralkYok"/>
              <w:jc w:val="both"/>
              <w:rPr>
                <w:rFonts w:ascii="Times New Roman" w:hAnsi="Times New Roman"/>
                <w:b/>
                <w:bCs/>
                <w:sz w:val="24"/>
                <w:szCs w:val="24"/>
              </w:rPr>
            </w:pPr>
            <w:r w:rsidRPr="00AE2909">
              <w:rPr>
                <w:rFonts w:ascii="Times New Roman" w:hAnsi="Times New Roman"/>
                <w:b/>
                <w:bCs/>
                <w:sz w:val="24"/>
                <w:szCs w:val="24"/>
              </w:rPr>
              <w:t>İşletmenin Sağlaması Zorunlu Fiziksel Şartlar</w:t>
            </w:r>
          </w:p>
          <w:p w14:paraId="45CAD884" w14:textId="77777777" w:rsidR="00463A09" w:rsidRPr="00AE2909" w:rsidRDefault="00463A09" w:rsidP="007F68BF">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1E10A23" w14:textId="77777777" w:rsidR="00463A09" w:rsidRPr="00AE2909" w:rsidRDefault="00463A09" w:rsidP="007F68BF">
            <w:pPr>
              <w:pStyle w:val="AralkYok"/>
              <w:jc w:val="both"/>
              <w:rPr>
                <w:rFonts w:ascii="Times New Roman" w:hAnsi="Times New Roman"/>
                <w:b/>
                <w:bCs/>
                <w:sz w:val="24"/>
                <w:szCs w:val="24"/>
              </w:rPr>
            </w:pPr>
            <w:r w:rsidRPr="00AE2909">
              <w:rPr>
                <w:rFonts w:ascii="Times New Roman" w:hAnsi="Times New Roman"/>
                <w:b/>
                <w:bCs/>
                <w:sz w:val="24"/>
                <w:szCs w:val="24"/>
              </w:rPr>
              <w:t>EVET</w:t>
            </w:r>
          </w:p>
        </w:tc>
        <w:tc>
          <w:tcPr>
            <w:tcW w:w="115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014E8D74" w14:textId="77777777" w:rsidR="00463A09" w:rsidRPr="00AE2909" w:rsidRDefault="00463A09" w:rsidP="007F68BF">
            <w:pPr>
              <w:pStyle w:val="AralkYok"/>
              <w:jc w:val="both"/>
              <w:rPr>
                <w:rFonts w:ascii="Times New Roman" w:hAnsi="Times New Roman"/>
                <w:b/>
                <w:bCs/>
                <w:sz w:val="24"/>
                <w:szCs w:val="24"/>
              </w:rPr>
            </w:pPr>
            <w:r w:rsidRPr="00AE2909">
              <w:rPr>
                <w:rFonts w:ascii="Times New Roman" w:hAnsi="Times New Roman"/>
                <w:b/>
                <w:bCs/>
                <w:sz w:val="24"/>
                <w:szCs w:val="24"/>
              </w:rPr>
              <w:t>HAYIR</w:t>
            </w:r>
          </w:p>
        </w:tc>
      </w:tr>
      <w:tr w:rsidR="00463A09" w:rsidRPr="00AE2909" w14:paraId="393B60CE" w14:textId="77777777" w:rsidTr="00E42EAE">
        <w:trPr>
          <w:trHeight w:val="2177"/>
        </w:trPr>
        <w:tc>
          <w:tcPr>
            <w:tcW w:w="694" w:type="dxa"/>
            <w:tcBorders>
              <w:top w:val="single" w:sz="12" w:space="0" w:color="000080"/>
              <w:left w:val="single" w:sz="12" w:space="0" w:color="000080"/>
              <w:bottom w:val="single" w:sz="12" w:space="0" w:color="000080"/>
              <w:right w:val="single" w:sz="12" w:space="0" w:color="000080"/>
            </w:tcBorders>
            <w:vAlign w:val="center"/>
          </w:tcPr>
          <w:p w14:paraId="20BCDA31" w14:textId="2C5572AF" w:rsidR="00463A09" w:rsidRPr="00AE2909" w:rsidRDefault="00391B56" w:rsidP="007F68BF">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2E716B5" w14:textId="4528777D" w:rsidR="00463A09" w:rsidRPr="00AE2909" w:rsidRDefault="007F68BF" w:rsidP="007F68BF">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w:t>
            </w:r>
            <w:proofErr w:type="gramStart"/>
            <w:r w:rsidRPr="0053295C">
              <w:rPr>
                <w:rFonts w:ascii="Times New Roman" w:hAnsi="Times New Roman"/>
                <w:sz w:val="24"/>
                <w:szCs w:val="24"/>
              </w:rPr>
              <w:t>konstrüksiyon</w:t>
            </w:r>
            <w:proofErr w:type="gramEnd"/>
            <w:r w:rsidRPr="0053295C">
              <w:rPr>
                <w:rFonts w:ascii="Times New Roman" w:hAnsi="Times New Roman"/>
                <w:sz w:val="24"/>
                <w:szCs w:val="24"/>
              </w:rPr>
              <w:t xml:space="preserve">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665EE60F" w14:textId="77777777" w:rsidR="00463A09" w:rsidRPr="00AE2909" w:rsidRDefault="00463A09"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1ACB227" w14:textId="77777777" w:rsidR="00463A09" w:rsidRPr="00AE2909" w:rsidRDefault="00463A09" w:rsidP="007F68BF">
            <w:pPr>
              <w:pStyle w:val="AralkYok"/>
              <w:jc w:val="both"/>
              <w:rPr>
                <w:rFonts w:ascii="Times New Roman" w:hAnsi="Times New Roman"/>
                <w:bCs/>
                <w:sz w:val="24"/>
                <w:szCs w:val="24"/>
              </w:rPr>
            </w:pPr>
          </w:p>
        </w:tc>
      </w:tr>
      <w:tr w:rsidR="00C95B7B" w:rsidRPr="00AE2909" w14:paraId="15CE54DF" w14:textId="77777777" w:rsidTr="008D215D">
        <w:trPr>
          <w:trHeight w:val="317"/>
        </w:trPr>
        <w:tc>
          <w:tcPr>
            <w:tcW w:w="694" w:type="dxa"/>
            <w:vMerge w:val="restart"/>
            <w:tcBorders>
              <w:top w:val="single" w:sz="12" w:space="0" w:color="000080"/>
              <w:left w:val="single" w:sz="12" w:space="0" w:color="000080"/>
              <w:right w:val="single" w:sz="12" w:space="0" w:color="000080"/>
            </w:tcBorders>
            <w:vAlign w:val="center"/>
          </w:tcPr>
          <w:p w14:paraId="35FD821F" w14:textId="36CBA3E8" w:rsidR="00C95B7B" w:rsidRPr="00AE2909" w:rsidRDefault="00C95B7B" w:rsidP="007F68BF">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2</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5975BD72" w14:textId="77777777" w:rsidR="00C95B7B" w:rsidRPr="00AE2909" w:rsidRDefault="00C95B7B" w:rsidP="007F68BF">
            <w:pPr>
              <w:pStyle w:val="AralkYok"/>
              <w:jc w:val="both"/>
              <w:rPr>
                <w:rFonts w:ascii="Times New Roman" w:hAnsi="Times New Roman"/>
                <w:sz w:val="24"/>
                <w:szCs w:val="24"/>
              </w:rPr>
            </w:pPr>
            <w:r w:rsidRPr="00AE2909">
              <w:rPr>
                <w:rFonts w:ascii="Times New Roman" w:hAnsi="Times New Roman"/>
                <w:sz w:val="24"/>
                <w:szCs w:val="24"/>
              </w:rPr>
              <w:t>Birbirinden bağımsız olacak şekilde aşağıdaki bölümler bulu</w:t>
            </w:r>
            <w:r w:rsidR="009464B8" w:rsidRPr="00AE2909">
              <w:rPr>
                <w:rFonts w:ascii="Times New Roman" w:hAnsi="Times New Roman"/>
                <w:sz w:val="24"/>
                <w:szCs w:val="24"/>
              </w:rPr>
              <w:t>nmaktadır</w:t>
            </w:r>
            <w:r w:rsidRPr="00AE2909">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4F1A49F"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54511F3" w14:textId="77777777" w:rsidR="00C95B7B" w:rsidRPr="00AE2909" w:rsidRDefault="00C95B7B" w:rsidP="007F68BF">
            <w:pPr>
              <w:pStyle w:val="AralkYok"/>
              <w:jc w:val="both"/>
              <w:rPr>
                <w:rFonts w:ascii="Times New Roman" w:hAnsi="Times New Roman"/>
                <w:bCs/>
                <w:sz w:val="24"/>
                <w:szCs w:val="24"/>
              </w:rPr>
            </w:pPr>
          </w:p>
        </w:tc>
      </w:tr>
      <w:tr w:rsidR="00C95B7B" w:rsidRPr="00AE2909" w14:paraId="0A5B0DED" w14:textId="77777777" w:rsidTr="008D215D">
        <w:trPr>
          <w:trHeight w:val="233"/>
        </w:trPr>
        <w:tc>
          <w:tcPr>
            <w:tcW w:w="694" w:type="dxa"/>
            <w:vMerge/>
            <w:tcBorders>
              <w:top w:val="single" w:sz="12" w:space="0" w:color="000080"/>
              <w:left w:val="single" w:sz="12" w:space="0" w:color="000080"/>
              <w:right w:val="single" w:sz="12" w:space="0" w:color="000080"/>
            </w:tcBorders>
            <w:vAlign w:val="center"/>
          </w:tcPr>
          <w:p w14:paraId="279AAE54"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41E92A5"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ECC4BE"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D449027" w14:textId="77777777" w:rsidR="00C95B7B" w:rsidRPr="00AE2909" w:rsidRDefault="00C95B7B" w:rsidP="007F68BF">
            <w:pPr>
              <w:pStyle w:val="AralkYok"/>
              <w:jc w:val="both"/>
              <w:rPr>
                <w:rFonts w:ascii="Times New Roman" w:hAnsi="Times New Roman"/>
                <w:bCs/>
                <w:sz w:val="24"/>
                <w:szCs w:val="24"/>
              </w:rPr>
            </w:pPr>
          </w:p>
        </w:tc>
      </w:tr>
      <w:tr w:rsidR="00C95B7B" w:rsidRPr="00AE2909" w14:paraId="1FF5D722" w14:textId="77777777" w:rsidTr="008D215D">
        <w:trPr>
          <w:trHeight w:val="275"/>
        </w:trPr>
        <w:tc>
          <w:tcPr>
            <w:tcW w:w="694" w:type="dxa"/>
            <w:vMerge/>
            <w:tcBorders>
              <w:top w:val="single" w:sz="12" w:space="0" w:color="000080"/>
              <w:left w:val="single" w:sz="12" w:space="0" w:color="000080"/>
              <w:right w:val="single" w:sz="12" w:space="0" w:color="000080"/>
            </w:tcBorders>
            <w:vAlign w:val="center"/>
          </w:tcPr>
          <w:p w14:paraId="6231E3D5"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2EFE5F10"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91A5E0"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1958400" w14:textId="77777777" w:rsidR="00C95B7B" w:rsidRPr="00AE2909" w:rsidRDefault="00C95B7B" w:rsidP="007F68BF">
            <w:pPr>
              <w:pStyle w:val="AralkYok"/>
              <w:jc w:val="both"/>
              <w:rPr>
                <w:rFonts w:ascii="Times New Roman" w:hAnsi="Times New Roman"/>
                <w:bCs/>
                <w:sz w:val="24"/>
                <w:szCs w:val="24"/>
              </w:rPr>
            </w:pPr>
          </w:p>
        </w:tc>
      </w:tr>
      <w:tr w:rsidR="00C95B7B" w:rsidRPr="00AE2909" w14:paraId="07BFD173" w14:textId="77777777" w:rsidTr="008D215D">
        <w:trPr>
          <w:trHeight w:val="275"/>
        </w:trPr>
        <w:tc>
          <w:tcPr>
            <w:tcW w:w="694" w:type="dxa"/>
            <w:vMerge/>
            <w:tcBorders>
              <w:left w:val="single" w:sz="12" w:space="0" w:color="000080"/>
              <w:right w:val="single" w:sz="12" w:space="0" w:color="000080"/>
            </w:tcBorders>
            <w:vAlign w:val="center"/>
          </w:tcPr>
          <w:p w14:paraId="354AF2BE"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174F3021"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xml:space="preserve">- Geçici depolama alanı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611F1"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21B2DFC" w14:textId="77777777" w:rsidR="00C95B7B" w:rsidRPr="00AE2909" w:rsidRDefault="00C95B7B" w:rsidP="007F68BF">
            <w:pPr>
              <w:pStyle w:val="AralkYok"/>
              <w:jc w:val="both"/>
              <w:rPr>
                <w:rFonts w:ascii="Times New Roman" w:hAnsi="Times New Roman"/>
                <w:bCs/>
                <w:sz w:val="24"/>
                <w:szCs w:val="24"/>
              </w:rPr>
            </w:pPr>
          </w:p>
        </w:tc>
      </w:tr>
      <w:tr w:rsidR="00C95B7B" w:rsidRPr="00AE2909" w14:paraId="305EE9C8" w14:textId="77777777" w:rsidTr="008D215D">
        <w:trPr>
          <w:trHeight w:val="245"/>
        </w:trPr>
        <w:tc>
          <w:tcPr>
            <w:tcW w:w="694" w:type="dxa"/>
            <w:vMerge/>
            <w:tcBorders>
              <w:left w:val="single" w:sz="12" w:space="0" w:color="000080"/>
              <w:right w:val="single" w:sz="12" w:space="0" w:color="000080"/>
            </w:tcBorders>
            <w:vAlign w:val="center"/>
          </w:tcPr>
          <w:p w14:paraId="64D2E564"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09B72B83"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xml:space="preserve">- </w:t>
            </w:r>
            <w:r w:rsidR="000204E3" w:rsidRPr="00AE2909">
              <w:rPr>
                <w:rFonts w:ascii="Times New Roman" w:hAnsi="Times New Roman"/>
                <w:sz w:val="24"/>
                <w:szCs w:val="24"/>
              </w:rPr>
              <w:t>Ürün</w:t>
            </w:r>
            <w:r w:rsidRPr="00AE2909">
              <w:rPr>
                <w:rFonts w:ascii="Times New Roman" w:hAnsi="Times New Roman"/>
                <w:sz w:val="24"/>
                <w:szCs w:val="24"/>
              </w:rPr>
              <w:t xml:space="preserve">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0CEF92"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4F899C" w14:textId="77777777" w:rsidR="00C95B7B" w:rsidRPr="00AE2909" w:rsidRDefault="00C95B7B" w:rsidP="007F68BF">
            <w:pPr>
              <w:pStyle w:val="AralkYok"/>
              <w:jc w:val="both"/>
              <w:rPr>
                <w:rFonts w:ascii="Times New Roman" w:hAnsi="Times New Roman"/>
                <w:bCs/>
                <w:sz w:val="24"/>
                <w:szCs w:val="24"/>
              </w:rPr>
            </w:pPr>
          </w:p>
        </w:tc>
      </w:tr>
      <w:tr w:rsidR="00C95B7B" w:rsidRPr="00AE2909" w14:paraId="5324EA6A" w14:textId="77777777" w:rsidTr="008D215D">
        <w:trPr>
          <w:trHeight w:val="341"/>
        </w:trPr>
        <w:tc>
          <w:tcPr>
            <w:tcW w:w="694" w:type="dxa"/>
            <w:vMerge/>
            <w:tcBorders>
              <w:left w:val="single" w:sz="12" w:space="0" w:color="000080"/>
              <w:bottom w:val="single" w:sz="12" w:space="0" w:color="000080"/>
              <w:right w:val="single" w:sz="12" w:space="0" w:color="000080"/>
            </w:tcBorders>
            <w:vAlign w:val="center"/>
          </w:tcPr>
          <w:p w14:paraId="443B7BC4"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907ED70"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xml:space="preserve">- Otopark, idari ve teknik büro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02CB65C"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4E5CA4A3" w14:textId="77777777" w:rsidR="00C95B7B" w:rsidRPr="00AE2909" w:rsidRDefault="00C95B7B" w:rsidP="007F68BF">
            <w:pPr>
              <w:pStyle w:val="AralkYok"/>
              <w:jc w:val="both"/>
              <w:rPr>
                <w:rFonts w:ascii="Times New Roman" w:hAnsi="Times New Roman"/>
                <w:bCs/>
                <w:sz w:val="24"/>
                <w:szCs w:val="24"/>
              </w:rPr>
            </w:pPr>
          </w:p>
        </w:tc>
      </w:tr>
      <w:tr w:rsidR="00F555E2" w:rsidRPr="00AE2909" w14:paraId="4B6223A2" w14:textId="77777777" w:rsidTr="008D215D">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4A41CDA2" w14:textId="04993421" w:rsidR="00F555E2" w:rsidRPr="00AE2909" w:rsidDel="00B95D27" w:rsidRDefault="0077338F" w:rsidP="007F68BF">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97A939F" w14:textId="5553EFE6" w:rsidR="00F555E2" w:rsidRPr="00AE2909" w:rsidRDefault="00F555E2" w:rsidP="007F68BF">
            <w:pPr>
              <w:pStyle w:val="AralkYok"/>
              <w:jc w:val="both"/>
              <w:rPr>
                <w:rFonts w:ascii="Times New Roman" w:hAnsi="Times New Roman"/>
                <w:sz w:val="24"/>
                <w:szCs w:val="24"/>
              </w:rPr>
            </w:pPr>
            <w:r w:rsidRPr="00AE2909">
              <w:rPr>
                <w:rFonts w:ascii="Times New Roman" w:hAnsi="Times New Roman"/>
                <w:sz w:val="24"/>
                <w:szCs w:val="24"/>
              </w:rPr>
              <w:t>Tesiste araç kantarı bulunmaktadır.</w:t>
            </w:r>
            <w:r w:rsidRPr="00AE2909">
              <w:rPr>
                <w:rFonts w:ascii="Times New Roman" w:hAnsi="Times New Roman"/>
                <w:sz w:val="24"/>
                <w:szCs w:val="24"/>
                <w:vertAlign w:val="superscript"/>
              </w:rPr>
              <w:t xml:space="preserve"> (</w:t>
            </w:r>
            <w:r w:rsidR="007C48C8" w:rsidRPr="00AE2909">
              <w:rPr>
                <w:rFonts w:ascii="Times New Roman" w:hAnsi="Times New Roman"/>
                <w:sz w:val="24"/>
                <w:szCs w:val="24"/>
                <w:vertAlign w:val="superscript"/>
              </w:rPr>
              <w:t>2</w:t>
            </w:r>
            <w:r w:rsidR="008D215D">
              <w:rPr>
                <w:rFonts w:ascii="Times New Roman" w:hAnsi="Times New Roman"/>
                <w:sz w:val="24"/>
                <w:szCs w:val="24"/>
                <w:vertAlign w:val="superscript"/>
              </w:rPr>
              <w:t>)</w:t>
            </w:r>
            <w:r w:rsidRPr="00AE2909">
              <w:rPr>
                <w:rFonts w:ascii="Times New Roman" w:hAnsi="Times New Roman"/>
                <w:sz w:val="24"/>
                <w:szCs w:val="24"/>
                <w:vertAlign w:val="superscript"/>
              </w:rPr>
              <w:t>,(</w:t>
            </w:r>
            <w:r w:rsidR="008D215D">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E7E1773" w14:textId="77777777" w:rsidR="00F555E2" w:rsidRPr="00AE2909" w:rsidRDefault="00F555E2"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65664B4" w14:textId="77777777" w:rsidR="00F555E2" w:rsidRPr="00AE2909" w:rsidRDefault="00F555E2" w:rsidP="007F68BF">
            <w:pPr>
              <w:pStyle w:val="AralkYok"/>
              <w:jc w:val="both"/>
              <w:rPr>
                <w:rFonts w:ascii="Times New Roman" w:hAnsi="Times New Roman"/>
                <w:bCs/>
                <w:sz w:val="24"/>
                <w:szCs w:val="24"/>
              </w:rPr>
            </w:pPr>
          </w:p>
        </w:tc>
      </w:tr>
      <w:tr w:rsidR="007F68BF" w:rsidRPr="00AE2909" w14:paraId="4DF70F31"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0EFDDA51" w14:textId="15095101"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BAD0E72" w14:textId="5B670667" w:rsidR="007F68BF" w:rsidRPr="00AE2909" w:rsidRDefault="007F68BF" w:rsidP="007F68BF">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79100E0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F6B127" w14:textId="77777777" w:rsidR="007F68BF" w:rsidRPr="00AE2909" w:rsidRDefault="007F68BF" w:rsidP="007F68BF">
            <w:pPr>
              <w:pStyle w:val="AralkYok"/>
              <w:jc w:val="both"/>
              <w:rPr>
                <w:rFonts w:ascii="Times New Roman" w:hAnsi="Times New Roman"/>
                <w:bCs/>
                <w:sz w:val="24"/>
                <w:szCs w:val="24"/>
              </w:rPr>
            </w:pPr>
          </w:p>
        </w:tc>
      </w:tr>
      <w:tr w:rsidR="007F68BF" w:rsidRPr="00AE2909" w14:paraId="6090CD04" w14:textId="77777777" w:rsidTr="008D215D">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1A0EA58B" w14:textId="2EE00D1A"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3EF177B3" w14:textId="787BA2FE" w:rsidR="007F68BF" w:rsidRPr="00AE2909" w:rsidRDefault="007F68BF" w:rsidP="007F68BF">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089DC5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3D6553C" w14:textId="77777777" w:rsidR="007F68BF" w:rsidRPr="00AE2909" w:rsidRDefault="007F68BF" w:rsidP="007F68BF">
            <w:pPr>
              <w:pStyle w:val="AralkYok"/>
              <w:jc w:val="both"/>
              <w:rPr>
                <w:rFonts w:ascii="Times New Roman" w:hAnsi="Times New Roman"/>
                <w:bCs/>
                <w:sz w:val="24"/>
                <w:szCs w:val="24"/>
              </w:rPr>
            </w:pPr>
          </w:p>
        </w:tc>
      </w:tr>
      <w:tr w:rsidR="007F68BF" w:rsidRPr="00AE2909" w14:paraId="595FAE75" w14:textId="77777777" w:rsidTr="008D215D">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E15F3B6" w14:textId="5463F8B6"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1B335E1E" w14:textId="4F1CB79D" w:rsidR="007F68BF" w:rsidRPr="00AE2909" w:rsidRDefault="007F68BF" w:rsidP="007F68BF">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AE65F0"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9897523"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398505D"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6B4AA2D" w14:textId="07E8AD2D"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(7)</w:t>
            </w:r>
          </w:p>
        </w:tc>
        <w:tc>
          <w:tcPr>
            <w:tcW w:w="6521" w:type="dxa"/>
            <w:tcBorders>
              <w:top w:val="single" w:sz="12" w:space="0" w:color="000080"/>
              <w:left w:val="single" w:sz="12" w:space="0" w:color="000080"/>
              <w:bottom w:val="single" w:sz="12" w:space="0" w:color="000080"/>
              <w:right w:val="single" w:sz="12" w:space="0" w:color="000080"/>
            </w:tcBorders>
          </w:tcPr>
          <w:p w14:paraId="1BF15ADD" w14:textId="3AB2EADD" w:rsidR="007F68BF" w:rsidRPr="00AE2909" w:rsidRDefault="007F68BF" w:rsidP="007F68BF">
            <w:pPr>
              <w:spacing w:line="240" w:lineRule="atLeast"/>
              <w:jc w:val="both"/>
            </w:pPr>
            <w:r w:rsidRPr="00AE2909">
              <w:t xml:space="preserve">Tesise kabul edilen atıklara uygulanacak işlemlere göre bulunması gerekli asgari </w:t>
            </w:r>
            <w:proofErr w:type="gramStart"/>
            <w:r w:rsidRPr="00AE2909">
              <w:t>ekipmanlar</w:t>
            </w:r>
            <w:proofErr w:type="gramEnd"/>
            <w:r w:rsidRPr="00AE2909">
              <w:t xml:space="preserve"> ve üniteler </w:t>
            </w:r>
            <w:r>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53793F3"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0338595"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AE127CC" w14:textId="77777777" w:rsidTr="007F68BF">
        <w:trPr>
          <w:trHeight w:val="546"/>
        </w:trPr>
        <w:tc>
          <w:tcPr>
            <w:tcW w:w="694" w:type="dxa"/>
            <w:tcBorders>
              <w:top w:val="single" w:sz="12" w:space="0" w:color="000080"/>
              <w:left w:val="single" w:sz="12" w:space="0" w:color="000080"/>
              <w:bottom w:val="single" w:sz="12" w:space="0" w:color="000080"/>
              <w:right w:val="single" w:sz="12" w:space="0" w:color="000080"/>
            </w:tcBorders>
            <w:vAlign w:val="center"/>
          </w:tcPr>
          <w:p w14:paraId="254FD235" w14:textId="66203EAA" w:rsidR="007F68BF" w:rsidRPr="00AE2909"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lastRenderedPageBreak/>
              <w:t>(8)</w:t>
            </w:r>
          </w:p>
        </w:tc>
        <w:tc>
          <w:tcPr>
            <w:tcW w:w="6521" w:type="dxa"/>
            <w:tcBorders>
              <w:top w:val="single" w:sz="12" w:space="0" w:color="000080"/>
              <w:left w:val="single" w:sz="12" w:space="0" w:color="000080"/>
              <w:bottom w:val="single" w:sz="12" w:space="0" w:color="000080"/>
              <w:right w:val="single" w:sz="12" w:space="0" w:color="000080"/>
            </w:tcBorders>
          </w:tcPr>
          <w:p w14:paraId="02400D9B" w14:textId="0D97746B" w:rsidR="007F68BF" w:rsidRPr="00AE2909" w:rsidRDefault="007F68BF" w:rsidP="007F68BF">
            <w:pPr>
              <w:jc w:val="both"/>
            </w:pPr>
            <w:r w:rsidRPr="00B22C85">
              <w:t xml:space="preserve">Tesiste bulunması gereken asgari </w:t>
            </w:r>
            <w:proofErr w:type="gramStart"/>
            <w:r w:rsidRPr="00B22C85">
              <w:t>ekipmanlar</w:t>
            </w:r>
            <w:proofErr w:type="gramEnd"/>
            <w:r w:rsidRPr="00B22C85">
              <w:t xml:space="preserve">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E569852"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B1E77A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75D4C116" w14:textId="77777777" w:rsidTr="007F68BF">
        <w:trPr>
          <w:trHeight w:val="548"/>
        </w:trPr>
        <w:tc>
          <w:tcPr>
            <w:tcW w:w="694" w:type="dxa"/>
            <w:tcBorders>
              <w:top w:val="single" w:sz="12" w:space="0" w:color="000080"/>
              <w:left w:val="single" w:sz="12" w:space="0" w:color="000080"/>
              <w:bottom w:val="single" w:sz="12" w:space="0" w:color="000080"/>
              <w:right w:val="single" w:sz="12" w:space="0" w:color="000080"/>
            </w:tcBorders>
            <w:vAlign w:val="center"/>
          </w:tcPr>
          <w:p w14:paraId="1AC086B1" w14:textId="6B44288A" w:rsidR="007F68BF" w:rsidRPr="00AE2909"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66FBF603" w14:textId="3FF813E7" w:rsidR="007F68BF" w:rsidRPr="00AE2909" w:rsidRDefault="007F68BF" w:rsidP="007F68BF">
            <w:pPr>
              <w:jc w:val="both"/>
            </w:pPr>
            <w:r w:rsidRPr="00AE2909">
              <w:t>İşletmede …/…/</w:t>
            </w:r>
            <w:proofErr w:type="gramStart"/>
            <w:r w:rsidRPr="00AE2909">
              <w:t>……</w:t>
            </w:r>
            <w:proofErr w:type="gramEnd"/>
            <w:r w:rsidRPr="00AE2909">
              <w:t xml:space="preserve"> tarihli ve </w:t>
            </w:r>
            <w:proofErr w:type="gramStart"/>
            <w:r w:rsidRPr="00AE2909">
              <w:t>…………..</w:t>
            </w:r>
            <w:proofErr w:type="gramEnd"/>
            <w:r w:rsidRPr="00AE2909">
              <w:t xml:space="preserve">rapor </w:t>
            </w:r>
            <w:proofErr w:type="spellStart"/>
            <w:r w:rsidRPr="00AE2909">
              <w:t>nolu</w:t>
            </w:r>
            <w:proofErr w:type="spellEnd"/>
            <w:r w:rsidRPr="00AE2909">
              <w:t xml:space="preserve"> Kapasite Raporunda yer alan makine ve ekipmanlar bulunmaktadır.</w:t>
            </w:r>
            <w:r w:rsidRPr="00AE2909">
              <w:rPr>
                <w:vertAlign w:val="superscript"/>
              </w:rPr>
              <w:t>(</w:t>
            </w:r>
            <w:r>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B19B66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4770A5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3D712B3D" w14:textId="77777777" w:rsidTr="008D215D">
        <w:trPr>
          <w:trHeight w:val="358"/>
        </w:trPr>
        <w:tc>
          <w:tcPr>
            <w:tcW w:w="694" w:type="dxa"/>
            <w:vMerge w:val="restart"/>
            <w:tcBorders>
              <w:top w:val="single" w:sz="12" w:space="0" w:color="000080"/>
              <w:left w:val="single" w:sz="12" w:space="0" w:color="000080"/>
              <w:right w:val="single" w:sz="12" w:space="0" w:color="000080"/>
            </w:tcBorders>
            <w:vAlign w:val="center"/>
          </w:tcPr>
          <w:p w14:paraId="7E005124" w14:textId="565DE833" w:rsidR="007F68BF" w:rsidRPr="00AE2909" w:rsidDel="00C95B7B"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(10)</w:t>
            </w:r>
          </w:p>
        </w:tc>
        <w:tc>
          <w:tcPr>
            <w:tcW w:w="6521" w:type="dxa"/>
            <w:tcBorders>
              <w:top w:val="single" w:sz="12" w:space="0" w:color="000080"/>
              <w:left w:val="single" w:sz="12" w:space="0" w:color="000080"/>
              <w:bottom w:val="single" w:sz="4" w:space="0" w:color="auto"/>
              <w:right w:val="single" w:sz="12" w:space="0" w:color="000080"/>
            </w:tcBorders>
            <w:vAlign w:val="center"/>
          </w:tcPr>
          <w:p w14:paraId="6D35BE7F" w14:textId="580C2706" w:rsidR="007F68BF" w:rsidRPr="00AE2909" w:rsidRDefault="007F68BF" w:rsidP="007F68BF">
            <w:pPr>
              <w:ind w:hanging="108"/>
              <w:jc w:val="both"/>
            </w:pPr>
            <w:r w:rsidRPr="007A7432">
              <w:t>Atık kabul biriminde</w:t>
            </w:r>
            <w:r w:rsidRPr="007A7432">
              <w:rPr>
                <w:b/>
              </w:rPr>
              <w:t xml:space="preserve"> </w:t>
            </w:r>
            <w:r w:rsidRPr="007A7432">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1DA080C"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4737C37" w14:textId="77777777" w:rsidR="007F68BF" w:rsidRPr="00AE2909" w:rsidRDefault="007F68BF" w:rsidP="007F68BF">
            <w:pPr>
              <w:pStyle w:val="AralkYok"/>
              <w:jc w:val="both"/>
              <w:rPr>
                <w:rFonts w:ascii="Times New Roman" w:hAnsi="Times New Roman"/>
                <w:bCs/>
                <w:sz w:val="24"/>
                <w:szCs w:val="24"/>
              </w:rPr>
            </w:pPr>
          </w:p>
        </w:tc>
      </w:tr>
      <w:tr w:rsidR="007F68BF" w:rsidRPr="00AE2909" w14:paraId="7FB03627" w14:textId="77777777" w:rsidTr="008D215D">
        <w:trPr>
          <w:trHeight w:val="841"/>
        </w:trPr>
        <w:tc>
          <w:tcPr>
            <w:tcW w:w="694" w:type="dxa"/>
            <w:vMerge/>
            <w:tcBorders>
              <w:left w:val="single" w:sz="12" w:space="0" w:color="000080"/>
              <w:right w:val="single" w:sz="12" w:space="0" w:color="000080"/>
            </w:tcBorders>
            <w:vAlign w:val="center"/>
          </w:tcPr>
          <w:p w14:paraId="39949429"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04A9EF" w14:textId="2EFB8F4F" w:rsidR="007F68BF" w:rsidRPr="00AE2909" w:rsidRDefault="007F68BF" w:rsidP="007F68BF">
            <w:pPr>
              <w:pStyle w:val="ListeParagraf"/>
              <w:ind w:left="459"/>
              <w:jc w:val="both"/>
            </w:pPr>
            <w:r w:rsidRPr="007A7432">
              <w:t xml:space="preserve">-Atıkların bekletileceği alanlar meteorolojik olayların etkilerine karşı üzeri ve en az üç tarafı yapı malzemesi ile kalıcı olacak şekilde kapalıdır. </w:t>
            </w:r>
            <w:r w:rsidRPr="007A7432">
              <w:rPr>
                <w:vertAlign w:val="superscript"/>
              </w:rPr>
              <w:t>(</w:t>
            </w:r>
            <w:r>
              <w:rPr>
                <w:vertAlign w:val="superscript"/>
              </w:rPr>
              <w:t>5</w:t>
            </w:r>
            <w:r w:rsidRPr="007A7432">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1F802C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8F54AC" w14:textId="77777777" w:rsidR="007F68BF" w:rsidRPr="00AE2909" w:rsidRDefault="007F68BF" w:rsidP="007F68BF">
            <w:pPr>
              <w:pStyle w:val="AralkYok"/>
              <w:jc w:val="both"/>
              <w:rPr>
                <w:rFonts w:ascii="Times New Roman" w:hAnsi="Times New Roman"/>
                <w:bCs/>
                <w:sz w:val="24"/>
                <w:szCs w:val="24"/>
              </w:rPr>
            </w:pPr>
          </w:p>
        </w:tc>
      </w:tr>
      <w:tr w:rsidR="007F68BF" w:rsidRPr="00AE2909" w14:paraId="456555F6" w14:textId="77777777" w:rsidTr="007F68BF">
        <w:trPr>
          <w:trHeight w:val="381"/>
        </w:trPr>
        <w:tc>
          <w:tcPr>
            <w:tcW w:w="694" w:type="dxa"/>
            <w:vMerge/>
            <w:tcBorders>
              <w:left w:val="single" w:sz="12" w:space="0" w:color="000080"/>
              <w:right w:val="single" w:sz="12" w:space="0" w:color="000080"/>
            </w:tcBorders>
            <w:vAlign w:val="center"/>
          </w:tcPr>
          <w:p w14:paraId="71A0B71D"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D9DC07B" w14:textId="03B596A8" w:rsidR="007F68BF" w:rsidRPr="00AE2909" w:rsidRDefault="007F68BF" w:rsidP="007F68BF">
            <w:pPr>
              <w:pStyle w:val="ListeParagraf"/>
              <w:ind w:left="459"/>
              <w:jc w:val="both"/>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EE0CB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6AC71C" w14:textId="77777777" w:rsidR="007F68BF" w:rsidRPr="00AE2909" w:rsidRDefault="007F68BF" w:rsidP="007F68BF">
            <w:pPr>
              <w:pStyle w:val="AralkYok"/>
              <w:jc w:val="both"/>
              <w:rPr>
                <w:rFonts w:ascii="Times New Roman" w:hAnsi="Times New Roman"/>
                <w:bCs/>
                <w:sz w:val="24"/>
                <w:szCs w:val="24"/>
              </w:rPr>
            </w:pPr>
          </w:p>
        </w:tc>
      </w:tr>
      <w:tr w:rsidR="007F68BF" w:rsidRPr="00AE2909" w14:paraId="0A83E527" w14:textId="77777777" w:rsidTr="007F68BF">
        <w:trPr>
          <w:trHeight w:val="1069"/>
        </w:trPr>
        <w:tc>
          <w:tcPr>
            <w:tcW w:w="694" w:type="dxa"/>
            <w:vMerge/>
            <w:tcBorders>
              <w:left w:val="single" w:sz="12" w:space="0" w:color="000080"/>
              <w:right w:val="single" w:sz="12" w:space="0" w:color="000080"/>
            </w:tcBorders>
            <w:vAlign w:val="center"/>
          </w:tcPr>
          <w:p w14:paraId="261A771F"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058AAF7" w14:textId="77D5B107" w:rsidR="007F68BF" w:rsidRPr="00AE2909" w:rsidRDefault="007F68BF" w:rsidP="007F68BF">
            <w:pPr>
              <w:pStyle w:val="ListeParagraf"/>
              <w:ind w:left="459"/>
              <w:jc w:val="both"/>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A3A33E"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4BA4F5F" w14:textId="77777777" w:rsidR="007F68BF" w:rsidRPr="00AE2909" w:rsidRDefault="007F68BF" w:rsidP="007F68BF">
            <w:pPr>
              <w:pStyle w:val="AralkYok"/>
              <w:jc w:val="both"/>
              <w:rPr>
                <w:rFonts w:ascii="Times New Roman" w:hAnsi="Times New Roman"/>
                <w:bCs/>
                <w:sz w:val="24"/>
                <w:szCs w:val="24"/>
              </w:rPr>
            </w:pPr>
          </w:p>
        </w:tc>
      </w:tr>
      <w:tr w:rsidR="007F68BF" w:rsidRPr="00AE2909" w14:paraId="0453A7CE" w14:textId="77777777" w:rsidTr="008D215D">
        <w:trPr>
          <w:trHeight w:val="791"/>
        </w:trPr>
        <w:tc>
          <w:tcPr>
            <w:tcW w:w="694" w:type="dxa"/>
            <w:vMerge/>
            <w:tcBorders>
              <w:left w:val="single" w:sz="12" w:space="0" w:color="000080"/>
              <w:right w:val="single" w:sz="12" w:space="0" w:color="000080"/>
            </w:tcBorders>
            <w:vAlign w:val="center"/>
          </w:tcPr>
          <w:p w14:paraId="00FAC364"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268BFA" w14:textId="6E9AA4E4" w:rsidR="007F68BF" w:rsidRPr="00AE2909" w:rsidRDefault="007F68BF" w:rsidP="007F68BF">
            <w:pPr>
              <w:pStyle w:val="ListeParagraf"/>
              <w:ind w:left="459"/>
              <w:jc w:val="both"/>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D4B595"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F471093" w14:textId="77777777" w:rsidR="007F68BF" w:rsidRPr="00AE2909" w:rsidRDefault="007F68BF" w:rsidP="007F68BF">
            <w:pPr>
              <w:pStyle w:val="AralkYok"/>
              <w:jc w:val="both"/>
              <w:rPr>
                <w:rFonts w:ascii="Times New Roman" w:hAnsi="Times New Roman"/>
                <w:bCs/>
                <w:sz w:val="24"/>
                <w:szCs w:val="24"/>
              </w:rPr>
            </w:pPr>
          </w:p>
        </w:tc>
      </w:tr>
      <w:tr w:rsidR="007F68BF" w:rsidRPr="00AE2909" w14:paraId="68CFA530" w14:textId="77777777" w:rsidTr="008D215D">
        <w:trPr>
          <w:trHeight w:val="561"/>
        </w:trPr>
        <w:tc>
          <w:tcPr>
            <w:tcW w:w="694" w:type="dxa"/>
            <w:vMerge/>
            <w:tcBorders>
              <w:left w:val="single" w:sz="12" w:space="0" w:color="000080"/>
              <w:right w:val="single" w:sz="12" w:space="0" w:color="000080"/>
            </w:tcBorders>
            <w:vAlign w:val="center"/>
          </w:tcPr>
          <w:p w14:paraId="1859397E"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1FF5E55" w14:textId="5A31064E" w:rsidR="007F68BF" w:rsidRPr="00AE2909" w:rsidRDefault="007F68BF" w:rsidP="007F68BF">
            <w:pPr>
              <w:pStyle w:val="ListeParagraf"/>
              <w:ind w:left="459"/>
              <w:jc w:val="both"/>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CD2A84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88DF3D3" w14:textId="77777777" w:rsidR="007F68BF" w:rsidRPr="00AE2909" w:rsidRDefault="007F68BF" w:rsidP="007F68BF">
            <w:pPr>
              <w:pStyle w:val="AralkYok"/>
              <w:jc w:val="both"/>
              <w:rPr>
                <w:rFonts w:ascii="Times New Roman" w:hAnsi="Times New Roman"/>
                <w:bCs/>
                <w:sz w:val="24"/>
                <w:szCs w:val="24"/>
              </w:rPr>
            </w:pPr>
          </w:p>
        </w:tc>
      </w:tr>
      <w:tr w:rsidR="007F68BF" w:rsidRPr="00AE2909" w14:paraId="5978449A" w14:textId="77777777" w:rsidTr="008D215D">
        <w:trPr>
          <w:trHeight w:val="300"/>
        </w:trPr>
        <w:tc>
          <w:tcPr>
            <w:tcW w:w="694" w:type="dxa"/>
            <w:vMerge/>
            <w:tcBorders>
              <w:left w:val="single" w:sz="12" w:space="0" w:color="000080"/>
              <w:right w:val="single" w:sz="12" w:space="0" w:color="000080"/>
            </w:tcBorders>
            <w:vAlign w:val="center"/>
          </w:tcPr>
          <w:p w14:paraId="010123D8"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C8BD2F" w14:textId="145F7CC5" w:rsidR="007F68BF" w:rsidRPr="00AE2909" w:rsidRDefault="007F68BF" w:rsidP="007F68BF">
            <w:pPr>
              <w:pStyle w:val="ListeParagraf"/>
              <w:ind w:left="459"/>
              <w:jc w:val="both"/>
            </w:pPr>
            <w:r w:rsidRPr="007A7432">
              <w:t xml:space="preserve">-Atıkların özelliklerine, atığa uygulanacak fiziksel, kimyasal, biyolojik işlemlere, bekletme sürelerine göre yeterli sayıda ve kapasitede bölümler/ konteyner ve benzeri </w:t>
            </w:r>
            <w:proofErr w:type="gramStart"/>
            <w:r w:rsidRPr="007A7432">
              <w:t>ekipmanlar</w:t>
            </w:r>
            <w:proofErr w:type="gramEnd"/>
            <w:r w:rsidRPr="007A7432">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0E71E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034178D" w14:textId="77777777" w:rsidR="007F68BF" w:rsidRPr="00AE2909" w:rsidRDefault="007F68BF" w:rsidP="007F68BF">
            <w:pPr>
              <w:pStyle w:val="AralkYok"/>
              <w:jc w:val="both"/>
              <w:rPr>
                <w:rFonts w:ascii="Times New Roman" w:hAnsi="Times New Roman"/>
                <w:bCs/>
                <w:sz w:val="24"/>
                <w:szCs w:val="24"/>
              </w:rPr>
            </w:pPr>
          </w:p>
        </w:tc>
      </w:tr>
      <w:tr w:rsidR="007F68BF" w:rsidRPr="00AE2909" w14:paraId="3AC47C9E" w14:textId="77777777" w:rsidTr="008D215D">
        <w:trPr>
          <w:trHeight w:val="1007"/>
        </w:trPr>
        <w:tc>
          <w:tcPr>
            <w:tcW w:w="694" w:type="dxa"/>
            <w:vMerge/>
            <w:tcBorders>
              <w:left w:val="single" w:sz="12" w:space="0" w:color="000080"/>
              <w:right w:val="single" w:sz="12" w:space="0" w:color="000080"/>
            </w:tcBorders>
            <w:vAlign w:val="center"/>
          </w:tcPr>
          <w:p w14:paraId="75ECB39D"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B38EEA" w14:textId="43113E1F" w:rsidR="007F68BF" w:rsidRPr="00AE2909" w:rsidRDefault="007F68BF" w:rsidP="007F68BF">
            <w:pPr>
              <w:pStyle w:val="ListeParagraf"/>
              <w:ind w:left="459"/>
              <w:jc w:val="both"/>
            </w:pPr>
            <w:r w:rsidRPr="007A7432">
              <w:t xml:space="preserve">-Atıkların ayrımı için, araya paneller konularak bölmeler oluşturulmuştur veya atığın özelliklerine uygun tank, konteyner ve benzeri </w:t>
            </w:r>
            <w:proofErr w:type="gramStart"/>
            <w:r w:rsidRPr="007A7432">
              <w:t>ekipman</w:t>
            </w:r>
            <w:proofErr w:type="gramEnd"/>
            <w:r w:rsidRPr="007A7432">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77E6AAB"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7CEFCC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473C4F8" w14:textId="77777777" w:rsidTr="008D215D">
        <w:trPr>
          <w:trHeight w:val="628"/>
        </w:trPr>
        <w:tc>
          <w:tcPr>
            <w:tcW w:w="694" w:type="dxa"/>
            <w:vMerge/>
            <w:tcBorders>
              <w:left w:val="single" w:sz="12" w:space="0" w:color="000080"/>
              <w:right w:val="single" w:sz="12" w:space="0" w:color="000080"/>
            </w:tcBorders>
            <w:vAlign w:val="center"/>
          </w:tcPr>
          <w:p w14:paraId="1EED8BD2"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A19C9A3" w14:textId="2C8D3F87" w:rsidR="007F68BF" w:rsidRPr="00AE2909" w:rsidRDefault="007F68BF" w:rsidP="007F68BF">
            <w:pPr>
              <w:pStyle w:val="ListeParagraf"/>
              <w:ind w:left="459"/>
              <w:jc w:val="both"/>
            </w:pPr>
            <w:r w:rsidRPr="007A7432">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A593D9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C9CBFB7" w14:textId="77777777" w:rsidR="007F68BF" w:rsidRPr="00AE2909" w:rsidRDefault="007F68BF" w:rsidP="007F68BF">
            <w:pPr>
              <w:pStyle w:val="AralkYok"/>
              <w:jc w:val="both"/>
              <w:rPr>
                <w:rFonts w:ascii="Times New Roman" w:hAnsi="Times New Roman"/>
                <w:bCs/>
                <w:sz w:val="24"/>
                <w:szCs w:val="24"/>
              </w:rPr>
            </w:pPr>
          </w:p>
        </w:tc>
      </w:tr>
      <w:tr w:rsidR="007F68BF" w:rsidRPr="00AE2909" w14:paraId="4FEA5E65" w14:textId="77777777" w:rsidTr="008D215D">
        <w:trPr>
          <w:trHeight w:val="696"/>
        </w:trPr>
        <w:tc>
          <w:tcPr>
            <w:tcW w:w="694" w:type="dxa"/>
            <w:vMerge/>
            <w:tcBorders>
              <w:left w:val="single" w:sz="12" w:space="0" w:color="000080"/>
              <w:bottom w:val="single" w:sz="12" w:space="0" w:color="000080"/>
              <w:right w:val="single" w:sz="12" w:space="0" w:color="000080"/>
            </w:tcBorders>
            <w:vAlign w:val="center"/>
          </w:tcPr>
          <w:p w14:paraId="085830BE"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A52A9E9" w14:textId="1F4FF069" w:rsidR="007F68BF" w:rsidRPr="00AE2909" w:rsidRDefault="007F68BF" w:rsidP="007F68BF">
            <w:pPr>
              <w:pStyle w:val="ListeParagraf"/>
              <w:ind w:left="459"/>
              <w:jc w:val="both"/>
            </w:pPr>
            <w:r w:rsidRPr="007A7432">
              <w:t xml:space="preserve">-Her bir bölmede/konteynerde bekletilecek atığın </w:t>
            </w:r>
            <w:proofErr w:type="gramStart"/>
            <w:r w:rsidRPr="007A7432">
              <w:t>kodu  belirtilmektedir</w:t>
            </w:r>
            <w:proofErr w:type="gramEnd"/>
            <w:r w:rsidRPr="007A7432">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04D350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7CF7F7CD"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4AD89E3" w14:textId="77777777" w:rsidTr="007F68BF">
        <w:trPr>
          <w:trHeight w:val="325"/>
        </w:trPr>
        <w:tc>
          <w:tcPr>
            <w:tcW w:w="694" w:type="dxa"/>
            <w:tcBorders>
              <w:top w:val="single" w:sz="12" w:space="0" w:color="000080"/>
              <w:left w:val="single" w:sz="12" w:space="0" w:color="000080"/>
              <w:right w:val="single" w:sz="12" w:space="0" w:color="000080"/>
            </w:tcBorders>
            <w:vAlign w:val="center"/>
          </w:tcPr>
          <w:p w14:paraId="6D342A52" w14:textId="370A83EB" w:rsidR="007F68BF" w:rsidRPr="00AE2909" w:rsidDel="00C95B7B"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(11)</w:t>
            </w:r>
          </w:p>
        </w:tc>
        <w:tc>
          <w:tcPr>
            <w:tcW w:w="6521" w:type="dxa"/>
            <w:tcBorders>
              <w:top w:val="single" w:sz="12" w:space="0" w:color="000080"/>
              <w:left w:val="single" w:sz="12" w:space="0" w:color="000080"/>
              <w:right w:val="single" w:sz="12" w:space="0" w:color="000080"/>
            </w:tcBorders>
            <w:vAlign w:val="center"/>
          </w:tcPr>
          <w:p w14:paraId="05487FA2" w14:textId="21016ED4" w:rsidR="007F68BF" w:rsidRPr="00AE2909" w:rsidRDefault="007F68BF" w:rsidP="007F68BF">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4955166F"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right w:val="single" w:sz="12" w:space="0" w:color="000080"/>
            </w:tcBorders>
            <w:vAlign w:val="center"/>
          </w:tcPr>
          <w:p w14:paraId="604A7D15"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B2DA2D8" w14:textId="77777777" w:rsidTr="008D215D">
        <w:trPr>
          <w:trHeight w:val="301"/>
        </w:trPr>
        <w:tc>
          <w:tcPr>
            <w:tcW w:w="694" w:type="dxa"/>
            <w:vMerge w:val="restart"/>
            <w:tcBorders>
              <w:top w:val="single" w:sz="12" w:space="0" w:color="000080"/>
              <w:left w:val="single" w:sz="12" w:space="0" w:color="000080"/>
              <w:right w:val="single" w:sz="12" w:space="0" w:color="000080"/>
            </w:tcBorders>
            <w:vAlign w:val="center"/>
          </w:tcPr>
          <w:p w14:paraId="301E0CF3" w14:textId="3358B486" w:rsidR="007F68BF" w:rsidRPr="00AE2909"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(12)</w:t>
            </w:r>
          </w:p>
        </w:tc>
        <w:tc>
          <w:tcPr>
            <w:tcW w:w="6521" w:type="dxa"/>
            <w:tcBorders>
              <w:top w:val="single" w:sz="12" w:space="0" w:color="000080"/>
              <w:left w:val="single" w:sz="12" w:space="0" w:color="000080"/>
              <w:bottom w:val="single" w:sz="4" w:space="0" w:color="auto"/>
              <w:right w:val="single" w:sz="12" w:space="0" w:color="000080"/>
            </w:tcBorders>
            <w:vAlign w:val="center"/>
          </w:tcPr>
          <w:p w14:paraId="0BE396C1" w14:textId="22AE186F" w:rsidR="007F68BF" w:rsidRPr="00AE2909" w:rsidRDefault="007F68BF" w:rsidP="007F68BF">
            <w:pPr>
              <w:jc w:val="both"/>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51B20BD"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CC3B61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74C41A72" w14:textId="77777777" w:rsidTr="008D215D">
        <w:trPr>
          <w:trHeight w:val="318"/>
        </w:trPr>
        <w:tc>
          <w:tcPr>
            <w:tcW w:w="694" w:type="dxa"/>
            <w:vMerge/>
            <w:tcBorders>
              <w:left w:val="single" w:sz="12" w:space="0" w:color="000080"/>
              <w:right w:val="single" w:sz="12" w:space="0" w:color="000080"/>
            </w:tcBorders>
            <w:vAlign w:val="center"/>
          </w:tcPr>
          <w:p w14:paraId="5117CF77"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7EEF8F" w14:textId="7B6F90E8" w:rsidR="007F68BF" w:rsidRPr="00AE2909" w:rsidRDefault="007F68BF" w:rsidP="007F68BF">
            <w:pPr>
              <w:jc w:val="both"/>
            </w:pPr>
            <w:r w:rsidRPr="00003C97">
              <w:t xml:space="preserve">İşletmeye kabul edilen atıklar içerisinde 1 yıldan fazla süredir işlenmemiş atık bulunmamaktadır.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5B906EF"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64BCB54" w14:textId="77777777" w:rsidR="007F68BF" w:rsidRPr="00AE2909" w:rsidRDefault="007F68BF" w:rsidP="007F68BF">
            <w:pPr>
              <w:pStyle w:val="AralkYok"/>
              <w:jc w:val="both"/>
              <w:rPr>
                <w:rFonts w:ascii="Times New Roman" w:hAnsi="Times New Roman"/>
                <w:bCs/>
                <w:sz w:val="24"/>
                <w:szCs w:val="24"/>
              </w:rPr>
            </w:pPr>
          </w:p>
        </w:tc>
      </w:tr>
      <w:tr w:rsidR="007F68BF" w:rsidRPr="00AE2909" w14:paraId="752BD3F3" w14:textId="77777777" w:rsidTr="008D215D">
        <w:trPr>
          <w:trHeight w:val="335"/>
        </w:trPr>
        <w:tc>
          <w:tcPr>
            <w:tcW w:w="694" w:type="dxa"/>
            <w:vMerge/>
            <w:tcBorders>
              <w:left w:val="single" w:sz="12" w:space="0" w:color="000080"/>
              <w:right w:val="single" w:sz="12" w:space="0" w:color="000080"/>
            </w:tcBorders>
            <w:vAlign w:val="center"/>
          </w:tcPr>
          <w:p w14:paraId="22FD9A28"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60FB756" w14:textId="4990D558" w:rsidR="007F68BF" w:rsidRPr="00AE2909" w:rsidRDefault="007F68BF" w:rsidP="007F68BF">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95108"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A6843D" w14:textId="77777777" w:rsidR="007F68BF" w:rsidRPr="00AE2909" w:rsidRDefault="007F68BF" w:rsidP="007F68BF">
            <w:pPr>
              <w:pStyle w:val="AralkYok"/>
              <w:jc w:val="both"/>
              <w:rPr>
                <w:rFonts w:ascii="Times New Roman" w:hAnsi="Times New Roman"/>
                <w:bCs/>
                <w:sz w:val="24"/>
                <w:szCs w:val="24"/>
              </w:rPr>
            </w:pPr>
          </w:p>
        </w:tc>
      </w:tr>
      <w:tr w:rsidR="007F68BF" w:rsidRPr="00AE2909" w14:paraId="1963ABC6" w14:textId="77777777" w:rsidTr="008D215D">
        <w:trPr>
          <w:trHeight w:val="591"/>
        </w:trPr>
        <w:tc>
          <w:tcPr>
            <w:tcW w:w="694" w:type="dxa"/>
            <w:vMerge w:val="restart"/>
            <w:tcBorders>
              <w:top w:val="single" w:sz="12" w:space="0" w:color="000080"/>
              <w:left w:val="single" w:sz="12" w:space="0" w:color="000080"/>
              <w:right w:val="single" w:sz="12" w:space="0" w:color="000080"/>
            </w:tcBorders>
            <w:vAlign w:val="center"/>
          </w:tcPr>
          <w:p w14:paraId="7A228C63" w14:textId="50F45BB7" w:rsidR="007F68BF" w:rsidRPr="00AE2909"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(1</w:t>
            </w:r>
            <w:r>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1A70B70A" w14:textId="008685ED" w:rsidR="007F68BF" w:rsidRPr="00AE2909" w:rsidRDefault="007F68BF" w:rsidP="007F68BF">
            <w:pPr>
              <w:ind w:firstLine="34"/>
              <w:jc w:val="both"/>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712AC4E2"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0D0128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0B94F838" w14:textId="77777777" w:rsidTr="008D215D">
        <w:trPr>
          <w:trHeight w:val="658"/>
        </w:trPr>
        <w:tc>
          <w:tcPr>
            <w:tcW w:w="694" w:type="dxa"/>
            <w:vMerge/>
            <w:tcBorders>
              <w:left w:val="single" w:sz="12" w:space="0" w:color="000080"/>
              <w:right w:val="single" w:sz="12" w:space="0" w:color="000080"/>
            </w:tcBorders>
            <w:vAlign w:val="center"/>
          </w:tcPr>
          <w:p w14:paraId="1FC17F88"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5B18AC" w14:textId="77777777" w:rsidR="007F68BF" w:rsidRDefault="007F68BF" w:rsidP="007F68BF">
            <w:pPr>
              <w:ind w:firstLine="459"/>
              <w:jc w:val="both"/>
            </w:pPr>
            <w:r w:rsidRPr="00B22C85">
              <w:t>-Tabanı, sızdırmazlığı sağl</w:t>
            </w:r>
            <w:r>
              <w:t>ayacak şekilde geçirimsiz beton</w:t>
            </w:r>
          </w:p>
          <w:p w14:paraId="5D464B83" w14:textId="56CE3DA6" w:rsidR="007F68BF" w:rsidRPr="00AE2909" w:rsidRDefault="007F68BF" w:rsidP="007F68BF">
            <w:pPr>
              <w:ind w:left="459"/>
              <w:jc w:val="both"/>
            </w:pPr>
            <w:proofErr w:type="gramStart"/>
            <w:r w:rsidRPr="00B22C85">
              <w:t>ve</w:t>
            </w:r>
            <w:proofErr w:type="gramEnd"/>
            <w:r w:rsidRPr="00B22C85">
              <w:t xml:space="preser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CCBC8E3"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0E6A6AC" w14:textId="77777777" w:rsidR="007F68BF" w:rsidRPr="00AE2909" w:rsidRDefault="007F68BF" w:rsidP="007F68BF">
            <w:pPr>
              <w:pStyle w:val="AralkYok"/>
              <w:jc w:val="both"/>
              <w:rPr>
                <w:rFonts w:ascii="Times New Roman" w:hAnsi="Times New Roman"/>
                <w:bCs/>
                <w:sz w:val="24"/>
                <w:szCs w:val="24"/>
              </w:rPr>
            </w:pPr>
          </w:p>
        </w:tc>
      </w:tr>
      <w:tr w:rsidR="007F68BF" w:rsidRPr="00AE2909" w14:paraId="47AC7563" w14:textId="77777777" w:rsidTr="008D215D">
        <w:trPr>
          <w:trHeight w:val="991"/>
        </w:trPr>
        <w:tc>
          <w:tcPr>
            <w:tcW w:w="694" w:type="dxa"/>
            <w:vMerge/>
            <w:tcBorders>
              <w:left w:val="single" w:sz="12" w:space="0" w:color="000080"/>
              <w:bottom w:val="single" w:sz="12" w:space="0" w:color="000080"/>
              <w:right w:val="single" w:sz="12" w:space="0" w:color="000080"/>
            </w:tcBorders>
            <w:vAlign w:val="center"/>
          </w:tcPr>
          <w:p w14:paraId="6D0326C0"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000EEBF8" w14:textId="77777777" w:rsidR="007F68BF" w:rsidRDefault="007F68BF" w:rsidP="007F68BF">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577F4509" w14:textId="77777777" w:rsidR="007F68BF" w:rsidRDefault="007F68BF" w:rsidP="007F68BF">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kanalizasyon</w:t>
            </w:r>
            <w:proofErr w:type="gramEnd"/>
            <w:r w:rsidRPr="006302BC">
              <w:rPr>
                <w:rFonts w:ascii="Times New Roman" w:hAnsi="Times New Roman"/>
                <w:sz w:val="24"/>
                <w:szCs w:val="24"/>
              </w:rPr>
              <w:t xml:space="preserve"> veya yer üstü </w:t>
            </w:r>
            <w:r>
              <w:rPr>
                <w:rFonts w:ascii="Times New Roman" w:hAnsi="Times New Roman"/>
                <w:sz w:val="24"/>
                <w:szCs w:val="24"/>
              </w:rPr>
              <w:t>suyuyla temasını veya sızmasını</w:t>
            </w:r>
          </w:p>
          <w:p w14:paraId="48885019" w14:textId="77777777" w:rsidR="007F68BF" w:rsidRDefault="007F68BF" w:rsidP="007F68BF">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engelleyecek</w:t>
            </w:r>
            <w:proofErr w:type="gramEnd"/>
            <w:r w:rsidRPr="006302BC">
              <w:rPr>
                <w:rFonts w:ascii="Times New Roman" w:hAnsi="Times New Roman"/>
                <w:sz w:val="24"/>
                <w:szCs w:val="24"/>
              </w:rPr>
              <w:t xml:space="preserve"> şekilde toplanabilmesi için taban</w:t>
            </w:r>
            <w:r>
              <w:rPr>
                <w:rFonts w:ascii="Times New Roman" w:hAnsi="Times New Roman"/>
                <w:sz w:val="24"/>
                <w:szCs w:val="24"/>
              </w:rPr>
              <w:t>da uygun</w:t>
            </w:r>
          </w:p>
          <w:p w14:paraId="3075B0CA" w14:textId="77777777" w:rsidR="007F68BF" w:rsidRDefault="007F68BF" w:rsidP="007F68BF">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eğimler</w:t>
            </w:r>
            <w:proofErr w:type="gramEnd"/>
            <w:r w:rsidRPr="006302BC">
              <w:rPr>
                <w:rFonts w:ascii="Times New Roman" w:hAnsi="Times New Roman"/>
                <w:sz w:val="24"/>
                <w:szCs w:val="24"/>
              </w:rPr>
              <w:t xml:space="preserve"> verilmiş</w:t>
            </w:r>
            <w:r>
              <w:rPr>
                <w:rFonts w:ascii="Times New Roman" w:hAnsi="Times New Roman"/>
                <w:sz w:val="24"/>
                <w:szCs w:val="24"/>
              </w:rPr>
              <w:t xml:space="preserve"> ve ayrı toplama mekanizması</w:t>
            </w:r>
          </w:p>
          <w:p w14:paraId="2CF28C9C" w14:textId="2E0C09D4" w:rsidR="007F68BF" w:rsidRPr="00AE2909" w:rsidRDefault="007F68BF" w:rsidP="007F68BF">
            <w:pPr>
              <w:pStyle w:val="AralkYok"/>
              <w:ind w:left="459"/>
              <w:jc w:val="both"/>
            </w:pPr>
            <w:proofErr w:type="gramStart"/>
            <w:r w:rsidRPr="006302BC">
              <w:rPr>
                <w:rFonts w:ascii="Times New Roman" w:hAnsi="Times New Roman"/>
                <w:sz w:val="24"/>
                <w:szCs w:val="24"/>
              </w:rPr>
              <w:t>oluşturulmuştur</w:t>
            </w:r>
            <w:proofErr w:type="gramEnd"/>
            <w:r w:rsidRPr="006302BC">
              <w:rPr>
                <w:rFonts w:ascii="Times New Roman" w:hAnsi="Times New Roman"/>
                <w:sz w:val="24"/>
                <w:szCs w:val="24"/>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009160F"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27A0320A" w14:textId="77777777" w:rsidR="007F68BF" w:rsidRPr="00AE2909" w:rsidRDefault="007F68BF" w:rsidP="007F68BF">
            <w:pPr>
              <w:pStyle w:val="AralkYok"/>
              <w:jc w:val="both"/>
              <w:rPr>
                <w:rFonts w:ascii="Times New Roman" w:hAnsi="Times New Roman"/>
                <w:bCs/>
                <w:sz w:val="24"/>
                <w:szCs w:val="24"/>
              </w:rPr>
            </w:pPr>
          </w:p>
        </w:tc>
      </w:tr>
      <w:tr w:rsidR="007F68BF" w:rsidRPr="00AE2909" w14:paraId="17394F11" w14:textId="77777777" w:rsidTr="007F68BF">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50A919E" w14:textId="2A2BD726" w:rsidR="007F68BF" w:rsidRPr="00AE2909" w:rsidDel="00C95B7B"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(14)</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06E05521" w14:textId="75B49812" w:rsidR="007F68BF" w:rsidRPr="00AE2909" w:rsidRDefault="007F68BF" w:rsidP="007F68BF">
            <w:pPr>
              <w:spacing w:line="240" w:lineRule="atLeast"/>
              <w:jc w:val="both"/>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72E8EDB"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02B466C" w14:textId="77777777" w:rsidR="007F68BF" w:rsidRPr="00AE2909" w:rsidRDefault="007F68BF" w:rsidP="007F68BF">
            <w:pPr>
              <w:pStyle w:val="AralkYok"/>
              <w:jc w:val="both"/>
              <w:rPr>
                <w:rFonts w:ascii="Times New Roman" w:hAnsi="Times New Roman"/>
                <w:bCs/>
                <w:sz w:val="24"/>
                <w:szCs w:val="24"/>
              </w:rPr>
            </w:pPr>
          </w:p>
        </w:tc>
      </w:tr>
      <w:tr w:rsidR="007F68BF" w:rsidRPr="00AE2909" w14:paraId="37503219" w14:textId="77777777" w:rsidTr="007F68BF">
        <w:trPr>
          <w:trHeight w:val="659"/>
        </w:trPr>
        <w:tc>
          <w:tcPr>
            <w:tcW w:w="694" w:type="dxa"/>
            <w:tcBorders>
              <w:top w:val="single" w:sz="12" w:space="0" w:color="000080"/>
              <w:left w:val="single" w:sz="12" w:space="0" w:color="000080"/>
              <w:bottom w:val="single" w:sz="12" w:space="0" w:color="000080"/>
              <w:right w:val="single" w:sz="12" w:space="0" w:color="000080"/>
            </w:tcBorders>
            <w:vAlign w:val="center"/>
          </w:tcPr>
          <w:p w14:paraId="0C9AEAA4" w14:textId="11803E16" w:rsidR="007F68BF" w:rsidRPr="00AE2909" w:rsidDel="00C95B7B"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(15)</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8F449E5" w14:textId="2C3AEDF7" w:rsidR="007F68BF" w:rsidRPr="00AE2909" w:rsidRDefault="007F68BF" w:rsidP="007F68BF">
            <w:pPr>
              <w:spacing w:line="240" w:lineRule="atLeast"/>
              <w:ind w:left="-108"/>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EC3BBB8"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605606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3F18975C" w14:textId="77777777" w:rsidTr="008D215D">
        <w:trPr>
          <w:trHeight w:val="583"/>
        </w:trPr>
        <w:tc>
          <w:tcPr>
            <w:tcW w:w="694" w:type="dxa"/>
            <w:vMerge w:val="restart"/>
            <w:tcBorders>
              <w:top w:val="single" w:sz="12" w:space="0" w:color="000080"/>
              <w:left w:val="single" w:sz="12" w:space="0" w:color="000080"/>
              <w:right w:val="single" w:sz="12" w:space="0" w:color="000080"/>
            </w:tcBorders>
            <w:vAlign w:val="center"/>
          </w:tcPr>
          <w:p w14:paraId="770741EA" w14:textId="4ADD43FD" w:rsidR="007F68BF" w:rsidRPr="00AE2909"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(1</w:t>
            </w:r>
            <w:r>
              <w:rPr>
                <w:rFonts w:ascii="Times New Roman" w:hAnsi="Times New Roman"/>
                <w:b/>
                <w:sz w:val="24"/>
                <w:szCs w:val="24"/>
              </w:rPr>
              <w:t>6</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6C78A2BE" w14:textId="13094936" w:rsidR="007F68BF" w:rsidRPr="00AE2909" w:rsidRDefault="007F68BF" w:rsidP="007F68BF">
            <w:pPr>
              <w:jc w:val="both"/>
            </w:pPr>
            <w:r w:rsidRPr="00AE2909">
              <w:rPr>
                <w:color w:val="000000"/>
              </w:rPr>
              <w:t xml:space="preserve">Atık Ön İşlem Ve Geri Kazanım Tesislerinin Genel Esaslarına İlişkin Yönetmeliğin EK-1 ve EK-2’sinde yer almayan, Atık Yönetimi Yönetmeliğinin EK-4’ünde yer alan atık listesinin 17 </w:t>
            </w:r>
            <w:proofErr w:type="spellStart"/>
            <w:r w:rsidRPr="00AE2909">
              <w:rPr>
                <w:color w:val="000000"/>
              </w:rPr>
              <w:t>nci</w:t>
            </w:r>
            <w:proofErr w:type="spellEnd"/>
            <w:r w:rsidRPr="00AE2909">
              <w:rPr>
                <w:color w:val="000000"/>
              </w:rPr>
              <w:t xml:space="preserve"> bölümündeki inşaat ve yıkıntı </w:t>
            </w:r>
            <w:r w:rsidRPr="00AE2909">
              <w:t>atıklarını kabul edecek tesislerde 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6B085339" w14:textId="77777777" w:rsidR="007F68BF" w:rsidRPr="00AE2909" w:rsidRDefault="007F68BF" w:rsidP="007F68BF">
            <w:pPr>
              <w:pStyle w:val="AralkYok"/>
              <w:jc w:val="both"/>
              <w:rPr>
                <w:rFonts w:ascii="Times New Roman" w:hAnsi="Times New Roman"/>
                <w:sz w:val="24"/>
                <w:szCs w:val="24"/>
              </w:rPr>
            </w:pPr>
          </w:p>
        </w:tc>
        <w:tc>
          <w:tcPr>
            <w:tcW w:w="1134" w:type="dxa"/>
            <w:vMerge w:val="restart"/>
            <w:tcBorders>
              <w:top w:val="single" w:sz="12" w:space="0" w:color="000080"/>
              <w:left w:val="single" w:sz="12" w:space="0" w:color="000080"/>
              <w:right w:val="single" w:sz="12" w:space="0" w:color="000080"/>
            </w:tcBorders>
            <w:vAlign w:val="center"/>
          </w:tcPr>
          <w:p w14:paraId="396DA9D1" w14:textId="77777777" w:rsidR="007F68BF" w:rsidRPr="00AE2909" w:rsidRDefault="007F68BF" w:rsidP="007F68BF">
            <w:pPr>
              <w:pStyle w:val="AralkYok"/>
              <w:jc w:val="both"/>
              <w:rPr>
                <w:rFonts w:ascii="Times New Roman" w:hAnsi="Times New Roman"/>
                <w:bCs/>
                <w:sz w:val="24"/>
                <w:szCs w:val="24"/>
              </w:rPr>
            </w:pPr>
          </w:p>
        </w:tc>
      </w:tr>
      <w:tr w:rsidR="007F68BF" w:rsidRPr="00AE2909" w14:paraId="5DC8EA39" w14:textId="77777777" w:rsidTr="008D215D">
        <w:trPr>
          <w:trHeight w:val="766"/>
        </w:trPr>
        <w:tc>
          <w:tcPr>
            <w:tcW w:w="694" w:type="dxa"/>
            <w:vMerge/>
            <w:tcBorders>
              <w:left w:val="single" w:sz="12" w:space="0" w:color="000080"/>
              <w:right w:val="single" w:sz="12" w:space="0" w:color="000080"/>
            </w:tcBorders>
            <w:vAlign w:val="center"/>
          </w:tcPr>
          <w:p w14:paraId="2D73757F"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16F5125" w14:textId="4ABBE83A" w:rsidR="007F68BF" w:rsidRPr="00AE2909" w:rsidRDefault="007F68BF" w:rsidP="007F68BF">
            <w:pPr>
              <w:pStyle w:val="ListeParagraf"/>
              <w:ind w:left="252"/>
              <w:jc w:val="both"/>
            </w:pPr>
            <w:r>
              <w:t>-</w:t>
            </w:r>
            <w:r w:rsidRPr="00AE2909">
              <w:t xml:space="preserve">Ayırma, boyut küçültme/parçalama </w:t>
            </w:r>
            <w:proofErr w:type="gramStart"/>
            <w:r w:rsidRPr="00AE2909">
              <w:t>ekipmanları</w:t>
            </w:r>
            <w:proofErr w:type="gramEnd"/>
            <w:r w:rsidRPr="00AE2909">
              <w:t xml:space="preserve"> ile atık türüne bağlı olarak; eleme işlemlerinin yapıldığı yeterli sayıda ve kapasitede ayırıcı, kırıcı, bantlı taşıma sistemleri ve gerekli ekipmanlar bulunmaktadır.</w:t>
            </w:r>
          </w:p>
        </w:tc>
        <w:tc>
          <w:tcPr>
            <w:tcW w:w="1275" w:type="dxa"/>
            <w:gridSpan w:val="2"/>
            <w:vMerge/>
            <w:tcBorders>
              <w:left w:val="single" w:sz="12" w:space="0" w:color="000080"/>
              <w:bottom w:val="single" w:sz="4" w:space="0" w:color="auto"/>
              <w:right w:val="single" w:sz="12" w:space="0" w:color="000080"/>
            </w:tcBorders>
            <w:vAlign w:val="center"/>
          </w:tcPr>
          <w:p w14:paraId="6688C145" w14:textId="77777777" w:rsidR="007F68BF" w:rsidRPr="00AE2909" w:rsidRDefault="007F68BF" w:rsidP="007F68BF">
            <w:pPr>
              <w:pStyle w:val="AralkYok"/>
              <w:jc w:val="both"/>
              <w:rPr>
                <w:rFonts w:ascii="Times New Roman" w:hAnsi="Times New Roman"/>
                <w:sz w:val="24"/>
                <w:szCs w:val="24"/>
              </w:rPr>
            </w:pPr>
          </w:p>
        </w:tc>
        <w:tc>
          <w:tcPr>
            <w:tcW w:w="1134" w:type="dxa"/>
            <w:vMerge/>
            <w:tcBorders>
              <w:left w:val="single" w:sz="12" w:space="0" w:color="000080"/>
              <w:bottom w:val="single" w:sz="4" w:space="0" w:color="auto"/>
              <w:right w:val="single" w:sz="12" w:space="0" w:color="000080"/>
            </w:tcBorders>
            <w:vAlign w:val="center"/>
          </w:tcPr>
          <w:p w14:paraId="276B6330" w14:textId="77777777" w:rsidR="007F68BF" w:rsidRPr="00AE2909" w:rsidRDefault="007F68BF" w:rsidP="007F68BF">
            <w:pPr>
              <w:pStyle w:val="AralkYok"/>
              <w:jc w:val="both"/>
              <w:rPr>
                <w:rFonts w:ascii="Times New Roman" w:hAnsi="Times New Roman"/>
                <w:bCs/>
                <w:sz w:val="24"/>
                <w:szCs w:val="24"/>
              </w:rPr>
            </w:pPr>
          </w:p>
        </w:tc>
      </w:tr>
      <w:tr w:rsidR="007F68BF" w:rsidRPr="00AE2909" w14:paraId="19274FC5" w14:textId="77777777" w:rsidTr="008D215D">
        <w:trPr>
          <w:trHeight w:val="643"/>
        </w:trPr>
        <w:tc>
          <w:tcPr>
            <w:tcW w:w="694" w:type="dxa"/>
            <w:vMerge/>
            <w:tcBorders>
              <w:left w:val="single" w:sz="12" w:space="0" w:color="000080"/>
              <w:right w:val="single" w:sz="12" w:space="0" w:color="000080"/>
            </w:tcBorders>
            <w:vAlign w:val="center"/>
          </w:tcPr>
          <w:p w14:paraId="7FCE78FA"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03FAB8" w14:textId="27160660" w:rsidR="007F68BF" w:rsidRPr="00AE2909" w:rsidRDefault="007F68BF" w:rsidP="007F68BF">
            <w:pPr>
              <w:pStyle w:val="ListeParagraf"/>
              <w:ind w:left="252"/>
              <w:jc w:val="both"/>
            </w:pPr>
            <w:r>
              <w:t>-</w:t>
            </w:r>
            <w:r w:rsidRPr="00AE2909">
              <w:t xml:space="preserve">Toz </w:t>
            </w:r>
            <w:proofErr w:type="gramStart"/>
            <w:r w:rsidRPr="00AE2909">
              <w:t>emisyonu</w:t>
            </w:r>
            <w:proofErr w:type="gramEnd"/>
            <w:r w:rsidRPr="00AE2909">
              <w:t xml:space="preserve"> ile gürültü ve titreşime karşı ilave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6B62DE6"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60BAE37" w14:textId="77777777" w:rsidR="007F68BF" w:rsidRPr="00AE2909" w:rsidRDefault="007F68BF" w:rsidP="007F68BF">
            <w:pPr>
              <w:pStyle w:val="AralkYok"/>
              <w:jc w:val="both"/>
              <w:rPr>
                <w:rFonts w:ascii="Times New Roman" w:hAnsi="Times New Roman"/>
                <w:bCs/>
                <w:sz w:val="24"/>
                <w:szCs w:val="24"/>
              </w:rPr>
            </w:pPr>
          </w:p>
        </w:tc>
      </w:tr>
      <w:tr w:rsidR="0089001D" w:rsidRPr="00AE2909" w14:paraId="541DABEB" w14:textId="77777777" w:rsidTr="0089001D">
        <w:trPr>
          <w:trHeight w:val="288"/>
        </w:trPr>
        <w:tc>
          <w:tcPr>
            <w:tcW w:w="694" w:type="dxa"/>
            <w:vMerge w:val="restart"/>
            <w:tcBorders>
              <w:left w:val="single" w:sz="12" w:space="0" w:color="000080"/>
              <w:right w:val="single" w:sz="12" w:space="0" w:color="000080"/>
            </w:tcBorders>
            <w:vAlign w:val="center"/>
          </w:tcPr>
          <w:p w14:paraId="3AC1E86A" w14:textId="09AA835C" w:rsidR="0089001D" w:rsidRPr="00AE2909" w:rsidRDefault="002B1FBC" w:rsidP="007F68BF">
            <w:pPr>
              <w:pStyle w:val="AralkYok"/>
              <w:jc w:val="both"/>
              <w:rPr>
                <w:rFonts w:ascii="Times New Roman" w:hAnsi="Times New Roman"/>
                <w:b/>
                <w:sz w:val="24"/>
                <w:szCs w:val="24"/>
              </w:rPr>
            </w:pPr>
            <w:r w:rsidRPr="00AE2909">
              <w:rPr>
                <w:rFonts w:ascii="Times New Roman" w:hAnsi="Times New Roman"/>
                <w:b/>
                <w:sz w:val="24"/>
                <w:szCs w:val="24"/>
              </w:rPr>
              <w:t>(1</w:t>
            </w:r>
            <w:r>
              <w:rPr>
                <w:rFonts w:ascii="Times New Roman" w:hAnsi="Times New Roman"/>
                <w:b/>
                <w:sz w:val="24"/>
                <w:szCs w:val="24"/>
              </w:rPr>
              <w:t>7</w:t>
            </w:r>
            <w:r w:rsidRPr="00AE2909">
              <w:rPr>
                <w:rFonts w:ascii="Times New Roman" w:hAnsi="Times New Roman"/>
                <w:b/>
                <w:sz w:val="24"/>
                <w:szCs w:val="24"/>
              </w:rPr>
              <w:t>)</w:t>
            </w:r>
          </w:p>
        </w:tc>
        <w:tc>
          <w:tcPr>
            <w:tcW w:w="6521" w:type="dxa"/>
            <w:tcBorders>
              <w:top w:val="single" w:sz="4" w:space="0" w:color="auto"/>
              <w:left w:val="single" w:sz="12" w:space="0" w:color="000080"/>
              <w:bottom w:val="single" w:sz="4" w:space="0" w:color="auto"/>
              <w:right w:val="single" w:sz="12" w:space="0" w:color="000080"/>
            </w:tcBorders>
            <w:vAlign w:val="center"/>
          </w:tcPr>
          <w:p w14:paraId="3BFDF390" w14:textId="3386D847" w:rsidR="0089001D" w:rsidRPr="00AE2909" w:rsidRDefault="0089001D" w:rsidP="007F68BF">
            <w:pPr>
              <w:jc w:val="both"/>
            </w:pPr>
            <w:r w:rsidRPr="0089001D">
              <w:rPr>
                <w:rFonts w:eastAsia="Calibri"/>
                <w:lang w:eastAsia="en-US"/>
              </w:rPr>
              <w:t xml:space="preserve">20 03 07 kodlu </w:t>
            </w:r>
            <w:r w:rsidRPr="00C37E8D">
              <w:t>hacimli atıkları kabul edecek tesislerde aşağıdaki şartlar sağlanmıştır: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875B8FA" w14:textId="77777777" w:rsidR="0089001D" w:rsidRPr="00AE2909" w:rsidRDefault="0089001D"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746043E" w14:textId="77777777" w:rsidR="0089001D" w:rsidRPr="00AE2909" w:rsidRDefault="0089001D" w:rsidP="007F68BF">
            <w:pPr>
              <w:pStyle w:val="AralkYok"/>
              <w:jc w:val="both"/>
              <w:rPr>
                <w:rFonts w:ascii="Times New Roman" w:hAnsi="Times New Roman"/>
                <w:bCs/>
                <w:sz w:val="24"/>
                <w:szCs w:val="24"/>
              </w:rPr>
            </w:pPr>
          </w:p>
        </w:tc>
      </w:tr>
      <w:tr w:rsidR="0089001D" w:rsidRPr="00AE2909" w14:paraId="7737044D" w14:textId="77777777" w:rsidTr="00075FAC">
        <w:trPr>
          <w:trHeight w:val="200"/>
        </w:trPr>
        <w:tc>
          <w:tcPr>
            <w:tcW w:w="694" w:type="dxa"/>
            <w:vMerge/>
            <w:tcBorders>
              <w:left w:val="single" w:sz="12" w:space="0" w:color="000080"/>
              <w:right w:val="single" w:sz="12" w:space="0" w:color="000080"/>
            </w:tcBorders>
            <w:vAlign w:val="center"/>
          </w:tcPr>
          <w:p w14:paraId="64972EBB" w14:textId="77777777" w:rsidR="0089001D" w:rsidRPr="00AE2909" w:rsidRDefault="0089001D"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6E89A1F" w14:textId="1931E02B" w:rsidR="0089001D" w:rsidRPr="00AE2909" w:rsidRDefault="0089001D" w:rsidP="007F68BF">
            <w:pPr>
              <w:pStyle w:val="ListeParagraf"/>
              <w:ind w:left="252"/>
              <w:jc w:val="both"/>
            </w:pPr>
            <w:r>
              <w:t>-</w:t>
            </w:r>
            <w:r w:rsidRPr="00AE2909">
              <w:t xml:space="preserve">Ayırma, boyut küçültme/parçalama </w:t>
            </w:r>
            <w:proofErr w:type="gramStart"/>
            <w:r w:rsidRPr="00AE2909">
              <w:t>ekipmanları</w:t>
            </w:r>
            <w:proofErr w:type="gramEnd"/>
            <w:r w:rsidRPr="00AE2909">
              <w:t xml:space="preserve"> ile atık türüne bağlı olarak; eleme işlemlerinin yapıldığı yeterli sayıda ve kapasitede ayırıcı, kırıcı, bantlı taşıma sistemleri ve gerekli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6D5719" w14:textId="77777777" w:rsidR="0089001D" w:rsidRPr="00AE2909" w:rsidRDefault="0089001D" w:rsidP="007F68BF">
            <w:pPr>
              <w:pStyle w:val="AralkYok"/>
              <w:jc w:val="both"/>
              <w:rPr>
                <w:rFonts w:ascii="Times New Roman" w:hAnsi="Times New Roman"/>
                <w:sz w:val="24"/>
                <w:szCs w:val="24"/>
              </w:rPr>
            </w:pPr>
          </w:p>
        </w:tc>
        <w:tc>
          <w:tcPr>
            <w:tcW w:w="1134" w:type="dxa"/>
            <w:vMerge w:val="restart"/>
            <w:tcBorders>
              <w:top w:val="single" w:sz="4" w:space="0" w:color="auto"/>
              <w:left w:val="single" w:sz="12" w:space="0" w:color="000080"/>
              <w:right w:val="single" w:sz="12" w:space="0" w:color="000080"/>
            </w:tcBorders>
            <w:vAlign w:val="center"/>
          </w:tcPr>
          <w:p w14:paraId="21B350FF" w14:textId="77777777" w:rsidR="0089001D" w:rsidRPr="00AE2909" w:rsidRDefault="0089001D" w:rsidP="007F68BF">
            <w:pPr>
              <w:pStyle w:val="AralkYok"/>
              <w:jc w:val="both"/>
              <w:rPr>
                <w:rFonts w:ascii="Times New Roman" w:hAnsi="Times New Roman"/>
                <w:bCs/>
                <w:sz w:val="24"/>
                <w:szCs w:val="24"/>
              </w:rPr>
            </w:pPr>
          </w:p>
        </w:tc>
      </w:tr>
      <w:tr w:rsidR="0089001D" w:rsidRPr="00AE2909" w14:paraId="2D47A57D" w14:textId="77777777" w:rsidTr="00075FAC">
        <w:trPr>
          <w:trHeight w:val="138"/>
        </w:trPr>
        <w:tc>
          <w:tcPr>
            <w:tcW w:w="694" w:type="dxa"/>
            <w:vMerge/>
            <w:tcBorders>
              <w:left w:val="single" w:sz="12" w:space="0" w:color="000080"/>
              <w:right w:val="single" w:sz="12" w:space="0" w:color="000080"/>
            </w:tcBorders>
            <w:vAlign w:val="center"/>
          </w:tcPr>
          <w:p w14:paraId="63A3F119" w14:textId="77777777" w:rsidR="0089001D" w:rsidRPr="00AE2909" w:rsidRDefault="0089001D"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653642" w14:textId="7F04DCAD" w:rsidR="0089001D" w:rsidRPr="00AE2909" w:rsidRDefault="0089001D" w:rsidP="007F68BF">
            <w:pPr>
              <w:pStyle w:val="ListeParagraf"/>
              <w:ind w:left="252"/>
              <w:jc w:val="both"/>
            </w:pPr>
            <w:r w:rsidRPr="00C37E8D">
              <w:t xml:space="preserve">-Toz </w:t>
            </w:r>
            <w:proofErr w:type="gramStart"/>
            <w:r w:rsidRPr="00C37E8D">
              <w:t>emisyonu</w:t>
            </w:r>
            <w:proofErr w:type="gramEnd"/>
            <w:r w:rsidRPr="00C37E8D">
              <w:t xml:space="preserve"> ile gürültü ve titreşime karşı ilave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CDF4436" w14:textId="77777777" w:rsidR="0089001D" w:rsidRPr="00AE2909" w:rsidRDefault="0089001D" w:rsidP="007F68BF">
            <w:pPr>
              <w:pStyle w:val="AralkYok"/>
              <w:jc w:val="both"/>
              <w:rPr>
                <w:rFonts w:ascii="Times New Roman" w:hAnsi="Times New Roman"/>
                <w:sz w:val="24"/>
                <w:szCs w:val="24"/>
              </w:rPr>
            </w:pPr>
          </w:p>
        </w:tc>
        <w:tc>
          <w:tcPr>
            <w:tcW w:w="1134" w:type="dxa"/>
            <w:vMerge/>
            <w:tcBorders>
              <w:left w:val="single" w:sz="12" w:space="0" w:color="000080"/>
              <w:bottom w:val="single" w:sz="4" w:space="0" w:color="auto"/>
              <w:right w:val="single" w:sz="12" w:space="0" w:color="000080"/>
            </w:tcBorders>
            <w:vAlign w:val="center"/>
          </w:tcPr>
          <w:p w14:paraId="1C48BB56" w14:textId="77777777" w:rsidR="0089001D" w:rsidRPr="00AE2909" w:rsidRDefault="0089001D" w:rsidP="007F68BF">
            <w:pPr>
              <w:pStyle w:val="AralkYok"/>
              <w:jc w:val="both"/>
              <w:rPr>
                <w:rFonts w:ascii="Times New Roman" w:hAnsi="Times New Roman"/>
                <w:bCs/>
                <w:sz w:val="24"/>
                <w:szCs w:val="24"/>
              </w:rPr>
            </w:pPr>
          </w:p>
        </w:tc>
      </w:tr>
      <w:tr w:rsidR="00C25B63" w:rsidRPr="00AE2909" w14:paraId="50216930" w14:textId="77777777" w:rsidTr="008D215D">
        <w:trPr>
          <w:trHeight w:val="643"/>
        </w:trPr>
        <w:tc>
          <w:tcPr>
            <w:tcW w:w="9624" w:type="dxa"/>
            <w:gridSpan w:val="5"/>
            <w:tcBorders>
              <w:left w:val="single" w:sz="12" w:space="0" w:color="000080"/>
              <w:bottom w:val="single" w:sz="12" w:space="0" w:color="000080"/>
              <w:right w:val="single" w:sz="12" w:space="0" w:color="000080"/>
            </w:tcBorders>
            <w:vAlign w:val="center"/>
          </w:tcPr>
          <w:p w14:paraId="3E937D8C" w14:textId="05EC15A4" w:rsidR="00C25B63" w:rsidRPr="00AE2909" w:rsidRDefault="00C25B63" w:rsidP="007F68BF">
            <w:pPr>
              <w:pStyle w:val="AralkYok"/>
              <w:jc w:val="both"/>
              <w:rPr>
                <w:rFonts w:ascii="Times New Roman" w:hAnsi="Times New Roman"/>
                <w:i/>
                <w:sz w:val="24"/>
                <w:szCs w:val="24"/>
              </w:rPr>
            </w:pPr>
            <w:r w:rsidRPr="00AE2909">
              <w:rPr>
                <w:rFonts w:ascii="Times New Roman" w:hAnsi="Times New Roman"/>
                <w:b/>
                <w:bCs/>
                <w:sz w:val="24"/>
                <w:szCs w:val="24"/>
              </w:rPr>
              <w:t>Diğer hususlar</w:t>
            </w:r>
            <w:r w:rsidRPr="00AE2909">
              <w:rPr>
                <w:rFonts w:ascii="Times New Roman" w:hAnsi="Times New Roman"/>
                <w:bCs/>
                <w:sz w:val="24"/>
                <w:szCs w:val="24"/>
              </w:rPr>
              <w:t xml:space="preserve">: </w:t>
            </w:r>
            <w:r w:rsidRPr="00AE2909">
              <w:rPr>
                <w:rFonts w:ascii="Times New Roman" w:hAnsi="Times New Roman"/>
                <w:bCs/>
                <w:i/>
                <w:sz w:val="24"/>
                <w:szCs w:val="24"/>
              </w:rPr>
              <w:t>(</w:t>
            </w:r>
            <w:r w:rsidRPr="00AE2909">
              <w:rPr>
                <w:rFonts w:ascii="Times New Roman" w:hAnsi="Times New Roman"/>
                <w:i/>
                <w:sz w:val="24"/>
                <w:szCs w:val="24"/>
              </w:rPr>
              <w:t>İnceleme yapan</w:t>
            </w:r>
            <w:r w:rsidR="00CC2C1C">
              <w:rPr>
                <w:rFonts w:ascii="Times New Roman" w:hAnsi="Times New Roman"/>
                <w:i/>
                <w:sz w:val="24"/>
                <w:szCs w:val="24"/>
              </w:rPr>
              <w:t>lar</w:t>
            </w:r>
            <w:r w:rsidRPr="00AE2909">
              <w:rPr>
                <w:rFonts w:ascii="Times New Roman" w:hAnsi="Times New Roman"/>
                <w:i/>
                <w:sz w:val="24"/>
                <w:szCs w:val="24"/>
              </w:rPr>
              <w:t xml:space="preserve"> tarafından incelemeye esas belirtilmesi uygun görülen hususlar varsa bu alanda belirtilebilir)</w:t>
            </w:r>
          </w:p>
          <w:p w14:paraId="3B442F63" w14:textId="77777777" w:rsidR="00C25B63" w:rsidRPr="00AE2909" w:rsidRDefault="00C25B63" w:rsidP="007F68BF">
            <w:pPr>
              <w:pStyle w:val="AralkYok"/>
              <w:jc w:val="both"/>
              <w:rPr>
                <w:rFonts w:ascii="Times New Roman" w:hAnsi="Times New Roman"/>
                <w:i/>
                <w:sz w:val="24"/>
                <w:szCs w:val="24"/>
              </w:rPr>
            </w:pPr>
          </w:p>
          <w:p w14:paraId="41DAC667" w14:textId="77777777" w:rsidR="00C25B63" w:rsidRPr="00AE2909" w:rsidRDefault="00C25B63" w:rsidP="007F68BF">
            <w:pPr>
              <w:pStyle w:val="AralkYok"/>
              <w:jc w:val="both"/>
              <w:rPr>
                <w:rFonts w:ascii="Times New Roman" w:hAnsi="Times New Roman"/>
                <w:i/>
                <w:sz w:val="24"/>
                <w:szCs w:val="24"/>
              </w:rPr>
            </w:pPr>
          </w:p>
          <w:p w14:paraId="00FA244E" w14:textId="77777777" w:rsidR="00C25B63" w:rsidRPr="00AE2909" w:rsidRDefault="00C25B63" w:rsidP="007F68BF">
            <w:pPr>
              <w:pStyle w:val="AralkYok"/>
              <w:jc w:val="both"/>
              <w:rPr>
                <w:rFonts w:ascii="Times New Roman" w:hAnsi="Times New Roman"/>
                <w:i/>
                <w:sz w:val="24"/>
                <w:szCs w:val="24"/>
              </w:rPr>
            </w:pPr>
          </w:p>
          <w:p w14:paraId="174F715F" w14:textId="77777777" w:rsidR="00C25B63" w:rsidRPr="00AE2909" w:rsidRDefault="00C25B63" w:rsidP="007F68BF">
            <w:pPr>
              <w:pStyle w:val="AralkYok"/>
              <w:jc w:val="both"/>
              <w:rPr>
                <w:rFonts w:ascii="Times New Roman" w:hAnsi="Times New Roman"/>
                <w:i/>
                <w:sz w:val="24"/>
                <w:szCs w:val="24"/>
              </w:rPr>
            </w:pPr>
          </w:p>
          <w:p w14:paraId="5DBD035B" w14:textId="77777777" w:rsidR="00C25B63" w:rsidRPr="00AE2909" w:rsidRDefault="00C25B63" w:rsidP="007F68BF">
            <w:pPr>
              <w:pStyle w:val="AralkYok"/>
              <w:jc w:val="both"/>
              <w:rPr>
                <w:rFonts w:ascii="Times New Roman" w:hAnsi="Times New Roman"/>
                <w:i/>
                <w:sz w:val="24"/>
                <w:szCs w:val="24"/>
              </w:rPr>
            </w:pPr>
          </w:p>
          <w:p w14:paraId="11930487" w14:textId="77777777" w:rsidR="00C25B63" w:rsidRPr="00AE2909" w:rsidRDefault="00C25B63" w:rsidP="007F68BF">
            <w:pPr>
              <w:pStyle w:val="AralkYok"/>
              <w:jc w:val="both"/>
              <w:rPr>
                <w:rFonts w:ascii="Times New Roman" w:hAnsi="Times New Roman"/>
                <w:bCs/>
                <w:sz w:val="24"/>
                <w:szCs w:val="24"/>
              </w:rPr>
            </w:pPr>
          </w:p>
        </w:tc>
      </w:tr>
    </w:tbl>
    <w:p w14:paraId="142BFF9A" w14:textId="77777777" w:rsidR="00AE0A96" w:rsidRPr="00AE2909" w:rsidRDefault="00AE0A96" w:rsidP="007F68BF">
      <w:pPr>
        <w:pStyle w:val="AralkYok"/>
        <w:jc w:val="both"/>
        <w:rPr>
          <w:rFonts w:ascii="Times New Roman" w:hAnsi="Times New Roman"/>
          <w:sz w:val="24"/>
          <w:szCs w:val="24"/>
        </w:rPr>
      </w:pPr>
    </w:p>
    <w:p w14:paraId="76F971E9" w14:textId="77777777" w:rsidR="00AE0A96" w:rsidRPr="00AE2909" w:rsidRDefault="00AE0A96" w:rsidP="007F68BF">
      <w:pPr>
        <w:pStyle w:val="AralkYok"/>
        <w:jc w:val="both"/>
        <w:rPr>
          <w:rFonts w:ascii="Times New Roman" w:hAnsi="Times New Roman"/>
          <w:sz w:val="24"/>
          <w:szCs w:val="24"/>
        </w:rPr>
      </w:pPr>
      <w:r w:rsidRPr="00AE2909">
        <w:rPr>
          <w:rFonts w:ascii="Times New Roman" w:hAnsi="Times New Roman"/>
          <w:sz w:val="24"/>
          <w:szCs w:val="24"/>
        </w:rPr>
        <w:t>Bütün sayfalar paraflı olmalıdır</w:t>
      </w:r>
    </w:p>
    <w:p w14:paraId="5A93F5F9" w14:textId="77777777" w:rsidR="00AE0A96" w:rsidRPr="00AE2909" w:rsidRDefault="00AE0A96" w:rsidP="007F68BF">
      <w:pPr>
        <w:pStyle w:val="AralkYok"/>
        <w:jc w:val="both"/>
        <w:rPr>
          <w:rFonts w:ascii="Times New Roman" w:hAnsi="Times New Roman"/>
          <w:sz w:val="24"/>
          <w:szCs w:val="24"/>
        </w:rPr>
      </w:pPr>
    </w:p>
    <w:p w14:paraId="795034E2" w14:textId="77777777" w:rsidR="00AE0A96" w:rsidRPr="00AE2909" w:rsidRDefault="00AE0A96" w:rsidP="007F68BF">
      <w:pPr>
        <w:pStyle w:val="AralkYok"/>
        <w:jc w:val="both"/>
        <w:rPr>
          <w:rFonts w:ascii="Times New Roman" w:hAnsi="Times New Roman"/>
          <w:sz w:val="24"/>
          <w:szCs w:val="24"/>
        </w:rPr>
      </w:pPr>
    </w:p>
    <w:p w14:paraId="449C610F" w14:textId="4A3FD23F" w:rsidR="007F68BF" w:rsidRPr="00B71440" w:rsidRDefault="007F68BF" w:rsidP="007F68BF">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İncelemeyi Yapanların</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p>
    <w:p w14:paraId="3E446427" w14:textId="77777777" w:rsidR="007F68BF" w:rsidRPr="00B71440" w:rsidRDefault="007F68BF" w:rsidP="007F68BF">
      <w:pPr>
        <w:pStyle w:val="AralkYok"/>
        <w:jc w:val="both"/>
        <w:rPr>
          <w:rFonts w:ascii="Times New Roman" w:hAnsi="Times New Roman"/>
          <w:b/>
          <w:color w:val="000000" w:themeColor="text1"/>
          <w:sz w:val="24"/>
          <w:szCs w:val="24"/>
        </w:rPr>
      </w:pPr>
    </w:p>
    <w:p w14:paraId="60C2EEA1" w14:textId="0D718F42" w:rsidR="007F68BF" w:rsidRPr="00B71440" w:rsidRDefault="007F68BF" w:rsidP="007F68BF">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Adı</w:t>
      </w:r>
      <w:r w:rsidRPr="00B71440">
        <w:rPr>
          <w:rFonts w:ascii="Times New Roman" w:hAnsi="Times New Roman"/>
          <w:b/>
          <w:color w:val="000000" w:themeColor="text1"/>
          <w:sz w:val="24"/>
          <w:szCs w:val="24"/>
        </w:rPr>
        <w:tab/>
        <w:t xml:space="preserve"> Soyadı </w:t>
      </w:r>
      <w:r w:rsidRPr="00B71440">
        <w:rPr>
          <w:rFonts w:ascii="Times New Roman" w:hAnsi="Times New Roman"/>
          <w:b/>
          <w:color w:val="000000" w:themeColor="text1"/>
          <w:sz w:val="24"/>
          <w:szCs w:val="24"/>
        </w:rPr>
        <w:tab/>
        <w:t xml:space="preserve">Unvanı </w:t>
      </w:r>
      <w:r w:rsidRPr="00B71440">
        <w:rPr>
          <w:rFonts w:ascii="Times New Roman" w:hAnsi="Times New Roman"/>
          <w:b/>
          <w:color w:val="000000" w:themeColor="text1"/>
          <w:sz w:val="24"/>
          <w:szCs w:val="24"/>
        </w:rPr>
        <w:tab/>
        <w:t>İmza</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bookmarkStart w:id="0" w:name="_GoBack"/>
      <w:bookmarkEnd w:id="0"/>
    </w:p>
    <w:p w14:paraId="314974C0" w14:textId="77777777" w:rsidR="007F68BF" w:rsidRPr="00AE2909" w:rsidRDefault="007F68BF" w:rsidP="007F68BF">
      <w:pPr>
        <w:pStyle w:val="AralkYok"/>
        <w:jc w:val="both"/>
        <w:rPr>
          <w:rFonts w:ascii="Times New Roman" w:hAnsi="Times New Roman"/>
          <w:b/>
          <w:sz w:val="24"/>
          <w:szCs w:val="24"/>
        </w:rPr>
      </w:pPr>
    </w:p>
    <w:p w14:paraId="48D81905" w14:textId="77777777" w:rsidR="00B224D8" w:rsidRDefault="00B224D8" w:rsidP="00B224D8">
      <w:pPr>
        <w:pStyle w:val="metin"/>
        <w:spacing w:before="0" w:beforeAutospacing="0" w:after="0" w:afterAutospacing="0" w:line="240" w:lineRule="atLeast"/>
        <w:ind w:firstLine="566"/>
        <w:jc w:val="both"/>
      </w:pPr>
      <w:r>
        <w:rPr>
          <w:vertAlign w:val="superscript"/>
        </w:rPr>
        <w:t>(1)</w:t>
      </w:r>
      <w:r>
        <w:t>Organize sanayi bölgeleri, sanayi siteleri ve benzeri yönetim alanları gibi giriş çıkışları kontrol altına alınmış alanlarda kurulu olanlardan bu şart aranmaz.</w:t>
      </w:r>
    </w:p>
    <w:p w14:paraId="2544C164" w14:textId="77777777" w:rsidR="00B224D8" w:rsidRDefault="00B224D8" w:rsidP="00B224D8">
      <w:pPr>
        <w:pStyle w:val="metin"/>
        <w:spacing w:before="0" w:beforeAutospacing="0" w:after="0" w:afterAutospacing="0" w:line="240" w:lineRule="atLeast"/>
        <w:ind w:firstLine="566"/>
        <w:jc w:val="both"/>
      </w:pPr>
      <w:r>
        <w:rPr>
          <w:vertAlign w:val="superscript"/>
        </w:rPr>
        <w:t>(2)</w:t>
      </w:r>
      <w:r>
        <w:t xml:space="preserve">Aynı adreste, aynı işletmeye ait birden fazla atık işleme tesisine sahip </w:t>
      </w:r>
      <w:proofErr w:type="gramStart"/>
      <w:r>
        <w:t>entegre</w:t>
      </w:r>
      <w:proofErr w:type="gramEnd"/>
      <w:r>
        <w:t xml:space="preserve"> tesislerde, ortak kullanılabilir.</w:t>
      </w:r>
    </w:p>
    <w:p w14:paraId="59BBD45F" w14:textId="77777777" w:rsidR="00B224D8" w:rsidRDefault="00B224D8" w:rsidP="00B224D8">
      <w:pPr>
        <w:spacing w:line="240" w:lineRule="atLeast"/>
        <w:ind w:firstLine="567"/>
        <w:jc w:val="both"/>
      </w:pPr>
      <w:proofErr w:type="gramStart"/>
      <w:r>
        <w:rPr>
          <w:vertAlign w:val="superscript"/>
        </w:rPr>
        <w:lastRenderedPageBreak/>
        <w:t>(3)</w:t>
      </w:r>
      <w:r>
        <w:t>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araç kantarı olması durumunda ise araç kantarı bulundurma şartı aranmaz.</w:t>
      </w:r>
      <w:proofErr w:type="gramEnd"/>
    </w:p>
    <w:p w14:paraId="15CF1F73" w14:textId="77777777" w:rsidR="00B224D8" w:rsidRDefault="00B224D8" w:rsidP="00B224D8">
      <w:pPr>
        <w:ind w:firstLine="567"/>
        <w:jc w:val="both"/>
      </w:pPr>
      <w:r>
        <w:rPr>
          <w:vertAlign w:val="superscript"/>
        </w:rPr>
        <w:t>(4)</w:t>
      </w:r>
      <w:r>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45F63793" w14:textId="77777777" w:rsidR="00B224D8" w:rsidRDefault="00B224D8" w:rsidP="00B224D8">
      <w:pPr>
        <w:spacing w:line="240" w:lineRule="atLeast"/>
        <w:ind w:firstLine="567"/>
        <w:jc w:val="both"/>
      </w:pPr>
      <w:r>
        <w:rPr>
          <w:vertAlign w:val="superscript"/>
        </w:rPr>
        <w:t>(5)</w:t>
      </w:r>
      <w:r>
        <w:t xml:space="preserve">Atıkların, her yönden sızdırmazlığı sağlanmış, meteorolojik olayların etkilerine karşı korunaklı ve kapalı; tank, konteyner, IBC tank ve benzeri </w:t>
      </w:r>
      <w:proofErr w:type="gramStart"/>
      <w:r>
        <w:t>ekipmanlarda</w:t>
      </w:r>
      <w:proofErr w:type="gramEnd"/>
      <w:r>
        <w:t xml:space="preserve"> depolanması halinde bu ekipmanların ayrıca üzerinin kapalı olması şartı aranmaz. Yönetmeliğin EK-1 ve EK-2’de yer alan atıklardan sadece metal atıkların bekletileceği alanların üzerinin kapalı olarak tesis edilmesi şartı aranmaz.</w:t>
      </w:r>
    </w:p>
    <w:p w14:paraId="11BED01B" w14:textId="77777777" w:rsidR="00B224D8" w:rsidRDefault="00B224D8" w:rsidP="00B224D8">
      <w:pPr>
        <w:spacing w:line="240" w:lineRule="atLeast"/>
        <w:ind w:firstLine="567"/>
        <w:jc w:val="both"/>
      </w:pPr>
      <w:r>
        <w:rPr>
          <w:vertAlign w:val="superscript"/>
        </w:rPr>
        <w:t>(6)</w:t>
      </w:r>
      <w:r>
        <w:t>İlk kez Geçici Faaliyet Belgesi başvurusunda bulunacak yeni tesislerde bu şart aranmaz.</w:t>
      </w:r>
    </w:p>
    <w:p w14:paraId="55C9FE8A" w14:textId="77777777" w:rsidR="007F68BF" w:rsidRPr="006E3D53" w:rsidRDefault="007F68BF" w:rsidP="007F68BF">
      <w:pPr>
        <w:spacing w:line="240" w:lineRule="atLeast"/>
        <w:ind w:firstLine="567"/>
        <w:jc w:val="both"/>
        <w:rPr>
          <w:b/>
        </w:rPr>
      </w:pPr>
    </w:p>
    <w:p w14:paraId="7518E60B" w14:textId="35EC898F" w:rsidR="009D3042" w:rsidRPr="006E3D53" w:rsidRDefault="009D3042" w:rsidP="007F68BF">
      <w:pPr>
        <w:spacing w:line="240" w:lineRule="atLeast"/>
        <w:ind w:firstLine="567"/>
        <w:jc w:val="both"/>
        <w:rPr>
          <w:b/>
        </w:rPr>
      </w:pPr>
    </w:p>
    <w:sectPr w:rsidR="009D3042"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91E75" w14:textId="77777777" w:rsidR="00FD2878" w:rsidRDefault="00FD2878" w:rsidP="00DB271F">
      <w:r>
        <w:separator/>
      </w:r>
    </w:p>
  </w:endnote>
  <w:endnote w:type="continuationSeparator" w:id="0">
    <w:p w14:paraId="7CD4A613" w14:textId="77777777" w:rsidR="00FD2878" w:rsidRDefault="00FD2878"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155" w14:textId="77777777" w:rsidR="00DC6284" w:rsidRDefault="00DC6284">
    <w:pPr>
      <w:pStyle w:val="AltBilgi"/>
    </w:pPr>
  </w:p>
  <w:p w14:paraId="72DE776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7747" w14:textId="77777777" w:rsidR="00FD2878" w:rsidRDefault="00FD2878" w:rsidP="00DB271F">
      <w:r>
        <w:separator/>
      </w:r>
    </w:p>
  </w:footnote>
  <w:footnote w:type="continuationSeparator" w:id="0">
    <w:p w14:paraId="4EB314CA" w14:textId="77777777" w:rsidR="00FD2878" w:rsidRDefault="00FD2878"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04E3"/>
    <w:rsid w:val="000214CA"/>
    <w:rsid w:val="00022EF1"/>
    <w:rsid w:val="00040EBC"/>
    <w:rsid w:val="00043DF8"/>
    <w:rsid w:val="00056EF9"/>
    <w:rsid w:val="0008177F"/>
    <w:rsid w:val="000E204D"/>
    <w:rsid w:val="000E6C31"/>
    <w:rsid w:val="00103A82"/>
    <w:rsid w:val="00105783"/>
    <w:rsid w:val="00106A90"/>
    <w:rsid w:val="00126B9E"/>
    <w:rsid w:val="00126CEF"/>
    <w:rsid w:val="001338D4"/>
    <w:rsid w:val="00141AEE"/>
    <w:rsid w:val="00146F6F"/>
    <w:rsid w:val="001618F0"/>
    <w:rsid w:val="00174556"/>
    <w:rsid w:val="00197E3E"/>
    <w:rsid w:val="001D722A"/>
    <w:rsid w:val="001F1426"/>
    <w:rsid w:val="002201D3"/>
    <w:rsid w:val="00222D09"/>
    <w:rsid w:val="0023165B"/>
    <w:rsid w:val="0023596F"/>
    <w:rsid w:val="00237EE6"/>
    <w:rsid w:val="00243594"/>
    <w:rsid w:val="0026689F"/>
    <w:rsid w:val="002B099D"/>
    <w:rsid w:val="002B1FBC"/>
    <w:rsid w:val="002B6423"/>
    <w:rsid w:val="002F1947"/>
    <w:rsid w:val="00311061"/>
    <w:rsid w:val="0031300A"/>
    <w:rsid w:val="00324802"/>
    <w:rsid w:val="0033183E"/>
    <w:rsid w:val="00337FF7"/>
    <w:rsid w:val="0034035A"/>
    <w:rsid w:val="00343B0E"/>
    <w:rsid w:val="003560A2"/>
    <w:rsid w:val="00375AF4"/>
    <w:rsid w:val="003872A8"/>
    <w:rsid w:val="00391B56"/>
    <w:rsid w:val="003A45F8"/>
    <w:rsid w:val="003E4809"/>
    <w:rsid w:val="00417CDC"/>
    <w:rsid w:val="00424146"/>
    <w:rsid w:val="00430957"/>
    <w:rsid w:val="004408DA"/>
    <w:rsid w:val="004452DA"/>
    <w:rsid w:val="00463A09"/>
    <w:rsid w:val="00492032"/>
    <w:rsid w:val="004B60A0"/>
    <w:rsid w:val="004E1DA6"/>
    <w:rsid w:val="004E34FC"/>
    <w:rsid w:val="004E4B04"/>
    <w:rsid w:val="004E7210"/>
    <w:rsid w:val="004F2735"/>
    <w:rsid w:val="004F43BE"/>
    <w:rsid w:val="00513A24"/>
    <w:rsid w:val="0052544B"/>
    <w:rsid w:val="005367C5"/>
    <w:rsid w:val="00550C83"/>
    <w:rsid w:val="005736E6"/>
    <w:rsid w:val="00580F20"/>
    <w:rsid w:val="0058295F"/>
    <w:rsid w:val="005B4D37"/>
    <w:rsid w:val="005D4FE3"/>
    <w:rsid w:val="00612A11"/>
    <w:rsid w:val="00612F86"/>
    <w:rsid w:val="00614891"/>
    <w:rsid w:val="00617FB3"/>
    <w:rsid w:val="00623280"/>
    <w:rsid w:val="00624DA3"/>
    <w:rsid w:val="006302BC"/>
    <w:rsid w:val="00644453"/>
    <w:rsid w:val="0065747D"/>
    <w:rsid w:val="00693BBC"/>
    <w:rsid w:val="006B54EB"/>
    <w:rsid w:val="006C39B5"/>
    <w:rsid w:val="006E3D53"/>
    <w:rsid w:val="00703D1D"/>
    <w:rsid w:val="00731FD1"/>
    <w:rsid w:val="007416A9"/>
    <w:rsid w:val="007575D5"/>
    <w:rsid w:val="0077338F"/>
    <w:rsid w:val="00793ADA"/>
    <w:rsid w:val="00795EAE"/>
    <w:rsid w:val="007A07E6"/>
    <w:rsid w:val="007A1BF1"/>
    <w:rsid w:val="007B12D8"/>
    <w:rsid w:val="007C48C8"/>
    <w:rsid w:val="007D40DC"/>
    <w:rsid w:val="007D6376"/>
    <w:rsid w:val="007F68BF"/>
    <w:rsid w:val="00801C51"/>
    <w:rsid w:val="00802FF3"/>
    <w:rsid w:val="00803133"/>
    <w:rsid w:val="008516B7"/>
    <w:rsid w:val="008638AA"/>
    <w:rsid w:val="0089001D"/>
    <w:rsid w:val="008938C7"/>
    <w:rsid w:val="008A53EB"/>
    <w:rsid w:val="008C2A21"/>
    <w:rsid w:val="008D0425"/>
    <w:rsid w:val="008D215D"/>
    <w:rsid w:val="0092579F"/>
    <w:rsid w:val="00931271"/>
    <w:rsid w:val="009464B8"/>
    <w:rsid w:val="00955187"/>
    <w:rsid w:val="009649FA"/>
    <w:rsid w:val="009704F7"/>
    <w:rsid w:val="009854B7"/>
    <w:rsid w:val="009863B7"/>
    <w:rsid w:val="00991039"/>
    <w:rsid w:val="00993356"/>
    <w:rsid w:val="00996F25"/>
    <w:rsid w:val="009D3042"/>
    <w:rsid w:val="009F6ED8"/>
    <w:rsid w:val="00A0262C"/>
    <w:rsid w:val="00A0529B"/>
    <w:rsid w:val="00A05CE2"/>
    <w:rsid w:val="00A133B2"/>
    <w:rsid w:val="00A20405"/>
    <w:rsid w:val="00A96C23"/>
    <w:rsid w:val="00AA4AC7"/>
    <w:rsid w:val="00AB0C10"/>
    <w:rsid w:val="00AB447C"/>
    <w:rsid w:val="00AC245D"/>
    <w:rsid w:val="00AD2FE4"/>
    <w:rsid w:val="00AD554E"/>
    <w:rsid w:val="00AE0A96"/>
    <w:rsid w:val="00AE2909"/>
    <w:rsid w:val="00AE337A"/>
    <w:rsid w:val="00AE485B"/>
    <w:rsid w:val="00AF5A07"/>
    <w:rsid w:val="00B15A64"/>
    <w:rsid w:val="00B224D8"/>
    <w:rsid w:val="00B22C85"/>
    <w:rsid w:val="00B6174C"/>
    <w:rsid w:val="00B751DA"/>
    <w:rsid w:val="00B80F1E"/>
    <w:rsid w:val="00B86FD6"/>
    <w:rsid w:val="00B95D27"/>
    <w:rsid w:val="00BC1BA9"/>
    <w:rsid w:val="00BC1F66"/>
    <w:rsid w:val="00BE1372"/>
    <w:rsid w:val="00BF5115"/>
    <w:rsid w:val="00BF5A3A"/>
    <w:rsid w:val="00C00757"/>
    <w:rsid w:val="00C220B7"/>
    <w:rsid w:val="00C25B63"/>
    <w:rsid w:val="00C705B6"/>
    <w:rsid w:val="00C760B8"/>
    <w:rsid w:val="00C80995"/>
    <w:rsid w:val="00C95B7B"/>
    <w:rsid w:val="00CC2C1C"/>
    <w:rsid w:val="00CE0C4C"/>
    <w:rsid w:val="00CF35C7"/>
    <w:rsid w:val="00D0014D"/>
    <w:rsid w:val="00D03915"/>
    <w:rsid w:val="00D100AB"/>
    <w:rsid w:val="00D1198D"/>
    <w:rsid w:val="00D203F1"/>
    <w:rsid w:val="00D2530F"/>
    <w:rsid w:val="00D27E78"/>
    <w:rsid w:val="00D61AC2"/>
    <w:rsid w:val="00D63FDA"/>
    <w:rsid w:val="00DB271F"/>
    <w:rsid w:val="00DC592A"/>
    <w:rsid w:val="00DC6284"/>
    <w:rsid w:val="00DD57CC"/>
    <w:rsid w:val="00DE1AF8"/>
    <w:rsid w:val="00DF021E"/>
    <w:rsid w:val="00DF35FB"/>
    <w:rsid w:val="00E21D6E"/>
    <w:rsid w:val="00E246C1"/>
    <w:rsid w:val="00E42EAE"/>
    <w:rsid w:val="00E4640F"/>
    <w:rsid w:val="00E52701"/>
    <w:rsid w:val="00E53D27"/>
    <w:rsid w:val="00EC1AF2"/>
    <w:rsid w:val="00EF0252"/>
    <w:rsid w:val="00F201DF"/>
    <w:rsid w:val="00F236B0"/>
    <w:rsid w:val="00F33B0F"/>
    <w:rsid w:val="00F40801"/>
    <w:rsid w:val="00F555E2"/>
    <w:rsid w:val="00F60008"/>
    <w:rsid w:val="00F6032D"/>
    <w:rsid w:val="00F67707"/>
    <w:rsid w:val="00F71912"/>
    <w:rsid w:val="00F72919"/>
    <w:rsid w:val="00F75232"/>
    <w:rsid w:val="00F9468D"/>
    <w:rsid w:val="00F97088"/>
    <w:rsid w:val="00FC2B06"/>
    <w:rsid w:val="00FC43A0"/>
    <w:rsid w:val="00FC47DA"/>
    <w:rsid w:val="00FC5435"/>
    <w:rsid w:val="00FC76BE"/>
    <w:rsid w:val="00FD2878"/>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BB2F"/>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FC43A0"/>
    <w:rPr>
      <w:sz w:val="16"/>
      <w:szCs w:val="16"/>
    </w:rPr>
  </w:style>
  <w:style w:type="paragraph" w:styleId="AklamaMetni">
    <w:name w:val="annotation text"/>
    <w:basedOn w:val="Normal"/>
    <w:link w:val="AklamaMetniChar"/>
    <w:semiHidden/>
    <w:unhideWhenUsed/>
    <w:rsid w:val="00FC43A0"/>
    <w:rPr>
      <w:sz w:val="20"/>
      <w:szCs w:val="20"/>
    </w:rPr>
  </w:style>
  <w:style w:type="character" w:customStyle="1" w:styleId="AklamaMetniChar">
    <w:name w:val="Açıklama Metni Char"/>
    <w:basedOn w:val="VarsaylanParagrafYazTipi"/>
    <w:link w:val="AklamaMetni"/>
    <w:semiHidden/>
    <w:rsid w:val="00FC43A0"/>
  </w:style>
  <w:style w:type="paragraph" w:styleId="AklamaKonusu">
    <w:name w:val="annotation subject"/>
    <w:basedOn w:val="AklamaMetni"/>
    <w:next w:val="AklamaMetni"/>
    <w:link w:val="AklamaKonusuChar"/>
    <w:semiHidden/>
    <w:unhideWhenUsed/>
    <w:rsid w:val="00FC43A0"/>
    <w:rPr>
      <w:b/>
      <w:bCs/>
    </w:rPr>
  </w:style>
  <w:style w:type="character" w:customStyle="1" w:styleId="AklamaKonusuChar">
    <w:name w:val="Açıklama Konusu Char"/>
    <w:basedOn w:val="AklamaMetniChar"/>
    <w:link w:val="AklamaKonusu"/>
    <w:semiHidden/>
    <w:rsid w:val="00F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1647">
      <w:bodyDiv w:val="1"/>
      <w:marLeft w:val="0"/>
      <w:marRight w:val="0"/>
      <w:marTop w:val="0"/>
      <w:marBottom w:val="0"/>
      <w:divBdr>
        <w:top w:val="none" w:sz="0" w:space="0" w:color="auto"/>
        <w:left w:val="none" w:sz="0" w:space="0" w:color="auto"/>
        <w:bottom w:val="none" w:sz="0" w:space="0" w:color="auto"/>
        <w:right w:val="none" w:sz="0" w:space="0" w:color="auto"/>
      </w:divBdr>
    </w:div>
    <w:div w:id="311259523">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0879627">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0081-1DAF-4750-9C43-AFDE6F7C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Hasan Seçgin</cp:lastModifiedBy>
  <cp:revision>3</cp:revision>
  <cp:lastPrinted>2010-05-25T07:26:00Z</cp:lastPrinted>
  <dcterms:created xsi:type="dcterms:W3CDTF">2021-10-27T13:35:00Z</dcterms:created>
  <dcterms:modified xsi:type="dcterms:W3CDTF">2021-10-27T13:39:00Z</dcterms:modified>
</cp:coreProperties>
</file>