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0551B5" w:rsidRPr="0026208B" w:rsidTr="004E77D3">
        <w:tc>
          <w:tcPr>
            <w:tcW w:w="4606" w:type="dxa"/>
          </w:tcPr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 xml:space="preserve">RAPORU HAZIRLAMASI UYGUN </w:t>
            </w:r>
          </w:p>
          <w:p w:rsidR="000551B5" w:rsidRPr="0026208B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208B">
              <w:rPr>
                <w:rFonts w:ascii="Times New Roman" w:hAnsi="Times New Roman"/>
                <w:b/>
                <w:sz w:val="24"/>
                <w:szCs w:val="24"/>
              </w:rPr>
              <w:t>BULUNAN KİŞİ,  KURUM/KURULUŞ:</w:t>
            </w:r>
          </w:p>
        </w:tc>
        <w:tc>
          <w:tcPr>
            <w:tcW w:w="4606" w:type="dxa"/>
          </w:tcPr>
          <w:p w:rsidR="000551B5" w:rsidRPr="006F7E68" w:rsidRDefault="00743764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E68">
              <w:rPr>
                <w:rFonts w:ascii="Times New Roman" w:hAnsi="Times New Roman"/>
                <w:sz w:val="24"/>
                <w:szCs w:val="24"/>
              </w:rPr>
              <w:t xml:space="preserve">Teknik Uygunluk </w:t>
            </w:r>
            <w:r w:rsidR="000551B5" w:rsidRPr="006F7E68">
              <w:rPr>
                <w:rFonts w:ascii="Times New Roman" w:hAnsi="Times New Roman"/>
                <w:sz w:val="24"/>
                <w:szCs w:val="24"/>
              </w:rPr>
              <w:t>Raporu,  çevre yönetim birimi, istihdam edilen çevre görevlisi ya da Bakanlıkça yetkilendirilmiş çevre danışmanlık firmaları veya bilimsel kuruluşlar tarafından aşağıda yer alan formata uygun olarak hazırlanır.</w:t>
            </w:r>
          </w:p>
        </w:tc>
      </w:tr>
    </w:tbl>
    <w:p w:rsidR="006F7E68" w:rsidRDefault="006F7E68" w:rsidP="001F3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08B" w:rsidRPr="0026208B" w:rsidRDefault="001F126C" w:rsidP="001F3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RAFİNASYON TESİSİ DEĞERLENDİRME </w:t>
      </w:r>
      <w:r w:rsidRPr="0026208B">
        <w:rPr>
          <w:rFonts w:ascii="Times New Roman" w:hAnsi="Times New Roman"/>
          <w:b/>
          <w:sz w:val="24"/>
          <w:szCs w:val="24"/>
        </w:rPr>
        <w:t>RAPORU</w:t>
      </w:r>
    </w:p>
    <w:p w:rsidR="000551B5" w:rsidRDefault="004D2DA7" w:rsidP="006F7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08B">
        <w:rPr>
          <w:rFonts w:ascii="Times New Roman" w:hAnsi="Times New Roman"/>
          <w:b/>
          <w:sz w:val="24"/>
          <w:szCs w:val="24"/>
        </w:rPr>
        <w:t xml:space="preserve"> </w:t>
      </w:r>
    </w:p>
    <w:p w:rsidR="006F7E68" w:rsidRPr="001F126C" w:rsidRDefault="006F7E68" w:rsidP="006F7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7190"/>
      </w:tblGrid>
      <w:tr w:rsidR="00284A03" w:rsidRPr="00284A03" w:rsidTr="0026208B">
        <w:tc>
          <w:tcPr>
            <w:tcW w:w="5000" w:type="pct"/>
            <w:gridSpan w:val="2"/>
          </w:tcPr>
          <w:p w:rsidR="000551B5" w:rsidRPr="00284A0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>İÇİNDEKİLER</w:t>
            </w:r>
          </w:p>
        </w:tc>
      </w:tr>
      <w:tr w:rsidR="00284A03" w:rsidRPr="00284A03" w:rsidTr="0026208B">
        <w:tc>
          <w:tcPr>
            <w:tcW w:w="1033" w:type="pct"/>
          </w:tcPr>
          <w:p w:rsidR="000551B5" w:rsidRPr="00284A0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</w:p>
        </w:tc>
        <w:tc>
          <w:tcPr>
            <w:tcW w:w="3967" w:type="pct"/>
          </w:tcPr>
          <w:p w:rsidR="000551B5" w:rsidRPr="00284A0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>RAPORU HAZIRLAYAN KİŞİ, KURUM, KURULUŞ BİLGİLERİ</w:t>
            </w:r>
          </w:p>
        </w:tc>
      </w:tr>
      <w:tr w:rsidR="00284A03" w:rsidRPr="00284A03" w:rsidTr="0026208B">
        <w:tc>
          <w:tcPr>
            <w:tcW w:w="1033" w:type="pct"/>
          </w:tcPr>
          <w:p w:rsidR="000551B5" w:rsidRPr="00284A0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1.1</w:t>
            </w:r>
            <w:r w:rsidR="00D91B1A" w:rsidRPr="00284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pct"/>
          </w:tcPr>
          <w:p w:rsidR="000551B5" w:rsidRPr="00284A03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</w:tr>
      <w:tr w:rsidR="00284A03" w:rsidRPr="00284A03" w:rsidTr="0026208B">
        <w:tc>
          <w:tcPr>
            <w:tcW w:w="1033" w:type="pct"/>
          </w:tcPr>
          <w:p w:rsidR="000551B5" w:rsidRPr="00284A0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1.2</w:t>
            </w:r>
            <w:r w:rsidR="00D91B1A" w:rsidRPr="00284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pct"/>
          </w:tcPr>
          <w:p w:rsidR="000551B5" w:rsidRPr="00284A03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</w:tr>
      <w:tr w:rsidR="00284A03" w:rsidRPr="00284A03" w:rsidTr="0026208B">
        <w:tc>
          <w:tcPr>
            <w:tcW w:w="1033" w:type="pct"/>
          </w:tcPr>
          <w:p w:rsidR="000551B5" w:rsidRPr="00284A0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1.3</w:t>
            </w:r>
            <w:r w:rsidR="00D91B1A" w:rsidRPr="00284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pct"/>
          </w:tcPr>
          <w:p w:rsidR="000551B5" w:rsidRPr="00284A03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İletişim Bilgileri</w:t>
            </w:r>
          </w:p>
        </w:tc>
      </w:tr>
      <w:tr w:rsidR="00284A03" w:rsidRPr="00284A03" w:rsidTr="0026208B">
        <w:tc>
          <w:tcPr>
            <w:tcW w:w="1033" w:type="pct"/>
          </w:tcPr>
          <w:p w:rsidR="000551B5" w:rsidRPr="00284A0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>BÖLÜM 2</w:t>
            </w:r>
          </w:p>
        </w:tc>
        <w:tc>
          <w:tcPr>
            <w:tcW w:w="3967" w:type="pct"/>
          </w:tcPr>
          <w:p w:rsidR="000551B5" w:rsidRPr="00284A0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>TESİS BİLGİLERİ</w:t>
            </w:r>
          </w:p>
        </w:tc>
      </w:tr>
      <w:tr w:rsidR="00284A03" w:rsidRPr="00284A03" w:rsidTr="0026208B">
        <w:tc>
          <w:tcPr>
            <w:tcW w:w="1033" w:type="pct"/>
          </w:tcPr>
          <w:p w:rsidR="000551B5" w:rsidRPr="00284A0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2.1</w:t>
            </w:r>
            <w:r w:rsidR="00D91B1A" w:rsidRPr="00284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pct"/>
          </w:tcPr>
          <w:p w:rsidR="000551B5" w:rsidRPr="00284A0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Faaliyet Hakkında Genel Bilgi</w:t>
            </w:r>
          </w:p>
        </w:tc>
      </w:tr>
      <w:tr w:rsidR="00284A03" w:rsidRPr="00284A03" w:rsidTr="0026208B">
        <w:tc>
          <w:tcPr>
            <w:tcW w:w="1033" w:type="pct"/>
          </w:tcPr>
          <w:p w:rsidR="000551B5" w:rsidRPr="00284A0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2.2</w:t>
            </w:r>
            <w:r w:rsidR="00D91B1A" w:rsidRPr="00284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pct"/>
          </w:tcPr>
          <w:p w:rsidR="000551B5" w:rsidRPr="00284A0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Faaliyet Sahibinin Adı</w:t>
            </w:r>
          </w:p>
        </w:tc>
      </w:tr>
      <w:tr w:rsidR="00284A03" w:rsidRPr="00284A03" w:rsidTr="0026208B">
        <w:tc>
          <w:tcPr>
            <w:tcW w:w="1033" w:type="pct"/>
          </w:tcPr>
          <w:p w:rsidR="000551B5" w:rsidRPr="00284A0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2.3</w:t>
            </w:r>
            <w:r w:rsidR="00D91B1A" w:rsidRPr="00284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pct"/>
          </w:tcPr>
          <w:p w:rsidR="000551B5" w:rsidRPr="00284A0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Tesis Yatırım Maliyeti</w:t>
            </w:r>
          </w:p>
        </w:tc>
      </w:tr>
      <w:tr w:rsidR="00284A03" w:rsidRPr="00284A03" w:rsidTr="0026208B">
        <w:tc>
          <w:tcPr>
            <w:tcW w:w="1033" w:type="pct"/>
          </w:tcPr>
          <w:p w:rsidR="00B25934" w:rsidRPr="00284A03" w:rsidRDefault="00107ED9" w:rsidP="00BA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2.</w:t>
            </w:r>
            <w:r w:rsidR="00BA2D53">
              <w:rPr>
                <w:rFonts w:ascii="Times New Roman" w:hAnsi="Times New Roman"/>
                <w:sz w:val="24"/>
                <w:szCs w:val="24"/>
              </w:rPr>
              <w:t>4</w:t>
            </w:r>
            <w:r w:rsidR="00D91B1A" w:rsidRPr="00284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pct"/>
          </w:tcPr>
          <w:p w:rsidR="00B25934" w:rsidRPr="00284A03" w:rsidRDefault="00107ED9" w:rsidP="006B7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 xml:space="preserve">“TS 13541 İş yerleri – Atık Yağ </w:t>
            </w: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Rafinasyon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Rejenerasyon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Tesisleri – Genel Kurallar” </w:t>
            </w:r>
            <w:r w:rsidR="006B7E7D" w:rsidRPr="00284A03">
              <w:rPr>
                <w:rFonts w:ascii="Times New Roman" w:hAnsi="Times New Roman"/>
                <w:sz w:val="24"/>
                <w:szCs w:val="24"/>
              </w:rPr>
              <w:t>Belgesi</w:t>
            </w:r>
          </w:p>
        </w:tc>
      </w:tr>
      <w:tr w:rsidR="00284A03" w:rsidRPr="00284A03" w:rsidTr="0026208B">
        <w:tc>
          <w:tcPr>
            <w:tcW w:w="1033" w:type="pct"/>
          </w:tcPr>
          <w:p w:rsidR="000551B5" w:rsidRPr="00284A0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>BÖLÜM 3</w:t>
            </w:r>
          </w:p>
        </w:tc>
        <w:tc>
          <w:tcPr>
            <w:tcW w:w="3967" w:type="pct"/>
          </w:tcPr>
          <w:p w:rsidR="000551B5" w:rsidRPr="00284A03" w:rsidRDefault="00ED0D3C" w:rsidP="00ED0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 xml:space="preserve">TESİS SAHA, MAKİNE VE TEÇHİZAT BİLGİLERİ </w:t>
            </w:r>
          </w:p>
        </w:tc>
      </w:tr>
      <w:tr w:rsidR="00284A03" w:rsidRPr="00284A03" w:rsidTr="0026208B">
        <w:tc>
          <w:tcPr>
            <w:tcW w:w="1033" w:type="pct"/>
          </w:tcPr>
          <w:p w:rsidR="000551B5" w:rsidRPr="00284A0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3.1</w:t>
            </w:r>
            <w:r w:rsidR="00D91B1A" w:rsidRPr="00284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pct"/>
          </w:tcPr>
          <w:p w:rsidR="000551B5" w:rsidRPr="00284A03" w:rsidRDefault="00BA2D53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284A03">
              <w:rPr>
                <w:rFonts w:ascii="Times New Roman" w:hAnsi="Times New Roman"/>
                <w:sz w:val="24"/>
                <w:szCs w:val="24"/>
              </w:rPr>
              <w:t>afinasyon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süreçlerinden geçirilerek yeniden </w:t>
            </w:r>
            <w:proofErr w:type="gramStart"/>
            <w:r w:rsidRPr="00284A03">
              <w:rPr>
                <w:rFonts w:ascii="Times New Roman" w:hAnsi="Times New Roman"/>
                <w:sz w:val="24"/>
                <w:szCs w:val="24"/>
              </w:rPr>
              <w:t>baz</w:t>
            </w:r>
            <w:proofErr w:type="gram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yağ üretilmesi amacıyla kurulan tesislerin teknik yeterlilik kriterleri kapsamında, tesiste kullanılan proses adımlarını gösteren İş Akım Şem</w:t>
            </w:r>
            <w:r w:rsidR="002358AA">
              <w:rPr>
                <w:rFonts w:ascii="Times New Roman" w:hAnsi="Times New Roman"/>
                <w:sz w:val="24"/>
                <w:szCs w:val="24"/>
              </w:rPr>
              <w:t xml:space="preserve">ası ve </w:t>
            </w:r>
            <w:proofErr w:type="spellStart"/>
            <w:r w:rsidR="002358AA">
              <w:rPr>
                <w:rFonts w:ascii="Times New Roman" w:hAnsi="Times New Roman"/>
                <w:sz w:val="24"/>
                <w:szCs w:val="24"/>
              </w:rPr>
              <w:t>Proses’in</w:t>
            </w:r>
            <w:proofErr w:type="spellEnd"/>
            <w:r w:rsidR="002358AA">
              <w:rPr>
                <w:rFonts w:ascii="Times New Roman" w:hAnsi="Times New Roman"/>
                <w:sz w:val="24"/>
                <w:szCs w:val="24"/>
              </w:rPr>
              <w:t xml:space="preserve"> genel tanıtımı</w:t>
            </w:r>
          </w:p>
        </w:tc>
      </w:tr>
      <w:tr w:rsidR="00284A03" w:rsidRPr="00284A03" w:rsidTr="0026208B">
        <w:tc>
          <w:tcPr>
            <w:tcW w:w="1033" w:type="pct"/>
          </w:tcPr>
          <w:p w:rsidR="000551B5" w:rsidRPr="00284A0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3.2</w:t>
            </w:r>
            <w:r w:rsidR="00D91B1A" w:rsidRPr="00284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pct"/>
          </w:tcPr>
          <w:p w:rsidR="000551B5" w:rsidRPr="00284A03" w:rsidRDefault="00BA2D53" w:rsidP="0043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Atık Yağ Kabulünden Başlayarak Nihai Ürünün Depolanmasına Kadar Kullanılan Tüm Ekipman, Makine ve Teçhizatın Adı, Sayıları, Kapasiteleri ve Malzeme Özellikleri (Hali hazırda geçerli olan Kapasite Raporu ile uyumlu olacak şekilde)</w:t>
            </w:r>
          </w:p>
        </w:tc>
      </w:tr>
      <w:tr w:rsidR="00284A03" w:rsidRPr="00284A03" w:rsidTr="0026208B">
        <w:tc>
          <w:tcPr>
            <w:tcW w:w="1033" w:type="pct"/>
          </w:tcPr>
          <w:p w:rsidR="00ED0D3C" w:rsidRPr="00284A03" w:rsidRDefault="00D91B1A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967" w:type="pct"/>
          </w:tcPr>
          <w:p w:rsidR="00ED0D3C" w:rsidRPr="00284A03" w:rsidRDefault="00BA2D53" w:rsidP="00ED0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284A03">
              <w:rPr>
                <w:rFonts w:ascii="Times New Roman" w:hAnsi="Times New Roman"/>
                <w:sz w:val="24"/>
                <w:szCs w:val="24"/>
              </w:rPr>
              <w:t xml:space="preserve">esiste kullanılan </w:t>
            </w:r>
            <w:proofErr w:type="gramStart"/>
            <w:r w:rsidRPr="00284A03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gram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adımlarını gösteren ayrıntılı fotoğraflar</w:t>
            </w:r>
          </w:p>
        </w:tc>
      </w:tr>
      <w:tr w:rsidR="00284A03" w:rsidRPr="00284A03" w:rsidTr="0026208B">
        <w:tc>
          <w:tcPr>
            <w:tcW w:w="1033" w:type="pct"/>
          </w:tcPr>
          <w:p w:rsidR="008003E6" w:rsidRPr="00284A03" w:rsidRDefault="00D91B1A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967" w:type="pct"/>
          </w:tcPr>
          <w:p w:rsidR="008003E6" w:rsidRPr="00284A03" w:rsidRDefault="00BA2D53" w:rsidP="00BA2D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 xml:space="preserve">Tesis Açık ve Kapalı Alanlarındaki Zemin Geçirimsizliği (Beton, </w:t>
            </w: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epoksi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boya, </w:t>
            </w: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jeomembran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vb.)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4A03" w:rsidRPr="00284A03" w:rsidTr="0026208B">
        <w:tc>
          <w:tcPr>
            <w:tcW w:w="1033" w:type="pct"/>
          </w:tcPr>
          <w:p w:rsidR="008003E6" w:rsidRPr="00284A03" w:rsidRDefault="008003E6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>BÖLÜM 4</w:t>
            </w:r>
          </w:p>
        </w:tc>
        <w:tc>
          <w:tcPr>
            <w:tcW w:w="3967" w:type="pct"/>
          </w:tcPr>
          <w:p w:rsidR="008003E6" w:rsidRPr="00284A03" w:rsidRDefault="008003E6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>HAMMADDE BİLGİLERİ</w:t>
            </w:r>
          </w:p>
        </w:tc>
      </w:tr>
      <w:tr w:rsidR="00284A03" w:rsidRPr="00284A03" w:rsidTr="0026208B">
        <w:tc>
          <w:tcPr>
            <w:tcW w:w="1033" w:type="pct"/>
          </w:tcPr>
          <w:p w:rsidR="008003E6" w:rsidRPr="00284A03" w:rsidRDefault="008003E6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4.1</w:t>
            </w:r>
            <w:r w:rsidR="00DC6529" w:rsidRPr="00284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pct"/>
          </w:tcPr>
          <w:p w:rsidR="008003E6" w:rsidRPr="00284A03" w:rsidRDefault="008003E6" w:rsidP="00BE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 xml:space="preserve">Tesiste İşlem Görecek Atık Yağların Türleri ve Kod Numaraları (Atık </w:t>
            </w:r>
            <w:r w:rsidR="00BE50F0">
              <w:rPr>
                <w:rFonts w:ascii="Times New Roman" w:hAnsi="Times New Roman"/>
                <w:sz w:val="24"/>
                <w:szCs w:val="24"/>
              </w:rPr>
              <w:t>Yağların Yönetimi Yönetmeliği Ek-1 Atık Listesi</w:t>
            </w:r>
            <w:r w:rsidRPr="00284A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4A03" w:rsidRPr="00284A03" w:rsidTr="0026208B">
        <w:tc>
          <w:tcPr>
            <w:tcW w:w="1033" w:type="pct"/>
          </w:tcPr>
          <w:p w:rsidR="008003E6" w:rsidRPr="00284A03" w:rsidRDefault="008003E6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4.2</w:t>
            </w:r>
            <w:r w:rsidR="00DC6529" w:rsidRPr="00284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pct"/>
          </w:tcPr>
          <w:p w:rsidR="008003E6" w:rsidRPr="00284A03" w:rsidRDefault="008003E6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Tesiste İşlem Görecek Atık Yağların Temin Edil</w:t>
            </w:r>
            <w:r w:rsidR="0042409F" w:rsidRPr="00284A03">
              <w:rPr>
                <w:rFonts w:ascii="Times New Roman" w:hAnsi="Times New Roman"/>
                <w:sz w:val="24"/>
                <w:szCs w:val="24"/>
              </w:rPr>
              <w:t>diği</w:t>
            </w:r>
            <w:r w:rsidRPr="00284A03">
              <w:rPr>
                <w:rFonts w:ascii="Times New Roman" w:hAnsi="Times New Roman"/>
                <w:sz w:val="24"/>
                <w:szCs w:val="24"/>
              </w:rPr>
              <w:t xml:space="preserve"> Yerler</w:t>
            </w:r>
          </w:p>
          <w:p w:rsidR="008003E6" w:rsidRPr="00284A03" w:rsidRDefault="008003E6" w:rsidP="0005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(Geçici Faaliyet Belgesi alınmasından sonraki dönemde tesise kabul edilen atık yağların temin edildiği tesis/işletme, sektör, atık yağ türü ve miktarı bilgisinin yer aldığı tablo)</w:t>
            </w:r>
          </w:p>
        </w:tc>
      </w:tr>
      <w:tr w:rsidR="00284A03" w:rsidRPr="00284A03" w:rsidTr="0026208B">
        <w:tc>
          <w:tcPr>
            <w:tcW w:w="1033" w:type="pct"/>
          </w:tcPr>
          <w:p w:rsidR="008003E6" w:rsidRPr="00284A03" w:rsidRDefault="00D91B1A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>BÖLÜM 5</w:t>
            </w:r>
          </w:p>
        </w:tc>
        <w:tc>
          <w:tcPr>
            <w:tcW w:w="3967" w:type="pct"/>
          </w:tcPr>
          <w:p w:rsidR="008003E6" w:rsidRPr="00284A03" w:rsidRDefault="0071553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>HAMMADDE KABULÜ</w:t>
            </w:r>
          </w:p>
        </w:tc>
      </w:tr>
      <w:tr w:rsidR="00284A03" w:rsidRPr="00284A03" w:rsidTr="0026208B">
        <w:tc>
          <w:tcPr>
            <w:tcW w:w="1033" w:type="pct"/>
          </w:tcPr>
          <w:p w:rsidR="008003E6" w:rsidRPr="00284A03" w:rsidRDefault="00D91B1A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5</w:t>
            </w:r>
            <w:r w:rsidR="008003E6" w:rsidRPr="00284A03">
              <w:rPr>
                <w:rFonts w:ascii="Times New Roman" w:hAnsi="Times New Roman"/>
                <w:sz w:val="24"/>
                <w:szCs w:val="24"/>
              </w:rPr>
              <w:t>.1</w:t>
            </w:r>
            <w:r w:rsidR="00113B0A" w:rsidRPr="00284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pct"/>
          </w:tcPr>
          <w:p w:rsidR="008003E6" w:rsidRPr="00284A03" w:rsidRDefault="008003E6" w:rsidP="00B41C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 xml:space="preserve">Örnek Numune Alımı, Ön Değerlendirme İşlemleri (Örnek numune alım </w:t>
            </w:r>
            <w:proofErr w:type="gramStart"/>
            <w:r w:rsidRPr="00284A03">
              <w:rPr>
                <w:rFonts w:ascii="Times New Roman" w:hAnsi="Times New Roman"/>
                <w:sz w:val="24"/>
                <w:szCs w:val="24"/>
              </w:rPr>
              <w:t>prosedürü</w:t>
            </w:r>
            <w:proofErr w:type="gramEnd"/>
            <w:r w:rsidRPr="00284A03">
              <w:rPr>
                <w:rFonts w:ascii="Times New Roman" w:hAnsi="Times New Roman"/>
                <w:sz w:val="24"/>
                <w:szCs w:val="24"/>
              </w:rPr>
              <w:t>, ön değerlendirme işlemleri, analiz süreci,  atık kabul prosedürü, atık yağların üreticiden ne şekilde kabul edildiği (dökme, ambalajlı)</w:t>
            </w:r>
            <w:r w:rsidR="00EA0434">
              <w:rPr>
                <w:rFonts w:ascii="Times New Roman" w:hAnsi="Times New Roman"/>
                <w:sz w:val="24"/>
                <w:szCs w:val="24"/>
              </w:rPr>
              <w:t xml:space="preserve">, atık yağlara </w:t>
            </w:r>
            <w:r w:rsidR="00B41CE7">
              <w:rPr>
                <w:rFonts w:ascii="Times New Roman" w:hAnsi="Times New Roman"/>
                <w:sz w:val="24"/>
                <w:szCs w:val="24"/>
              </w:rPr>
              <w:t>uygulanan analizler ve analiz metotları)</w:t>
            </w:r>
          </w:p>
        </w:tc>
      </w:tr>
      <w:tr w:rsidR="00284A03" w:rsidRPr="00284A03" w:rsidTr="0026208B">
        <w:tc>
          <w:tcPr>
            <w:tcW w:w="1033" w:type="pct"/>
          </w:tcPr>
          <w:p w:rsidR="008003E6" w:rsidRPr="00284A03" w:rsidRDefault="00D91B1A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5</w:t>
            </w:r>
            <w:r w:rsidR="00113B0A" w:rsidRPr="00284A03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967" w:type="pct"/>
          </w:tcPr>
          <w:p w:rsidR="008003E6" w:rsidRPr="00284A03" w:rsidRDefault="008003E6" w:rsidP="00696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Kantar ve Kayıt Sistemi Hakkında Bilgi ve Belgeler  (Kantar hizmeti alınması durumunda Sözleşme)</w:t>
            </w:r>
          </w:p>
        </w:tc>
      </w:tr>
      <w:tr w:rsidR="00284A03" w:rsidRPr="00284A03" w:rsidTr="0026208B">
        <w:tc>
          <w:tcPr>
            <w:tcW w:w="1033" w:type="pct"/>
          </w:tcPr>
          <w:p w:rsidR="008003E6" w:rsidRPr="00284A03" w:rsidRDefault="00D91B1A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5</w:t>
            </w:r>
            <w:r w:rsidR="00113B0A" w:rsidRPr="00284A03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967" w:type="pct"/>
          </w:tcPr>
          <w:p w:rsidR="008003E6" w:rsidRPr="00284A03" w:rsidRDefault="008003E6" w:rsidP="00BE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 xml:space="preserve">Atık Kabul Alanı </w:t>
            </w:r>
          </w:p>
        </w:tc>
      </w:tr>
      <w:tr w:rsidR="00284A03" w:rsidRPr="00284A03" w:rsidTr="0026208B">
        <w:tc>
          <w:tcPr>
            <w:tcW w:w="1033" w:type="pct"/>
          </w:tcPr>
          <w:p w:rsidR="008003E6" w:rsidRPr="00284A03" w:rsidRDefault="00D91B1A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113B0A" w:rsidRPr="00284A03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967" w:type="pct"/>
          </w:tcPr>
          <w:p w:rsidR="008003E6" w:rsidRPr="00284A03" w:rsidRDefault="008003E6" w:rsidP="00BE5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 xml:space="preserve">Atık Kabul Alanı ve Tesis İçinde Yer Alan Tankların Üzerinde Bulunması Gereken Bilgiler </w:t>
            </w:r>
          </w:p>
        </w:tc>
      </w:tr>
      <w:tr w:rsidR="00284A03" w:rsidRPr="00284A03" w:rsidTr="0026208B">
        <w:tc>
          <w:tcPr>
            <w:tcW w:w="1033" w:type="pct"/>
          </w:tcPr>
          <w:p w:rsidR="008003E6" w:rsidRPr="00284A03" w:rsidRDefault="00D91B1A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5</w:t>
            </w:r>
            <w:r w:rsidR="00113B0A" w:rsidRPr="00284A03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3967" w:type="pct"/>
          </w:tcPr>
          <w:p w:rsidR="008003E6" w:rsidRPr="00284A03" w:rsidRDefault="008003E6" w:rsidP="00696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 xml:space="preserve">Atık Yağ Depolama Tankları (Tankların sayısı, şekli-yatay-dikey-ayaklı </w:t>
            </w: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) ve Güvenlik Havuzları (Hacmi </w:t>
            </w: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4A03" w:rsidRPr="00284A03" w:rsidTr="000451D5">
        <w:tc>
          <w:tcPr>
            <w:tcW w:w="1033" w:type="pct"/>
          </w:tcPr>
          <w:p w:rsidR="008003E6" w:rsidRPr="00284A03" w:rsidRDefault="0024012B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>BÖLÜM 6</w:t>
            </w:r>
          </w:p>
        </w:tc>
        <w:tc>
          <w:tcPr>
            <w:tcW w:w="3967" w:type="pct"/>
          </w:tcPr>
          <w:p w:rsidR="008003E6" w:rsidRPr="00284A03" w:rsidRDefault="000451D5" w:rsidP="000451D5">
            <w:pPr>
              <w:pStyle w:val="Default"/>
              <w:jc w:val="both"/>
              <w:rPr>
                <w:b/>
                <w:color w:val="auto"/>
              </w:rPr>
            </w:pPr>
            <w:r w:rsidRPr="00284A03">
              <w:rPr>
                <w:b/>
                <w:color w:val="auto"/>
              </w:rPr>
              <w:t>FİZİKSEL VE KİMYASAL ÖN İŞLEM (ATIK ÖN İŞLEME)</w:t>
            </w:r>
          </w:p>
        </w:tc>
      </w:tr>
      <w:tr w:rsidR="00284A03" w:rsidRPr="00284A03" w:rsidTr="000451D5">
        <w:tc>
          <w:tcPr>
            <w:tcW w:w="1033" w:type="pct"/>
          </w:tcPr>
          <w:p w:rsidR="000451D5" w:rsidRPr="00284A03" w:rsidRDefault="001904A0" w:rsidP="0004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6</w:t>
            </w:r>
            <w:r w:rsidR="000451D5" w:rsidRPr="00284A0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967" w:type="pct"/>
          </w:tcPr>
          <w:p w:rsidR="000451D5" w:rsidRPr="00284A03" w:rsidRDefault="0024012B" w:rsidP="000451D5">
            <w:pPr>
              <w:pStyle w:val="Default"/>
              <w:jc w:val="both"/>
              <w:rPr>
                <w:b/>
                <w:color w:val="auto"/>
              </w:rPr>
            </w:pPr>
            <w:r w:rsidRPr="00284A03">
              <w:rPr>
                <w:color w:val="auto"/>
              </w:rPr>
              <w:t>Atık Yağ Besleme T</w:t>
            </w:r>
            <w:r w:rsidR="000451D5" w:rsidRPr="00284A03">
              <w:rPr>
                <w:color w:val="auto"/>
              </w:rPr>
              <w:t>ankı</w:t>
            </w:r>
            <w:r w:rsidRPr="00284A03">
              <w:rPr>
                <w:color w:val="auto"/>
              </w:rPr>
              <w:t>na İlişkin Bilgi</w:t>
            </w:r>
          </w:p>
        </w:tc>
      </w:tr>
      <w:tr w:rsidR="00284A03" w:rsidRPr="00284A03" w:rsidTr="000451D5">
        <w:tc>
          <w:tcPr>
            <w:tcW w:w="1033" w:type="pct"/>
          </w:tcPr>
          <w:p w:rsidR="000451D5" w:rsidRPr="00284A03" w:rsidRDefault="001904A0" w:rsidP="001F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6</w:t>
            </w:r>
            <w:r w:rsidR="001F1ED1" w:rsidRPr="00284A03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967" w:type="pct"/>
          </w:tcPr>
          <w:p w:rsidR="00715535" w:rsidRPr="00284A03" w:rsidRDefault="000451D5" w:rsidP="007155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 xml:space="preserve">Ön Filtre Yapılıp Yapılmadığına Dair Bilgi </w:t>
            </w:r>
            <w:r w:rsidR="00715535" w:rsidRPr="00284A03">
              <w:rPr>
                <w:rFonts w:ascii="Times New Roman" w:hAnsi="Times New Roman"/>
                <w:sz w:val="24"/>
                <w:szCs w:val="24"/>
              </w:rPr>
              <w:t>(Kullanılan Filtre Çeşidi ve Kademe Sayısı</w:t>
            </w:r>
          </w:p>
          <w:p w:rsidR="00715535" w:rsidRPr="00284A03" w:rsidRDefault="00715535" w:rsidP="001904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(Elek, Kartuşlu, Manyetik vb. Kullanılan filtreye ait teknik detay )</w:t>
            </w:r>
          </w:p>
        </w:tc>
      </w:tr>
      <w:tr w:rsidR="00455F76" w:rsidRPr="00284A03" w:rsidTr="000451D5">
        <w:tc>
          <w:tcPr>
            <w:tcW w:w="1033" w:type="pct"/>
          </w:tcPr>
          <w:p w:rsidR="00455F76" w:rsidRPr="00284A03" w:rsidRDefault="00721E83" w:rsidP="001F1E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967" w:type="pct"/>
          </w:tcPr>
          <w:p w:rsidR="00455F76" w:rsidRPr="00284A03" w:rsidRDefault="00455F76" w:rsidP="00045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Atık Yağ Transferinden Debimetre Kullanıp Kullanılmadığına İlişkin Bilgi</w:t>
            </w:r>
          </w:p>
        </w:tc>
      </w:tr>
      <w:tr w:rsidR="00284A03" w:rsidRPr="00284A03" w:rsidTr="0026208B">
        <w:tc>
          <w:tcPr>
            <w:tcW w:w="1033" w:type="pct"/>
          </w:tcPr>
          <w:p w:rsidR="008003E6" w:rsidRPr="00284A03" w:rsidRDefault="001904A0" w:rsidP="00BA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6</w:t>
            </w:r>
            <w:r w:rsidR="001F1ED1" w:rsidRPr="00284A03">
              <w:rPr>
                <w:rFonts w:ascii="Times New Roman" w:hAnsi="Times New Roman"/>
                <w:sz w:val="24"/>
                <w:szCs w:val="24"/>
              </w:rPr>
              <w:t>.</w:t>
            </w:r>
            <w:r w:rsidR="00721E83">
              <w:rPr>
                <w:rFonts w:ascii="Times New Roman" w:hAnsi="Times New Roman"/>
                <w:sz w:val="24"/>
                <w:szCs w:val="24"/>
              </w:rPr>
              <w:t>4</w:t>
            </w:r>
            <w:r w:rsidR="00BA2D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pct"/>
          </w:tcPr>
          <w:p w:rsidR="008003E6" w:rsidRPr="00284A03" w:rsidRDefault="000451D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Dekantasyon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veya Santrifüj Ünitesi</w:t>
            </w:r>
            <w:r w:rsidR="00BA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3E6" w:rsidRPr="00284A03">
              <w:rPr>
                <w:rFonts w:ascii="Times New Roman" w:hAnsi="Times New Roman"/>
                <w:sz w:val="24"/>
                <w:szCs w:val="24"/>
              </w:rPr>
              <w:t xml:space="preserve">Hammadde Deposunda </w:t>
            </w:r>
            <w:r w:rsidRPr="00284A03">
              <w:rPr>
                <w:rFonts w:ascii="Times New Roman" w:hAnsi="Times New Roman"/>
                <w:sz w:val="24"/>
                <w:szCs w:val="24"/>
              </w:rPr>
              <w:t xml:space="preserve">Uygulanan </w:t>
            </w: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Dekantasyon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İşlemleri </w:t>
            </w:r>
            <w:r w:rsidR="008003E6" w:rsidRPr="00284A03">
              <w:rPr>
                <w:rFonts w:ascii="Times New Roman" w:hAnsi="Times New Roman"/>
                <w:sz w:val="24"/>
                <w:szCs w:val="24"/>
              </w:rPr>
              <w:t>(Bekleme süresi, ısıtma uygulanıp uygulanmadığı vb</w:t>
            </w:r>
            <w:r w:rsidR="00283AE0" w:rsidRPr="00284A03">
              <w:rPr>
                <w:rFonts w:ascii="Times New Roman" w:hAnsi="Times New Roman"/>
                <w:sz w:val="24"/>
                <w:szCs w:val="24"/>
              </w:rPr>
              <w:t>.</w:t>
            </w:r>
            <w:r w:rsidR="008003E6" w:rsidRPr="00284A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4A03" w:rsidRPr="00284A03" w:rsidTr="0026208B">
        <w:tc>
          <w:tcPr>
            <w:tcW w:w="1033" w:type="pct"/>
          </w:tcPr>
          <w:p w:rsidR="008003E6" w:rsidRPr="00284A03" w:rsidRDefault="001904A0" w:rsidP="00BA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6</w:t>
            </w:r>
            <w:r w:rsidR="001F1ED1" w:rsidRPr="00284A03">
              <w:rPr>
                <w:rFonts w:ascii="Times New Roman" w:hAnsi="Times New Roman"/>
                <w:sz w:val="24"/>
                <w:szCs w:val="24"/>
              </w:rPr>
              <w:t>.</w:t>
            </w:r>
            <w:r w:rsidR="00721E83">
              <w:rPr>
                <w:rFonts w:ascii="Times New Roman" w:hAnsi="Times New Roman"/>
                <w:sz w:val="24"/>
                <w:szCs w:val="24"/>
              </w:rPr>
              <w:t>5</w:t>
            </w:r>
            <w:r w:rsidR="001F1ED1" w:rsidRPr="00284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pct"/>
          </w:tcPr>
          <w:p w:rsidR="008003E6" w:rsidRPr="00284A03" w:rsidRDefault="008003E6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 xml:space="preserve">Hammaddeye Uygulanan </w:t>
            </w: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Seperasyon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İşlemleri </w:t>
            </w:r>
            <w:r w:rsidR="00BA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A03">
              <w:rPr>
                <w:rFonts w:ascii="Times New Roman" w:hAnsi="Times New Roman"/>
                <w:sz w:val="24"/>
                <w:szCs w:val="24"/>
              </w:rPr>
              <w:t>(Santrifüj, elek vb</w:t>
            </w:r>
            <w:proofErr w:type="gramStart"/>
            <w:r w:rsidRPr="00284A03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özellikleri, çalışma devri vb.)</w:t>
            </w:r>
          </w:p>
        </w:tc>
      </w:tr>
      <w:tr w:rsidR="00284A03" w:rsidRPr="00284A03" w:rsidTr="0026208B">
        <w:tc>
          <w:tcPr>
            <w:tcW w:w="1033" w:type="pct"/>
          </w:tcPr>
          <w:p w:rsidR="008003E6" w:rsidRPr="00284A03" w:rsidRDefault="001904A0" w:rsidP="00BA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6</w:t>
            </w:r>
            <w:r w:rsidR="001F1ED1" w:rsidRPr="00284A03">
              <w:rPr>
                <w:rFonts w:ascii="Times New Roman" w:hAnsi="Times New Roman"/>
                <w:sz w:val="24"/>
                <w:szCs w:val="24"/>
              </w:rPr>
              <w:t>.</w:t>
            </w:r>
            <w:r w:rsidR="00721E83">
              <w:rPr>
                <w:rFonts w:ascii="Times New Roman" w:hAnsi="Times New Roman"/>
                <w:sz w:val="24"/>
                <w:szCs w:val="24"/>
              </w:rPr>
              <w:t>6</w:t>
            </w:r>
            <w:r w:rsidR="001F1ED1" w:rsidRPr="00284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pct"/>
          </w:tcPr>
          <w:p w:rsidR="008003E6" w:rsidRPr="00284A03" w:rsidRDefault="008003E6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 xml:space="preserve">Hammadde Reaktöre Basılmadan Önce Uygulanan Filtre İşlemleri </w:t>
            </w:r>
          </w:p>
          <w:p w:rsidR="008003E6" w:rsidRPr="00284A03" w:rsidRDefault="008003E6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 xml:space="preserve">( Kullanılan filtreye ait teknik detay, özellikleri </w:t>
            </w: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4A03" w:rsidRPr="00284A03" w:rsidTr="0026208B">
        <w:tc>
          <w:tcPr>
            <w:tcW w:w="1033" w:type="pct"/>
          </w:tcPr>
          <w:p w:rsidR="000451D5" w:rsidRPr="00284A03" w:rsidRDefault="001904A0" w:rsidP="00BA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6</w:t>
            </w:r>
            <w:r w:rsidR="001F1ED1" w:rsidRPr="00284A03">
              <w:rPr>
                <w:rFonts w:ascii="Times New Roman" w:hAnsi="Times New Roman"/>
                <w:sz w:val="24"/>
                <w:szCs w:val="24"/>
              </w:rPr>
              <w:t>.</w:t>
            </w:r>
            <w:r w:rsidR="00721E83">
              <w:rPr>
                <w:rFonts w:ascii="Times New Roman" w:hAnsi="Times New Roman"/>
                <w:sz w:val="24"/>
                <w:szCs w:val="24"/>
              </w:rPr>
              <w:t>7</w:t>
            </w:r>
            <w:r w:rsidR="001F1ED1" w:rsidRPr="00284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pct"/>
          </w:tcPr>
          <w:p w:rsidR="000451D5" w:rsidRPr="00284A03" w:rsidRDefault="000451D5" w:rsidP="00045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Kimyasal Ön İşlem (Tesiste kimyasal ön işlem yapılıp yapılmadığına dair bilgi, mevcut ise kullanılan kimyasallar ve işlemler)</w:t>
            </w:r>
          </w:p>
        </w:tc>
      </w:tr>
      <w:tr w:rsidR="00284A03" w:rsidRPr="00284A03" w:rsidTr="0026208B">
        <w:tc>
          <w:tcPr>
            <w:tcW w:w="1033" w:type="pct"/>
          </w:tcPr>
          <w:p w:rsidR="00F8256D" w:rsidRPr="00284A03" w:rsidRDefault="001904A0" w:rsidP="00BA2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6</w:t>
            </w:r>
            <w:r w:rsidR="00F8256D" w:rsidRPr="00284A03">
              <w:rPr>
                <w:rFonts w:ascii="Times New Roman" w:hAnsi="Times New Roman"/>
                <w:sz w:val="24"/>
                <w:szCs w:val="24"/>
              </w:rPr>
              <w:t>.</w:t>
            </w:r>
            <w:r w:rsidR="00721E83">
              <w:rPr>
                <w:rFonts w:ascii="Times New Roman" w:hAnsi="Times New Roman"/>
                <w:sz w:val="24"/>
                <w:szCs w:val="24"/>
              </w:rPr>
              <w:t>8</w:t>
            </w:r>
            <w:r w:rsidR="00F8256D" w:rsidRPr="00284A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pct"/>
          </w:tcPr>
          <w:p w:rsidR="00F8256D" w:rsidRPr="00284A03" w:rsidRDefault="00F8256D" w:rsidP="00045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Filtrede Kalan Atık Malzemeye Uygulanan İşlemler</w:t>
            </w:r>
          </w:p>
        </w:tc>
      </w:tr>
      <w:tr w:rsidR="00455F76" w:rsidRPr="00284A03" w:rsidTr="0026208B">
        <w:tc>
          <w:tcPr>
            <w:tcW w:w="1033" w:type="pct"/>
          </w:tcPr>
          <w:p w:rsidR="00455F76" w:rsidRPr="00284A03" w:rsidRDefault="00721E83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6.9</w:t>
            </w:r>
            <w:r w:rsidR="00BA2D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7" w:type="pct"/>
          </w:tcPr>
          <w:p w:rsidR="00455F76" w:rsidRPr="00284A03" w:rsidRDefault="00455F76" w:rsidP="00045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Atık Yağın İçinde Bulunan Serbest Suyun Yönetimine İlişkin Bilgi</w:t>
            </w:r>
          </w:p>
        </w:tc>
      </w:tr>
      <w:tr w:rsidR="00284A03" w:rsidRPr="00284A03" w:rsidTr="0026208B">
        <w:tc>
          <w:tcPr>
            <w:tcW w:w="1033" w:type="pct"/>
          </w:tcPr>
          <w:p w:rsidR="008003E6" w:rsidRPr="00284A03" w:rsidRDefault="00C87AB8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>BÖLÜM 7</w:t>
            </w:r>
          </w:p>
        </w:tc>
        <w:tc>
          <w:tcPr>
            <w:tcW w:w="3967" w:type="pct"/>
          </w:tcPr>
          <w:p w:rsidR="008003E6" w:rsidRPr="00284A03" w:rsidRDefault="00455F76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SUSUZLAŞTIRMA</w:t>
            </w:r>
          </w:p>
        </w:tc>
      </w:tr>
      <w:tr w:rsidR="00284A03" w:rsidRPr="00284A03" w:rsidTr="0026208B">
        <w:tc>
          <w:tcPr>
            <w:tcW w:w="1033" w:type="pct"/>
          </w:tcPr>
          <w:p w:rsidR="004F79C3" w:rsidRPr="00284A03" w:rsidRDefault="00F4693F" w:rsidP="004F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7</w:t>
            </w:r>
            <w:r w:rsidR="004F79C3" w:rsidRPr="00284A03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967" w:type="pct"/>
          </w:tcPr>
          <w:p w:rsidR="004F79C3" w:rsidRPr="00284A03" w:rsidRDefault="00BA2D53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Susuzlaştırma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Reaktörüne İlişkin Bilgiler (Reaktör hacmi, reaktör sıcaklığının ölçülmesi, vakum kullanılması </w:t>
            </w: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4A03" w:rsidRPr="00284A03" w:rsidTr="0026208B">
        <w:tc>
          <w:tcPr>
            <w:tcW w:w="1033" w:type="pct"/>
          </w:tcPr>
          <w:p w:rsidR="008003E6" w:rsidRPr="00284A03" w:rsidRDefault="00F4693F" w:rsidP="004F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7</w:t>
            </w:r>
            <w:r w:rsidR="004F79C3" w:rsidRPr="00284A03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967" w:type="pct"/>
          </w:tcPr>
          <w:p w:rsidR="008003E6" w:rsidRPr="00284A03" w:rsidRDefault="00BA2D53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Reaktörün Isıtma İşlemleri (Ceket, serpantin</w:t>
            </w:r>
            <w:r w:rsidR="009A7178">
              <w:rPr>
                <w:rFonts w:ascii="Times New Roman" w:hAnsi="Times New Roman"/>
                <w:sz w:val="24"/>
                <w:szCs w:val="24"/>
              </w:rPr>
              <w:t xml:space="preserve">, kızgın buhar, doğrudan </w:t>
            </w:r>
            <w:proofErr w:type="gramStart"/>
            <w:r w:rsidR="009A7178">
              <w:rPr>
                <w:rFonts w:ascii="Times New Roman" w:hAnsi="Times New Roman"/>
                <w:sz w:val="24"/>
                <w:szCs w:val="24"/>
              </w:rPr>
              <w:t>ısıtma</w:t>
            </w:r>
            <w:r w:rsidRPr="00284A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proofErr w:type="gramEnd"/>
            <w:r w:rsidRPr="00284A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4A03" w:rsidRPr="00284A03" w:rsidTr="0026208B">
        <w:tc>
          <w:tcPr>
            <w:tcW w:w="1033" w:type="pct"/>
          </w:tcPr>
          <w:p w:rsidR="008003E6" w:rsidRPr="00284A03" w:rsidRDefault="00F4693F" w:rsidP="004F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7</w:t>
            </w:r>
            <w:r w:rsidR="004F79C3" w:rsidRPr="00284A03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967" w:type="pct"/>
          </w:tcPr>
          <w:p w:rsidR="008003E6" w:rsidRPr="00284A03" w:rsidRDefault="00BA2D53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Buharlaştırma ve yoğunlaştırma İşlemleri (</w:t>
            </w: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Distilasyon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kolonu, </w:t>
            </w: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eşanjör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özellikleri)</w:t>
            </w:r>
          </w:p>
        </w:tc>
      </w:tr>
      <w:tr w:rsidR="00284A03" w:rsidRPr="00284A03" w:rsidTr="0026208B">
        <w:tc>
          <w:tcPr>
            <w:tcW w:w="1033" w:type="pct"/>
          </w:tcPr>
          <w:p w:rsidR="008003E6" w:rsidRPr="00284A03" w:rsidRDefault="00F4693F" w:rsidP="004F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7</w:t>
            </w:r>
            <w:r w:rsidR="004F79C3" w:rsidRPr="00284A03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967" w:type="pct"/>
          </w:tcPr>
          <w:p w:rsidR="008003E6" w:rsidRPr="00284A03" w:rsidRDefault="00BA2D53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Susuzlaştırma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4A03">
              <w:rPr>
                <w:rFonts w:ascii="Times New Roman" w:hAnsi="Times New Roman"/>
                <w:sz w:val="24"/>
                <w:szCs w:val="24"/>
              </w:rPr>
              <w:t xml:space="preserve"> ürünleri</w:t>
            </w:r>
            <w:proofErr w:type="gram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(Farklı sıcaklıklarda açığa çıkan su, </w:t>
            </w: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solvent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84A03" w:rsidRPr="00284A03" w:rsidTr="0026208B">
        <w:tc>
          <w:tcPr>
            <w:tcW w:w="1033" w:type="pct"/>
          </w:tcPr>
          <w:p w:rsidR="008003E6" w:rsidRPr="00284A03" w:rsidRDefault="00F4693F" w:rsidP="004F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7</w:t>
            </w:r>
            <w:r w:rsidR="004F79C3" w:rsidRPr="00284A03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3967" w:type="pct"/>
          </w:tcPr>
          <w:p w:rsidR="008003E6" w:rsidRPr="00284A03" w:rsidRDefault="00BA2D53" w:rsidP="00455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Distile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Ürün Depo Tankına İlişkin Bilgiler </w:t>
            </w:r>
          </w:p>
        </w:tc>
      </w:tr>
      <w:tr w:rsidR="00284A03" w:rsidRPr="00284A03" w:rsidTr="0026208B">
        <w:tc>
          <w:tcPr>
            <w:tcW w:w="1033" w:type="pct"/>
          </w:tcPr>
          <w:p w:rsidR="004F79C3" w:rsidRPr="00284A03" w:rsidRDefault="00F4693F" w:rsidP="004F7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7</w:t>
            </w:r>
            <w:r w:rsidR="004F79C3" w:rsidRPr="00284A03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3967" w:type="pct"/>
          </w:tcPr>
          <w:p w:rsidR="004F79C3" w:rsidRPr="00284A03" w:rsidRDefault="00BA2D53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Atık Gaz Deşarj Hattına İlişkin Bilgiler</w:t>
            </w:r>
            <w:r w:rsidRPr="00284A03" w:rsidDel="00BA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4A03" w:rsidRPr="00284A03" w:rsidTr="0026208B">
        <w:tc>
          <w:tcPr>
            <w:tcW w:w="1033" w:type="pct"/>
          </w:tcPr>
          <w:p w:rsidR="008003E6" w:rsidRPr="00284A03" w:rsidRDefault="00F4693F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>BÖLÜM 9</w:t>
            </w:r>
          </w:p>
        </w:tc>
        <w:tc>
          <w:tcPr>
            <w:tcW w:w="3967" w:type="pct"/>
          </w:tcPr>
          <w:p w:rsidR="00904B01" w:rsidRPr="00284A03" w:rsidRDefault="008003E6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>İNCE FİLM BUHARLAŞTIRICISI</w:t>
            </w:r>
            <w:r w:rsidR="00904B01" w:rsidRPr="00284A03">
              <w:rPr>
                <w:rFonts w:ascii="Times New Roman" w:hAnsi="Times New Roman"/>
                <w:b/>
                <w:sz w:val="24"/>
                <w:szCs w:val="24"/>
              </w:rPr>
              <w:t xml:space="preserve"> veya VAKUM DİSTİLASYON ÜNİTESİ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 xml:space="preserve">Buharlaştırıcı Özellikleri (Buharlaştırıcı hacmi, sıcaklık ve vakum ölçümünün yapılıp yapılmadığı, karıştırma işlemleri </w:t>
            </w: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 xml:space="preserve">Reaktör Üst Ürününe Uygulanan İşlemler </w:t>
            </w:r>
          </w:p>
          <w:p w:rsidR="00F06DBB" w:rsidRPr="00284A03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Fraksiyonlandırma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, hafif ve ağır </w:t>
            </w:r>
            <w:proofErr w:type="gramStart"/>
            <w:r w:rsidRPr="00284A03">
              <w:rPr>
                <w:rFonts w:ascii="Times New Roman" w:hAnsi="Times New Roman"/>
                <w:sz w:val="24"/>
                <w:szCs w:val="24"/>
              </w:rPr>
              <w:t>fraksiyonlara</w:t>
            </w:r>
            <w:proofErr w:type="gram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uygulanan işlemler </w:t>
            </w: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Distile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Ürün Depo Tankına İlişkin Bilgiler 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 xml:space="preserve">Dip Ürün Depo Tankına İlişkin Bilgiler 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Atık Gaz Deşarj Hattına İlişkin Bilgiler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>BÖLÜM 10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SOLVENT EKSTRAKSİYON VE HİDRO İŞLEM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Solvent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ekstraksiyon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işlemine ilişkin bilgiler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Solvent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geri kazanımına ilişkin bilgiler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Default="00F06DBB" w:rsidP="00F0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3967" w:type="pct"/>
          </w:tcPr>
          <w:p w:rsidR="00F06DBB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Buharla yıkama nem alma işlemlerine ilişkin bilgiler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Default="00F06DBB" w:rsidP="00F0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3967" w:type="pct"/>
          </w:tcPr>
          <w:p w:rsidR="00F06DBB" w:rsidRDefault="00F06DBB" w:rsidP="00433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Hidro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İşlem </w:t>
            </w:r>
            <w:proofErr w:type="gramStart"/>
            <w:r w:rsidR="004334C1">
              <w:rPr>
                <w:rFonts w:ascii="Times New Roman" w:hAnsi="Times New Roman"/>
                <w:sz w:val="24"/>
                <w:szCs w:val="24"/>
              </w:rPr>
              <w:t>prosesine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ilişkin bilgiler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>BÖLÜM 12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>ÜRÜNLERE İLİŞKİN BİLGİLER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Geri kazanım Sonucu Elde Edilen Ürün Türleri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Ürünlerin Satışa Sunuluş Şekli (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284A03">
              <w:rPr>
                <w:rFonts w:ascii="Times New Roman" w:hAnsi="Times New Roman"/>
                <w:sz w:val="24"/>
                <w:szCs w:val="24"/>
              </w:rPr>
              <w:t xml:space="preserve">ökme, teneke ambalaj </w:t>
            </w: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Satışa Sunulacak Ürünün Marka Patent Belgesi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lastRenderedPageBreak/>
              <w:t>12.4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Fason Üretim Mevcut İse Marka ve Kullanım Mutabakatı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Piyasaya Sürülecek Ürünlere Ait Enerji Piyasası D</w:t>
            </w:r>
            <w:r>
              <w:rPr>
                <w:rFonts w:ascii="Times New Roman" w:hAnsi="Times New Roman"/>
                <w:sz w:val="24"/>
                <w:szCs w:val="24"/>
              </w:rPr>
              <w:t>üzenleme</w:t>
            </w:r>
            <w:r w:rsidRPr="00284A03">
              <w:rPr>
                <w:rFonts w:ascii="Times New Roman" w:hAnsi="Times New Roman"/>
                <w:sz w:val="24"/>
                <w:szCs w:val="24"/>
              </w:rPr>
              <w:t xml:space="preserve"> Kurumu 07.12.2016 tarih ve 6648 Sayılı Kurul Kararı’nda belirtilen GTİP Numaraları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Geri Kazanılan Ürünlerin TSE Uygunluk Belgeleri (Hali hazırda geçerli olan Kapasite Raporu’nda yıllık üretim kapasiteleri verilen geri dönüşüm sonunda elde edilen tüm ürünlere ait TSE Uygunluk Belgeleri)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Piyasaya Sürülen Ürünler İle İlgili Satış Fatura Örnekleri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>BÖLÜM 13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>ATIK KARAKTERİZASYONU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Geri Kazanım İşlemleri Sonucu Oluşan Atıkların Türleri (Tehlikeli, tehlikesiz), Miktarları ve Bu Atıkların Bertaraf</w:t>
            </w:r>
            <w:r>
              <w:rPr>
                <w:rFonts w:ascii="Times New Roman" w:hAnsi="Times New Roman"/>
                <w:sz w:val="24"/>
                <w:szCs w:val="24"/>
              </w:rPr>
              <w:t>/Geri Kazanım</w:t>
            </w:r>
            <w:r w:rsidRPr="00284A03">
              <w:rPr>
                <w:rFonts w:ascii="Times New Roman" w:hAnsi="Times New Roman"/>
                <w:sz w:val="24"/>
                <w:szCs w:val="24"/>
              </w:rPr>
              <w:t xml:space="preserve"> Yöntemleri (</w:t>
            </w: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Seperatörden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çıkan atık malzeme, dinlendirme işleminde sonra çöken dip malzeme gibi ve diğer atıklar türlerinin tesiste nasıl bekletildiği, tesiste tehlikeli atık geçici depolama sahası bulunup bulunmadığı ile ilgili atık yönetimi)</w:t>
            </w:r>
          </w:p>
          <w:p w:rsidR="00F06DBB" w:rsidRPr="00284A03" w:rsidRDefault="00F06DBB" w:rsidP="00F06DBB">
            <w:pPr>
              <w:pStyle w:val="ListeParagraf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6DBB" w:rsidRPr="00284A03" w:rsidRDefault="00F06DBB" w:rsidP="00F06DBB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 xml:space="preserve">Atık Yağ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Rafinasyon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Prosesi için hazırlanacak İş Akım Şeması üzerinde hangi atıkların hangi </w:t>
            </w:r>
            <w:proofErr w:type="gramStart"/>
            <w:r w:rsidRPr="00284A03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gram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aşaması sonucunda çıktığı, bu atıkların hangi atık kodları ile tanımlandığı ve atıkların bertaraf/geri kazanımı konularında ayrıntılı bilgi.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13.2.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Tesiste oluşan atıklar için geri kazanım/bertaraf tesisleri ile yapılan Sözleşmeler (</w:t>
            </w:r>
            <w:proofErr w:type="gramStart"/>
            <w:r w:rsidRPr="00284A03">
              <w:rPr>
                <w:rFonts w:ascii="Times New Roman" w:hAnsi="Times New Roman"/>
                <w:sz w:val="24"/>
                <w:szCs w:val="24"/>
              </w:rPr>
              <w:t>Sözleşme  usulü</w:t>
            </w:r>
            <w:proofErr w:type="gram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çalışılmıyor ise mutabakat örnekleri)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13.3.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Tehlikeli Atık Geçici Depolama Alanı’na ait Endüstriyel Atık Yönetim Planı Onay Yazısı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>BÖLÜM 14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>LABORATUVAR VE YAPILAN ÖLÇÜMLER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 xml:space="preserve">Atık Kabul Ünitesi’nden başlayarak nihai ürün </w:t>
            </w:r>
            <w:proofErr w:type="spellStart"/>
            <w:r w:rsidRPr="00284A03">
              <w:rPr>
                <w:rFonts w:ascii="Times New Roman" w:hAnsi="Times New Roman"/>
                <w:sz w:val="24"/>
                <w:szCs w:val="24"/>
              </w:rPr>
              <w:t>eldesine</w:t>
            </w:r>
            <w:proofErr w:type="spellEnd"/>
            <w:r w:rsidRPr="00284A03">
              <w:rPr>
                <w:rFonts w:ascii="Times New Roman" w:hAnsi="Times New Roman"/>
                <w:sz w:val="24"/>
                <w:szCs w:val="24"/>
              </w:rPr>
              <w:t xml:space="preserve"> kadar olan süreçte tesiste yapılan ölçümlere ilişkin numune alma noktaları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14.2.</w:t>
            </w:r>
          </w:p>
        </w:tc>
        <w:tc>
          <w:tcPr>
            <w:tcW w:w="3967" w:type="pct"/>
          </w:tcPr>
          <w:p w:rsidR="005C48C2" w:rsidRPr="00284A03" w:rsidRDefault="005C48C2" w:rsidP="005C48C2">
            <w:pPr>
              <w:pStyle w:val="Default"/>
              <w:jc w:val="both"/>
              <w:rPr>
                <w:color w:val="auto"/>
              </w:rPr>
            </w:pPr>
            <w:r w:rsidRPr="00284A03">
              <w:rPr>
                <w:color w:val="auto"/>
              </w:rPr>
              <w:t>Tesise ait TS EN ISO/IEC 17025 akreditasyon belgesi</w:t>
            </w:r>
          </w:p>
          <w:p w:rsidR="00F06DBB" w:rsidRPr="00284A03" w:rsidRDefault="00F06DBB" w:rsidP="005C48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14.3.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pStyle w:val="Default"/>
              <w:rPr>
                <w:color w:val="auto"/>
              </w:rPr>
            </w:pPr>
            <w:r w:rsidRPr="00284A03">
              <w:rPr>
                <w:color w:val="auto"/>
              </w:rPr>
              <w:t xml:space="preserve">Tesise ait laboratuvarda yapılması zorunlu analizlere ilişkin test metotları, </w:t>
            </w:r>
            <w:proofErr w:type="gramStart"/>
            <w:r w:rsidRPr="00284A03">
              <w:rPr>
                <w:color w:val="auto"/>
              </w:rPr>
              <w:t>prosedürler</w:t>
            </w:r>
            <w:proofErr w:type="gramEnd"/>
            <w:r w:rsidRPr="00284A03">
              <w:rPr>
                <w:color w:val="auto"/>
              </w:rPr>
              <w:t xml:space="preserve"> ile ilgili ayrıntılı bilgi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>BÖLÜM 15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A03">
              <w:rPr>
                <w:rFonts w:ascii="Times New Roman" w:hAnsi="Times New Roman"/>
                <w:b/>
                <w:sz w:val="24"/>
                <w:szCs w:val="24"/>
              </w:rPr>
              <w:t>SONUÇLAR</w:t>
            </w:r>
          </w:p>
        </w:tc>
      </w:tr>
      <w:tr w:rsidR="00F06DBB" w:rsidRPr="00284A03" w:rsidTr="0026208B">
        <w:tc>
          <w:tcPr>
            <w:tcW w:w="1033" w:type="pct"/>
          </w:tcPr>
          <w:p w:rsidR="00F06DBB" w:rsidRPr="00284A03" w:rsidRDefault="00F06DBB" w:rsidP="00F06D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3967" w:type="pct"/>
          </w:tcPr>
          <w:p w:rsidR="00F06DBB" w:rsidRPr="00284A03" w:rsidRDefault="00F06DBB" w:rsidP="00F06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A03">
              <w:rPr>
                <w:rFonts w:ascii="Times New Roman" w:hAnsi="Times New Roman"/>
                <w:sz w:val="24"/>
                <w:szCs w:val="24"/>
              </w:rPr>
              <w:t>Tesis ve Faaliyet İle İlgili Genel Değerlendirme</w:t>
            </w:r>
          </w:p>
        </w:tc>
      </w:tr>
    </w:tbl>
    <w:p w:rsidR="000551B5" w:rsidRPr="0026208B" w:rsidRDefault="000551B5">
      <w:pPr>
        <w:rPr>
          <w:rFonts w:ascii="Times New Roman" w:hAnsi="Times New Roman"/>
          <w:sz w:val="24"/>
          <w:szCs w:val="24"/>
        </w:rPr>
      </w:pPr>
    </w:p>
    <w:sectPr w:rsidR="000551B5" w:rsidRPr="0026208B" w:rsidSect="00C33DC9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997"/>
    <w:multiLevelType w:val="hybridMultilevel"/>
    <w:tmpl w:val="F9A00688"/>
    <w:lvl w:ilvl="0" w:tplc="EEF8492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81B6C"/>
    <w:multiLevelType w:val="hybridMultilevel"/>
    <w:tmpl w:val="5880AE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8005E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1D52F21"/>
    <w:multiLevelType w:val="hybridMultilevel"/>
    <w:tmpl w:val="7B2A9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93BAF"/>
    <w:multiLevelType w:val="multilevel"/>
    <w:tmpl w:val="D5080C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BBE32FB"/>
    <w:multiLevelType w:val="hybridMultilevel"/>
    <w:tmpl w:val="C54C7D70"/>
    <w:lvl w:ilvl="0" w:tplc="4AF6470A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97584"/>
    <w:multiLevelType w:val="hybridMultilevel"/>
    <w:tmpl w:val="B8C62E3A"/>
    <w:lvl w:ilvl="0" w:tplc="01E27F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F2"/>
    <w:rsid w:val="0001775F"/>
    <w:rsid w:val="00034E76"/>
    <w:rsid w:val="00037563"/>
    <w:rsid w:val="000409DC"/>
    <w:rsid w:val="000451D5"/>
    <w:rsid w:val="000551B5"/>
    <w:rsid w:val="0005672C"/>
    <w:rsid w:val="000573CE"/>
    <w:rsid w:val="000618EB"/>
    <w:rsid w:val="000632C7"/>
    <w:rsid w:val="00087869"/>
    <w:rsid w:val="00095E19"/>
    <w:rsid w:val="000A5EA1"/>
    <w:rsid w:val="000D27D6"/>
    <w:rsid w:val="000E7FF8"/>
    <w:rsid w:val="001045E9"/>
    <w:rsid w:val="00107ED9"/>
    <w:rsid w:val="00113B0A"/>
    <w:rsid w:val="001147CC"/>
    <w:rsid w:val="00144484"/>
    <w:rsid w:val="001804F8"/>
    <w:rsid w:val="00181045"/>
    <w:rsid w:val="00187B0D"/>
    <w:rsid w:val="001904A0"/>
    <w:rsid w:val="00192CD3"/>
    <w:rsid w:val="001950A8"/>
    <w:rsid w:val="001C2E76"/>
    <w:rsid w:val="001D04EC"/>
    <w:rsid w:val="001E1446"/>
    <w:rsid w:val="001F126C"/>
    <w:rsid w:val="001F1ED1"/>
    <w:rsid w:val="001F3BAD"/>
    <w:rsid w:val="002027E2"/>
    <w:rsid w:val="002358AA"/>
    <w:rsid w:val="0024012B"/>
    <w:rsid w:val="00245F97"/>
    <w:rsid w:val="002576CA"/>
    <w:rsid w:val="0026208B"/>
    <w:rsid w:val="00283AE0"/>
    <w:rsid w:val="00284A03"/>
    <w:rsid w:val="00333119"/>
    <w:rsid w:val="003447B0"/>
    <w:rsid w:val="0035215D"/>
    <w:rsid w:val="00396C52"/>
    <w:rsid w:val="003A0248"/>
    <w:rsid w:val="003A2C04"/>
    <w:rsid w:val="003B147C"/>
    <w:rsid w:val="003D24A3"/>
    <w:rsid w:val="003F5452"/>
    <w:rsid w:val="00416474"/>
    <w:rsid w:val="00422998"/>
    <w:rsid w:val="0042409F"/>
    <w:rsid w:val="004334C1"/>
    <w:rsid w:val="00455F76"/>
    <w:rsid w:val="00465B59"/>
    <w:rsid w:val="00497DBE"/>
    <w:rsid w:val="004A1998"/>
    <w:rsid w:val="004D2C30"/>
    <w:rsid w:val="004D2DA7"/>
    <w:rsid w:val="004E77D3"/>
    <w:rsid w:val="004F64F1"/>
    <w:rsid w:val="004F79C3"/>
    <w:rsid w:val="0056494F"/>
    <w:rsid w:val="0057122A"/>
    <w:rsid w:val="005C48C2"/>
    <w:rsid w:val="005C5D76"/>
    <w:rsid w:val="00604E30"/>
    <w:rsid w:val="006728A7"/>
    <w:rsid w:val="006856EC"/>
    <w:rsid w:val="00695A59"/>
    <w:rsid w:val="00696164"/>
    <w:rsid w:val="006B7E7D"/>
    <w:rsid w:val="006C46D0"/>
    <w:rsid w:val="006D07E4"/>
    <w:rsid w:val="006E5551"/>
    <w:rsid w:val="006E567A"/>
    <w:rsid w:val="006E692A"/>
    <w:rsid w:val="006F21A4"/>
    <w:rsid w:val="006F7E68"/>
    <w:rsid w:val="00715535"/>
    <w:rsid w:val="00721E83"/>
    <w:rsid w:val="00740D6C"/>
    <w:rsid w:val="00743764"/>
    <w:rsid w:val="00744EED"/>
    <w:rsid w:val="00752C30"/>
    <w:rsid w:val="00772F97"/>
    <w:rsid w:val="00773D24"/>
    <w:rsid w:val="00774555"/>
    <w:rsid w:val="007752BC"/>
    <w:rsid w:val="0078666A"/>
    <w:rsid w:val="00794693"/>
    <w:rsid w:val="007B2663"/>
    <w:rsid w:val="007B77C6"/>
    <w:rsid w:val="007C23AF"/>
    <w:rsid w:val="007C6C83"/>
    <w:rsid w:val="007D7CB6"/>
    <w:rsid w:val="008003E6"/>
    <w:rsid w:val="008250AC"/>
    <w:rsid w:val="00833E85"/>
    <w:rsid w:val="00891D41"/>
    <w:rsid w:val="008B2BA0"/>
    <w:rsid w:val="008D5450"/>
    <w:rsid w:val="00904B01"/>
    <w:rsid w:val="00913BC8"/>
    <w:rsid w:val="0092519C"/>
    <w:rsid w:val="00967830"/>
    <w:rsid w:val="00994374"/>
    <w:rsid w:val="009A7178"/>
    <w:rsid w:val="009D5790"/>
    <w:rsid w:val="009E2337"/>
    <w:rsid w:val="009F6D02"/>
    <w:rsid w:val="00A94FC2"/>
    <w:rsid w:val="00AA7C81"/>
    <w:rsid w:val="00AE3C46"/>
    <w:rsid w:val="00AE6C28"/>
    <w:rsid w:val="00AF3358"/>
    <w:rsid w:val="00B04F6A"/>
    <w:rsid w:val="00B25934"/>
    <w:rsid w:val="00B30D7C"/>
    <w:rsid w:val="00B41CE7"/>
    <w:rsid w:val="00B57998"/>
    <w:rsid w:val="00B84BCE"/>
    <w:rsid w:val="00B92472"/>
    <w:rsid w:val="00BA2D53"/>
    <w:rsid w:val="00BC419A"/>
    <w:rsid w:val="00BE34B1"/>
    <w:rsid w:val="00BE50F0"/>
    <w:rsid w:val="00BF3230"/>
    <w:rsid w:val="00C055F2"/>
    <w:rsid w:val="00C33DC9"/>
    <w:rsid w:val="00C63042"/>
    <w:rsid w:val="00C87AB8"/>
    <w:rsid w:val="00CA1366"/>
    <w:rsid w:val="00CC3420"/>
    <w:rsid w:val="00CF5B23"/>
    <w:rsid w:val="00CF5C82"/>
    <w:rsid w:val="00D00B87"/>
    <w:rsid w:val="00D13307"/>
    <w:rsid w:val="00D250FA"/>
    <w:rsid w:val="00D42C20"/>
    <w:rsid w:val="00D91440"/>
    <w:rsid w:val="00D91B1A"/>
    <w:rsid w:val="00D97B4C"/>
    <w:rsid w:val="00DC6529"/>
    <w:rsid w:val="00DD0EBF"/>
    <w:rsid w:val="00E17D73"/>
    <w:rsid w:val="00E72B98"/>
    <w:rsid w:val="00E951F2"/>
    <w:rsid w:val="00EA0434"/>
    <w:rsid w:val="00ED0D3C"/>
    <w:rsid w:val="00ED635A"/>
    <w:rsid w:val="00ED6D86"/>
    <w:rsid w:val="00F06DBB"/>
    <w:rsid w:val="00F23206"/>
    <w:rsid w:val="00F34D17"/>
    <w:rsid w:val="00F358BB"/>
    <w:rsid w:val="00F37DBB"/>
    <w:rsid w:val="00F4693F"/>
    <w:rsid w:val="00F507BB"/>
    <w:rsid w:val="00F567B3"/>
    <w:rsid w:val="00F73683"/>
    <w:rsid w:val="00F8256D"/>
    <w:rsid w:val="00FA5B55"/>
    <w:rsid w:val="00FB33F2"/>
    <w:rsid w:val="00FC5D7A"/>
    <w:rsid w:val="00FD5134"/>
    <w:rsid w:val="00F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7ACDB1-9829-417C-975A-D1C8AF3F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D133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53D"/>
    <w:rPr>
      <w:rFonts w:ascii="Times New Roman" w:hAnsi="Times New Roman"/>
      <w:sz w:val="0"/>
      <w:szCs w:val="0"/>
      <w:lang w:eastAsia="en-US"/>
    </w:rPr>
  </w:style>
  <w:style w:type="paragraph" w:styleId="AralkYok">
    <w:name w:val="No Spacing"/>
    <w:uiPriority w:val="1"/>
    <w:qFormat/>
    <w:rsid w:val="00087869"/>
    <w:rPr>
      <w:rFonts w:eastAsia="Times New Roman"/>
    </w:rPr>
  </w:style>
  <w:style w:type="paragraph" w:styleId="ListeParagraf">
    <w:name w:val="List Paragraph"/>
    <w:basedOn w:val="Normal"/>
    <w:uiPriority w:val="99"/>
    <w:qFormat/>
    <w:rsid w:val="00772F97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8D54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Dzeltme">
    <w:name w:val="Revision"/>
    <w:hidden/>
    <w:uiPriority w:val="99"/>
    <w:semiHidden/>
    <w:rsid w:val="00DD0EBF"/>
    <w:rPr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D0EB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D0EB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D0EBF"/>
    <w:rPr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D0EB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D0EBF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869D-CEEA-41FE-9D7B-4C9580B6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DBM</cp:lastModifiedBy>
  <cp:revision>4</cp:revision>
  <cp:lastPrinted>2011-09-13T11:07:00Z</cp:lastPrinted>
  <dcterms:created xsi:type="dcterms:W3CDTF">2021-12-17T09:52:00Z</dcterms:created>
  <dcterms:modified xsi:type="dcterms:W3CDTF">2021-12-17T11:47:00Z</dcterms:modified>
</cp:coreProperties>
</file>