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1"/>
        <w:gridCol w:w="2931"/>
        <w:gridCol w:w="2927"/>
      </w:tblGrid>
      <w:tr w:rsidR="00AC6450" w:rsidRPr="00AC6450" w14:paraId="7E680F9F" w14:textId="77777777" w:rsidTr="00AC6450">
        <w:trPr>
          <w:trHeight w:val="317"/>
        </w:trPr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80F9C" w14:textId="5FC944B3" w:rsidR="00AC6450" w:rsidRPr="00AC6450" w:rsidRDefault="00AC6450" w:rsidP="00AC645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C6450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TUESDAY, </w:t>
            </w:r>
            <w:proofErr w:type="spellStart"/>
            <w:r w:rsidRPr="00AC6450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December</w:t>
            </w:r>
            <w:proofErr w:type="spellEnd"/>
            <w:r w:rsidRPr="00AC6450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31, 2024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80F9D" w14:textId="77777777" w:rsidR="00AC6450" w:rsidRPr="00AC6450" w:rsidRDefault="00AC6450" w:rsidP="00AC645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C6450">
              <w:rPr>
                <w:rFonts w:ascii="Palatino Linotype" w:eastAsia="Times New Roman" w:hAnsi="Palatino Linotype" w:cs="Times New Roman"/>
                <w:b/>
                <w:bCs/>
                <w:color w:val="800000"/>
                <w:sz w:val="24"/>
                <w:szCs w:val="24"/>
                <w:lang w:eastAsia="tr-TR"/>
              </w:rPr>
              <w:t>Official</w:t>
            </w:r>
            <w:proofErr w:type="spellEnd"/>
            <w:r w:rsidRPr="00AC6450">
              <w:rPr>
                <w:rFonts w:ascii="Palatino Linotype" w:eastAsia="Times New Roman" w:hAnsi="Palatino Linotype" w:cs="Times New Roman"/>
                <w:b/>
                <w:bCs/>
                <w:color w:val="8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Palatino Linotype" w:eastAsia="Times New Roman" w:hAnsi="Palatino Linotype" w:cs="Times New Roman"/>
                <w:b/>
                <w:bCs/>
                <w:color w:val="800000"/>
                <w:sz w:val="24"/>
                <w:szCs w:val="24"/>
                <w:lang w:eastAsia="tr-TR"/>
              </w:rPr>
              <w:t>Gazette</w:t>
            </w:r>
            <w:proofErr w:type="spellEnd"/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80F9E" w14:textId="77777777" w:rsidR="00AC6450" w:rsidRPr="00AC6450" w:rsidRDefault="00AC6450" w:rsidP="00AC645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AC6450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Number</w:t>
            </w:r>
            <w:proofErr w:type="spellEnd"/>
            <w:r w:rsidRPr="00AC6450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:</w:t>
            </w:r>
            <w:proofErr w:type="gramEnd"/>
            <w:r w:rsidRPr="00AC6450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32769</w:t>
            </w:r>
            <w:r w:rsidRPr="00AC64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 xml:space="preserve"> (4. </w:t>
            </w:r>
            <w:proofErr w:type="spellStart"/>
            <w:r w:rsidRPr="00AC64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Duplicate</w:t>
            </w:r>
            <w:proofErr w:type="spellEnd"/>
            <w:r w:rsidRPr="00AC64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)</w:t>
            </w:r>
          </w:p>
        </w:tc>
      </w:tr>
      <w:tr w:rsidR="00AC6450" w:rsidRPr="00AC6450" w14:paraId="7E680FA1" w14:textId="77777777" w:rsidTr="00AC6450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80FA0" w14:textId="77777777" w:rsidR="00AC6450" w:rsidRPr="00AC6450" w:rsidRDefault="00AC6450" w:rsidP="00AC6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C6450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tr-TR"/>
              </w:rPr>
              <w:t>NOTIFICATION</w:t>
            </w:r>
          </w:p>
        </w:tc>
      </w:tr>
      <w:tr w:rsidR="00AC6450" w:rsidRPr="00AC6450" w14:paraId="7E680FDC" w14:textId="77777777" w:rsidTr="00AC6450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80FA2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u w:val="single"/>
                <w:lang w:eastAsia="tr-TR"/>
              </w:rPr>
            </w:pP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tr-TR"/>
              </w:rPr>
              <w:t>From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tr-TR"/>
              </w:rPr>
              <w:t>Department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tr-TR"/>
              </w:rPr>
              <w:t xml:space="preserve"> of Commerce:</w:t>
            </w:r>
          </w:p>
          <w:p w14:paraId="4F9B2466" w14:textId="77777777" w:rsidR="000C4A14" w:rsidRPr="000C4A14" w:rsidRDefault="000C4A14" w:rsidP="000C4A14">
            <w:pPr>
              <w:spacing w:before="56"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C4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COMMUNIQUÉ ON IMPORT INSPECTION OF SOLID FUELS</w:t>
            </w:r>
          </w:p>
          <w:p w14:paraId="0DD02FEE" w14:textId="77777777" w:rsidR="000C4A14" w:rsidRPr="000C4A14" w:rsidRDefault="000C4A14" w:rsidP="000C4A14">
            <w:pPr>
              <w:spacing w:before="56"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C4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UNDER CONTROL FOR ENVIRONMENTAL PROTECTION</w:t>
            </w:r>
          </w:p>
          <w:p w14:paraId="7E680FA5" w14:textId="06CB6CE5" w:rsidR="00AC6450" w:rsidRPr="00AC6450" w:rsidRDefault="000C4A14" w:rsidP="000C4A14">
            <w:pPr>
              <w:spacing w:after="17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0C4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(Product </w:t>
            </w:r>
            <w:proofErr w:type="spellStart"/>
            <w:r w:rsidRPr="000C4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Safety</w:t>
            </w:r>
            <w:proofErr w:type="spellEnd"/>
            <w:r w:rsidRPr="000C4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C4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and</w:t>
            </w:r>
            <w:proofErr w:type="spellEnd"/>
            <w:r w:rsidRPr="000C4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C4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Inspection</w:t>
            </w:r>
            <w:proofErr w:type="spellEnd"/>
            <w:r w:rsidRPr="000C4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No. 2025/7)</w:t>
            </w:r>
          </w:p>
          <w:p w14:paraId="7E680FA6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Purpose</w:t>
            </w:r>
            <w:proofErr w:type="spellEnd"/>
          </w:p>
          <w:p w14:paraId="7E680FA7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ARTICLE 1-</w:t>
            </w:r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purpose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;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regulate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procedures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principles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regarding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conformity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inspection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terms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environmental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protection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solid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listed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Annex-1.</w:t>
            </w:r>
          </w:p>
          <w:p w14:paraId="7E680FA8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Scope</w:t>
            </w:r>
            <w:proofErr w:type="spellEnd"/>
          </w:p>
          <w:p w14:paraId="7E680FA9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ARTICLE 2-</w:t>
            </w:r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;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covers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transactions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solid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listed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Annex-1,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which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subject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Free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Circulation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Regime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7E680FAA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Underlying</w:t>
            </w:r>
            <w:proofErr w:type="spellEnd"/>
          </w:p>
          <w:p w14:paraId="7E680FAB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ARTICLE 3-</w:t>
            </w:r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has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been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prepared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basis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Article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1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Presidential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Decree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No. 455 on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Presidential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Organization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Decision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Technical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Regulations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Regime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put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effect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Presidential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Decree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14/9/2022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numbered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6038,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Regulation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 Technical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Regulations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Foreign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Trade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published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Official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16/8/2023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numbered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32281.</w:t>
            </w:r>
          </w:p>
          <w:p w14:paraId="7E680FAC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Importer</w:t>
            </w:r>
            <w:proofErr w:type="spellEnd"/>
          </w:p>
          <w:p w14:paraId="7E680FAD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ARTICLE 4-</w:t>
            </w:r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solid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listed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Annex-1 can be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made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companies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have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 Solid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Registration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obtained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from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7E680FAE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(2)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order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obtain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Registration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his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representative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must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apply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through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Ministry's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Environmental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Export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Permits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Application,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together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Turkish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Trade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Registry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Turkish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Tradesmen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Craftsmen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Registry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chamber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registration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(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approved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relevant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institutions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notary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),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tax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letter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undertaking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(Annex-6)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requested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A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registry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tax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not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required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from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importers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have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public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institutions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universities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public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legal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entities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established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special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laws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do not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have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register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chambers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7E680FAF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(3)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Registration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issued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2024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renewed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same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valid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until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2025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if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undertaking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requested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given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said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If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information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contained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documents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form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basis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issuance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Registration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loses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validity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during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year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renewal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Registration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requires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renewal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Registration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case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renewal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Registration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undertaking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requested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given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said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again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7E680FB0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(4)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Registration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valid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transactions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carried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out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within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scope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constitute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basis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these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transactions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7E680FB1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Compliance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audit</w:t>
            </w:r>
            <w:proofErr w:type="spellEnd"/>
          </w:p>
          <w:p w14:paraId="7E680FB2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ARTICLE 5-</w:t>
            </w:r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order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take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samples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from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subjected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Free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Circulation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Regime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;</w:t>
            </w:r>
          </w:p>
          <w:p w14:paraId="7E680FB3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a) A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copy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Solid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Registration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14:paraId="7E680FB4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b)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Solid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Conformity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form (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two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copies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),</w:t>
            </w:r>
          </w:p>
          <w:p w14:paraId="7E680FB5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c)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original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loading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analysis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document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showing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each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parameter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complies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limit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values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determined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translation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approved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sworn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translation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office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14:paraId="7E680FB6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gram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</w:t>
            </w:r>
            <w:proofErr w:type="gram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) A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copy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exporter's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invoice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translation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sworn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translation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office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14:paraId="7E680FB7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proofErr w:type="gram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proofErr w:type="gram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Provincial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Directorate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province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where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office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where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unloaded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applied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his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representative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through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Ministry's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Environmental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Export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Permits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Application.</w:t>
            </w:r>
          </w:p>
          <w:p w14:paraId="7E680FB8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(2)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Upon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request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his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representative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stored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under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supervision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administration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determined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relevant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authority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sampled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official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international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surveillance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firm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under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supervision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Sampling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Commission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consisting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Provincial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Directorate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officials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international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surveillance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firm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his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representative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within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procedures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principles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determined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Solid in Annex-3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Sampling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Report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issued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sample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taken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analyzed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Environmental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Reference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Laboratory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laboratories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have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received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Competence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from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results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analysis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sent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relevant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Provincial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Directorate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laboratory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performing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analysis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7E680FB9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 xml:space="preserve">(3)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If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sample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analysis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result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found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appropriate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Provincial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Directorate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Solid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Conformity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Annex-4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issued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arbitrariness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notified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his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representative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relevant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administration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If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it is not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found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suitable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Letter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Nonconformity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Annex-5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issued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arbitrariness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conveyed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his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representative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Within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seven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working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days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from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notification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Nonconformity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Letter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his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representative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if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company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not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request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writing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perform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witness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sample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analyzes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issued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Nonconformity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Letter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forwarded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relevant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administration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7E680FBA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(4)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event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which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Letter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Non-Conformity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has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been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issued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heating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purposes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not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meet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properties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used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industrial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thermal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power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plants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an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Solid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Conformity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issued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Provincial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Directorate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use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industrial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thermal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power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plants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upon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request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his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representative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provided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undertaking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requested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given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7E680FBB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(5)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Likewise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if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which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Letter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Non-Conformity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issued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because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it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not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meet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characteristics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industrial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purposes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meets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characteristics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used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thermal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power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plants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an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Solid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Conformity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issued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Provincial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Directorate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use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thermal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power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plants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upon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request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his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representative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provided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undertaking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requested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given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7E680FBC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(6)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event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brought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a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single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batch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stored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as a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single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batch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bonded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area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desired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withdrawn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more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batch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it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sampled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analyzed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represent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entire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during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withdrawal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first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batch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analysis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report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which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represents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entire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taken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basis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subsequent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issuance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Solid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Conformity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(s).</w:t>
            </w:r>
          </w:p>
          <w:p w14:paraId="7E680FBD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Objection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results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analysis</w:t>
            </w:r>
            <w:proofErr w:type="spellEnd"/>
          </w:p>
          <w:p w14:paraId="7E680FBE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ARTICLE 6-</w:t>
            </w:r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event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analysis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result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sample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taken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from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not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found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appropriate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within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seven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working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days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from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notification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arbitrariness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his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representative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upon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written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request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provided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expenses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covered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his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representative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analysis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witness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sample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(s)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carried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out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within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procedures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principles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determined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suitability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non-conformity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decided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</w:t>
            </w:r>
          </w:p>
          <w:p w14:paraId="7E680FBF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a) An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Solid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Conformity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issued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Provincial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Directorate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whose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analysis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results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found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appropriate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notified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relevant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administration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his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representative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7E680FC0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b) A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Letter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Non-Conformity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issued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Provincial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Directorate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found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inappropriate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as a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result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witness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sample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analysis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notified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relevant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administration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his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representative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7E680FC1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c)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Except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cases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occur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during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collection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bagging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sending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preparation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analysis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storage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samples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request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can be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made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take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new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samples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from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Provincial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Directorate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7E680FC2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Proof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delivery</w:t>
            </w:r>
            <w:proofErr w:type="spellEnd"/>
          </w:p>
          <w:p w14:paraId="7E680FC3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ARTICLE 7-</w:t>
            </w:r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Companies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have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obtained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Solid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Conformity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use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listed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Annex-1 in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industry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obliged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submit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delivery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receipt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document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stating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has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been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delivered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factories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except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those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bring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it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their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own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needs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)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Provincial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Directorate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which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issued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Solid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Conformity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within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ninety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days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at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latest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after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cleared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from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If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obligation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not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fulfilled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subsequent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Solid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Conformity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requests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industrialist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not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fulfill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obligation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will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not be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evaluated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6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months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If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deficiencies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completed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company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new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requests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evaluated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7E680FC4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Exception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exemption</w:t>
            </w:r>
            <w:proofErr w:type="spellEnd"/>
          </w:p>
          <w:p w14:paraId="7E680FC5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ARTICLE 8-</w:t>
            </w:r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cases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where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there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temporary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storage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place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warehouse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it is not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sufficient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can be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stored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places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permitted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status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temporary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stored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goods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provided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it is not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mixed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other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same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place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case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conformity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inspection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stored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carried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out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within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framework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Article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5.</w:t>
            </w:r>
          </w:p>
          <w:p w14:paraId="7E680FC6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(2)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cannot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placed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temporary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storage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places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warehouses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not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covered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first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paragraph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subjected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on-board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processing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representative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provided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information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form in Annex-2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submitted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relevant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Provincial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Directorate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before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being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brought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territory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Turkey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After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procedures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completed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stored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area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specified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information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form,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provided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it is not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mixed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other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if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If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sample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taken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while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on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vehicle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area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where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stored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a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sample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taken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from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under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supervision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Commission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specified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second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paragraph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Article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5,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official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international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surveillance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company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within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procedures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principles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determined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Solid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Sampling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Report in Annex-3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issued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processed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under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paragraph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not be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stored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an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area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outside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borders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province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which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located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However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industrial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purposes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can be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stored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province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where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industrial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facility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located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if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requested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company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purpose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information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form in Annex-2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stored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given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company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Provincial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Directorate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province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where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will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stored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conformity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inspection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these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carried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out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Provincial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Directorate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province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where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stored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As a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result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conformity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audit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carried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out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Provincial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Directorate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accordance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Article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5,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cannot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supplied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market in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way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cannot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transported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from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location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another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area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cannot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used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cannot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used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cannot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subjected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screening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process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cannot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bagged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until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Solid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Conformity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issued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7E680FC7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(3)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If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result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analysis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within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framework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second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paragraph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not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found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appropriate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fourth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fifth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paragraphs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Article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5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shall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apply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If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not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possible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it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imperative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export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returned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country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origin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country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loading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sent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third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country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7E680FC8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(4)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goods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listed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Annex-1;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quantities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specifications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deemed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appropriate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use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defense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industry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as an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input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without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heat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treatment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in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filtration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research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analysis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laboratories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an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exemption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application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made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through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Environmental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Export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Permits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Application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each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substance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before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each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transaction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If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application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approved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issues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Exemption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Letter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instead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Solid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Conformity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arbitrariness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notified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his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representative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7E680FC9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(5)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Importers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want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benefit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from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exemption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fourth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paragraph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must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obtain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 Solid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Registration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However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a Solid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Registration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not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required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specified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goods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an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amount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not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exceeding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1 ton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year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7E680FCA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(6)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transactions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within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scope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fourth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paragraph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declaration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his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representative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essential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sanctions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Article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10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applied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those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cannot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their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declaration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subsequent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controls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7E680FCB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Customs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clearance</w:t>
            </w:r>
            <w:proofErr w:type="spellEnd"/>
          </w:p>
          <w:p w14:paraId="7E680FCC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ARTICLE 9-</w:t>
            </w:r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Except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provision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second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paragraph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Article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8,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Solid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Conformity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issued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as a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result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conformity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inspection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carried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out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Provincial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Directorate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Exemption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Letter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issued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sought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during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registration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declaration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listed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Annex-1.</w:t>
            </w:r>
          </w:p>
          <w:p w14:paraId="7E680FCD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(2)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which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Non-Conformity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Letter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has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been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issued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Provincial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Directorate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not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allowed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not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suitable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returned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country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origin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loading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transited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third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country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at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expense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his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representative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7E680FCE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Sanctions</w:t>
            </w:r>
            <w:proofErr w:type="spellEnd"/>
          </w:p>
          <w:p w14:paraId="7E680FCF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ARTICLE 10-</w:t>
            </w:r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Regarding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those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contrary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false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misleading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statements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use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submit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falsify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false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documents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;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relevant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provisions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Law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No. 4458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27/10/1999,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Decision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Technical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Regulations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Regime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Environmental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Law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No. 2872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9/8/1983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other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relevant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legislation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applied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7E680FD0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Precautions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implementation</w:t>
            </w:r>
            <w:proofErr w:type="spellEnd"/>
          </w:p>
          <w:p w14:paraId="7E680FD1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ARTICLE 11-</w:t>
            </w:r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General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Directorate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Product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Safety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Inspection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Commerce is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authorized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take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practical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measures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regulations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issues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included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7E680FD2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Repealed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communiqué</w:t>
            </w:r>
            <w:proofErr w:type="spellEnd"/>
          </w:p>
          <w:p w14:paraId="7E680FD3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ARTICLE 12-</w:t>
            </w:r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Control of Solid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Controlled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Protection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Environment (Product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Safety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Inspection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: 2024/7)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published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Official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31/12/2023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numbered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32416 has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been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repealed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7E680FD4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Migration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process</w:t>
            </w:r>
            <w:proofErr w:type="spellEnd"/>
          </w:p>
          <w:p w14:paraId="7E680FD5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PROVISIONAL ARTICLE 1-</w:t>
            </w:r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which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 transport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document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has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been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issued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export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country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origin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before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entry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force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submitted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authorities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accordance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legislation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forty-five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days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from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date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entry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force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Control of Solid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Fuels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Controlled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Protection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Environment,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which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was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repealed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Article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12 (Product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Safety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Inspection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:  2024/7).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However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favorable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provisions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shall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apply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such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transactions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7E680FD6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Effective</w:t>
            </w:r>
            <w:proofErr w:type="spellEnd"/>
          </w:p>
          <w:p w14:paraId="7E680FD7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ARTICLE 13-</w:t>
            </w:r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enters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into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force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 1/1/2025.</w:t>
            </w:r>
          </w:p>
          <w:p w14:paraId="7E680FD8" w14:textId="77777777" w:rsidR="00AC6450" w:rsidRPr="00AC6450" w:rsidRDefault="00AC6450" w:rsidP="00AC645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Execution</w:t>
            </w:r>
            <w:proofErr w:type="spellEnd"/>
          </w:p>
          <w:p w14:paraId="7E680FDB" w14:textId="1C1D2167" w:rsidR="00AC6450" w:rsidRPr="00AC6450" w:rsidRDefault="00AC6450" w:rsidP="00686002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C6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ARTICLE 14-</w:t>
            </w:r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provisions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executed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Minister</w:t>
            </w:r>
            <w:proofErr w:type="spellEnd"/>
            <w:r w:rsidRPr="00AC64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Commerce.</w:t>
            </w:r>
            <w:r w:rsidRPr="00AC6450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tr-TR"/>
              </w:rPr>
              <w:t> </w:t>
            </w:r>
          </w:p>
        </w:tc>
      </w:tr>
    </w:tbl>
    <w:p w14:paraId="7E680FDD" w14:textId="02750EE6" w:rsidR="008D61C9" w:rsidRDefault="008D61C9"/>
    <w:sectPr w:rsidR="008D61C9" w:rsidSect="006860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92646" w14:textId="77777777" w:rsidR="003017C3" w:rsidRDefault="003017C3" w:rsidP="006E06C2">
      <w:pPr>
        <w:spacing w:after="0" w:line="240" w:lineRule="auto"/>
      </w:pPr>
      <w:r>
        <w:separator/>
      </w:r>
    </w:p>
  </w:endnote>
  <w:endnote w:type="continuationSeparator" w:id="0">
    <w:p w14:paraId="44FD24CF" w14:textId="77777777" w:rsidR="003017C3" w:rsidRDefault="003017C3" w:rsidP="006E0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0CC69" w14:textId="77777777" w:rsidR="006E06C2" w:rsidRDefault="006E0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0D9E4" w14:textId="77777777" w:rsidR="006E06C2" w:rsidRDefault="006E06C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1DE97" w14:textId="77777777" w:rsidR="006E06C2" w:rsidRDefault="006E0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C0752" w14:textId="77777777" w:rsidR="003017C3" w:rsidRDefault="003017C3" w:rsidP="006E06C2">
      <w:pPr>
        <w:spacing w:after="0" w:line="240" w:lineRule="auto"/>
      </w:pPr>
      <w:r>
        <w:separator/>
      </w:r>
    </w:p>
  </w:footnote>
  <w:footnote w:type="continuationSeparator" w:id="0">
    <w:p w14:paraId="26BC4215" w14:textId="77777777" w:rsidR="003017C3" w:rsidRDefault="003017C3" w:rsidP="006E0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DA927" w14:textId="77777777" w:rsidR="006E06C2" w:rsidRDefault="006E0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CB38B" w14:textId="77777777" w:rsidR="006E06C2" w:rsidRPr="0039765E" w:rsidRDefault="003017C3" w:rsidP="006E06C2">
    <w:pPr>
      <w:pStyle w:val="stBilgi"/>
      <w:jc w:val="center"/>
      <w:rPr>
        <w:b/>
        <w:bCs/>
      </w:rPr>
    </w:pPr>
    <w:r>
      <w:rPr>
        <w:b/>
        <w:bCs/>
        <w:noProof/>
      </w:rPr>
      <w:pict w14:anchorId="6C7055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8970173" o:spid="_x0000_s2049" type="#_x0000_t136" style="position:absolute;left:0;text-align:left;margin-left:0;margin-top:0;width:554.25pt;height:66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54pt" string="COURTESY TRANSLATION"/>
          <w10:wrap anchorx="margin" anchory="margin"/>
        </v:shape>
      </w:pict>
    </w:r>
    <w:proofErr w:type="spellStart"/>
    <w:r w:rsidR="006E06C2" w:rsidRPr="0039765E">
      <w:rPr>
        <w:b/>
        <w:bCs/>
      </w:rPr>
      <w:t>Courtesy</w:t>
    </w:r>
    <w:proofErr w:type="spellEnd"/>
    <w:r w:rsidR="006E06C2" w:rsidRPr="0039765E">
      <w:rPr>
        <w:b/>
        <w:bCs/>
      </w:rPr>
      <w:t xml:space="preserve"> </w:t>
    </w:r>
    <w:proofErr w:type="spellStart"/>
    <w:r w:rsidR="006E06C2" w:rsidRPr="0039765E">
      <w:rPr>
        <w:b/>
        <w:bCs/>
      </w:rPr>
      <w:t>Translation</w:t>
    </w:r>
    <w:proofErr w:type="spellEnd"/>
  </w:p>
  <w:p w14:paraId="5E02DAD2" w14:textId="2CD09D36" w:rsidR="006E06C2" w:rsidRDefault="006E06C2" w:rsidP="006E06C2">
    <w:pPr>
      <w:pStyle w:val="stBilgi"/>
      <w:jc w:val="center"/>
    </w:pPr>
    <w:r>
      <w:t>(</w:t>
    </w:r>
    <w:proofErr w:type="gramStart"/>
    <w:r>
      <w:t>in</w:t>
    </w:r>
    <w:proofErr w:type="gramEnd"/>
    <w:r>
      <w:t xml:space="preserve"> </w:t>
    </w:r>
    <w:proofErr w:type="spellStart"/>
    <w:r>
      <w:t>case</w:t>
    </w:r>
    <w:proofErr w:type="spellEnd"/>
    <w:r>
      <w:t xml:space="preserve"> of </w:t>
    </w:r>
    <w:proofErr w:type="spellStart"/>
    <w:r>
      <w:t>conflict</w:t>
    </w:r>
    <w:proofErr w:type="spellEnd"/>
    <w:r>
      <w:t xml:space="preserve">, </w:t>
    </w:r>
    <w:proofErr w:type="spellStart"/>
    <w:r>
      <w:t>only</w:t>
    </w:r>
    <w:proofErr w:type="spellEnd"/>
    <w:r>
      <w:t xml:space="preserve"> </w:t>
    </w:r>
    <w:proofErr w:type="spellStart"/>
    <w:r>
      <w:t>the</w:t>
    </w:r>
    <w:proofErr w:type="spellEnd"/>
    <w:r>
      <w:t xml:space="preserve"> </w:t>
    </w:r>
    <w:proofErr w:type="spellStart"/>
    <w:r>
      <w:t>Turkish</w:t>
    </w:r>
    <w:proofErr w:type="spellEnd"/>
    <w:r>
      <w:t xml:space="preserve"> </w:t>
    </w:r>
    <w:proofErr w:type="spellStart"/>
    <w:r>
      <w:t>version</w:t>
    </w:r>
    <w:proofErr w:type="spellEnd"/>
    <w:r>
      <w:t xml:space="preserve"> is </w:t>
    </w:r>
    <w:proofErr w:type="spellStart"/>
    <w:r>
      <w:t>valid</w:t>
    </w:r>
    <w:proofErr w:type="spellEnd"/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A406B" w14:textId="77777777" w:rsidR="006E06C2" w:rsidRDefault="006E06C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450"/>
    <w:rsid w:val="000C4A14"/>
    <w:rsid w:val="003017C3"/>
    <w:rsid w:val="003D3ADE"/>
    <w:rsid w:val="00686002"/>
    <w:rsid w:val="006E06C2"/>
    <w:rsid w:val="00737E44"/>
    <w:rsid w:val="008D61C9"/>
    <w:rsid w:val="00996B06"/>
    <w:rsid w:val="00A021C8"/>
    <w:rsid w:val="00AC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E680F9C"/>
  <w15:chartTrackingRefBased/>
  <w15:docId w15:val="{D10E7E52-59FA-4B1A-BBA9-C88BD46B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6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lk11pt"/>
    <w:basedOn w:val="Normal"/>
    <w:rsid w:val="00AC6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rtabalkbold">
    <w:name w:val="ortabalkbold"/>
    <w:basedOn w:val="Normal"/>
    <w:rsid w:val="00AC6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AC6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AC6450"/>
    <w:rPr>
      <w:color w:val="0000FF"/>
      <w:u w:val="single"/>
    </w:rPr>
  </w:style>
  <w:style w:type="character" w:styleId="YerTutucuMetni">
    <w:name w:val="Placeholder Text"/>
    <w:basedOn w:val="VarsaylanParagrafYazTipi"/>
    <w:uiPriority w:val="99"/>
    <w:semiHidden/>
    <w:rsid w:val="00686002"/>
    <w:rPr>
      <w:color w:val="666666"/>
    </w:rPr>
  </w:style>
  <w:style w:type="paragraph" w:styleId="stBilgi">
    <w:name w:val="header"/>
    <w:basedOn w:val="Normal"/>
    <w:link w:val="stBilgiChar"/>
    <w:uiPriority w:val="99"/>
    <w:unhideWhenUsed/>
    <w:rsid w:val="006E0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06C2"/>
  </w:style>
  <w:style w:type="paragraph" w:styleId="AltBilgi">
    <w:name w:val="footer"/>
    <w:basedOn w:val="Normal"/>
    <w:link w:val="AltBilgiChar"/>
    <w:uiPriority w:val="99"/>
    <w:unhideWhenUsed/>
    <w:rsid w:val="006E0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0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6FC1C-3BA9-452C-BAC8-A128ED41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2395</Words>
  <Characters>13653</Characters>
  <Application>Microsoft Office Word</Application>
  <DocSecurity>0</DocSecurity>
  <Lines>113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Ergen</dc:creator>
  <cp:keywords/>
  <dc:description/>
  <cp:lastModifiedBy>Semin Altuntaş</cp:lastModifiedBy>
  <cp:revision>4</cp:revision>
  <dcterms:created xsi:type="dcterms:W3CDTF">2025-09-27T14:00:00Z</dcterms:created>
  <dcterms:modified xsi:type="dcterms:W3CDTF">2025-09-27T15:09:00Z</dcterms:modified>
</cp:coreProperties>
</file>