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A07D8F">
        <w:rPr>
          <w:color w:val="FF0000"/>
          <w:sz w:val="28"/>
          <w:szCs w:val="28"/>
        </w:rPr>
        <w:t>ÇEVRE LİSANSI</w:t>
      </w:r>
    </w:p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r w:rsidRPr="00A07D8F">
        <w:rPr>
          <w:color w:val="FF0000"/>
          <w:sz w:val="28"/>
          <w:szCs w:val="28"/>
        </w:rPr>
        <w:t>BAŞVURUSUNDA BULUNACAK İŞLETMELERİN</w:t>
      </w:r>
    </w:p>
    <w:p w:rsidR="0014485E" w:rsidRPr="00A07D8F" w:rsidRDefault="0014485E" w:rsidP="0014485E">
      <w:pPr>
        <w:pStyle w:val="KonuBal"/>
        <w:ind w:firstLine="708"/>
        <w:rPr>
          <w:color w:val="FF0000"/>
          <w:sz w:val="28"/>
          <w:szCs w:val="28"/>
        </w:rPr>
      </w:pPr>
      <w:r w:rsidRPr="00A07D8F">
        <w:rPr>
          <w:color w:val="FF0000"/>
          <w:sz w:val="28"/>
          <w:szCs w:val="28"/>
        </w:rPr>
        <w:t>SAĞLAMASI GEREKEN FİZİKİ ŞARTLAR</w:t>
      </w:r>
    </w:p>
    <w:p w:rsid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702B4" w:rsidRDefault="008702B4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070E0" w:rsidRP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70E0">
        <w:rPr>
          <w:rFonts w:ascii="Times New Roman" w:hAnsi="Times New Roman" w:cs="Times New Roman"/>
          <w:b/>
          <w:sz w:val="24"/>
          <w:szCs w:val="24"/>
        </w:rPr>
        <w:t>Tesisin 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1070E0">
        <w:rPr>
          <w:rFonts w:ascii="Times New Roman" w:hAnsi="Times New Roman" w:cs="Times New Roman"/>
          <w:b/>
          <w:sz w:val="24"/>
          <w:szCs w:val="24"/>
        </w:rPr>
        <w:t>:</w:t>
      </w:r>
    </w:p>
    <w:p w:rsidR="0014485E" w:rsidRPr="001070E0" w:rsidRDefault="001070E0" w:rsidP="001070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070E0">
        <w:rPr>
          <w:rFonts w:ascii="Times New Roman" w:hAnsi="Times New Roman" w:cs="Times New Roman"/>
          <w:b/>
          <w:sz w:val="24"/>
          <w:szCs w:val="24"/>
        </w:rPr>
        <w:t>Tesisin Adresi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1070E0">
        <w:rPr>
          <w:rFonts w:ascii="Times New Roman" w:hAnsi="Times New Roman" w:cs="Times New Roman"/>
          <w:b/>
          <w:sz w:val="24"/>
          <w:szCs w:val="24"/>
        </w:rPr>
        <w:t>:</w:t>
      </w: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7D8F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A07D8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A07D8F">
        <w:rPr>
          <w:rFonts w:ascii="Times New Roman" w:hAnsi="Times New Roman" w:cs="Times New Roman"/>
          <w:sz w:val="24"/>
          <w:szCs w:val="24"/>
        </w:rPr>
        <w:t xml:space="preserve"> Atık Yakma ve Birlikte Yakma</w:t>
      </w:r>
    </w:p>
    <w:p w:rsidR="0014485E" w:rsidRPr="00417383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7D8F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A07D8F">
        <w:rPr>
          <w:rFonts w:ascii="Times New Roman" w:hAnsi="Times New Roman" w:cs="Times New Roman"/>
          <w:b/>
          <w:sz w:val="24"/>
          <w:szCs w:val="24"/>
        </w:rPr>
        <w:tab/>
      </w:r>
      <w:r w:rsidRPr="00A07D8F">
        <w:rPr>
          <w:rFonts w:ascii="Times New Roman" w:hAnsi="Times New Roman" w:cs="Times New Roman"/>
          <w:b/>
          <w:sz w:val="24"/>
          <w:szCs w:val="24"/>
        </w:rPr>
        <w:tab/>
      </w:r>
      <w:r w:rsidRPr="004173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17383">
        <w:rPr>
          <w:rFonts w:ascii="Times New Roman" w:hAnsi="Times New Roman" w:cs="Times New Roman"/>
          <w:sz w:val="24"/>
          <w:szCs w:val="24"/>
        </w:rPr>
        <w:t>Atıkların Yakılmasına İlişkin Yönetmelik</w:t>
      </w:r>
      <w:r w:rsidR="00A14B7C" w:rsidRPr="00417383">
        <w:rPr>
          <w:rFonts w:ascii="Times New Roman" w:hAnsi="Times New Roman" w:cs="Times New Roman"/>
          <w:sz w:val="24"/>
          <w:szCs w:val="24"/>
        </w:rPr>
        <w:t>,</w:t>
      </w:r>
    </w:p>
    <w:p w:rsidR="00A14B7C" w:rsidRPr="00417383" w:rsidRDefault="00A14B7C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="00417383">
        <w:rPr>
          <w:rFonts w:ascii="Times New Roman" w:hAnsi="Times New Roman" w:cs="Times New Roman"/>
          <w:sz w:val="24"/>
          <w:szCs w:val="24"/>
        </w:rPr>
        <w:t xml:space="preserve">  </w:t>
      </w:r>
      <w:r w:rsidRPr="00417383">
        <w:rPr>
          <w:rFonts w:ascii="Times New Roman" w:hAnsi="Times New Roman" w:cs="Times New Roman"/>
          <w:sz w:val="24"/>
          <w:szCs w:val="24"/>
        </w:rPr>
        <w:t xml:space="preserve">Tıbbi Atıkların Kontrolü Yönetmeliği (Tesiste tıbbi atıklar </w:t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</w:r>
      <w:r w:rsidRPr="00417383">
        <w:rPr>
          <w:rFonts w:ascii="Times New Roman" w:hAnsi="Times New Roman" w:cs="Times New Roman"/>
          <w:sz w:val="24"/>
          <w:szCs w:val="24"/>
        </w:rPr>
        <w:tab/>
        <w:t xml:space="preserve">  bertaraf edilecekse)</w:t>
      </w:r>
    </w:p>
    <w:p w:rsidR="0014485E" w:rsidRDefault="008359AB" w:rsidP="001448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359AB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8359AB">
        <w:rPr>
          <w:rFonts w:ascii="Times New Roman" w:hAnsi="Times New Roman" w:cs="Times New Roman"/>
          <w:b/>
          <w:sz w:val="24"/>
          <w:szCs w:val="24"/>
        </w:rPr>
        <w:t>:</w:t>
      </w:r>
    </w:p>
    <w:p w:rsidR="00FC4E46" w:rsidRDefault="00FC4E46" w:rsidP="001448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tblInd w:w="-44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45"/>
        <w:gridCol w:w="959"/>
        <w:gridCol w:w="1134"/>
        <w:gridCol w:w="993"/>
        <w:gridCol w:w="1134"/>
      </w:tblGrid>
      <w:tr w:rsidR="002C3028" w:rsidRPr="00A07D8F" w:rsidTr="002C3028">
        <w:tc>
          <w:tcPr>
            <w:tcW w:w="6401" w:type="dxa"/>
            <w:gridSpan w:val="2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İşletmenin Sağlaması Zorunlu Fiziksel Şartlar</w:t>
            </w:r>
          </w:p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Atık Yakma Tesisleri</w:t>
            </w:r>
          </w:p>
        </w:tc>
        <w:tc>
          <w:tcPr>
            <w:tcW w:w="212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Beraber Yakma Tesisleri</w:t>
            </w:r>
          </w:p>
        </w:tc>
      </w:tr>
      <w:tr w:rsidR="002C3028" w:rsidRPr="00A07D8F" w:rsidTr="002C3028">
        <w:trPr>
          <w:trHeight w:val="786"/>
        </w:trPr>
        <w:tc>
          <w:tcPr>
            <w:tcW w:w="6401" w:type="dxa"/>
            <w:gridSpan w:val="2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2C3028" w:rsidRPr="00A07D8F" w:rsidRDefault="002C3028" w:rsidP="000D193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2C3028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028" w:rsidRPr="00A7313E" w:rsidRDefault="00FC4E46" w:rsidP="00417373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İşletmede 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…/…/…… tarihli ve …………..rapor nolu</w:t>
            </w:r>
            <w:r w:rsidR="007A2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 Raporunda yer alan makine ve ekipmanlar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C3028" w:rsidRPr="00A07D8F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C3028" w:rsidRDefault="002C3028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  <w:p w:rsidR="008702B4" w:rsidRPr="00A07D8F" w:rsidRDefault="008702B4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69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 raporunda yer alan makine ve ekipmanların montajı tamamlanmış ve faaliyete hazırdır.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55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Tesis girişinde atıkların tartılması ve kontrolü amacıyla kantar, kontrol ve kabul üniteleri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BE56E2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Atıkların bileşimine yönelik analizleri (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beraber yakma tesisleri için</w:t>
            </w:r>
            <w:r w:rsidR="00BE56E2"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731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atığın kalorifik değeri, ağır metal,  klor ve flor içeriği, nem</w:t>
            </w:r>
            <w:r w:rsidR="00BE56E2"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A73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yakma tesisleri için </w:t>
            </w:r>
            <w:r w:rsidRPr="00A731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atığın kalorifik değeri, ağır metal,  klor ve flor içeriği, nem, cüruf ve taban küllerinde toplam organik karbon)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yapmaya uygun laboratuvar cihazları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25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6D5C1C" w:rsidP="006D5C1C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Radyoaktif madde ölçüm cihazı (radyasyon paneli veya el cihazı) ve bu cihazı kullanacak personelin eğitim sertifikası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E46" w:rsidRPr="00A7313E" w:rsidRDefault="00FC4E46" w:rsidP="0003296D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Tesise gelen atıkların </w:t>
            </w:r>
            <w:r w:rsidR="0003296D"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bekletilmesi amacıyla stok</w:t>
            </w:r>
            <w:r w:rsidR="008E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296D"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sahası</w:t>
            </w: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A7313E">
        <w:trPr>
          <w:trHeight w:val="968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851F2B" w:rsidRDefault="0003296D" w:rsidP="009C78F2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Tesiste </w:t>
            </w:r>
            <w:r w:rsidR="00FC4E46" w:rsidRPr="00851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birimine ilişkin uyarı ve ikaz levhaları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851F2B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Geçici depolama biriminin tabanı sızdırmaz, tehlikeli atıkların depolandığı alanın üstü kapatılmıştır.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C4E46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7313E" w:rsidRDefault="00FC4E46" w:rsidP="0006655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Tesiste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at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k besleme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bulunuyor.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v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beslenmesi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in ise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enjeksiyon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(s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v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at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k kullanmayan tesislerde enjenksiyon sistemi aranmaz.) 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mevcuttur.</w:t>
            </w:r>
            <w:r w:rsidR="007A2B4F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FC4E46" w:rsidRPr="00A07D8F" w:rsidRDefault="00FC4E46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702B4">
        <w:trPr>
          <w:trHeight w:val="1243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yanma odas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nda bulundu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u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re boyunca 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cakl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50 °C"/>
              </w:smartTagP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 xml:space="preserve">850 </w:t>
              </w: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>°</w:t>
              </w:r>
              <w:r w:rsidRPr="00A7313E">
                <w:rPr>
                  <w:rFonts w:ascii="Times New Roman" w:eastAsia="ヒラギノ明朝 Pro W3" w:hAnsi="Times"/>
                  <w:sz w:val="24"/>
                  <w:szCs w:val="24"/>
                </w:rPr>
                <w:t>C</w:t>
              </w:r>
            </w:smartTag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veya halojenli bile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ikler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in 1100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°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C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de muhafaza edilmesini temin etmek amac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yla,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yedek br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ö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ile donat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lm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Yakma tesislerinde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baca gaz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 ar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m sistemi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ve dioksin-furan tutulumunu sa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layan aktif karbon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nitesi veya benzeri bir 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m sistemi 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bulunmal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d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r. </w:t>
            </w:r>
            <w:r w:rsidR="002D5323" w:rsidRPr="006A3F09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(Beraber Yakma Tesislerinde aktif karbon sistemi aranmaz.)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A7313E" w:rsidRDefault="002E273B" w:rsidP="005E642D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Tesiste, HCl, HF, SO2, NOx, CO ve </w:t>
            </w:r>
            <w:r w:rsidR="005E642D">
              <w:rPr>
                <w:rFonts w:ascii="Times New Roman" w:eastAsia="ヒラギノ明朝 Pro W3" w:hAnsi="Times"/>
                <w:sz w:val="24"/>
                <w:szCs w:val="24"/>
              </w:rPr>
              <w:t xml:space="preserve">TOK parametreleri </w:t>
            </w:r>
            <w:r w:rsidR="005E642D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ile</w:t>
            </w:r>
            <w:r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ilgili 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s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ü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 xml:space="preserve">rekli 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ö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l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çü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m cihaz</w:t>
            </w:r>
            <w:r w:rsidRPr="002D5323">
              <w:rPr>
                <w:rFonts w:ascii="Times New Roman" w:eastAsia="ヒラギノ明朝 Pro W3" w:hAnsi="Times"/>
                <w:b/>
                <w:color w:val="000000" w:themeColor="text1"/>
                <w:sz w:val="24"/>
                <w:szCs w:val="24"/>
              </w:rPr>
              <w:t>ı</w:t>
            </w:r>
            <w:r w:rsidR="005E642D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ç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al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ışı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r durumda m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ve 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ö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l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çü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m sonu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ç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lar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 xml:space="preserve"> elektronik ortamda kay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t ediliyor ve saklan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ı</w:t>
            </w:r>
            <w:r w:rsidR="000D193E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yor mu</w:t>
            </w:r>
            <w:r w:rsidR="005E642D" w:rsidRPr="002D5323"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Baca gaz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k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, kazan tozu, yanma gazlar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m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ndan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kan kuru kal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 ve toz halindeki kuru kal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 ta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nmas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ile ge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ici depolamas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,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evreye yay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lmalar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engelleyecek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ekilde 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kapal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b/>
                <w:sz w:val="24"/>
                <w:szCs w:val="24"/>
              </w:rPr>
              <w:t xml:space="preserve"> sistemle 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yap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6A3F09" w:rsidRDefault="002E273B" w:rsidP="002E273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Yakma tesisinden kaynaklanan atıksuların arıtılmasını sağlayacak arıtma tesisi bulunmalıdır.</w:t>
            </w:r>
          </w:p>
          <w:p w:rsidR="00EE4FB1" w:rsidRPr="006A3F09" w:rsidRDefault="00EE4FB1" w:rsidP="002E273B">
            <w:pPr>
              <w:pStyle w:val="AralkYok"/>
              <w:jc w:val="both"/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</w:pPr>
            <w:r w:rsidRPr="006A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(Beraber yakma tesislerinde atık yakmadan kaynaklı atıksu oluşmaması durumunda bu şart aranmaz. Diğer atıksular ilgili mevzuat kapsamında değerlendirilir.)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EE4FB1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EE4FB1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6A3F09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color w:val="000000" w:themeColor="text1"/>
                <w:sz w:val="24"/>
                <w:szCs w:val="24"/>
              </w:rPr>
            </w:pPr>
            <w:r w:rsidRPr="006A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Arıtma tesisi bulunmayan tesisler ise tesis dışında başka bir arıtma tesisinde arıtılıyor ise tesislerin arasındaki sözleşme yer almalıdır. (Sözleşmede atıksuların atık yakma tesisinden kaynaklandığının belirtilmesi gerekmektedir.)</w:t>
            </w:r>
            <w:r w:rsidR="00EE4FB1" w:rsidRPr="006A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(Beraber yakma tesislerinde atık yakmadan kaynaklı (proses ve baca temizleme sistemleri dahil) atıksu oluşmaması durumunda bu şart aranmaz. Diğer atıksular ilgili mevzuat kapsamında değerlendirilir.)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EE4FB1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2E273B" w:rsidRPr="00EE4FB1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highlight w:val="yellow"/>
              </w:rPr>
            </w:pPr>
          </w:p>
        </w:tc>
      </w:tr>
      <w:tr w:rsidR="002E273B" w:rsidRPr="00A07D8F" w:rsidTr="000D193E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9031E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2E273B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Tesiste 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 yak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larak bertaraf edilecektir.</w:t>
            </w:r>
          </w:p>
          <w:p w:rsidR="002E273B" w:rsidRPr="00A7313E" w:rsidRDefault="002E273B" w:rsidP="0001431D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(Cevap hay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="00417383" w:rsidRPr="00A7313E">
              <w:rPr>
                <w:rFonts w:ascii="Times New Roman" w:eastAsia="ヒラギノ明朝 Pro W3" w:hAnsi="Times"/>
                <w:sz w:val="24"/>
                <w:szCs w:val="24"/>
              </w:rPr>
              <w:t>r ise; 18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="00417383" w:rsidRPr="00A7313E">
              <w:rPr>
                <w:rFonts w:ascii="Times New Roman" w:eastAsia="ヒラギノ明朝 Pro W3" w:hAnsi="Times"/>
                <w:sz w:val="24"/>
                <w:szCs w:val="24"/>
              </w:rPr>
              <w:t>inci ve 3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>1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’</w:t>
            </w:r>
            <w:r w:rsidR="0001431D" w:rsidRPr="00A7313E">
              <w:rPr>
                <w:rFonts w:ascii="Times New Roman" w:eastAsia="ヒラギノ明朝 Pro W3" w:hAnsi="Times"/>
                <w:sz w:val="24"/>
                <w:szCs w:val="24"/>
              </w:rPr>
              <w:t>inci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 xml:space="preserve"> maddeler aras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ndaki hususlar aranmaz.)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0D193E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0D193E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7313E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Tesiste 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klar i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in ge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ici at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A7313E">
              <w:rPr>
                <w:rFonts w:ascii="Times New Roman" w:eastAsia="ヒラギノ明朝 Pro W3" w:hAnsi="Times"/>
                <w:sz w:val="24"/>
                <w:szCs w:val="24"/>
              </w:rPr>
              <w:t>k deposu bulunuyor.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 en az iki g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ığı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alabilecek kapasitededir.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yeterli ayd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nlatma sistemi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taban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ve duvarlar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lam, 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irimsiz, mikroorganizma ve kir tutmayan, temizlenmesi ve dezenfeksiyonu kolay bir malzeme ile kaplanm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so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utma sistemi ile  +4 0C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yor.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ru 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 veya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 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rmelidir.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temiz ve boyal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turuncu renktir,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zerinde g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lebilecek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ekilde ve siyah renkli "Uluslar aras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="008509F4">
              <w:rPr>
                <w:rFonts w:ascii="Times New Roman" w:eastAsia="ヒラギノ明朝 Pro W3" w:hAnsi="Times"/>
                <w:sz w:val="24"/>
                <w:szCs w:val="24"/>
              </w:rPr>
              <w:t xml:space="preserve">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Biyotehlike Amblemi" ile siyah harfler ile yaz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"Dikkat!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k" ibaresi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deposunun kap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eriye herhangi bir hayvan girmesini engelleyecek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ekilde in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 edilmi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 personelin rahat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a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i,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kolayca bo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alt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ve y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klenebilece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boyutlardad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deposuna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ta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ma ara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kolayl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 yana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abilmektedir.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k deposunda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zgaral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drenaj sistemi bulunmamaktad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D625E7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su muslu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u bulunmamaktad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01431D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Ge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ç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ici 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deposunda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klar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ü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lmesi, 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zmas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 vb. durumlarda kullan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lacak ekipman bulunmaktad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Kova veya konteynerlerin temizli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i ve dezenfeksiyonu yap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lmaktad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  <w:tr w:rsidR="002E273B" w:rsidRPr="00A07D8F" w:rsidTr="008300A6">
        <w:trPr>
          <w:trHeight w:val="1104"/>
        </w:trPr>
        <w:tc>
          <w:tcPr>
            <w:tcW w:w="55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43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8F35E5" w:rsidRDefault="002E273B" w:rsidP="000D193E">
            <w:pPr>
              <w:pStyle w:val="AralkYok"/>
              <w:jc w:val="both"/>
              <w:rPr>
                <w:rFonts w:ascii="Times New Roman" w:eastAsia="ヒラギノ明朝 Pro W3" w:hAnsi="Times"/>
                <w:sz w:val="24"/>
                <w:szCs w:val="24"/>
              </w:rPr>
            </w:pP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bbi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 xml:space="preserve">klar 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ö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ncelikle ve di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er at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k kategorileri ile kar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t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lmaks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z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 do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rudan f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r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ı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na verilmesini sa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ğ</w:t>
            </w:r>
            <w:r w:rsidRPr="008F35E5">
              <w:rPr>
                <w:rFonts w:ascii="Times New Roman" w:eastAsia="ヒラギノ明朝 Pro W3" w:hAnsi="Times"/>
                <w:sz w:val="24"/>
                <w:szCs w:val="24"/>
              </w:rPr>
              <w:t>layacak otomatik besleme sistemi mevcuttur.</w:t>
            </w:r>
          </w:p>
        </w:tc>
        <w:tc>
          <w:tcPr>
            <w:tcW w:w="9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E273B" w:rsidRPr="00A07D8F" w:rsidRDefault="002E273B" w:rsidP="000D193E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548DD4" w:themeFill="text2" w:themeFillTint="99"/>
          </w:tcPr>
          <w:p w:rsidR="002E273B" w:rsidRPr="002A21DC" w:rsidRDefault="002E273B" w:rsidP="002A21DC"/>
        </w:tc>
      </w:tr>
    </w:tbl>
    <w:p w:rsidR="0014485E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0A6" w:rsidRPr="00A07D8F" w:rsidRDefault="008300A6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1767">
        <w:rPr>
          <w:rFonts w:ascii="Times New Roman" w:hAnsi="Times New Roman" w:cs="Times New Roman"/>
          <w:sz w:val="24"/>
          <w:szCs w:val="24"/>
        </w:rPr>
        <w:t>*Bütün sayfalar paraflı olmalıdır</w:t>
      </w:r>
      <w:r w:rsidR="00BE74BF">
        <w:rPr>
          <w:rFonts w:ascii="Times New Roman" w:hAnsi="Times New Roman" w:cs="Times New Roman"/>
          <w:sz w:val="24"/>
          <w:szCs w:val="24"/>
        </w:rPr>
        <w:t>.</w:t>
      </w: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4041">
        <w:rPr>
          <w:rFonts w:ascii="Times New Roman" w:hAnsi="Times New Roman" w:cs="Times New Roman"/>
          <w:b/>
          <w:sz w:val="24"/>
          <w:szCs w:val="24"/>
        </w:rPr>
        <w:t xml:space="preserve">İncelemeyi Yapanların </w:t>
      </w: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C1767" w:rsidRPr="004D4041" w:rsidRDefault="002C1767" w:rsidP="002C176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4041">
        <w:rPr>
          <w:rFonts w:ascii="Times New Roman" w:hAnsi="Times New Roman" w:cs="Times New Roman"/>
          <w:b/>
          <w:sz w:val="24"/>
          <w:szCs w:val="24"/>
        </w:rPr>
        <w:t>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4D4041">
        <w:rPr>
          <w:rFonts w:ascii="Times New Roman" w:hAnsi="Times New Roman" w:cs="Times New Roman"/>
          <w:b/>
          <w:sz w:val="24"/>
          <w:szCs w:val="24"/>
        </w:rPr>
        <w:t>Soyadı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="00A7313E">
        <w:rPr>
          <w:rFonts w:ascii="Times New Roman" w:hAnsi="Times New Roman" w:cs="Times New Roman"/>
          <w:b/>
          <w:sz w:val="24"/>
          <w:szCs w:val="24"/>
        </w:rPr>
        <w:tab/>
        <w:t>U</w:t>
      </w:r>
      <w:r w:rsidRPr="004D4041">
        <w:rPr>
          <w:rFonts w:ascii="Times New Roman" w:hAnsi="Times New Roman" w:cs="Times New Roman"/>
          <w:b/>
          <w:sz w:val="24"/>
          <w:szCs w:val="24"/>
        </w:rPr>
        <w:t xml:space="preserve">nvanı </w:t>
      </w:r>
      <w:r w:rsidR="00A7313E">
        <w:rPr>
          <w:rFonts w:ascii="Times New Roman" w:hAnsi="Times New Roman" w:cs="Times New Roman"/>
          <w:b/>
          <w:sz w:val="24"/>
          <w:szCs w:val="24"/>
        </w:rPr>
        <w:tab/>
      </w:r>
      <w:r w:rsidRPr="004D4041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C1767" w:rsidRPr="002C1767" w:rsidRDefault="002C1767" w:rsidP="002C176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485E" w:rsidRPr="00A07D8F" w:rsidRDefault="0014485E" w:rsidP="0014485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4485E" w:rsidRPr="00A07D8F" w:rsidSect="000D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5E"/>
    <w:rsid w:val="0001431D"/>
    <w:rsid w:val="0003296D"/>
    <w:rsid w:val="00042B38"/>
    <w:rsid w:val="00053BA7"/>
    <w:rsid w:val="00066555"/>
    <w:rsid w:val="000A48D0"/>
    <w:rsid w:val="000D193E"/>
    <w:rsid w:val="000E3588"/>
    <w:rsid w:val="001070E0"/>
    <w:rsid w:val="001107A1"/>
    <w:rsid w:val="00131471"/>
    <w:rsid w:val="0014485E"/>
    <w:rsid w:val="001F064A"/>
    <w:rsid w:val="002A21DC"/>
    <w:rsid w:val="002A2807"/>
    <w:rsid w:val="002C1767"/>
    <w:rsid w:val="002C3028"/>
    <w:rsid w:val="002D5323"/>
    <w:rsid w:val="002E273B"/>
    <w:rsid w:val="0031439C"/>
    <w:rsid w:val="00346522"/>
    <w:rsid w:val="00350747"/>
    <w:rsid w:val="003A00BF"/>
    <w:rsid w:val="003E037C"/>
    <w:rsid w:val="003E206C"/>
    <w:rsid w:val="00417373"/>
    <w:rsid w:val="00417383"/>
    <w:rsid w:val="00450F4F"/>
    <w:rsid w:val="004A4587"/>
    <w:rsid w:val="004D4041"/>
    <w:rsid w:val="005204DF"/>
    <w:rsid w:val="005E642D"/>
    <w:rsid w:val="006623A9"/>
    <w:rsid w:val="006A27ED"/>
    <w:rsid w:val="006A3F09"/>
    <w:rsid w:val="006D5C1C"/>
    <w:rsid w:val="006E24EA"/>
    <w:rsid w:val="007028AF"/>
    <w:rsid w:val="00760901"/>
    <w:rsid w:val="0076534A"/>
    <w:rsid w:val="007776A5"/>
    <w:rsid w:val="00787679"/>
    <w:rsid w:val="007A2B4F"/>
    <w:rsid w:val="008300A6"/>
    <w:rsid w:val="008359AB"/>
    <w:rsid w:val="008509F4"/>
    <w:rsid w:val="00851F2B"/>
    <w:rsid w:val="008702B4"/>
    <w:rsid w:val="008A6B8B"/>
    <w:rsid w:val="008E465F"/>
    <w:rsid w:val="008F35E5"/>
    <w:rsid w:val="009031ED"/>
    <w:rsid w:val="00920F62"/>
    <w:rsid w:val="00945C9C"/>
    <w:rsid w:val="00997C7F"/>
    <w:rsid w:val="009C78F2"/>
    <w:rsid w:val="00A07D8F"/>
    <w:rsid w:val="00A14B7C"/>
    <w:rsid w:val="00A7313E"/>
    <w:rsid w:val="00B350FB"/>
    <w:rsid w:val="00BE56E2"/>
    <w:rsid w:val="00BE74BF"/>
    <w:rsid w:val="00C92632"/>
    <w:rsid w:val="00CB6FE2"/>
    <w:rsid w:val="00CE6E17"/>
    <w:rsid w:val="00D625E7"/>
    <w:rsid w:val="00D66EAE"/>
    <w:rsid w:val="00DB59D1"/>
    <w:rsid w:val="00DF3E32"/>
    <w:rsid w:val="00E12BB4"/>
    <w:rsid w:val="00E232D3"/>
    <w:rsid w:val="00EE4FB1"/>
    <w:rsid w:val="00FC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0C3B36-A932-476E-BFE9-9878808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485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144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1448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05DB-7ED8-40D8-8277-F71A0BE0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dcterms:created xsi:type="dcterms:W3CDTF">2022-10-17T09:38:00Z</dcterms:created>
  <dcterms:modified xsi:type="dcterms:W3CDTF">2022-10-17T09:38:00Z</dcterms:modified>
</cp:coreProperties>
</file>