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90D" w:rsidRDefault="0044090D" w:rsidP="0026600E">
      <w:pPr>
        <w:pStyle w:val="Default"/>
        <w:jc w:val="center"/>
        <w:rPr>
          <w:b/>
          <w:bCs/>
          <w:color w:val="FF0000"/>
          <w:sz w:val="28"/>
          <w:szCs w:val="28"/>
        </w:rPr>
      </w:pPr>
    </w:p>
    <w:p w:rsidR="0026600E" w:rsidRPr="007F10BA" w:rsidRDefault="0026600E" w:rsidP="0026600E">
      <w:pPr>
        <w:pStyle w:val="Default"/>
        <w:jc w:val="center"/>
        <w:rPr>
          <w:color w:val="FF0000"/>
          <w:sz w:val="28"/>
          <w:szCs w:val="28"/>
        </w:rPr>
      </w:pPr>
      <w:r w:rsidRPr="007F10BA">
        <w:rPr>
          <w:b/>
          <w:bCs/>
          <w:color w:val="FF0000"/>
          <w:sz w:val="28"/>
          <w:szCs w:val="28"/>
        </w:rPr>
        <w:t>ÇEVRE LİSANSI</w:t>
      </w:r>
    </w:p>
    <w:p w:rsidR="0026600E" w:rsidRPr="007F10BA" w:rsidRDefault="0026600E" w:rsidP="0026600E">
      <w:pPr>
        <w:pStyle w:val="Default"/>
        <w:jc w:val="center"/>
        <w:rPr>
          <w:color w:val="FF0000"/>
          <w:sz w:val="28"/>
          <w:szCs w:val="28"/>
        </w:rPr>
      </w:pPr>
      <w:r w:rsidRPr="007F10BA">
        <w:rPr>
          <w:b/>
          <w:bCs/>
          <w:color w:val="FF0000"/>
          <w:sz w:val="28"/>
          <w:szCs w:val="28"/>
        </w:rPr>
        <w:t>BAŞVURUSUNDA BULUNACAK İŞLETMELERİN</w:t>
      </w:r>
    </w:p>
    <w:p w:rsidR="0026600E" w:rsidRPr="007F10BA" w:rsidRDefault="0026600E" w:rsidP="0026600E">
      <w:pPr>
        <w:pStyle w:val="Default"/>
        <w:jc w:val="center"/>
        <w:rPr>
          <w:b/>
          <w:bCs/>
          <w:color w:val="FF0000"/>
          <w:sz w:val="28"/>
          <w:szCs w:val="28"/>
        </w:rPr>
      </w:pPr>
      <w:r w:rsidRPr="007F10BA">
        <w:rPr>
          <w:b/>
          <w:bCs/>
          <w:color w:val="FF0000"/>
          <w:sz w:val="28"/>
          <w:szCs w:val="28"/>
        </w:rPr>
        <w:t>SAĞLAMASI GEREKEN FİZİKİ ŞARTLAR</w:t>
      </w:r>
    </w:p>
    <w:p w:rsidR="0044090D" w:rsidRDefault="0044090D" w:rsidP="0044090D">
      <w:pPr>
        <w:pStyle w:val="Default"/>
        <w:rPr>
          <w:color w:val="FF0000"/>
          <w:sz w:val="28"/>
          <w:szCs w:val="28"/>
        </w:rPr>
      </w:pPr>
    </w:p>
    <w:p w:rsidR="0044090D" w:rsidRPr="00410DFC" w:rsidRDefault="0044090D" w:rsidP="0044090D">
      <w:pPr>
        <w:pStyle w:val="AralkYok"/>
        <w:rPr>
          <w:rFonts w:ascii="Times New Roman" w:hAnsi="Times New Roman" w:cs="Times New Roman"/>
          <w:b/>
        </w:rPr>
      </w:pPr>
      <w:r w:rsidRPr="00410DFC">
        <w:rPr>
          <w:rFonts w:ascii="Times New Roman" w:hAnsi="Times New Roman" w:cs="Times New Roman"/>
          <w:b/>
        </w:rPr>
        <w:t>Tesisin Adı</w:t>
      </w:r>
      <w:r w:rsidR="00FE1706" w:rsidRPr="00410DFC">
        <w:rPr>
          <w:rFonts w:ascii="Times New Roman" w:hAnsi="Times New Roman" w:cs="Times New Roman"/>
          <w:b/>
        </w:rPr>
        <w:tab/>
      </w:r>
      <w:r w:rsidR="00FE1706" w:rsidRPr="00410DFC">
        <w:rPr>
          <w:rFonts w:ascii="Times New Roman" w:hAnsi="Times New Roman" w:cs="Times New Roman"/>
          <w:b/>
        </w:rPr>
        <w:tab/>
      </w:r>
      <w:r w:rsidR="00FE1706" w:rsidRPr="00410DFC">
        <w:rPr>
          <w:rFonts w:ascii="Times New Roman" w:hAnsi="Times New Roman" w:cs="Times New Roman"/>
          <w:b/>
        </w:rPr>
        <w:tab/>
      </w:r>
      <w:r w:rsidRPr="00410DFC">
        <w:rPr>
          <w:rFonts w:ascii="Times New Roman" w:hAnsi="Times New Roman" w:cs="Times New Roman"/>
          <w:b/>
        </w:rPr>
        <w:t>:</w:t>
      </w:r>
    </w:p>
    <w:p w:rsidR="0044090D" w:rsidRPr="00410DFC" w:rsidRDefault="0044090D" w:rsidP="0044090D">
      <w:pPr>
        <w:pStyle w:val="AralkYok"/>
        <w:rPr>
          <w:rFonts w:ascii="Times New Roman" w:hAnsi="Times New Roman" w:cs="Times New Roman"/>
          <w:b/>
        </w:rPr>
      </w:pPr>
      <w:r w:rsidRPr="00410DFC">
        <w:rPr>
          <w:rFonts w:ascii="Times New Roman" w:hAnsi="Times New Roman" w:cs="Times New Roman"/>
          <w:b/>
        </w:rPr>
        <w:t xml:space="preserve">Tesisin Adresi </w:t>
      </w:r>
      <w:r w:rsidR="00FE1706" w:rsidRPr="00410DFC">
        <w:rPr>
          <w:rFonts w:ascii="Times New Roman" w:hAnsi="Times New Roman" w:cs="Times New Roman"/>
          <w:b/>
        </w:rPr>
        <w:tab/>
      </w:r>
      <w:r w:rsidR="00FE1706" w:rsidRPr="00410DFC">
        <w:rPr>
          <w:rFonts w:ascii="Times New Roman" w:hAnsi="Times New Roman" w:cs="Times New Roman"/>
          <w:b/>
        </w:rPr>
        <w:tab/>
      </w:r>
      <w:r w:rsidR="00410DFC">
        <w:rPr>
          <w:rFonts w:ascii="Times New Roman" w:hAnsi="Times New Roman" w:cs="Times New Roman"/>
          <w:b/>
        </w:rPr>
        <w:tab/>
      </w:r>
      <w:r w:rsidRPr="00410DFC">
        <w:rPr>
          <w:rFonts w:ascii="Times New Roman" w:hAnsi="Times New Roman" w:cs="Times New Roman"/>
          <w:b/>
        </w:rPr>
        <w:t>:</w:t>
      </w:r>
    </w:p>
    <w:p w:rsidR="0044090D" w:rsidRPr="00410DFC" w:rsidRDefault="0044090D" w:rsidP="0044090D">
      <w:pPr>
        <w:pStyle w:val="AralkYok"/>
        <w:rPr>
          <w:rFonts w:ascii="Times New Roman" w:hAnsi="Times New Roman" w:cs="Times New Roman"/>
          <w:b/>
        </w:rPr>
      </w:pPr>
    </w:p>
    <w:p w:rsidR="0044090D" w:rsidRPr="00410DFC" w:rsidRDefault="0044090D" w:rsidP="0044090D">
      <w:pPr>
        <w:pStyle w:val="Default"/>
        <w:rPr>
          <w:sz w:val="22"/>
          <w:szCs w:val="22"/>
        </w:rPr>
      </w:pPr>
      <w:r w:rsidRPr="00410DFC">
        <w:rPr>
          <w:b/>
          <w:sz w:val="22"/>
          <w:szCs w:val="22"/>
        </w:rPr>
        <w:t>Çevre Lisansının Konusu</w:t>
      </w:r>
      <w:r w:rsidRPr="00410DFC">
        <w:rPr>
          <w:b/>
          <w:sz w:val="22"/>
          <w:szCs w:val="22"/>
        </w:rPr>
        <w:tab/>
        <w:t>:</w:t>
      </w:r>
      <w:r w:rsidRPr="00410DFC">
        <w:rPr>
          <w:sz w:val="22"/>
          <w:szCs w:val="22"/>
        </w:rPr>
        <w:t xml:space="preserve"> </w:t>
      </w:r>
      <w:r w:rsidR="00197B72">
        <w:rPr>
          <w:sz w:val="22"/>
          <w:szCs w:val="22"/>
        </w:rPr>
        <w:t>A</w:t>
      </w:r>
      <w:r w:rsidR="00BB362E">
        <w:rPr>
          <w:sz w:val="22"/>
          <w:szCs w:val="22"/>
        </w:rPr>
        <w:t xml:space="preserve">tık </w:t>
      </w:r>
      <w:r w:rsidR="00197B72">
        <w:rPr>
          <w:sz w:val="22"/>
          <w:szCs w:val="22"/>
        </w:rPr>
        <w:t>E</w:t>
      </w:r>
      <w:r w:rsidR="00BB362E">
        <w:rPr>
          <w:sz w:val="22"/>
          <w:szCs w:val="22"/>
        </w:rPr>
        <w:t xml:space="preserve">lektrikli ve </w:t>
      </w:r>
      <w:r w:rsidR="00197B72">
        <w:rPr>
          <w:sz w:val="22"/>
          <w:szCs w:val="22"/>
        </w:rPr>
        <w:t>E</w:t>
      </w:r>
      <w:r w:rsidR="00BB362E">
        <w:rPr>
          <w:sz w:val="22"/>
          <w:szCs w:val="22"/>
        </w:rPr>
        <w:t xml:space="preserve">lektronik </w:t>
      </w:r>
      <w:r w:rsidR="00197B72">
        <w:rPr>
          <w:sz w:val="22"/>
          <w:szCs w:val="22"/>
        </w:rPr>
        <w:t>E</w:t>
      </w:r>
      <w:r w:rsidR="00BB362E">
        <w:rPr>
          <w:sz w:val="22"/>
          <w:szCs w:val="22"/>
        </w:rPr>
        <w:t>şya (AEEE)</w:t>
      </w:r>
      <w:r w:rsidR="00197B72">
        <w:rPr>
          <w:sz w:val="22"/>
          <w:szCs w:val="22"/>
        </w:rPr>
        <w:t xml:space="preserve"> </w:t>
      </w:r>
      <w:r w:rsidR="006E30DF">
        <w:rPr>
          <w:sz w:val="22"/>
          <w:szCs w:val="22"/>
        </w:rPr>
        <w:t>Transfer Noktası</w:t>
      </w:r>
      <w:r w:rsidRPr="00410DFC">
        <w:rPr>
          <w:sz w:val="22"/>
          <w:szCs w:val="22"/>
        </w:rPr>
        <w:t xml:space="preserve"> </w:t>
      </w:r>
    </w:p>
    <w:p w:rsidR="0044090D" w:rsidRPr="00410DFC" w:rsidRDefault="0044090D" w:rsidP="0044090D">
      <w:pPr>
        <w:pStyle w:val="AralkYok"/>
        <w:rPr>
          <w:rFonts w:ascii="Times New Roman" w:hAnsi="Times New Roman" w:cs="Times New Roman"/>
        </w:rPr>
      </w:pPr>
      <w:r w:rsidRPr="00410DFC">
        <w:rPr>
          <w:rFonts w:ascii="Times New Roman" w:hAnsi="Times New Roman" w:cs="Times New Roman"/>
          <w:b/>
        </w:rPr>
        <w:t>İlgili</w:t>
      </w:r>
      <w:r w:rsidR="00BB362E">
        <w:rPr>
          <w:rFonts w:ascii="Times New Roman" w:hAnsi="Times New Roman" w:cs="Times New Roman"/>
          <w:b/>
        </w:rPr>
        <w:t xml:space="preserve"> Yönetmelik</w:t>
      </w:r>
      <w:r w:rsidRPr="00410DFC">
        <w:rPr>
          <w:rFonts w:ascii="Times New Roman" w:hAnsi="Times New Roman" w:cs="Times New Roman"/>
          <w:b/>
        </w:rPr>
        <w:tab/>
      </w:r>
      <w:r w:rsidRPr="00410DFC">
        <w:rPr>
          <w:rFonts w:ascii="Times New Roman" w:hAnsi="Times New Roman" w:cs="Times New Roman"/>
          <w:b/>
        </w:rPr>
        <w:tab/>
        <w:t xml:space="preserve">: </w:t>
      </w:r>
      <w:r w:rsidRPr="00410DFC">
        <w:rPr>
          <w:rFonts w:ascii="Times New Roman" w:hAnsi="Times New Roman" w:cs="Times New Roman"/>
        </w:rPr>
        <w:t xml:space="preserve">Atık Elektrikli ve Elektronik Eşyaların </w:t>
      </w:r>
      <w:r w:rsidR="00045DAF" w:rsidRPr="00410DFC">
        <w:rPr>
          <w:rFonts w:ascii="Times New Roman" w:hAnsi="Times New Roman" w:cs="Times New Roman"/>
        </w:rPr>
        <w:t xml:space="preserve">Yönetimi Hakkında </w:t>
      </w:r>
      <w:r w:rsidR="00410DFC" w:rsidRPr="00410DFC">
        <w:rPr>
          <w:rFonts w:ascii="Times New Roman" w:hAnsi="Times New Roman" w:cs="Times New Roman"/>
        </w:rPr>
        <w:t>Yönetmelik</w:t>
      </w:r>
    </w:p>
    <w:p w:rsidR="00F35E65" w:rsidRPr="00410DFC" w:rsidRDefault="0044090D" w:rsidP="0044090D">
      <w:pPr>
        <w:pStyle w:val="AralkYok"/>
        <w:rPr>
          <w:rFonts w:ascii="Times New Roman" w:hAnsi="Times New Roman" w:cs="Times New Roman"/>
          <w:b/>
        </w:rPr>
      </w:pPr>
      <w:r w:rsidRPr="00410DFC">
        <w:rPr>
          <w:rFonts w:ascii="Times New Roman" w:hAnsi="Times New Roman" w:cs="Times New Roman"/>
          <w:b/>
        </w:rPr>
        <w:t>İnceleme Tarihi</w:t>
      </w:r>
      <w:r w:rsidR="00FE1706" w:rsidRPr="00410DFC">
        <w:rPr>
          <w:rFonts w:ascii="Times New Roman" w:hAnsi="Times New Roman" w:cs="Times New Roman"/>
          <w:b/>
        </w:rPr>
        <w:tab/>
      </w:r>
      <w:r w:rsidR="00FE1706" w:rsidRPr="00410DFC">
        <w:rPr>
          <w:rFonts w:ascii="Times New Roman" w:hAnsi="Times New Roman" w:cs="Times New Roman"/>
          <w:b/>
        </w:rPr>
        <w:tab/>
      </w:r>
      <w:r w:rsidRPr="00410DFC">
        <w:rPr>
          <w:rFonts w:ascii="Times New Roman" w:hAnsi="Times New Roman" w:cs="Times New Roman"/>
          <w:b/>
        </w:rPr>
        <w:t>:</w:t>
      </w:r>
    </w:p>
    <w:p w:rsidR="0044090D" w:rsidRDefault="0044090D" w:rsidP="0044090D">
      <w:pPr>
        <w:pStyle w:val="AralkYok"/>
        <w:rPr>
          <w:rFonts w:ascii="Times New Roman" w:hAnsi="Times New Roman" w:cs="Times New Roman"/>
          <w:b/>
          <w:sz w:val="24"/>
          <w:szCs w:val="24"/>
        </w:rPr>
      </w:pPr>
    </w:p>
    <w:tbl>
      <w:tblPr>
        <w:tblStyle w:val="TabloKlavuzu"/>
        <w:tblW w:w="9303" w:type="dxa"/>
        <w:tblLayout w:type="fixed"/>
        <w:tblLook w:val="04A0" w:firstRow="1" w:lastRow="0" w:firstColumn="1" w:lastColumn="0" w:noHBand="0" w:noVBand="1"/>
      </w:tblPr>
      <w:tblGrid>
        <w:gridCol w:w="1555"/>
        <w:gridCol w:w="5553"/>
        <w:gridCol w:w="1017"/>
        <w:gridCol w:w="1178"/>
      </w:tblGrid>
      <w:tr w:rsidR="0026600E" w:rsidRPr="007F10BA" w:rsidTr="00410DFC">
        <w:trPr>
          <w:trHeight w:val="834"/>
        </w:trPr>
        <w:tc>
          <w:tcPr>
            <w:tcW w:w="7108" w:type="dxa"/>
            <w:gridSpan w:val="2"/>
            <w:shd w:val="clear" w:color="auto" w:fill="00B0F0"/>
            <w:vAlign w:val="center"/>
          </w:tcPr>
          <w:p w:rsidR="0026600E" w:rsidRPr="007F10BA" w:rsidRDefault="0026600E" w:rsidP="008F22D7">
            <w:pPr>
              <w:jc w:val="center"/>
              <w:rPr>
                <w:rFonts w:ascii="Times New Roman" w:hAnsi="Times New Roman" w:cs="Times New Roman"/>
                <w:b/>
                <w:color w:val="FFFFFF" w:themeColor="background1"/>
                <w:sz w:val="28"/>
                <w:szCs w:val="23"/>
              </w:rPr>
            </w:pPr>
            <w:r w:rsidRPr="007F10BA">
              <w:rPr>
                <w:rFonts w:ascii="Times New Roman" w:hAnsi="Times New Roman" w:cs="Times New Roman"/>
                <w:b/>
                <w:color w:val="FFFFFF" w:themeColor="background1"/>
                <w:sz w:val="28"/>
                <w:szCs w:val="23"/>
              </w:rPr>
              <w:t>İşletmenin Sağlaması Zorunlu Fiziksel Şartlar</w:t>
            </w:r>
          </w:p>
        </w:tc>
        <w:tc>
          <w:tcPr>
            <w:tcW w:w="1017" w:type="dxa"/>
            <w:shd w:val="clear" w:color="auto" w:fill="00B0F0"/>
            <w:vAlign w:val="center"/>
          </w:tcPr>
          <w:p w:rsidR="0026600E" w:rsidRPr="007F10BA" w:rsidRDefault="0026600E" w:rsidP="008F22D7">
            <w:pPr>
              <w:jc w:val="center"/>
              <w:rPr>
                <w:rFonts w:ascii="Times New Roman" w:hAnsi="Times New Roman" w:cs="Times New Roman"/>
                <w:b/>
                <w:color w:val="FFFFFF" w:themeColor="background1"/>
                <w:sz w:val="28"/>
                <w:szCs w:val="23"/>
              </w:rPr>
            </w:pPr>
            <w:r w:rsidRPr="007F10BA">
              <w:rPr>
                <w:rFonts w:ascii="Times New Roman" w:hAnsi="Times New Roman" w:cs="Times New Roman"/>
                <w:b/>
                <w:color w:val="FFFFFF" w:themeColor="background1"/>
                <w:sz w:val="28"/>
                <w:szCs w:val="23"/>
              </w:rPr>
              <w:t>EVET</w:t>
            </w:r>
          </w:p>
        </w:tc>
        <w:tc>
          <w:tcPr>
            <w:tcW w:w="1178" w:type="dxa"/>
            <w:shd w:val="clear" w:color="auto" w:fill="00B0F0"/>
            <w:vAlign w:val="center"/>
          </w:tcPr>
          <w:p w:rsidR="0026600E" w:rsidRPr="007F10BA" w:rsidRDefault="0026600E" w:rsidP="008F22D7">
            <w:pPr>
              <w:jc w:val="center"/>
              <w:rPr>
                <w:rFonts w:ascii="Times New Roman" w:hAnsi="Times New Roman" w:cs="Times New Roman"/>
                <w:b/>
                <w:color w:val="FFFFFF" w:themeColor="background1"/>
                <w:sz w:val="28"/>
                <w:szCs w:val="23"/>
              </w:rPr>
            </w:pPr>
            <w:r w:rsidRPr="007F10BA">
              <w:rPr>
                <w:rFonts w:ascii="Times New Roman" w:hAnsi="Times New Roman" w:cs="Times New Roman"/>
                <w:b/>
                <w:color w:val="FFFFFF" w:themeColor="background1"/>
                <w:sz w:val="28"/>
                <w:szCs w:val="23"/>
              </w:rPr>
              <w:t>HAYIR</w:t>
            </w:r>
          </w:p>
        </w:tc>
      </w:tr>
      <w:tr w:rsidR="007038D3" w:rsidRPr="00061FA2" w:rsidTr="000476AB">
        <w:trPr>
          <w:trHeight w:val="793"/>
        </w:trPr>
        <w:tc>
          <w:tcPr>
            <w:tcW w:w="1555" w:type="dxa"/>
            <w:vAlign w:val="center"/>
          </w:tcPr>
          <w:p w:rsidR="007038D3" w:rsidRPr="000476AB" w:rsidRDefault="007038D3" w:rsidP="007F10BA">
            <w:pPr>
              <w:jc w:val="center"/>
              <w:rPr>
                <w:rFonts w:ascii="Times New Roman" w:hAnsi="Times New Roman" w:cs="Times New Roman"/>
                <w:b/>
                <w:sz w:val="24"/>
                <w:szCs w:val="24"/>
              </w:rPr>
            </w:pPr>
            <w:r w:rsidRPr="000476AB">
              <w:rPr>
                <w:rFonts w:ascii="Times New Roman" w:hAnsi="Times New Roman" w:cs="Times New Roman"/>
                <w:b/>
                <w:sz w:val="24"/>
                <w:szCs w:val="24"/>
              </w:rPr>
              <w:t>1</w:t>
            </w:r>
          </w:p>
        </w:tc>
        <w:tc>
          <w:tcPr>
            <w:tcW w:w="5553" w:type="dxa"/>
            <w:vAlign w:val="center"/>
          </w:tcPr>
          <w:p w:rsidR="007038D3" w:rsidRPr="006E30DF" w:rsidRDefault="006E30DF" w:rsidP="006E30DF">
            <w:pPr>
              <w:pStyle w:val="AralkYok"/>
              <w:jc w:val="both"/>
              <w:rPr>
                <w:rFonts w:ascii="Times New Roman" w:hAnsi="Times New Roman" w:cs="Times New Roman"/>
                <w:sz w:val="23"/>
                <w:szCs w:val="23"/>
              </w:rPr>
            </w:pPr>
            <w:proofErr w:type="spellStart"/>
            <w:r w:rsidRPr="006E30DF">
              <w:rPr>
                <w:rFonts w:ascii="Times New Roman" w:hAnsi="Times New Roman" w:cs="Times New Roman"/>
                <w:sz w:val="23"/>
                <w:szCs w:val="23"/>
              </w:rPr>
              <w:t>AEEE’lerin</w:t>
            </w:r>
            <w:proofErr w:type="spellEnd"/>
            <w:r w:rsidRPr="006E30DF">
              <w:rPr>
                <w:rFonts w:ascii="Times New Roman" w:hAnsi="Times New Roman" w:cs="Times New Roman"/>
                <w:sz w:val="23"/>
                <w:szCs w:val="23"/>
              </w:rPr>
              <w:t xml:space="preserve"> bekletildiği alanlar kapalı</w:t>
            </w:r>
            <w:r>
              <w:rPr>
                <w:rFonts w:ascii="Times New Roman" w:hAnsi="Times New Roman" w:cs="Times New Roman"/>
                <w:sz w:val="23"/>
                <w:szCs w:val="23"/>
              </w:rPr>
              <w:t>dır.</w:t>
            </w:r>
          </w:p>
        </w:tc>
        <w:tc>
          <w:tcPr>
            <w:tcW w:w="1017" w:type="dxa"/>
          </w:tcPr>
          <w:p w:rsidR="007038D3" w:rsidRPr="00061FA2" w:rsidRDefault="007038D3" w:rsidP="0026600E">
            <w:pPr>
              <w:rPr>
                <w:rFonts w:ascii="Times New Roman" w:hAnsi="Times New Roman" w:cs="Times New Roman"/>
                <w:sz w:val="23"/>
                <w:szCs w:val="23"/>
              </w:rPr>
            </w:pPr>
          </w:p>
        </w:tc>
        <w:tc>
          <w:tcPr>
            <w:tcW w:w="1178" w:type="dxa"/>
          </w:tcPr>
          <w:p w:rsidR="007038D3" w:rsidRPr="00061FA2" w:rsidRDefault="007038D3" w:rsidP="0026600E">
            <w:pPr>
              <w:rPr>
                <w:rFonts w:ascii="Times New Roman" w:hAnsi="Times New Roman" w:cs="Times New Roman"/>
                <w:sz w:val="23"/>
                <w:szCs w:val="23"/>
              </w:rPr>
            </w:pPr>
          </w:p>
        </w:tc>
      </w:tr>
      <w:tr w:rsidR="006E30DF" w:rsidRPr="00061FA2" w:rsidTr="000476AB">
        <w:trPr>
          <w:trHeight w:val="793"/>
        </w:trPr>
        <w:tc>
          <w:tcPr>
            <w:tcW w:w="1555" w:type="dxa"/>
            <w:vAlign w:val="center"/>
          </w:tcPr>
          <w:p w:rsidR="006E30DF" w:rsidRPr="000476AB" w:rsidRDefault="00E36366" w:rsidP="007F10BA">
            <w:pPr>
              <w:jc w:val="center"/>
              <w:rPr>
                <w:rFonts w:ascii="Times New Roman" w:hAnsi="Times New Roman" w:cs="Times New Roman"/>
                <w:b/>
                <w:sz w:val="24"/>
                <w:szCs w:val="24"/>
              </w:rPr>
            </w:pPr>
            <w:r>
              <w:rPr>
                <w:rFonts w:ascii="Times New Roman" w:hAnsi="Times New Roman" w:cs="Times New Roman"/>
                <w:b/>
                <w:sz w:val="24"/>
                <w:szCs w:val="24"/>
              </w:rPr>
              <w:t>2</w:t>
            </w:r>
          </w:p>
        </w:tc>
        <w:tc>
          <w:tcPr>
            <w:tcW w:w="5553" w:type="dxa"/>
            <w:vAlign w:val="center"/>
          </w:tcPr>
          <w:p w:rsidR="006E30DF" w:rsidRPr="00364E41" w:rsidRDefault="006E30DF" w:rsidP="006E30DF">
            <w:pPr>
              <w:pStyle w:val="AralkYok"/>
              <w:jc w:val="both"/>
              <w:rPr>
                <w:rFonts w:ascii="Times New Roman" w:hAnsi="Times New Roman" w:cs="Times New Roman"/>
                <w:sz w:val="23"/>
                <w:szCs w:val="23"/>
              </w:rPr>
            </w:pPr>
            <w:proofErr w:type="spellStart"/>
            <w:r w:rsidRPr="006E30DF">
              <w:rPr>
                <w:rFonts w:ascii="Times New Roman" w:hAnsi="Times New Roman" w:cs="Times New Roman"/>
                <w:sz w:val="23"/>
                <w:szCs w:val="23"/>
              </w:rPr>
              <w:t>AEEE’lerin</w:t>
            </w:r>
            <w:proofErr w:type="spellEnd"/>
            <w:r w:rsidRPr="006E30DF">
              <w:rPr>
                <w:rFonts w:ascii="Times New Roman" w:hAnsi="Times New Roman" w:cs="Times New Roman"/>
                <w:sz w:val="23"/>
                <w:szCs w:val="23"/>
              </w:rPr>
              <w:t xml:space="preserve"> bekletildiği alanlar tabanının sızdırmazlığı sağla</w:t>
            </w:r>
            <w:r w:rsidR="009E0C89">
              <w:rPr>
                <w:rFonts w:ascii="Times New Roman" w:hAnsi="Times New Roman" w:cs="Times New Roman"/>
                <w:sz w:val="23"/>
                <w:szCs w:val="23"/>
              </w:rPr>
              <w:t>nacak</w:t>
            </w:r>
            <w:r w:rsidRPr="006E30DF">
              <w:rPr>
                <w:rFonts w:ascii="Times New Roman" w:hAnsi="Times New Roman" w:cs="Times New Roman"/>
                <w:sz w:val="23"/>
                <w:szCs w:val="23"/>
              </w:rPr>
              <w:t xml:space="preserve"> şekilde geçirimsiz ve tutuşmaz malzemeden teşkil edilmiştir.</w:t>
            </w:r>
          </w:p>
        </w:tc>
        <w:tc>
          <w:tcPr>
            <w:tcW w:w="1017" w:type="dxa"/>
          </w:tcPr>
          <w:p w:rsidR="006E30DF" w:rsidRPr="00061FA2" w:rsidRDefault="006E30DF" w:rsidP="0026600E">
            <w:pPr>
              <w:rPr>
                <w:rFonts w:ascii="Times New Roman" w:hAnsi="Times New Roman" w:cs="Times New Roman"/>
                <w:sz w:val="23"/>
                <w:szCs w:val="23"/>
              </w:rPr>
            </w:pPr>
          </w:p>
        </w:tc>
        <w:tc>
          <w:tcPr>
            <w:tcW w:w="1178" w:type="dxa"/>
          </w:tcPr>
          <w:p w:rsidR="006E30DF" w:rsidRPr="00061FA2" w:rsidRDefault="006E30DF" w:rsidP="0026600E">
            <w:pPr>
              <w:rPr>
                <w:rFonts w:ascii="Times New Roman" w:hAnsi="Times New Roman" w:cs="Times New Roman"/>
                <w:sz w:val="23"/>
                <w:szCs w:val="23"/>
              </w:rPr>
            </w:pPr>
          </w:p>
        </w:tc>
      </w:tr>
      <w:tr w:rsidR="008C18F3" w:rsidRPr="00061FA2" w:rsidTr="00E36366">
        <w:trPr>
          <w:trHeight w:val="656"/>
        </w:trPr>
        <w:tc>
          <w:tcPr>
            <w:tcW w:w="1555" w:type="dxa"/>
            <w:vAlign w:val="center"/>
          </w:tcPr>
          <w:p w:rsidR="008C18F3" w:rsidRPr="000476AB" w:rsidRDefault="00E36366" w:rsidP="008C18F3">
            <w:pPr>
              <w:jc w:val="center"/>
              <w:rPr>
                <w:rFonts w:ascii="Times New Roman" w:hAnsi="Times New Roman" w:cs="Times New Roman"/>
                <w:b/>
                <w:sz w:val="24"/>
                <w:szCs w:val="24"/>
              </w:rPr>
            </w:pPr>
            <w:r>
              <w:rPr>
                <w:rFonts w:ascii="Times New Roman" w:hAnsi="Times New Roman" w:cs="Times New Roman"/>
                <w:b/>
                <w:sz w:val="24"/>
                <w:szCs w:val="24"/>
              </w:rPr>
              <w:t>3</w:t>
            </w:r>
          </w:p>
        </w:tc>
        <w:tc>
          <w:tcPr>
            <w:tcW w:w="5553" w:type="dxa"/>
            <w:vAlign w:val="center"/>
          </w:tcPr>
          <w:p w:rsidR="008C18F3" w:rsidRPr="00E36366" w:rsidRDefault="006E30DF" w:rsidP="008C18F3">
            <w:pPr>
              <w:pStyle w:val="AralkYok"/>
              <w:jc w:val="both"/>
              <w:rPr>
                <w:rFonts w:ascii="Times New Roman" w:hAnsi="Times New Roman" w:cs="Times New Roman"/>
                <w:sz w:val="23"/>
                <w:szCs w:val="23"/>
              </w:rPr>
            </w:pPr>
            <w:r w:rsidRPr="00061FA2">
              <w:rPr>
                <w:rFonts w:ascii="Times New Roman" w:hAnsi="Times New Roman" w:cs="Times New Roman"/>
                <w:sz w:val="23"/>
                <w:szCs w:val="23"/>
              </w:rPr>
              <w:t>Kantar ve kayıt sistemi bulun</w:t>
            </w:r>
            <w:r w:rsidR="00D652A9">
              <w:rPr>
                <w:rFonts w:ascii="Times New Roman" w:hAnsi="Times New Roman" w:cs="Times New Roman"/>
                <w:sz w:val="23"/>
                <w:szCs w:val="23"/>
              </w:rPr>
              <w:t>maktadır.</w:t>
            </w:r>
          </w:p>
        </w:tc>
        <w:tc>
          <w:tcPr>
            <w:tcW w:w="1017" w:type="dxa"/>
          </w:tcPr>
          <w:p w:rsidR="008C18F3" w:rsidRPr="00061FA2" w:rsidRDefault="008C18F3" w:rsidP="008C18F3">
            <w:pPr>
              <w:rPr>
                <w:rFonts w:ascii="Times New Roman" w:hAnsi="Times New Roman" w:cs="Times New Roman"/>
                <w:sz w:val="23"/>
                <w:szCs w:val="23"/>
              </w:rPr>
            </w:pPr>
          </w:p>
        </w:tc>
        <w:tc>
          <w:tcPr>
            <w:tcW w:w="1178" w:type="dxa"/>
          </w:tcPr>
          <w:p w:rsidR="008C18F3" w:rsidRPr="00061FA2" w:rsidRDefault="008C18F3" w:rsidP="008C18F3">
            <w:pPr>
              <w:rPr>
                <w:rFonts w:ascii="Times New Roman" w:hAnsi="Times New Roman" w:cs="Times New Roman"/>
                <w:sz w:val="23"/>
                <w:szCs w:val="23"/>
              </w:rPr>
            </w:pPr>
          </w:p>
        </w:tc>
      </w:tr>
      <w:tr w:rsidR="006E30DF" w:rsidRPr="00061FA2" w:rsidTr="000476AB">
        <w:trPr>
          <w:trHeight w:val="793"/>
        </w:trPr>
        <w:tc>
          <w:tcPr>
            <w:tcW w:w="1555" w:type="dxa"/>
            <w:vAlign w:val="center"/>
          </w:tcPr>
          <w:p w:rsidR="006E30DF" w:rsidRPr="000476AB" w:rsidRDefault="00E36366" w:rsidP="008C18F3">
            <w:pPr>
              <w:jc w:val="center"/>
              <w:rPr>
                <w:rFonts w:ascii="Times New Roman" w:hAnsi="Times New Roman" w:cs="Times New Roman"/>
                <w:b/>
                <w:sz w:val="24"/>
                <w:szCs w:val="24"/>
              </w:rPr>
            </w:pPr>
            <w:r>
              <w:rPr>
                <w:rFonts w:ascii="Times New Roman" w:hAnsi="Times New Roman" w:cs="Times New Roman"/>
                <w:b/>
                <w:sz w:val="24"/>
                <w:szCs w:val="24"/>
              </w:rPr>
              <w:t>4</w:t>
            </w:r>
          </w:p>
        </w:tc>
        <w:tc>
          <w:tcPr>
            <w:tcW w:w="5553" w:type="dxa"/>
            <w:vAlign w:val="center"/>
          </w:tcPr>
          <w:p w:rsidR="006E30DF" w:rsidRPr="00061FA2" w:rsidRDefault="006E30DF" w:rsidP="008C18F3">
            <w:pPr>
              <w:pStyle w:val="AralkYok"/>
              <w:jc w:val="both"/>
              <w:rPr>
                <w:rFonts w:ascii="Times New Roman" w:hAnsi="Times New Roman" w:cs="Times New Roman"/>
                <w:sz w:val="23"/>
                <w:szCs w:val="23"/>
              </w:rPr>
            </w:pPr>
            <w:r w:rsidRPr="00E36366">
              <w:rPr>
                <w:rFonts w:ascii="Times New Roman" w:hAnsi="Times New Roman" w:cs="Times New Roman"/>
                <w:sz w:val="23"/>
                <w:szCs w:val="23"/>
              </w:rPr>
              <w:t xml:space="preserve">Radyasyon ölçüm cihazının Türkiye Enerji, Nükleer ve Maden Araştırma Kurumundan teknik uygunluğuna ilişkin </w:t>
            </w:r>
            <w:proofErr w:type="gramStart"/>
            <w:r w:rsidRPr="00E36366">
              <w:rPr>
                <w:rFonts w:ascii="Times New Roman" w:hAnsi="Times New Roman" w:cs="Times New Roman"/>
                <w:sz w:val="23"/>
                <w:szCs w:val="23"/>
              </w:rPr>
              <w:t>kalibrasyon</w:t>
            </w:r>
            <w:proofErr w:type="gramEnd"/>
            <w:r w:rsidRPr="00E36366">
              <w:rPr>
                <w:rFonts w:ascii="Times New Roman" w:hAnsi="Times New Roman" w:cs="Times New Roman"/>
                <w:sz w:val="23"/>
                <w:szCs w:val="23"/>
              </w:rPr>
              <w:t xml:space="preserve"> sertifikası bulunmaktadır.</w:t>
            </w:r>
          </w:p>
        </w:tc>
        <w:tc>
          <w:tcPr>
            <w:tcW w:w="1017" w:type="dxa"/>
          </w:tcPr>
          <w:p w:rsidR="006E30DF" w:rsidRPr="00061FA2" w:rsidRDefault="006E30DF" w:rsidP="008C18F3">
            <w:pPr>
              <w:rPr>
                <w:rFonts w:ascii="Times New Roman" w:hAnsi="Times New Roman" w:cs="Times New Roman"/>
                <w:sz w:val="23"/>
                <w:szCs w:val="23"/>
              </w:rPr>
            </w:pPr>
          </w:p>
        </w:tc>
        <w:tc>
          <w:tcPr>
            <w:tcW w:w="1178" w:type="dxa"/>
          </w:tcPr>
          <w:p w:rsidR="006E30DF" w:rsidRPr="00061FA2" w:rsidRDefault="006E30DF" w:rsidP="008C18F3">
            <w:pPr>
              <w:rPr>
                <w:rFonts w:ascii="Times New Roman" w:hAnsi="Times New Roman" w:cs="Times New Roman"/>
                <w:sz w:val="23"/>
                <w:szCs w:val="23"/>
              </w:rPr>
            </w:pPr>
          </w:p>
        </w:tc>
      </w:tr>
      <w:tr w:rsidR="006E30DF" w:rsidRPr="00061FA2" w:rsidTr="000476AB">
        <w:trPr>
          <w:trHeight w:val="793"/>
        </w:trPr>
        <w:tc>
          <w:tcPr>
            <w:tcW w:w="1555" w:type="dxa"/>
            <w:vAlign w:val="center"/>
          </w:tcPr>
          <w:p w:rsidR="006E30DF" w:rsidRPr="000476AB" w:rsidRDefault="00E36366" w:rsidP="008C18F3">
            <w:pPr>
              <w:jc w:val="center"/>
              <w:rPr>
                <w:rFonts w:ascii="Times New Roman" w:hAnsi="Times New Roman" w:cs="Times New Roman"/>
                <w:b/>
                <w:sz w:val="24"/>
                <w:szCs w:val="24"/>
              </w:rPr>
            </w:pPr>
            <w:r>
              <w:rPr>
                <w:rFonts w:ascii="Times New Roman" w:hAnsi="Times New Roman" w:cs="Times New Roman"/>
                <w:b/>
                <w:sz w:val="24"/>
                <w:szCs w:val="24"/>
              </w:rPr>
              <w:t>5</w:t>
            </w:r>
          </w:p>
        </w:tc>
        <w:tc>
          <w:tcPr>
            <w:tcW w:w="5553" w:type="dxa"/>
            <w:vAlign w:val="center"/>
          </w:tcPr>
          <w:p w:rsidR="006E30DF" w:rsidRPr="00E36366" w:rsidRDefault="006E30DF" w:rsidP="008C18F3">
            <w:pPr>
              <w:pStyle w:val="AralkYok"/>
              <w:jc w:val="both"/>
              <w:rPr>
                <w:rFonts w:ascii="Times New Roman" w:hAnsi="Times New Roman" w:cs="Times New Roman"/>
                <w:sz w:val="23"/>
                <w:szCs w:val="23"/>
              </w:rPr>
            </w:pPr>
            <w:r w:rsidRPr="00E36366">
              <w:rPr>
                <w:rFonts w:ascii="Times New Roman" w:hAnsi="Times New Roman" w:cs="Times New Roman"/>
                <w:sz w:val="23"/>
                <w:szCs w:val="23"/>
              </w:rPr>
              <w:t>Radyasyon ölçüm cihazı (radyasyon paneli veya el cihazı) ve bu cihazı kullanacak personelin eğitim sertifikası bulunmaktadır.</w:t>
            </w:r>
          </w:p>
        </w:tc>
        <w:tc>
          <w:tcPr>
            <w:tcW w:w="1017" w:type="dxa"/>
          </w:tcPr>
          <w:p w:rsidR="006E30DF" w:rsidRPr="00061FA2" w:rsidRDefault="006E30DF" w:rsidP="008C18F3">
            <w:pPr>
              <w:rPr>
                <w:rFonts w:ascii="Times New Roman" w:hAnsi="Times New Roman" w:cs="Times New Roman"/>
                <w:sz w:val="23"/>
                <w:szCs w:val="23"/>
              </w:rPr>
            </w:pPr>
          </w:p>
        </w:tc>
        <w:tc>
          <w:tcPr>
            <w:tcW w:w="1178" w:type="dxa"/>
          </w:tcPr>
          <w:p w:rsidR="006E30DF" w:rsidRPr="00061FA2" w:rsidRDefault="006E30DF" w:rsidP="008C18F3">
            <w:pPr>
              <w:rPr>
                <w:rFonts w:ascii="Times New Roman" w:hAnsi="Times New Roman" w:cs="Times New Roman"/>
                <w:sz w:val="23"/>
                <w:szCs w:val="23"/>
              </w:rPr>
            </w:pPr>
          </w:p>
        </w:tc>
      </w:tr>
      <w:tr w:rsidR="008C18F3" w:rsidRPr="00061FA2" w:rsidTr="000476AB">
        <w:trPr>
          <w:trHeight w:val="793"/>
        </w:trPr>
        <w:tc>
          <w:tcPr>
            <w:tcW w:w="1555" w:type="dxa"/>
            <w:vAlign w:val="center"/>
          </w:tcPr>
          <w:p w:rsidR="008C18F3" w:rsidRPr="000476AB" w:rsidRDefault="00E36366" w:rsidP="008C18F3">
            <w:pPr>
              <w:jc w:val="center"/>
              <w:rPr>
                <w:rFonts w:ascii="Times New Roman" w:hAnsi="Times New Roman" w:cs="Times New Roman"/>
                <w:b/>
                <w:sz w:val="24"/>
                <w:szCs w:val="24"/>
              </w:rPr>
            </w:pPr>
            <w:r>
              <w:rPr>
                <w:rFonts w:ascii="Times New Roman" w:hAnsi="Times New Roman" w:cs="Times New Roman"/>
                <w:b/>
                <w:sz w:val="24"/>
                <w:szCs w:val="24"/>
              </w:rPr>
              <w:t>6</w:t>
            </w:r>
          </w:p>
        </w:tc>
        <w:tc>
          <w:tcPr>
            <w:tcW w:w="5553" w:type="dxa"/>
            <w:vAlign w:val="center"/>
          </w:tcPr>
          <w:p w:rsidR="008C18F3" w:rsidRPr="00E36366" w:rsidRDefault="00E36366" w:rsidP="00E36366">
            <w:pPr>
              <w:pStyle w:val="AralkYok"/>
              <w:jc w:val="both"/>
              <w:rPr>
                <w:rFonts w:ascii="Times New Roman" w:hAnsi="Times New Roman" w:cs="Times New Roman"/>
                <w:sz w:val="23"/>
                <w:szCs w:val="23"/>
              </w:rPr>
            </w:pPr>
            <w:r w:rsidRPr="00E36366">
              <w:rPr>
                <w:rFonts w:ascii="Times New Roman" w:hAnsi="Times New Roman" w:cs="Times New Roman"/>
                <w:sz w:val="23"/>
                <w:szCs w:val="23"/>
              </w:rPr>
              <w:t>Sızıntı sularının toplanması için yeterli ve uygun toplama kanalları bulunmaktadır.</w:t>
            </w:r>
          </w:p>
        </w:tc>
        <w:tc>
          <w:tcPr>
            <w:tcW w:w="1017" w:type="dxa"/>
          </w:tcPr>
          <w:p w:rsidR="008C18F3" w:rsidRPr="00061FA2" w:rsidRDefault="008C18F3" w:rsidP="008C18F3">
            <w:pPr>
              <w:rPr>
                <w:rFonts w:ascii="Times New Roman" w:hAnsi="Times New Roman" w:cs="Times New Roman"/>
                <w:sz w:val="23"/>
                <w:szCs w:val="23"/>
              </w:rPr>
            </w:pPr>
          </w:p>
        </w:tc>
        <w:tc>
          <w:tcPr>
            <w:tcW w:w="1178" w:type="dxa"/>
          </w:tcPr>
          <w:p w:rsidR="008C18F3" w:rsidRPr="00061FA2" w:rsidRDefault="008C18F3" w:rsidP="008C18F3">
            <w:pPr>
              <w:rPr>
                <w:rFonts w:ascii="Times New Roman" w:hAnsi="Times New Roman" w:cs="Times New Roman"/>
                <w:sz w:val="23"/>
                <w:szCs w:val="23"/>
              </w:rPr>
            </w:pPr>
          </w:p>
        </w:tc>
      </w:tr>
      <w:tr w:rsidR="000476AB" w:rsidRPr="00061FA2" w:rsidTr="00E36366">
        <w:trPr>
          <w:trHeight w:val="560"/>
        </w:trPr>
        <w:tc>
          <w:tcPr>
            <w:tcW w:w="1555" w:type="dxa"/>
            <w:vAlign w:val="center"/>
          </w:tcPr>
          <w:p w:rsidR="000476AB" w:rsidRPr="000476AB" w:rsidRDefault="00E36366" w:rsidP="000476AB">
            <w:pPr>
              <w:jc w:val="center"/>
              <w:rPr>
                <w:rFonts w:ascii="Times New Roman" w:hAnsi="Times New Roman" w:cs="Times New Roman"/>
                <w:b/>
                <w:sz w:val="24"/>
                <w:szCs w:val="24"/>
              </w:rPr>
            </w:pPr>
            <w:r>
              <w:rPr>
                <w:rFonts w:ascii="Times New Roman" w:hAnsi="Times New Roman" w:cs="Times New Roman"/>
                <w:b/>
                <w:sz w:val="24"/>
                <w:szCs w:val="24"/>
              </w:rPr>
              <w:t>7</w:t>
            </w:r>
          </w:p>
        </w:tc>
        <w:tc>
          <w:tcPr>
            <w:tcW w:w="5553" w:type="dxa"/>
            <w:vAlign w:val="center"/>
          </w:tcPr>
          <w:p w:rsidR="000476AB" w:rsidRPr="00E36366" w:rsidRDefault="00E36366" w:rsidP="00E36366">
            <w:pPr>
              <w:pStyle w:val="AralkYok"/>
              <w:jc w:val="both"/>
              <w:rPr>
                <w:rFonts w:ascii="Times New Roman" w:hAnsi="Times New Roman" w:cs="Times New Roman"/>
                <w:sz w:val="23"/>
                <w:szCs w:val="23"/>
              </w:rPr>
            </w:pPr>
            <w:r w:rsidRPr="00E36366">
              <w:rPr>
                <w:rFonts w:ascii="Times New Roman" w:hAnsi="Times New Roman" w:cs="Times New Roman"/>
                <w:sz w:val="23"/>
                <w:szCs w:val="23"/>
              </w:rPr>
              <w:t>Yağ tutucu ve emici malzeme bulunmaktadır.</w:t>
            </w:r>
          </w:p>
        </w:tc>
        <w:tc>
          <w:tcPr>
            <w:tcW w:w="1017" w:type="dxa"/>
          </w:tcPr>
          <w:p w:rsidR="000476AB" w:rsidRPr="00061FA2" w:rsidRDefault="000476AB" w:rsidP="000476AB">
            <w:pPr>
              <w:rPr>
                <w:rFonts w:ascii="Times New Roman" w:hAnsi="Times New Roman" w:cs="Times New Roman"/>
                <w:sz w:val="23"/>
                <w:szCs w:val="23"/>
              </w:rPr>
            </w:pPr>
          </w:p>
        </w:tc>
        <w:tc>
          <w:tcPr>
            <w:tcW w:w="1178" w:type="dxa"/>
          </w:tcPr>
          <w:p w:rsidR="000476AB" w:rsidRPr="00061FA2" w:rsidRDefault="000476AB" w:rsidP="000476AB">
            <w:pPr>
              <w:rPr>
                <w:rFonts w:ascii="Times New Roman" w:hAnsi="Times New Roman" w:cs="Times New Roman"/>
                <w:sz w:val="23"/>
                <w:szCs w:val="23"/>
              </w:rPr>
            </w:pPr>
          </w:p>
        </w:tc>
      </w:tr>
      <w:tr w:rsidR="00E36366" w:rsidRPr="00061FA2" w:rsidTr="00E36366">
        <w:trPr>
          <w:trHeight w:val="554"/>
        </w:trPr>
        <w:tc>
          <w:tcPr>
            <w:tcW w:w="1555" w:type="dxa"/>
            <w:vAlign w:val="center"/>
          </w:tcPr>
          <w:p w:rsidR="00E36366" w:rsidRPr="000476AB" w:rsidRDefault="00E36366" w:rsidP="000476AB">
            <w:pPr>
              <w:jc w:val="center"/>
              <w:rPr>
                <w:rFonts w:ascii="Times New Roman" w:hAnsi="Times New Roman" w:cs="Times New Roman"/>
                <w:b/>
                <w:sz w:val="24"/>
                <w:szCs w:val="24"/>
              </w:rPr>
            </w:pPr>
            <w:r>
              <w:rPr>
                <w:rFonts w:ascii="Times New Roman" w:hAnsi="Times New Roman" w:cs="Times New Roman"/>
                <w:b/>
                <w:sz w:val="24"/>
                <w:szCs w:val="24"/>
              </w:rPr>
              <w:t>8</w:t>
            </w:r>
          </w:p>
        </w:tc>
        <w:tc>
          <w:tcPr>
            <w:tcW w:w="5553" w:type="dxa"/>
            <w:vAlign w:val="center"/>
          </w:tcPr>
          <w:p w:rsidR="00E36366" w:rsidRPr="00E36366" w:rsidRDefault="00E36366" w:rsidP="00E36366">
            <w:pPr>
              <w:pStyle w:val="AralkYok"/>
              <w:jc w:val="both"/>
              <w:rPr>
                <w:rFonts w:ascii="Times New Roman" w:hAnsi="Times New Roman" w:cs="Times New Roman"/>
                <w:sz w:val="23"/>
                <w:szCs w:val="23"/>
              </w:rPr>
            </w:pPr>
            <w:r w:rsidRPr="00E36366">
              <w:rPr>
                <w:rFonts w:ascii="Times New Roman" w:hAnsi="Times New Roman" w:cs="Times New Roman"/>
                <w:sz w:val="23"/>
                <w:szCs w:val="23"/>
              </w:rPr>
              <w:t>Yangın söndürme ve paratoner sistemi bulunmaktadır.</w:t>
            </w:r>
          </w:p>
        </w:tc>
        <w:tc>
          <w:tcPr>
            <w:tcW w:w="1017" w:type="dxa"/>
          </w:tcPr>
          <w:p w:rsidR="00E36366" w:rsidRPr="00061FA2" w:rsidRDefault="00E36366" w:rsidP="000476AB">
            <w:pPr>
              <w:rPr>
                <w:rFonts w:ascii="Times New Roman" w:hAnsi="Times New Roman" w:cs="Times New Roman"/>
                <w:sz w:val="23"/>
                <w:szCs w:val="23"/>
              </w:rPr>
            </w:pPr>
          </w:p>
        </w:tc>
        <w:tc>
          <w:tcPr>
            <w:tcW w:w="1178" w:type="dxa"/>
          </w:tcPr>
          <w:p w:rsidR="00E36366" w:rsidRPr="00061FA2" w:rsidRDefault="00E36366" w:rsidP="000476AB">
            <w:pPr>
              <w:rPr>
                <w:rFonts w:ascii="Times New Roman" w:hAnsi="Times New Roman" w:cs="Times New Roman"/>
                <w:sz w:val="23"/>
                <w:szCs w:val="23"/>
              </w:rPr>
            </w:pPr>
          </w:p>
        </w:tc>
      </w:tr>
    </w:tbl>
    <w:p w:rsidR="00410DFC" w:rsidRDefault="00410DFC" w:rsidP="00880CBF">
      <w:pPr>
        <w:jc w:val="both"/>
        <w:rPr>
          <w:rFonts w:ascii="Times New Roman" w:hAnsi="Times New Roman" w:cs="Times New Roman"/>
          <w:b/>
          <w:sz w:val="18"/>
          <w:szCs w:val="18"/>
        </w:rPr>
      </w:pPr>
    </w:p>
    <w:p w:rsidR="009C2FB0" w:rsidRDefault="009C2FB0" w:rsidP="00880CBF">
      <w:pPr>
        <w:jc w:val="both"/>
        <w:rPr>
          <w:rFonts w:ascii="Times New Roman" w:hAnsi="Times New Roman" w:cs="Times New Roman"/>
          <w:b/>
          <w:sz w:val="18"/>
          <w:szCs w:val="18"/>
        </w:rPr>
      </w:pPr>
    </w:p>
    <w:p w:rsidR="00BE7256" w:rsidRDefault="00880CBF" w:rsidP="00BE7256">
      <w:pPr>
        <w:jc w:val="both"/>
        <w:rPr>
          <w:rFonts w:ascii="Times New Roman" w:hAnsi="Times New Roman" w:cs="Times New Roman"/>
          <w:b/>
          <w:sz w:val="18"/>
          <w:szCs w:val="18"/>
        </w:rPr>
      </w:pPr>
      <w:proofErr w:type="gramStart"/>
      <w:r w:rsidRPr="00045DAF">
        <w:rPr>
          <w:rFonts w:ascii="Times New Roman" w:hAnsi="Times New Roman" w:cs="Times New Roman"/>
          <w:b/>
          <w:sz w:val="18"/>
          <w:szCs w:val="18"/>
        </w:rPr>
        <w:t>NOT:</w:t>
      </w:r>
      <w:r w:rsidR="00F401FD">
        <w:rPr>
          <w:rFonts w:ascii="Times New Roman" w:hAnsi="Times New Roman" w:cs="Times New Roman"/>
          <w:b/>
          <w:sz w:val="18"/>
          <w:szCs w:val="18"/>
        </w:rPr>
        <w:t xml:space="preserve"> 1)</w:t>
      </w:r>
      <w:r w:rsidRPr="00045DAF">
        <w:rPr>
          <w:rFonts w:ascii="Times New Roman" w:hAnsi="Times New Roman" w:cs="Times New Roman"/>
          <w:b/>
          <w:sz w:val="18"/>
          <w:szCs w:val="18"/>
        </w:rPr>
        <w:t xml:space="preserve"> </w:t>
      </w:r>
      <w:r w:rsidR="00BE7256">
        <w:rPr>
          <w:rFonts w:ascii="Times New Roman" w:hAnsi="Times New Roman" w:cs="Times New Roman"/>
          <w:b/>
          <w:sz w:val="18"/>
          <w:szCs w:val="18"/>
        </w:rPr>
        <w:t xml:space="preserve"> Transfer </w:t>
      </w:r>
      <w:r w:rsidR="007A6639">
        <w:rPr>
          <w:rFonts w:ascii="Times New Roman" w:hAnsi="Times New Roman" w:cs="Times New Roman"/>
          <w:b/>
          <w:sz w:val="18"/>
          <w:szCs w:val="18"/>
        </w:rPr>
        <w:t>noktas</w:t>
      </w:r>
      <w:r w:rsidR="00BE7256">
        <w:rPr>
          <w:rFonts w:ascii="Times New Roman" w:hAnsi="Times New Roman" w:cs="Times New Roman"/>
          <w:b/>
          <w:sz w:val="18"/>
          <w:szCs w:val="18"/>
        </w:rPr>
        <w:t xml:space="preserve">ına kabul edilecek </w:t>
      </w:r>
      <w:proofErr w:type="spellStart"/>
      <w:r w:rsidR="00BE7256">
        <w:rPr>
          <w:rFonts w:ascii="Times New Roman" w:hAnsi="Times New Roman" w:cs="Times New Roman"/>
          <w:b/>
          <w:sz w:val="18"/>
          <w:szCs w:val="18"/>
        </w:rPr>
        <w:t>AEEE’ler</w:t>
      </w:r>
      <w:proofErr w:type="spellEnd"/>
      <w:r w:rsidR="00BE7256">
        <w:rPr>
          <w:rFonts w:ascii="Times New Roman" w:hAnsi="Times New Roman" w:cs="Times New Roman"/>
          <w:b/>
          <w:sz w:val="18"/>
          <w:szCs w:val="18"/>
        </w:rPr>
        <w:t xml:space="preserve"> için; 1/1/2024 tarihine kadar Atık Elektrikli ve Elektronik Eşyaların Yönetimi Hakkında Yönetmeliğin Ek-1/A’sında yer alan kategoriler, 1/1/2024 tarihinden itibaren ise anılan Yönetmeliğin Ek-2/A’sında yer alan kategoriler göz önünde bulundurularak tabloda yer alan teknik şartlar doldurulmalıdır. </w:t>
      </w:r>
      <w:proofErr w:type="gramEnd"/>
    </w:p>
    <w:p w:rsidR="00F401FD" w:rsidRDefault="00F401FD" w:rsidP="00F401FD">
      <w:pPr>
        <w:jc w:val="both"/>
        <w:rPr>
          <w:rFonts w:ascii="Times New Roman" w:hAnsi="Times New Roman" w:cs="Times New Roman"/>
          <w:b/>
          <w:sz w:val="18"/>
          <w:szCs w:val="18"/>
        </w:rPr>
      </w:pPr>
      <w:r>
        <w:rPr>
          <w:rFonts w:ascii="Times New Roman" w:hAnsi="Times New Roman" w:cs="Times New Roman"/>
          <w:b/>
          <w:sz w:val="18"/>
          <w:szCs w:val="18"/>
        </w:rPr>
        <w:t xml:space="preserve">          2)</w:t>
      </w:r>
      <w:r w:rsidRPr="00F401FD">
        <w:rPr>
          <w:rFonts w:ascii="Times New Roman" w:hAnsi="Times New Roman" w:cs="Times New Roman"/>
          <w:b/>
          <w:sz w:val="18"/>
          <w:szCs w:val="18"/>
        </w:rPr>
        <w:t>AEEE işleme tesisleri tarafından kurulan transfer noktası için çevre izin ve lisans belgesi, AEEE işleme tesisinin çevre izin ve lisans belgesi geçerlilik süresini aşmayacak şekilde ve AEEE işleme tesisinin çevre izin ve lisans belgesi kapsamında yer alan EEE kategorilerinden verilir.</w:t>
      </w:r>
    </w:p>
    <w:p w:rsidR="008B4C71" w:rsidRPr="00045DAF" w:rsidRDefault="008B4C71" w:rsidP="00F401FD">
      <w:pPr>
        <w:jc w:val="both"/>
        <w:rPr>
          <w:rFonts w:ascii="Times New Roman" w:hAnsi="Times New Roman" w:cs="Times New Roman"/>
          <w:b/>
          <w:sz w:val="18"/>
          <w:szCs w:val="18"/>
        </w:rPr>
      </w:pPr>
      <w:bookmarkStart w:id="0" w:name="_GoBack"/>
      <w:bookmarkEnd w:id="0"/>
    </w:p>
    <w:p w:rsidR="0044090D" w:rsidRPr="00045DAF" w:rsidRDefault="0044090D" w:rsidP="0044090D">
      <w:pPr>
        <w:pStyle w:val="AralkYok"/>
        <w:rPr>
          <w:rFonts w:ascii="Times New Roman" w:hAnsi="Times New Roman"/>
          <w:sz w:val="18"/>
          <w:szCs w:val="18"/>
        </w:rPr>
      </w:pPr>
      <w:r w:rsidRPr="00045DAF">
        <w:rPr>
          <w:rFonts w:ascii="Times New Roman" w:hAnsi="Times New Roman"/>
          <w:sz w:val="18"/>
          <w:szCs w:val="18"/>
        </w:rPr>
        <w:t>*Bütün sayfalar paraflı olmalıdır</w:t>
      </w:r>
    </w:p>
    <w:p w:rsidR="0044090D" w:rsidRPr="00045DAF" w:rsidRDefault="0044090D" w:rsidP="0044090D">
      <w:pPr>
        <w:pStyle w:val="AralkYok"/>
        <w:rPr>
          <w:rFonts w:ascii="Times New Roman" w:hAnsi="Times New Roman"/>
          <w:sz w:val="18"/>
          <w:szCs w:val="18"/>
        </w:rPr>
      </w:pPr>
    </w:p>
    <w:p w:rsidR="0044090D" w:rsidRDefault="0044090D" w:rsidP="0044090D">
      <w:pPr>
        <w:pStyle w:val="AralkYok"/>
        <w:rPr>
          <w:rFonts w:ascii="Times New Roman" w:hAnsi="Times New Roman"/>
          <w:b/>
          <w:sz w:val="18"/>
          <w:szCs w:val="18"/>
        </w:rPr>
      </w:pPr>
      <w:r w:rsidRPr="00045DAF">
        <w:rPr>
          <w:rFonts w:ascii="Times New Roman" w:hAnsi="Times New Roman"/>
          <w:b/>
          <w:sz w:val="18"/>
          <w:szCs w:val="18"/>
        </w:rPr>
        <w:t xml:space="preserve">İncelemeyi Yapanların </w:t>
      </w:r>
    </w:p>
    <w:p w:rsidR="00410DFC" w:rsidRPr="00045DAF" w:rsidRDefault="00410DFC" w:rsidP="0044090D">
      <w:pPr>
        <w:pStyle w:val="AralkYok"/>
        <w:rPr>
          <w:rFonts w:ascii="Times New Roman" w:hAnsi="Times New Roman"/>
          <w:b/>
          <w:sz w:val="18"/>
          <w:szCs w:val="18"/>
        </w:rPr>
      </w:pPr>
    </w:p>
    <w:p w:rsidR="0044090D" w:rsidRPr="00045DAF" w:rsidRDefault="0044090D" w:rsidP="00FE1706">
      <w:pPr>
        <w:pStyle w:val="AralkYok"/>
        <w:rPr>
          <w:rFonts w:ascii="Times New Roman" w:hAnsi="Times New Roman"/>
          <w:b/>
          <w:sz w:val="18"/>
          <w:szCs w:val="18"/>
        </w:rPr>
      </w:pPr>
      <w:r w:rsidRPr="00045DAF">
        <w:rPr>
          <w:rFonts w:ascii="Times New Roman" w:hAnsi="Times New Roman"/>
          <w:b/>
          <w:sz w:val="18"/>
          <w:szCs w:val="18"/>
        </w:rPr>
        <w:t>Adı</w:t>
      </w:r>
      <w:r w:rsidR="00FE1706" w:rsidRPr="00045DAF">
        <w:rPr>
          <w:rFonts w:ascii="Times New Roman" w:hAnsi="Times New Roman"/>
          <w:b/>
          <w:sz w:val="18"/>
          <w:szCs w:val="18"/>
        </w:rPr>
        <w:tab/>
      </w:r>
      <w:r w:rsidRPr="00045DAF">
        <w:rPr>
          <w:rFonts w:ascii="Times New Roman" w:hAnsi="Times New Roman"/>
          <w:b/>
          <w:sz w:val="18"/>
          <w:szCs w:val="18"/>
        </w:rPr>
        <w:t>Soyadı</w:t>
      </w:r>
      <w:r w:rsidR="00FE1706" w:rsidRPr="00045DAF">
        <w:rPr>
          <w:rFonts w:ascii="Times New Roman" w:hAnsi="Times New Roman"/>
          <w:b/>
          <w:sz w:val="18"/>
          <w:szCs w:val="18"/>
        </w:rPr>
        <w:tab/>
      </w:r>
      <w:r w:rsidR="00FE1706" w:rsidRPr="00045DAF">
        <w:rPr>
          <w:rFonts w:ascii="Times New Roman" w:hAnsi="Times New Roman"/>
          <w:b/>
          <w:sz w:val="18"/>
          <w:szCs w:val="18"/>
        </w:rPr>
        <w:tab/>
        <w:t>U</w:t>
      </w:r>
      <w:r w:rsidRPr="00045DAF">
        <w:rPr>
          <w:rFonts w:ascii="Times New Roman" w:hAnsi="Times New Roman"/>
          <w:b/>
          <w:sz w:val="18"/>
          <w:szCs w:val="18"/>
        </w:rPr>
        <w:t>nvanı</w:t>
      </w:r>
      <w:r w:rsidR="00FE1706" w:rsidRPr="00045DAF">
        <w:rPr>
          <w:rFonts w:ascii="Times New Roman" w:hAnsi="Times New Roman"/>
          <w:b/>
          <w:sz w:val="18"/>
          <w:szCs w:val="18"/>
        </w:rPr>
        <w:tab/>
      </w:r>
      <w:r w:rsidRPr="00045DAF">
        <w:rPr>
          <w:rFonts w:ascii="Times New Roman" w:hAnsi="Times New Roman"/>
          <w:b/>
          <w:sz w:val="18"/>
          <w:szCs w:val="18"/>
        </w:rPr>
        <w:t>İmza</w:t>
      </w:r>
    </w:p>
    <w:sectPr w:rsidR="0044090D" w:rsidRPr="00045DAF" w:rsidSect="00410DFC">
      <w:pgSz w:w="11906" w:h="16838"/>
      <w:pgMar w:top="851" w:right="1133"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9463F"/>
    <w:multiLevelType w:val="hybridMultilevel"/>
    <w:tmpl w:val="98BAB33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4122439"/>
    <w:multiLevelType w:val="hybridMultilevel"/>
    <w:tmpl w:val="E8DCBC30"/>
    <w:lvl w:ilvl="0" w:tplc="46A82E56">
      <w:start w:val="1"/>
      <w:numFmt w:val="decimal"/>
      <w:lvlText w:val="%1)"/>
      <w:lvlJc w:val="left"/>
      <w:pPr>
        <w:ind w:left="1266" w:hanging="84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 w15:restartNumberingAfterBreak="0">
    <w:nsid w:val="357335B3"/>
    <w:multiLevelType w:val="hybridMultilevel"/>
    <w:tmpl w:val="25569BCA"/>
    <w:lvl w:ilvl="0" w:tplc="6CDCC5E2">
      <w:start w:val="1"/>
      <w:numFmt w:val="decimal"/>
      <w:lvlText w:val="%1)"/>
      <w:lvlJc w:val="left"/>
      <w:pPr>
        <w:ind w:left="1020" w:hanging="6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00E"/>
    <w:rsid w:val="000114EC"/>
    <w:rsid w:val="00021400"/>
    <w:rsid w:val="00045DAF"/>
    <w:rsid w:val="000476AB"/>
    <w:rsid w:val="00051068"/>
    <w:rsid w:val="00061FA2"/>
    <w:rsid w:val="00095CDE"/>
    <w:rsid w:val="000C02C3"/>
    <w:rsid w:val="000C3039"/>
    <w:rsid w:val="001032C3"/>
    <w:rsid w:val="0016567B"/>
    <w:rsid w:val="00197B72"/>
    <w:rsid w:val="001B11F1"/>
    <w:rsid w:val="001E5E8E"/>
    <w:rsid w:val="00200F12"/>
    <w:rsid w:val="002179DB"/>
    <w:rsid w:val="00264C89"/>
    <w:rsid w:val="0026600E"/>
    <w:rsid w:val="00266915"/>
    <w:rsid w:val="002C30DC"/>
    <w:rsid w:val="00326E3F"/>
    <w:rsid w:val="0037321B"/>
    <w:rsid w:val="003F541A"/>
    <w:rsid w:val="00410DFC"/>
    <w:rsid w:val="00437150"/>
    <w:rsid w:val="0044090D"/>
    <w:rsid w:val="004A37CD"/>
    <w:rsid w:val="004A6E3D"/>
    <w:rsid w:val="00520A5D"/>
    <w:rsid w:val="005A1A2C"/>
    <w:rsid w:val="005A7912"/>
    <w:rsid w:val="005B110F"/>
    <w:rsid w:val="005E75E8"/>
    <w:rsid w:val="005F27A1"/>
    <w:rsid w:val="006100B7"/>
    <w:rsid w:val="006408D9"/>
    <w:rsid w:val="00684B44"/>
    <w:rsid w:val="006979DA"/>
    <w:rsid w:val="006D0DA1"/>
    <w:rsid w:val="006D1C30"/>
    <w:rsid w:val="006E30DF"/>
    <w:rsid w:val="00702193"/>
    <w:rsid w:val="007038D3"/>
    <w:rsid w:val="00775932"/>
    <w:rsid w:val="007A6639"/>
    <w:rsid w:val="007C4F25"/>
    <w:rsid w:val="007F10BA"/>
    <w:rsid w:val="00866005"/>
    <w:rsid w:val="00880CBF"/>
    <w:rsid w:val="0088341D"/>
    <w:rsid w:val="008A5383"/>
    <w:rsid w:val="008B4C71"/>
    <w:rsid w:val="008C18F3"/>
    <w:rsid w:val="008F22D7"/>
    <w:rsid w:val="009469F4"/>
    <w:rsid w:val="0097093E"/>
    <w:rsid w:val="009A4F51"/>
    <w:rsid w:val="009C2FB0"/>
    <w:rsid w:val="009D1DCB"/>
    <w:rsid w:val="009E0C89"/>
    <w:rsid w:val="009E1205"/>
    <w:rsid w:val="009E2881"/>
    <w:rsid w:val="009F1E46"/>
    <w:rsid w:val="009F4E14"/>
    <w:rsid w:val="00A72CDE"/>
    <w:rsid w:val="00A87C77"/>
    <w:rsid w:val="00AC1958"/>
    <w:rsid w:val="00AD56C0"/>
    <w:rsid w:val="00AE6510"/>
    <w:rsid w:val="00B008B5"/>
    <w:rsid w:val="00B23767"/>
    <w:rsid w:val="00BA5C4C"/>
    <w:rsid w:val="00BB362E"/>
    <w:rsid w:val="00BE7256"/>
    <w:rsid w:val="00C349A2"/>
    <w:rsid w:val="00C517D2"/>
    <w:rsid w:val="00C94F37"/>
    <w:rsid w:val="00CA0726"/>
    <w:rsid w:val="00CA7E4E"/>
    <w:rsid w:val="00CD3A32"/>
    <w:rsid w:val="00CE7C76"/>
    <w:rsid w:val="00CF332C"/>
    <w:rsid w:val="00CF3AD9"/>
    <w:rsid w:val="00D04FF9"/>
    <w:rsid w:val="00D06C2D"/>
    <w:rsid w:val="00D652A9"/>
    <w:rsid w:val="00D83863"/>
    <w:rsid w:val="00DE4993"/>
    <w:rsid w:val="00E06278"/>
    <w:rsid w:val="00E34A75"/>
    <w:rsid w:val="00E36366"/>
    <w:rsid w:val="00E4400F"/>
    <w:rsid w:val="00F35E65"/>
    <w:rsid w:val="00F401FD"/>
    <w:rsid w:val="00F5328E"/>
    <w:rsid w:val="00F94466"/>
    <w:rsid w:val="00FE170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865AC"/>
  <w15:docId w15:val="{6E994C02-1BC0-467B-947B-A03122BBB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6600E"/>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2660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C3039"/>
    <w:pPr>
      <w:ind w:left="720"/>
      <w:contextualSpacing/>
    </w:pPr>
  </w:style>
  <w:style w:type="paragraph" w:styleId="AralkYok">
    <w:name w:val="No Spacing"/>
    <w:uiPriority w:val="1"/>
    <w:qFormat/>
    <w:rsid w:val="007038D3"/>
    <w:pPr>
      <w:spacing w:after="0" w:line="240" w:lineRule="auto"/>
    </w:pPr>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085527">
      <w:bodyDiv w:val="1"/>
      <w:marLeft w:val="0"/>
      <w:marRight w:val="0"/>
      <w:marTop w:val="0"/>
      <w:marBottom w:val="0"/>
      <w:divBdr>
        <w:top w:val="none" w:sz="0" w:space="0" w:color="auto"/>
        <w:left w:val="none" w:sz="0" w:space="0" w:color="auto"/>
        <w:bottom w:val="none" w:sz="0" w:space="0" w:color="auto"/>
        <w:right w:val="none" w:sz="0" w:space="0" w:color="auto"/>
      </w:divBdr>
      <w:divsChild>
        <w:div w:id="1488091578">
          <w:marLeft w:val="0"/>
          <w:marRight w:val="0"/>
          <w:marTop w:val="0"/>
          <w:marBottom w:val="0"/>
          <w:divBdr>
            <w:top w:val="none" w:sz="0" w:space="0" w:color="auto"/>
            <w:left w:val="none" w:sz="0" w:space="0" w:color="auto"/>
            <w:bottom w:val="none" w:sz="0" w:space="0" w:color="auto"/>
            <w:right w:val="none" w:sz="0" w:space="0" w:color="auto"/>
          </w:divBdr>
        </w:div>
        <w:div w:id="1849633269">
          <w:marLeft w:val="0"/>
          <w:marRight w:val="0"/>
          <w:marTop w:val="0"/>
          <w:marBottom w:val="0"/>
          <w:divBdr>
            <w:top w:val="none" w:sz="0" w:space="0" w:color="auto"/>
            <w:left w:val="none" w:sz="0" w:space="0" w:color="auto"/>
            <w:bottom w:val="none" w:sz="0" w:space="0" w:color="auto"/>
            <w:right w:val="none" w:sz="0" w:space="0" w:color="auto"/>
          </w:divBdr>
        </w:div>
        <w:div w:id="674579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326F5-96FA-47DC-BBE5-A8C6C670B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 Alagöz</dc:creator>
  <cp:lastModifiedBy>Hasan Seçgin</cp:lastModifiedBy>
  <cp:revision>3</cp:revision>
  <dcterms:created xsi:type="dcterms:W3CDTF">2023-02-15T13:17:00Z</dcterms:created>
  <dcterms:modified xsi:type="dcterms:W3CDTF">2023-02-15T13:18:00Z</dcterms:modified>
</cp:coreProperties>
</file>