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741"/>
      </w:tblGrid>
      <w:tr w:rsidR="00C44274" w:rsidRPr="00575932" w14:paraId="201A9393" w14:textId="77777777" w:rsidTr="00DF31BF">
        <w:trPr>
          <w:trHeight w:val="1125"/>
        </w:trPr>
        <w:tc>
          <w:tcPr>
            <w:tcW w:w="2943" w:type="dxa"/>
          </w:tcPr>
          <w:p w14:paraId="62669626" w14:textId="77777777" w:rsidR="00C44274" w:rsidRPr="00575932" w:rsidRDefault="00C44274" w:rsidP="00182A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RAPORU HAZIRLAMASI UYGUN BULUNAN KİŞİ,  KURUM/KURULUŞ:</w:t>
            </w:r>
          </w:p>
        </w:tc>
        <w:tc>
          <w:tcPr>
            <w:tcW w:w="6741" w:type="dxa"/>
          </w:tcPr>
          <w:p w14:paraId="149B2D03" w14:textId="77777777" w:rsidR="00C44274" w:rsidRPr="00575932" w:rsidRDefault="006535B3" w:rsidP="007A40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32">
              <w:rPr>
                <w:rFonts w:ascii="Times New Roman" w:hAnsi="Times New Roman"/>
              </w:rPr>
              <w:t>Teknik Uygunluk</w:t>
            </w:r>
            <w:r w:rsidR="007A40C9">
              <w:rPr>
                <w:rFonts w:ascii="Times New Roman" w:hAnsi="Times New Roman"/>
              </w:rPr>
              <w:t xml:space="preserve"> Raporu; </w:t>
            </w:r>
            <w:r w:rsidR="00C44274" w:rsidRPr="00575932">
              <w:rPr>
                <w:rFonts w:ascii="Times New Roman" w:hAnsi="Times New Roman"/>
              </w:rPr>
              <w:t xml:space="preserve">çevre yönetim birimi, istihdam edilen çevre </w:t>
            </w:r>
            <w:r w:rsidR="007A40C9">
              <w:rPr>
                <w:rFonts w:ascii="Times New Roman" w:hAnsi="Times New Roman"/>
              </w:rPr>
              <w:t xml:space="preserve">yönetim hizmeti yeterlik belgesine sahip kişi, </w:t>
            </w:r>
            <w:r w:rsidR="00C44274" w:rsidRPr="00575932">
              <w:rPr>
                <w:rFonts w:ascii="Times New Roman" w:hAnsi="Times New Roman"/>
              </w:rPr>
              <w:t>çevre danışmanlık firmaları veya bilimsel kuruluşlar tarafından aşağıda yer alan formata uygun olarak hazırlanır.</w:t>
            </w:r>
          </w:p>
        </w:tc>
      </w:tr>
    </w:tbl>
    <w:p w14:paraId="369C2CD2" w14:textId="77777777" w:rsidR="00DF31BF" w:rsidRDefault="00DF31BF" w:rsidP="00C5511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0703388" w14:textId="77777777" w:rsidR="00C44274" w:rsidRPr="00575932" w:rsidRDefault="006535B3" w:rsidP="00C5511B">
      <w:pPr>
        <w:spacing w:after="0" w:line="240" w:lineRule="auto"/>
        <w:jc w:val="center"/>
        <w:rPr>
          <w:rFonts w:ascii="Times New Roman" w:hAnsi="Times New Roman"/>
          <w:b/>
        </w:rPr>
      </w:pPr>
      <w:r w:rsidRPr="00575932">
        <w:rPr>
          <w:rFonts w:ascii="Times New Roman" w:hAnsi="Times New Roman"/>
          <w:b/>
        </w:rPr>
        <w:t xml:space="preserve">TEKNİK UYGUNLUK </w:t>
      </w:r>
      <w:r w:rsidR="00C44274" w:rsidRPr="00575932">
        <w:rPr>
          <w:rFonts w:ascii="Times New Roman" w:hAnsi="Times New Roman"/>
          <w:b/>
        </w:rPr>
        <w:t xml:space="preserve">RAPORU </w:t>
      </w:r>
    </w:p>
    <w:p w14:paraId="0B75A793" w14:textId="6138CDF9" w:rsidR="00C44274" w:rsidRPr="00575932" w:rsidRDefault="00DD68D6" w:rsidP="00C5511B">
      <w:pPr>
        <w:spacing w:after="0" w:line="240" w:lineRule="auto"/>
        <w:jc w:val="center"/>
        <w:rPr>
          <w:rFonts w:ascii="Times New Roman" w:hAnsi="Times New Roman"/>
          <w:b/>
        </w:rPr>
      </w:pPr>
      <w:r w:rsidRPr="00575932">
        <w:rPr>
          <w:rFonts w:ascii="Times New Roman" w:hAnsi="Times New Roman"/>
          <w:b/>
        </w:rPr>
        <w:t>ATIK ELEKTRİKLİ V</w:t>
      </w:r>
      <w:r w:rsidR="00250ED0" w:rsidRPr="00575932">
        <w:rPr>
          <w:rFonts w:ascii="Times New Roman" w:hAnsi="Times New Roman"/>
          <w:b/>
        </w:rPr>
        <w:t>E ELEKTRONİK EŞYA (</w:t>
      </w:r>
      <w:r w:rsidRPr="00575932">
        <w:rPr>
          <w:rFonts w:ascii="Times New Roman" w:hAnsi="Times New Roman"/>
          <w:b/>
        </w:rPr>
        <w:t>AEEE</w:t>
      </w:r>
      <w:r w:rsidR="00250ED0" w:rsidRPr="00575932">
        <w:rPr>
          <w:rFonts w:ascii="Times New Roman" w:hAnsi="Times New Roman"/>
          <w:b/>
        </w:rPr>
        <w:t>)</w:t>
      </w:r>
      <w:r w:rsidR="00C44274" w:rsidRPr="00575932">
        <w:rPr>
          <w:rFonts w:ascii="Times New Roman" w:hAnsi="Times New Roman"/>
          <w:b/>
        </w:rPr>
        <w:t xml:space="preserve"> İŞLEME</w:t>
      </w:r>
      <w:r w:rsidR="00250ED0" w:rsidRPr="00575932">
        <w:rPr>
          <w:rFonts w:ascii="Times New Roman" w:hAnsi="Times New Roman"/>
          <w:b/>
        </w:rPr>
        <w:t xml:space="preserve"> TESİSİ</w:t>
      </w:r>
    </w:p>
    <w:p w14:paraId="3BAA6A99" w14:textId="77777777" w:rsidR="00C44274" w:rsidRPr="00575932" w:rsidRDefault="00C44274" w:rsidP="00C5511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3C85244" w14:textId="77777777" w:rsidR="00C44274" w:rsidRPr="00575932" w:rsidRDefault="00C44274" w:rsidP="00C5511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796"/>
      </w:tblGrid>
      <w:tr w:rsidR="001A136E" w:rsidRPr="00575932" w14:paraId="7453BDC4" w14:textId="77777777" w:rsidTr="00DF31BF">
        <w:tc>
          <w:tcPr>
            <w:tcW w:w="9634" w:type="dxa"/>
            <w:gridSpan w:val="2"/>
          </w:tcPr>
          <w:p w14:paraId="0708B6A6" w14:textId="77777777" w:rsidR="00C44274" w:rsidRPr="00575932" w:rsidRDefault="00C44274" w:rsidP="00182A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İÇİNDEKİLER</w:t>
            </w:r>
          </w:p>
        </w:tc>
      </w:tr>
      <w:tr w:rsidR="00DF31BF" w:rsidRPr="00575932" w14:paraId="6E05F98F" w14:textId="77777777" w:rsidTr="00DF31BF">
        <w:tc>
          <w:tcPr>
            <w:tcW w:w="9634" w:type="dxa"/>
            <w:gridSpan w:val="2"/>
          </w:tcPr>
          <w:p w14:paraId="4BA402A3" w14:textId="77777777" w:rsidR="00DF31BF" w:rsidRPr="00575932" w:rsidRDefault="00DF31BF" w:rsidP="00182A38">
            <w:pPr>
              <w:spacing w:after="0" w:line="240" w:lineRule="auto"/>
              <w:rPr>
                <w:rFonts w:ascii="Times New Roman" w:hAnsi="Times New Roman"/>
              </w:rPr>
            </w:pPr>
            <w:r w:rsidRPr="00575932">
              <w:rPr>
                <w:rFonts w:ascii="Times New Roman" w:hAnsi="Times New Roman"/>
              </w:rPr>
              <w:t>İÇİNDEKİLER TABLOSU</w:t>
            </w:r>
          </w:p>
        </w:tc>
      </w:tr>
      <w:tr w:rsidR="001A136E" w:rsidRPr="00575932" w14:paraId="69DE9C69" w14:textId="77777777" w:rsidTr="00DF31BF">
        <w:tc>
          <w:tcPr>
            <w:tcW w:w="1838" w:type="dxa"/>
          </w:tcPr>
          <w:p w14:paraId="7643D4B0" w14:textId="77777777" w:rsidR="00C44274" w:rsidRPr="00575932" w:rsidRDefault="00C44274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BÖLÜM 1</w:t>
            </w:r>
          </w:p>
        </w:tc>
        <w:tc>
          <w:tcPr>
            <w:tcW w:w="7796" w:type="dxa"/>
          </w:tcPr>
          <w:p w14:paraId="234359F4" w14:textId="77777777" w:rsidR="00C44274" w:rsidRPr="00575932" w:rsidRDefault="00C44274" w:rsidP="00182A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RAPORU HAZIRLAYAN KİŞİ, KURUM, KURULUŞ BİLGİLERİ</w:t>
            </w:r>
          </w:p>
        </w:tc>
      </w:tr>
      <w:tr w:rsidR="001A136E" w:rsidRPr="00575932" w14:paraId="7BFD721B" w14:textId="77777777" w:rsidTr="00DF31BF">
        <w:tc>
          <w:tcPr>
            <w:tcW w:w="1838" w:type="dxa"/>
          </w:tcPr>
          <w:p w14:paraId="1C235FE2" w14:textId="77777777" w:rsidR="00C44274" w:rsidRPr="00575932" w:rsidRDefault="00C44274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7796" w:type="dxa"/>
          </w:tcPr>
          <w:p w14:paraId="14221E9F" w14:textId="77777777" w:rsidR="00C44274" w:rsidRPr="00575932" w:rsidRDefault="00C44274" w:rsidP="00182A38">
            <w:pPr>
              <w:spacing w:after="0" w:line="240" w:lineRule="auto"/>
              <w:rPr>
                <w:rFonts w:ascii="Times New Roman" w:hAnsi="Times New Roman"/>
              </w:rPr>
            </w:pPr>
            <w:r w:rsidRPr="00575932">
              <w:rPr>
                <w:rFonts w:ascii="Times New Roman" w:hAnsi="Times New Roman"/>
              </w:rPr>
              <w:t>Adı</w:t>
            </w:r>
          </w:p>
        </w:tc>
      </w:tr>
      <w:tr w:rsidR="001A136E" w:rsidRPr="00575932" w14:paraId="7B2242D7" w14:textId="77777777" w:rsidTr="00DF31BF">
        <w:tc>
          <w:tcPr>
            <w:tcW w:w="1838" w:type="dxa"/>
          </w:tcPr>
          <w:p w14:paraId="450F666D" w14:textId="77777777" w:rsidR="00C44274" w:rsidRPr="00575932" w:rsidRDefault="00C44274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7796" w:type="dxa"/>
          </w:tcPr>
          <w:p w14:paraId="7AD93DBC" w14:textId="77777777" w:rsidR="00C44274" w:rsidRPr="00575932" w:rsidRDefault="00C44274" w:rsidP="00182A38">
            <w:pPr>
              <w:spacing w:after="0" w:line="240" w:lineRule="auto"/>
              <w:rPr>
                <w:rFonts w:ascii="Times New Roman" w:hAnsi="Times New Roman"/>
              </w:rPr>
            </w:pPr>
            <w:r w:rsidRPr="00575932">
              <w:rPr>
                <w:rFonts w:ascii="Times New Roman" w:hAnsi="Times New Roman"/>
              </w:rPr>
              <w:t>Adresi</w:t>
            </w:r>
          </w:p>
        </w:tc>
      </w:tr>
      <w:tr w:rsidR="001A136E" w:rsidRPr="00575932" w14:paraId="307A9857" w14:textId="77777777" w:rsidTr="00DF31BF">
        <w:tc>
          <w:tcPr>
            <w:tcW w:w="1838" w:type="dxa"/>
          </w:tcPr>
          <w:p w14:paraId="6C6B2185" w14:textId="77777777" w:rsidR="00C44274" w:rsidRPr="00575932" w:rsidRDefault="00C44274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7796" w:type="dxa"/>
          </w:tcPr>
          <w:p w14:paraId="64F1EF6A" w14:textId="77777777" w:rsidR="00C44274" w:rsidRPr="00575932" w:rsidRDefault="00C44274" w:rsidP="00182A38">
            <w:pPr>
              <w:spacing w:after="0" w:line="240" w:lineRule="auto"/>
              <w:rPr>
                <w:rFonts w:ascii="Times New Roman" w:hAnsi="Times New Roman"/>
              </w:rPr>
            </w:pPr>
            <w:r w:rsidRPr="00575932">
              <w:rPr>
                <w:rFonts w:ascii="Times New Roman" w:hAnsi="Times New Roman"/>
              </w:rPr>
              <w:t>İletişim Bilgileri</w:t>
            </w:r>
          </w:p>
        </w:tc>
      </w:tr>
      <w:tr w:rsidR="001A136E" w:rsidRPr="00575932" w14:paraId="66B028AB" w14:textId="77777777" w:rsidTr="00DF31BF">
        <w:tc>
          <w:tcPr>
            <w:tcW w:w="1838" w:type="dxa"/>
          </w:tcPr>
          <w:p w14:paraId="6A330B7C" w14:textId="77777777" w:rsidR="00C44274" w:rsidRPr="00575932" w:rsidRDefault="00C44274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BÖLÜM 2</w:t>
            </w:r>
          </w:p>
        </w:tc>
        <w:tc>
          <w:tcPr>
            <w:tcW w:w="7796" w:type="dxa"/>
          </w:tcPr>
          <w:p w14:paraId="434C71A2" w14:textId="77777777" w:rsidR="00C44274" w:rsidRPr="00575932" w:rsidRDefault="000A0FE5" w:rsidP="000A0F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TESİS HAKKINDA GENEL BİLGİLER</w:t>
            </w:r>
          </w:p>
        </w:tc>
      </w:tr>
      <w:tr w:rsidR="00FF6DB2" w:rsidRPr="00575932" w14:paraId="133A6A7A" w14:textId="77777777" w:rsidTr="00DF31BF">
        <w:tc>
          <w:tcPr>
            <w:tcW w:w="1838" w:type="dxa"/>
          </w:tcPr>
          <w:p w14:paraId="0F1519A4" w14:textId="77777777" w:rsidR="00FF6DB2" w:rsidRPr="00575932" w:rsidRDefault="00FF6DB2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7796" w:type="dxa"/>
          </w:tcPr>
          <w:p w14:paraId="3785632C" w14:textId="77777777" w:rsidR="00FF6DB2" w:rsidRPr="00575932" w:rsidRDefault="00FF6DB2" w:rsidP="00081B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32">
              <w:rPr>
                <w:rFonts w:ascii="Times New Roman" w:hAnsi="Times New Roman"/>
              </w:rPr>
              <w:t>Tesis Unvanı/Faaliyet Sahibinin Adı</w:t>
            </w:r>
          </w:p>
        </w:tc>
      </w:tr>
      <w:tr w:rsidR="00FF6DB2" w:rsidRPr="00575932" w14:paraId="6AAE042E" w14:textId="77777777" w:rsidTr="00DF31BF">
        <w:tc>
          <w:tcPr>
            <w:tcW w:w="1838" w:type="dxa"/>
          </w:tcPr>
          <w:p w14:paraId="4313757B" w14:textId="77777777" w:rsidR="00FF6DB2" w:rsidRPr="00575932" w:rsidRDefault="00FF6DB2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2.</w:t>
            </w:r>
            <w:r w:rsidR="00DF31B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96" w:type="dxa"/>
          </w:tcPr>
          <w:p w14:paraId="5C8EBB23" w14:textId="77777777" w:rsidR="00FF6DB2" w:rsidRPr="00575932" w:rsidRDefault="009418D7" w:rsidP="00182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32">
              <w:rPr>
                <w:rFonts w:ascii="Times New Roman" w:hAnsi="Times New Roman"/>
              </w:rPr>
              <w:t>Tesis</w:t>
            </w:r>
            <w:r w:rsidR="00A01830" w:rsidRPr="00575932">
              <w:rPr>
                <w:rFonts w:ascii="Times New Roman" w:hAnsi="Times New Roman"/>
              </w:rPr>
              <w:t xml:space="preserve"> Faaliyeti</w:t>
            </w:r>
            <w:r w:rsidR="00FF6DB2" w:rsidRPr="00575932">
              <w:rPr>
                <w:rFonts w:ascii="Times New Roman" w:hAnsi="Times New Roman"/>
              </w:rPr>
              <w:t xml:space="preserve"> </w:t>
            </w:r>
            <w:r w:rsidR="00815BF6" w:rsidRPr="00575932">
              <w:rPr>
                <w:rFonts w:ascii="Times New Roman" w:hAnsi="Times New Roman"/>
              </w:rPr>
              <w:t xml:space="preserve">ve Başvuru </w:t>
            </w:r>
            <w:r w:rsidR="00FF6DB2" w:rsidRPr="00575932">
              <w:rPr>
                <w:rFonts w:ascii="Times New Roman" w:hAnsi="Times New Roman"/>
              </w:rPr>
              <w:t>Hakkında Genel Bilgi</w:t>
            </w:r>
          </w:p>
        </w:tc>
      </w:tr>
      <w:tr w:rsidR="00D77EF0" w:rsidRPr="00575932" w14:paraId="2F1A3840" w14:textId="77777777" w:rsidTr="00DF31BF">
        <w:tc>
          <w:tcPr>
            <w:tcW w:w="1838" w:type="dxa"/>
          </w:tcPr>
          <w:p w14:paraId="30E34A14" w14:textId="77777777" w:rsidR="00D77EF0" w:rsidRPr="00575932" w:rsidRDefault="00D77EF0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</w:t>
            </w:r>
            <w:bookmarkStart w:id="0" w:name="_GoBack"/>
            <w:bookmarkEnd w:id="0"/>
          </w:p>
        </w:tc>
        <w:tc>
          <w:tcPr>
            <w:tcW w:w="7796" w:type="dxa"/>
          </w:tcPr>
          <w:p w14:paraId="1A9DB44A" w14:textId="77777777" w:rsidR="00D77EF0" w:rsidRPr="00575932" w:rsidRDefault="00D77EF0" w:rsidP="00182A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“TS 13615 İşyerleri- Atık Elektrikli ve Elektronik Ekipman İşleme Tesisleri İçin Kurallar” Belgesi veya Uygunluk Görüşü</w:t>
            </w:r>
          </w:p>
        </w:tc>
      </w:tr>
      <w:tr w:rsidR="00FF6DB2" w:rsidRPr="00575932" w14:paraId="6F155E29" w14:textId="77777777" w:rsidTr="00DF31BF">
        <w:tc>
          <w:tcPr>
            <w:tcW w:w="1838" w:type="dxa"/>
          </w:tcPr>
          <w:p w14:paraId="1BECC006" w14:textId="77777777" w:rsidR="00FF6DB2" w:rsidRPr="00575932" w:rsidRDefault="00FF6DB2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BÖLÜM 3</w:t>
            </w:r>
          </w:p>
        </w:tc>
        <w:tc>
          <w:tcPr>
            <w:tcW w:w="7796" w:type="dxa"/>
          </w:tcPr>
          <w:p w14:paraId="648F78AD" w14:textId="77777777" w:rsidR="00FF6DB2" w:rsidRPr="00575932" w:rsidRDefault="00FF6DB2" w:rsidP="00177D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 xml:space="preserve">TESİSE AİT TEKNİK BİLGİLER </w:t>
            </w:r>
          </w:p>
        </w:tc>
      </w:tr>
      <w:tr w:rsidR="00FF6DB2" w:rsidRPr="00575932" w14:paraId="57BFF2B1" w14:textId="77777777" w:rsidTr="00DF31BF">
        <w:tc>
          <w:tcPr>
            <w:tcW w:w="1838" w:type="dxa"/>
          </w:tcPr>
          <w:p w14:paraId="21CA3884" w14:textId="77777777" w:rsidR="00FF6DB2" w:rsidRPr="00575932" w:rsidRDefault="00DF31BF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7796" w:type="dxa"/>
          </w:tcPr>
          <w:p w14:paraId="65E6EFE6" w14:textId="7A9D2D64" w:rsidR="00FF6DB2" w:rsidRPr="00575932" w:rsidRDefault="00FF6DB2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 xml:space="preserve">Tesis </w:t>
            </w:r>
            <w:r w:rsidR="00B238CD">
              <w:rPr>
                <w:rFonts w:ascii="Times New Roman" w:hAnsi="Times New Roman"/>
                <w:b/>
              </w:rPr>
              <w:t xml:space="preserve">Ünitelerinin </w:t>
            </w:r>
            <w:r w:rsidRPr="00575932">
              <w:rPr>
                <w:rFonts w:ascii="Times New Roman" w:hAnsi="Times New Roman"/>
                <w:b/>
              </w:rPr>
              <w:t xml:space="preserve">Genel Tanıtımı </w:t>
            </w:r>
          </w:p>
          <w:p w14:paraId="678E437D" w14:textId="68E19D06" w:rsidR="00FF6DB2" w:rsidRPr="00575932" w:rsidRDefault="00FF6DB2" w:rsidP="00CF21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32">
              <w:rPr>
                <w:rFonts w:ascii="Times New Roman" w:hAnsi="Times New Roman"/>
              </w:rPr>
              <w:t>Giriş, tesise giriş yapan araçların kontrolünün nasıl yapıldığı, tesiste çalışan görevli sayısı, radyoaktif ölçüm cihazından sorumlu personel bilgileri, personellerin sorumlulukları</w:t>
            </w:r>
            <w:r w:rsidR="00CF212E">
              <w:rPr>
                <w:rFonts w:ascii="Times New Roman" w:hAnsi="Times New Roman"/>
              </w:rPr>
              <w:t xml:space="preserve"> ve TS 13615 Standardında yer alan üniteler (</w:t>
            </w:r>
            <w:r w:rsidRPr="00575932">
              <w:rPr>
                <w:rFonts w:ascii="Times New Roman" w:hAnsi="Times New Roman"/>
              </w:rPr>
              <w:t xml:space="preserve">atık kabul ünitesi, </w:t>
            </w:r>
            <w:r w:rsidR="00592A45">
              <w:rPr>
                <w:rFonts w:ascii="Times New Roman" w:hAnsi="Times New Roman"/>
              </w:rPr>
              <w:t xml:space="preserve">atık stok sahası, </w:t>
            </w:r>
            <w:r w:rsidRPr="00575932">
              <w:rPr>
                <w:rFonts w:ascii="Times New Roman" w:hAnsi="Times New Roman"/>
              </w:rPr>
              <w:t xml:space="preserve">geçici </w:t>
            </w:r>
            <w:r w:rsidRPr="00575932">
              <w:rPr>
                <w:rFonts w:ascii="Times New Roman" w:hAnsi="Times New Roman"/>
                <w:color w:val="000000" w:themeColor="text1"/>
              </w:rPr>
              <w:t>depolama alan</w:t>
            </w:r>
            <w:r w:rsidR="00CF212E">
              <w:rPr>
                <w:rFonts w:ascii="Times New Roman" w:hAnsi="Times New Roman"/>
                <w:color w:val="000000" w:themeColor="text1"/>
              </w:rPr>
              <w:t>ı</w:t>
            </w:r>
            <w:r w:rsidRPr="00575932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CF212E">
              <w:rPr>
                <w:rFonts w:ascii="Times New Roman" w:hAnsi="Times New Roman"/>
                <w:color w:val="000000" w:themeColor="text1"/>
              </w:rPr>
              <w:t xml:space="preserve">ürün stok sahası, vd.) </w:t>
            </w:r>
            <w:r w:rsidRPr="00575932">
              <w:rPr>
                <w:rFonts w:ascii="Times New Roman" w:hAnsi="Times New Roman"/>
              </w:rPr>
              <w:t>hakkında genel bilgiler</w:t>
            </w:r>
          </w:p>
        </w:tc>
      </w:tr>
      <w:tr w:rsidR="00FF6DB2" w:rsidRPr="00575932" w14:paraId="5E1D28A0" w14:textId="77777777" w:rsidTr="00DF31BF">
        <w:tc>
          <w:tcPr>
            <w:tcW w:w="1838" w:type="dxa"/>
          </w:tcPr>
          <w:p w14:paraId="79CE59CC" w14:textId="77777777" w:rsidR="00FF6DB2" w:rsidRPr="00575932" w:rsidRDefault="00FF6DB2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 w:rsidRPr="00575932">
              <w:rPr>
                <w:rFonts w:ascii="Times New Roman" w:hAnsi="Times New Roman"/>
                <w:b/>
                <w:bCs/>
                <w:lang w:eastAsia="tr-TR"/>
              </w:rPr>
              <w:t>3.</w:t>
            </w:r>
            <w:r w:rsidR="00DF31BF">
              <w:rPr>
                <w:rFonts w:ascii="Times New Roman" w:hAnsi="Times New Roman"/>
                <w:b/>
                <w:bCs/>
                <w:lang w:eastAsia="tr-TR"/>
              </w:rPr>
              <w:t>2</w:t>
            </w:r>
          </w:p>
        </w:tc>
        <w:tc>
          <w:tcPr>
            <w:tcW w:w="7796" w:type="dxa"/>
          </w:tcPr>
          <w:p w14:paraId="67BA6A21" w14:textId="606FCBE3" w:rsidR="00FF6DB2" w:rsidRDefault="00CF212E" w:rsidP="005E4D17">
            <w:pPr>
              <w:spacing w:after="0" w:line="240" w:lineRule="auto"/>
              <w:jc w:val="both"/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b/>
                <w:lang w:eastAsia="tr-TR"/>
              </w:rPr>
              <w:t xml:space="preserve">Tesis Ünitelerinin Teknik ve Fiziksel Özellikleri </w:t>
            </w:r>
          </w:p>
          <w:p w14:paraId="51E1CA5D" w14:textId="2E9545A5" w:rsidR="00592A45" w:rsidRPr="00575932" w:rsidRDefault="00592A45" w:rsidP="005E4D1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 xml:space="preserve">Tesis </w:t>
            </w:r>
            <w:r w:rsidR="00342296">
              <w:rPr>
                <w:rFonts w:ascii="Times New Roman" w:hAnsi="Times New Roman"/>
                <w:lang w:eastAsia="tr-TR"/>
              </w:rPr>
              <w:t>ünitelerinin</w:t>
            </w:r>
            <w:r>
              <w:rPr>
                <w:rFonts w:ascii="Times New Roman" w:hAnsi="Times New Roman"/>
                <w:lang w:eastAsia="tr-TR"/>
              </w:rPr>
              <w:t xml:space="preserve"> (atık kabul ünitesi, atık stok sahası, geçici depolama alanı, ürün stok sahası vd.) teknik ve fiziksel özellikleri ile ilgili bilgiler</w:t>
            </w:r>
          </w:p>
        </w:tc>
      </w:tr>
      <w:tr w:rsidR="00FF6DB2" w:rsidRPr="00575932" w14:paraId="6D90A58F" w14:textId="77777777" w:rsidTr="00DF31BF">
        <w:tc>
          <w:tcPr>
            <w:tcW w:w="1838" w:type="dxa"/>
          </w:tcPr>
          <w:p w14:paraId="1FAC6FF9" w14:textId="77777777" w:rsidR="00FF6DB2" w:rsidRPr="00575932" w:rsidRDefault="00FF6DB2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3.</w:t>
            </w:r>
            <w:r w:rsidR="00DF31B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96" w:type="dxa"/>
          </w:tcPr>
          <w:p w14:paraId="355061E0" w14:textId="3BEDA060" w:rsidR="00DF31BF" w:rsidRDefault="00FF6DB2" w:rsidP="00B07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32">
              <w:rPr>
                <w:rFonts w:ascii="Times New Roman" w:hAnsi="Times New Roman"/>
                <w:b/>
              </w:rPr>
              <w:t>Makine</w:t>
            </w:r>
            <w:r w:rsidR="00600092">
              <w:rPr>
                <w:rFonts w:ascii="Times New Roman" w:hAnsi="Times New Roman"/>
                <w:b/>
              </w:rPr>
              <w:t>-Ekipman</w:t>
            </w:r>
            <w:r w:rsidRPr="00575932">
              <w:rPr>
                <w:rFonts w:ascii="Times New Roman" w:hAnsi="Times New Roman"/>
                <w:b/>
              </w:rPr>
              <w:t xml:space="preserve"> Bilgileri</w:t>
            </w:r>
            <w:r w:rsidRPr="00575932">
              <w:rPr>
                <w:rFonts w:ascii="Times New Roman" w:hAnsi="Times New Roman"/>
              </w:rPr>
              <w:t xml:space="preserve"> </w:t>
            </w:r>
          </w:p>
          <w:p w14:paraId="67C78D9D" w14:textId="69B726A1" w:rsidR="00FF6DB2" w:rsidRPr="00575932" w:rsidRDefault="00FF6DB2" w:rsidP="0045248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</w:rPr>
              <w:t xml:space="preserve">AEEE </w:t>
            </w:r>
            <w:r w:rsidR="00452484">
              <w:rPr>
                <w:rFonts w:ascii="Times New Roman" w:hAnsi="Times New Roman"/>
              </w:rPr>
              <w:t>k</w:t>
            </w:r>
            <w:r w:rsidRPr="00575932">
              <w:rPr>
                <w:rFonts w:ascii="Times New Roman" w:hAnsi="Times New Roman"/>
              </w:rPr>
              <w:t xml:space="preserve">abulünden </w:t>
            </w:r>
            <w:r w:rsidR="00452484">
              <w:rPr>
                <w:rFonts w:ascii="Times New Roman" w:hAnsi="Times New Roman"/>
              </w:rPr>
              <w:t>b</w:t>
            </w:r>
            <w:r w:rsidRPr="00575932">
              <w:rPr>
                <w:rFonts w:ascii="Times New Roman" w:hAnsi="Times New Roman"/>
              </w:rPr>
              <w:t xml:space="preserve">aşlayarak </w:t>
            </w:r>
            <w:r w:rsidR="00452484">
              <w:rPr>
                <w:rFonts w:ascii="Times New Roman" w:hAnsi="Times New Roman"/>
              </w:rPr>
              <w:t>n</w:t>
            </w:r>
            <w:r w:rsidRPr="00575932">
              <w:rPr>
                <w:rFonts w:ascii="Times New Roman" w:hAnsi="Times New Roman"/>
              </w:rPr>
              <w:t xml:space="preserve">ihai </w:t>
            </w:r>
            <w:r w:rsidR="00452484">
              <w:rPr>
                <w:rFonts w:ascii="Times New Roman" w:hAnsi="Times New Roman"/>
              </w:rPr>
              <w:t>ü</w:t>
            </w:r>
            <w:r w:rsidRPr="00575932">
              <w:rPr>
                <w:rFonts w:ascii="Times New Roman" w:hAnsi="Times New Roman"/>
              </w:rPr>
              <w:t xml:space="preserve">rünün </w:t>
            </w:r>
            <w:r w:rsidR="00452484">
              <w:rPr>
                <w:rFonts w:ascii="Times New Roman" w:hAnsi="Times New Roman"/>
              </w:rPr>
              <w:t>d</w:t>
            </w:r>
            <w:r w:rsidRPr="00575932">
              <w:rPr>
                <w:rFonts w:ascii="Times New Roman" w:hAnsi="Times New Roman"/>
              </w:rPr>
              <w:t xml:space="preserve">epolanmasına </w:t>
            </w:r>
            <w:r w:rsidR="00452484">
              <w:rPr>
                <w:rFonts w:ascii="Times New Roman" w:hAnsi="Times New Roman"/>
              </w:rPr>
              <w:t>k</w:t>
            </w:r>
            <w:r w:rsidRPr="00575932">
              <w:rPr>
                <w:rFonts w:ascii="Times New Roman" w:hAnsi="Times New Roman"/>
              </w:rPr>
              <w:t xml:space="preserve">adar </w:t>
            </w:r>
            <w:r w:rsidR="00452484">
              <w:rPr>
                <w:rFonts w:ascii="Times New Roman" w:hAnsi="Times New Roman"/>
              </w:rPr>
              <w:t>k</w:t>
            </w:r>
            <w:r w:rsidRPr="00575932">
              <w:rPr>
                <w:rFonts w:ascii="Times New Roman" w:hAnsi="Times New Roman"/>
              </w:rPr>
              <w:t xml:space="preserve">ullanılan </w:t>
            </w:r>
            <w:r w:rsidR="00452484">
              <w:rPr>
                <w:rFonts w:ascii="Times New Roman" w:hAnsi="Times New Roman"/>
              </w:rPr>
              <w:t>t</w:t>
            </w:r>
            <w:r w:rsidRPr="00575932">
              <w:rPr>
                <w:rFonts w:ascii="Times New Roman" w:hAnsi="Times New Roman"/>
              </w:rPr>
              <w:t xml:space="preserve">üm </w:t>
            </w:r>
            <w:proofErr w:type="gramStart"/>
            <w:r w:rsidR="00452484">
              <w:rPr>
                <w:rFonts w:ascii="Times New Roman" w:hAnsi="Times New Roman"/>
              </w:rPr>
              <w:t>e</w:t>
            </w:r>
            <w:r w:rsidRPr="00575932">
              <w:rPr>
                <w:rFonts w:ascii="Times New Roman" w:hAnsi="Times New Roman"/>
              </w:rPr>
              <w:t>kipman</w:t>
            </w:r>
            <w:proofErr w:type="gramEnd"/>
            <w:r w:rsidRPr="00575932">
              <w:rPr>
                <w:rFonts w:ascii="Times New Roman" w:hAnsi="Times New Roman"/>
              </w:rPr>
              <w:t xml:space="preserve">, </w:t>
            </w:r>
            <w:r w:rsidR="00452484">
              <w:rPr>
                <w:rFonts w:ascii="Times New Roman" w:hAnsi="Times New Roman"/>
              </w:rPr>
              <w:t>m</w:t>
            </w:r>
            <w:r w:rsidRPr="00575932">
              <w:rPr>
                <w:rFonts w:ascii="Times New Roman" w:hAnsi="Times New Roman"/>
              </w:rPr>
              <w:t>akine v</w:t>
            </w:r>
            <w:r w:rsidR="00575932">
              <w:rPr>
                <w:rFonts w:ascii="Times New Roman" w:hAnsi="Times New Roman"/>
              </w:rPr>
              <w:t xml:space="preserve">e </w:t>
            </w:r>
            <w:r w:rsidR="00452484">
              <w:rPr>
                <w:rFonts w:ascii="Times New Roman" w:hAnsi="Times New Roman"/>
              </w:rPr>
              <w:t>t</w:t>
            </w:r>
            <w:r w:rsidR="00575932">
              <w:rPr>
                <w:rFonts w:ascii="Times New Roman" w:hAnsi="Times New Roman"/>
              </w:rPr>
              <w:t xml:space="preserve">eçhizatın </w:t>
            </w:r>
            <w:r w:rsidR="00452484">
              <w:rPr>
                <w:rFonts w:ascii="Times New Roman" w:hAnsi="Times New Roman"/>
              </w:rPr>
              <w:t>a</w:t>
            </w:r>
            <w:r w:rsidR="00575932">
              <w:rPr>
                <w:rFonts w:ascii="Times New Roman" w:hAnsi="Times New Roman"/>
              </w:rPr>
              <w:t xml:space="preserve">dı, </w:t>
            </w:r>
            <w:r w:rsidR="00452484">
              <w:rPr>
                <w:rFonts w:ascii="Times New Roman" w:hAnsi="Times New Roman"/>
              </w:rPr>
              <w:t>s</w:t>
            </w:r>
            <w:r w:rsidR="00575932">
              <w:rPr>
                <w:rFonts w:ascii="Times New Roman" w:hAnsi="Times New Roman"/>
              </w:rPr>
              <w:t>ayıları</w:t>
            </w:r>
            <w:r w:rsidRPr="00575932">
              <w:rPr>
                <w:rFonts w:ascii="Times New Roman" w:hAnsi="Times New Roman"/>
              </w:rPr>
              <w:t xml:space="preserve"> </w:t>
            </w:r>
            <w:r w:rsidR="00101E0C">
              <w:rPr>
                <w:rFonts w:ascii="Times New Roman" w:hAnsi="Times New Roman"/>
              </w:rPr>
              <w:t xml:space="preserve">ve </w:t>
            </w:r>
            <w:r w:rsidR="00452484">
              <w:rPr>
                <w:rFonts w:ascii="Times New Roman" w:hAnsi="Times New Roman"/>
              </w:rPr>
              <w:t>k</w:t>
            </w:r>
            <w:r w:rsidRPr="00575932">
              <w:rPr>
                <w:rFonts w:ascii="Times New Roman" w:hAnsi="Times New Roman"/>
              </w:rPr>
              <w:t>apasiteleri</w:t>
            </w:r>
          </w:p>
        </w:tc>
      </w:tr>
      <w:tr w:rsidR="00FF6DB2" w:rsidRPr="00575932" w14:paraId="485DDC59" w14:textId="77777777" w:rsidTr="00DF31BF">
        <w:tc>
          <w:tcPr>
            <w:tcW w:w="1838" w:type="dxa"/>
          </w:tcPr>
          <w:p w14:paraId="612C63DF" w14:textId="77777777" w:rsidR="00FF6DB2" w:rsidRPr="00575932" w:rsidRDefault="00FF6DB2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BÖLÜM 4</w:t>
            </w:r>
          </w:p>
        </w:tc>
        <w:tc>
          <w:tcPr>
            <w:tcW w:w="7796" w:type="dxa"/>
          </w:tcPr>
          <w:p w14:paraId="7F0044D7" w14:textId="77777777" w:rsidR="00FF6DB2" w:rsidRPr="00575932" w:rsidRDefault="008B50D2" w:rsidP="008B50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ATIK İŞLEME SÜRECİ BİLGİLERİ</w:t>
            </w:r>
          </w:p>
        </w:tc>
      </w:tr>
      <w:tr w:rsidR="00FF6DB2" w:rsidRPr="00575932" w14:paraId="37CBA9BC" w14:textId="77777777" w:rsidTr="00DF31BF">
        <w:tc>
          <w:tcPr>
            <w:tcW w:w="1838" w:type="dxa"/>
          </w:tcPr>
          <w:p w14:paraId="53DB2011" w14:textId="77777777" w:rsidR="00FF6DB2" w:rsidRPr="00575932" w:rsidRDefault="00FF6DB2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7796" w:type="dxa"/>
          </w:tcPr>
          <w:p w14:paraId="186A0EEF" w14:textId="1B8D238F" w:rsidR="00FF6DB2" w:rsidRPr="00575932" w:rsidRDefault="00FF6DB2" w:rsidP="00F5193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Tesiste İşlem Görecek</w:t>
            </w:r>
            <w:r w:rsidR="00635F2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5193F">
              <w:rPr>
                <w:rFonts w:ascii="Times New Roman" w:hAnsi="Times New Roman"/>
                <w:b/>
              </w:rPr>
              <w:t>AEEE’ler</w:t>
            </w:r>
            <w:proofErr w:type="spellEnd"/>
            <w:proofErr w:type="gramStart"/>
            <w:r w:rsidR="00F5193F">
              <w:rPr>
                <w:rFonts w:ascii="Times New Roman" w:hAnsi="Times New Roman"/>
                <w:b/>
              </w:rPr>
              <w:t>,</w:t>
            </w:r>
            <w:r w:rsidRPr="00575932">
              <w:rPr>
                <w:rFonts w:ascii="Times New Roman" w:hAnsi="Times New Roman"/>
                <w:b/>
              </w:rPr>
              <w:t>,</w:t>
            </w:r>
            <w:proofErr w:type="gramEnd"/>
            <w:r w:rsidRPr="00575932">
              <w:rPr>
                <w:rFonts w:ascii="Times New Roman" w:hAnsi="Times New Roman"/>
                <w:b/>
              </w:rPr>
              <w:t xml:space="preserve"> </w:t>
            </w:r>
            <w:r w:rsidR="00575932">
              <w:rPr>
                <w:rFonts w:ascii="Times New Roman" w:hAnsi="Times New Roman"/>
                <w:b/>
              </w:rPr>
              <w:t>Atık Kodları v</w:t>
            </w:r>
            <w:r w:rsidRPr="00575932">
              <w:rPr>
                <w:rFonts w:ascii="Times New Roman" w:hAnsi="Times New Roman"/>
                <w:b/>
              </w:rPr>
              <w:t xml:space="preserve">e </w:t>
            </w:r>
            <w:r w:rsidR="00E66110">
              <w:rPr>
                <w:rFonts w:ascii="Times New Roman" w:hAnsi="Times New Roman"/>
                <w:b/>
              </w:rPr>
              <w:t xml:space="preserve">Atık Kodu </w:t>
            </w:r>
            <w:r w:rsidR="00F5193F">
              <w:rPr>
                <w:rFonts w:ascii="Times New Roman" w:hAnsi="Times New Roman"/>
                <w:b/>
              </w:rPr>
              <w:t xml:space="preserve">Tanımları ile Elektrikli ve Elektronik </w:t>
            </w:r>
            <w:r w:rsidRPr="00575932">
              <w:rPr>
                <w:rFonts w:ascii="Times New Roman" w:hAnsi="Times New Roman"/>
                <w:b/>
              </w:rPr>
              <w:t>Eşya Kategorileri</w:t>
            </w:r>
            <w:r w:rsidR="00F5193F" w:rsidRPr="002E41B1">
              <w:rPr>
                <w:rFonts w:ascii="Times New Roman" w:hAnsi="Times New Roman"/>
                <w:b/>
                <w:vertAlign w:val="superscript"/>
              </w:rPr>
              <w:t>(1)</w:t>
            </w:r>
            <w:r w:rsidRPr="0057593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F6DB2" w:rsidRPr="00575932" w14:paraId="39CA3118" w14:textId="77777777" w:rsidTr="00DF31BF">
        <w:tc>
          <w:tcPr>
            <w:tcW w:w="1838" w:type="dxa"/>
          </w:tcPr>
          <w:p w14:paraId="1B3B7302" w14:textId="77777777" w:rsidR="00FF6DB2" w:rsidRPr="00575932" w:rsidRDefault="00FF6DB2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4.2</w:t>
            </w:r>
          </w:p>
          <w:p w14:paraId="52B7C1CF" w14:textId="77777777" w:rsidR="00FF6DB2" w:rsidRPr="00575932" w:rsidRDefault="00FF6DB2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</w:tcPr>
          <w:p w14:paraId="6E92F0DF" w14:textId="77777777" w:rsidR="00575932" w:rsidRDefault="00FF6DB2" w:rsidP="00F40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32">
              <w:rPr>
                <w:rFonts w:ascii="Times New Roman" w:hAnsi="Times New Roman"/>
                <w:b/>
              </w:rPr>
              <w:t>Prosesin Değerlendirilmesi</w:t>
            </w:r>
            <w:r w:rsidRPr="00575932">
              <w:rPr>
                <w:rFonts w:ascii="Times New Roman" w:hAnsi="Times New Roman"/>
              </w:rPr>
              <w:t xml:space="preserve"> </w:t>
            </w:r>
          </w:p>
          <w:p w14:paraId="162F9094" w14:textId="7A3F5584" w:rsidR="00FF6DB2" w:rsidRPr="00575932" w:rsidRDefault="00FF6DB2" w:rsidP="008676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932">
              <w:rPr>
                <w:rFonts w:ascii="Times New Roman" w:hAnsi="Times New Roman"/>
              </w:rPr>
              <w:t xml:space="preserve">Tesiste işlem görecek </w:t>
            </w:r>
            <w:proofErr w:type="spellStart"/>
            <w:proofErr w:type="gramStart"/>
            <w:r w:rsidR="00867639">
              <w:rPr>
                <w:rFonts w:ascii="Times New Roman" w:hAnsi="Times New Roman"/>
              </w:rPr>
              <w:t>AEEE’lere</w:t>
            </w:r>
            <w:proofErr w:type="spellEnd"/>
            <w:r w:rsidRPr="00575932">
              <w:rPr>
                <w:rFonts w:ascii="Times New Roman" w:hAnsi="Times New Roman"/>
              </w:rPr>
              <w:t xml:space="preserve"> </w:t>
            </w:r>
            <w:r w:rsidR="00867639">
              <w:rPr>
                <w:rFonts w:ascii="Times New Roman" w:hAnsi="Times New Roman"/>
              </w:rPr>
              <w:t xml:space="preserve"> uygulanacak</w:t>
            </w:r>
            <w:proofErr w:type="gramEnd"/>
            <w:r w:rsidRPr="00575932">
              <w:rPr>
                <w:rFonts w:ascii="Times New Roman" w:hAnsi="Times New Roman"/>
              </w:rPr>
              <w:t xml:space="preserve"> işlemler için ayrı ayrı proses akım şeması</w:t>
            </w:r>
            <w:r w:rsidR="00867639">
              <w:rPr>
                <w:rFonts w:ascii="Times New Roman" w:hAnsi="Times New Roman"/>
              </w:rPr>
              <w:t>,</w:t>
            </w:r>
            <w:r w:rsidRPr="00575932">
              <w:rPr>
                <w:rFonts w:ascii="Times New Roman" w:hAnsi="Times New Roman"/>
              </w:rPr>
              <w:t xml:space="preserve">  her bir proses ile ilgili ayrıntılı bilgi</w:t>
            </w:r>
            <w:r w:rsidR="00867639">
              <w:rPr>
                <w:rFonts w:ascii="Times New Roman" w:hAnsi="Times New Roman"/>
              </w:rPr>
              <w:t>ler  ile</w:t>
            </w:r>
            <w:r w:rsidRPr="00575932">
              <w:rPr>
                <w:rFonts w:ascii="Times New Roman" w:hAnsi="Times New Roman"/>
              </w:rPr>
              <w:t xml:space="preserve"> işleme (arındırma, söküm, parçalama, geri kazanım</w:t>
            </w:r>
            <w:r w:rsidR="00867639">
              <w:rPr>
                <w:rFonts w:ascii="Times New Roman" w:hAnsi="Times New Roman"/>
              </w:rPr>
              <w:t xml:space="preserve"> vb.</w:t>
            </w:r>
            <w:r w:rsidRPr="00575932">
              <w:rPr>
                <w:rFonts w:ascii="Times New Roman" w:hAnsi="Times New Roman"/>
              </w:rPr>
              <w:t>) yöntemlerinin ne şekilde gerçekleştirileceği ve kullanılacak ekipmanlar</w:t>
            </w:r>
            <w:r w:rsidR="00867639">
              <w:rPr>
                <w:rFonts w:ascii="Times New Roman" w:hAnsi="Times New Roman"/>
              </w:rPr>
              <w:t>a ilişkin bilgiler</w:t>
            </w:r>
          </w:p>
        </w:tc>
      </w:tr>
      <w:tr w:rsidR="00FF6DB2" w:rsidRPr="00575932" w14:paraId="31B4C594" w14:textId="77777777" w:rsidTr="00DF31BF">
        <w:tc>
          <w:tcPr>
            <w:tcW w:w="1838" w:type="dxa"/>
          </w:tcPr>
          <w:p w14:paraId="1CCA2975" w14:textId="77777777" w:rsidR="00FF6DB2" w:rsidRPr="00575932" w:rsidRDefault="00FF6DB2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4.3</w:t>
            </w:r>
          </w:p>
        </w:tc>
        <w:tc>
          <w:tcPr>
            <w:tcW w:w="7796" w:type="dxa"/>
          </w:tcPr>
          <w:p w14:paraId="12A528C6" w14:textId="6AC0AFF9" w:rsidR="00FF6DB2" w:rsidRPr="00575932" w:rsidRDefault="00FF6DB2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 xml:space="preserve">İşleme </w:t>
            </w:r>
            <w:r w:rsidR="00207CEE">
              <w:rPr>
                <w:rFonts w:ascii="Times New Roman" w:hAnsi="Times New Roman"/>
                <w:b/>
              </w:rPr>
              <w:t xml:space="preserve">Sürecinde Oluşacak Atıkların Yönetimi </w:t>
            </w:r>
          </w:p>
          <w:p w14:paraId="651A0167" w14:textId="26786F15" w:rsidR="00FF6DB2" w:rsidRPr="00575932" w:rsidRDefault="00B60757" w:rsidP="00DF31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İşleme sürecinde </w:t>
            </w:r>
            <w:r w:rsidR="00FF6DB2" w:rsidRPr="00575932">
              <w:rPr>
                <w:rFonts w:ascii="Times New Roman" w:hAnsi="Times New Roman"/>
              </w:rPr>
              <w:t>oluşacak atık miktarı</w:t>
            </w:r>
            <w:r>
              <w:rPr>
                <w:rFonts w:ascii="Times New Roman" w:hAnsi="Times New Roman"/>
              </w:rPr>
              <w:t xml:space="preserve"> (kg/yıl)</w:t>
            </w:r>
            <w:r w:rsidR="00FF6DB2" w:rsidRPr="0057593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atık kodu ve </w:t>
            </w:r>
            <w:r w:rsidR="00AC2819">
              <w:rPr>
                <w:rFonts w:ascii="Times New Roman" w:hAnsi="Times New Roman"/>
              </w:rPr>
              <w:t xml:space="preserve">atık kodu </w:t>
            </w:r>
            <w:r>
              <w:rPr>
                <w:rFonts w:ascii="Times New Roman" w:hAnsi="Times New Roman"/>
              </w:rPr>
              <w:t xml:space="preserve">tanımları ile </w:t>
            </w:r>
            <w:r w:rsidR="00FF6DB2" w:rsidRPr="00575932">
              <w:rPr>
                <w:rFonts w:ascii="Times New Roman" w:hAnsi="Times New Roman"/>
              </w:rPr>
              <w:t>atıkların gönderildiği/</w:t>
            </w:r>
            <w:r w:rsidR="00DF31BF">
              <w:rPr>
                <w:rFonts w:ascii="Times New Roman" w:hAnsi="Times New Roman"/>
              </w:rPr>
              <w:t>gönderileceği lisanslı tesisler</w:t>
            </w:r>
            <w:r>
              <w:rPr>
                <w:rFonts w:ascii="Times New Roman" w:hAnsi="Times New Roman"/>
              </w:rPr>
              <w:t xml:space="preserve"> hakkında bilgiler</w:t>
            </w:r>
          </w:p>
        </w:tc>
      </w:tr>
      <w:tr w:rsidR="0065417B" w:rsidRPr="00575932" w14:paraId="2D5A6542" w14:textId="77777777" w:rsidTr="00DF31BF">
        <w:tc>
          <w:tcPr>
            <w:tcW w:w="1838" w:type="dxa"/>
          </w:tcPr>
          <w:p w14:paraId="31DCA683" w14:textId="7583B24C" w:rsidR="0065417B" w:rsidRPr="00575932" w:rsidRDefault="0065417B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4.4</w:t>
            </w:r>
          </w:p>
        </w:tc>
        <w:tc>
          <w:tcPr>
            <w:tcW w:w="7796" w:type="dxa"/>
          </w:tcPr>
          <w:p w14:paraId="0490B2E7" w14:textId="77777777" w:rsidR="0065417B" w:rsidRDefault="0065417B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AEEE’lerin</w:t>
            </w:r>
            <w:proofErr w:type="spellEnd"/>
            <w:r>
              <w:rPr>
                <w:rFonts w:ascii="Times New Roman" w:hAnsi="Times New Roman"/>
                <w:b/>
              </w:rPr>
              <w:t xml:space="preserve"> İşlenmesi </w:t>
            </w:r>
          </w:p>
          <w:p w14:paraId="78ECBEA3" w14:textId="140CFDAD" w:rsidR="0065417B" w:rsidRPr="00575932" w:rsidRDefault="0065417B" w:rsidP="006541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Geçici Faaliyet Belgesi (GFB) alındığı tarihten itibaren tesise kabul edilen AEEE miktarı, atık kodu ve </w:t>
            </w:r>
            <w:r w:rsidR="00AC2819">
              <w:rPr>
                <w:rFonts w:ascii="Times New Roman" w:hAnsi="Times New Roman"/>
                <w:b/>
              </w:rPr>
              <w:t xml:space="preserve">atık kodu </w:t>
            </w:r>
            <w:r>
              <w:rPr>
                <w:rFonts w:ascii="Times New Roman" w:hAnsi="Times New Roman"/>
                <w:b/>
              </w:rPr>
              <w:t xml:space="preserve">tanımı, uygulanan yöntemin adı, geri dönüşüm sonrası oluşacak atık kodu ve miktarı hakkında bilgiler </w:t>
            </w:r>
          </w:p>
        </w:tc>
      </w:tr>
      <w:tr w:rsidR="001631A0" w:rsidRPr="00575932" w14:paraId="2DD28723" w14:textId="77777777" w:rsidTr="00DF31BF">
        <w:tc>
          <w:tcPr>
            <w:tcW w:w="1838" w:type="dxa"/>
          </w:tcPr>
          <w:p w14:paraId="3864D2C6" w14:textId="17A06264" w:rsidR="001631A0" w:rsidRDefault="001631A0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4.5</w:t>
            </w:r>
          </w:p>
        </w:tc>
        <w:tc>
          <w:tcPr>
            <w:tcW w:w="7796" w:type="dxa"/>
          </w:tcPr>
          <w:p w14:paraId="0EF6D192" w14:textId="64B9E75E" w:rsidR="001631A0" w:rsidRDefault="001631A0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İşleme Sonrası Elde Edilen Malzeme Türleri, Yıllık Miktarları (kg/yıl) ve Bu Malzemelerin Ne Şekilde Değerlendirileceğine İlişkin Bilgiler</w:t>
            </w:r>
          </w:p>
        </w:tc>
      </w:tr>
      <w:tr w:rsidR="00FF6DB2" w:rsidRPr="00575932" w14:paraId="7398FFB8" w14:textId="77777777" w:rsidTr="00DF31BF">
        <w:tc>
          <w:tcPr>
            <w:tcW w:w="1838" w:type="dxa"/>
          </w:tcPr>
          <w:p w14:paraId="7F0C8D96" w14:textId="77777777" w:rsidR="00FF6DB2" w:rsidRPr="00575932" w:rsidRDefault="00FF6DB2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BÖLÜM 5</w:t>
            </w:r>
          </w:p>
        </w:tc>
        <w:tc>
          <w:tcPr>
            <w:tcW w:w="7796" w:type="dxa"/>
          </w:tcPr>
          <w:p w14:paraId="1FA0B6FE" w14:textId="77777777" w:rsidR="00FF6DB2" w:rsidRPr="00575932" w:rsidRDefault="00FF6DB2" w:rsidP="00D01F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SONUÇLAR</w:t>
            </w:r>
            <w:r w:rsidR="00E25362">
              <w:rPr>
                <w:rFonts w:ascii="Times New Roman" w:hAnsi="Times New Roman"/>
                <w:b/>
              </w:rPr>
              <w:t xml:space="preserve"> VE EKLER</w:t>
            </w:r>
          </w:p>
        </w:tc>
      </w:tr>
      <w:tr w:rsidR="00FF6DB2" w:rsidRPr="00575932" w14:paraId="410AB533" w14:textId="77777777" w:rsidTr="00DF31BF">
        <w:tc>
          <w:tcPr>
            <w:tcW w:w="1838" w:type="dxa"/>
          </w:tcPr>
          <w:p w14:paraId="4F9720B1" w14:textId="77777777" w:rsidR="00FF6DB2" w:rsidRPr="00575932" w:rsidRDefault="00FF6DB2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5.1</w:t>
            </w:r>
          </w:p>
        </w:tc>
        <w:tc>
          <w:tcPr>
            <w:tcW w:w="7796" w:type="dxa"/>
          </w:tcPr>
          <w:p w14:paraId="73CE0109" w14:textId="77777777" w:rsidR="00FF6DB2" w:rsidRPr="00575932" w:rsidRDefault="00FF6DB2" w:rsidP="00D01F4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Tesis ve Faaliyet İle İlgili Genel Değerlendirme</w:t>
            </w:r>
          </w:p>
        </w:tc>
      </w:tr>
      <w:tr w:rsidR="00FF6DB2" w:rsidRPr="00575932" w14:paraId="3027D44D" w14:textId="77777777" w:rsidTr="00DF31BF">
        <w:tc>
          <w:tcPr>
            <w:tcW w:w="1838" w:type="dxa"/>
          </w:tcPr>
          <w:p w14:paraId="52D633FA" w14:textId="77777777" w:rsidR="00FF6DB2" w:rsidRPr="00575932" w:rsidRDefault="00DF31BF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5.2</w:t>
            </w:r>
          </w:p>
        </w:tc>
        <w:tc>
          <w:tcPr>
            <w:tcW w:w="7796" w:type="dxa"/>
          </w:tcPr>
          <w:p w14:paraId="7E94DE79" w14:textId="77777777" w:rsidR="00FF6DB2" w:rsidRPr="00575932" w:rsidRDefault="00FF6DB2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Geri Kazanım/Bertaraf Tesisleri Sözleşmeleri</w:t>
            </w:r>
          </w:p>
        </w:tc>
      </w:tr>
      <w:tr w:rsidR="00CF212E" w:rsidRPr="00575932" w14:paraId="38E91C21" w14:textId="77777777" w:rsidTr="00DF31BF">
        <w:tc>
          <w:tcPr>
            <w:tcW w:w="1838" w:type="dxa"/>
          </w:tcPr>
          <w:p w14:paraId="268BEA4E" w14:textId="1ED07486" w:rsidR="00CF212E" w:rsidRDefault="00B234F7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5.3</w:t>
            </w:r>
          </w:p>
        </w:tc>
        <w:tc>
          <w:tcPr>
            <w:tcW w:w="7796" w:type="dxa"/>
          </w:tcPr>
          <w:p w14:paraId="60A8704D" w14:textId="00573996" w:rsidR="00CF212E" w:rsidRPr="00575932" w:rsidRDefault="00B234F7" w:rsidP="00AC2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Tesis Üniteleri ile</w:t>
            </w:r>
            <w:r w:rsidR="00AC2819">
              <w:rPr>
                <w:rFonts w:ascii="Times New Roman" w:hAnsi="Times New Roman"/>
                <w:b/>
              </w:rPr>
              <w:t xml:space="preserve"> Makine-</w:t>
            </w:r>
            <w:r>
              <w:rPr>
                <w:rFonts w:ascii="Times New Roman" w:hAnsi="Times New Roman"/>
                <w:b/>
              </w:rPr>
              <w:t>Ekipmanlarının Fotoğrafları</w:t>
            </w:r>
          </w:p>
        </w:tc>
      </w:tr>
      <w:tr w:rsidR="00CF212E" w:rsidRPr="00575932" w14:paraId="63670F2E" w14:textId="77777777" w:rsidTr="00DF31BF">
        <w:tc>
          <w:tcPr>
            <w:tcW w:w="1838" w:type="dxa"/>
          </w:tcPr>
          <w:p w14:paraId="0CBBE52C" w14:textId="56D3D9C7" w:rsidR="00CF212E" w:rsidRDefault="00B234F7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5.4</w:t>
            </w:r>
          </w:p>
        </w:tc>
        <w:tc>
          <w:tcPr>
            <w:tcW w:w="7796" w:type="dxa"/>
          </w:tcPr>
          <w:p w14:paraId="1F538D79" w14:textId="77C4D846" w:rsidR="00CF212E" w:rsidRPr="008F434F" w:rsidRDefault="008F434F" w:rsidP="008F43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F434F">
              <w:rPr>
                <w:rFonts w:ascii="Times New Roman" w:hAnsi="Times New Roman"/>
                <w:b/>
              </w:rPr>
              <w:t>Tesis Ünitelerinin Gösterildiği Vaziyet Planı</w:t>
            </w:r>
          </w:p>
        </w:tc>
      </w:tr>
      <w:tr w:rsidR="00FF6DB2" w:rsidRPr="00575932" w14:paraId="45B05724" w14:textId="77777777" w:rsidTr="00DF31BF">
        <w:tc>
          <w:tcPr>
            <w:tcW w:w="1838" w:type="dxa"/>
          </w:tcPr>
          <w:p w14:paraId="030849B2" w14:textId="754A3A0A" w:rsidR="00FF6DB2" w:rsidRPr="00575932" w:rsidRDefault="00DF31BF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  <w:r w:rsidR="009F24B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796" w:type="dxa"/>
          </w:tcPr>
          <w:p w14:paraId="6FFFDC39" w14:textId="77777777" w:rsidR="00FF6DB2" w:rsidRPr="00575932" w:rsidRDefault="00FF6DB2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5932">
              <w:rPr>
                <w:rFonts w:ascii="Times New Roman" w:hAnsi="Times New Roman"/>
                <w:b/>
              </w:rPr>
              <w:t>Radyoaktif Ölçüm Cihazı Kullanan Personele Ait Radyoaktif Ölçüm Belgesi ve Tesiste İstihdamını Gösteren Belge</w:t>
            </w:r>
          </w:p>
        </w:tc>
      </w:tr>
      <w:tr w:rsidR="00E159E3" w:rsidRPr="00575932" w14:paraId="459CBC9D" w14:textId="77777777" w:rsidTr="00DF31BF">
        <w:tc>
          <w:tcPr>
            <w:tcW w:w="1838" w:type="dxa"/>
          </w:tcPr>
          <w:p w14:paraId="190BE828" w14:textId="3BA1816D" w:rsidR="00E159E3" w:rsidRDefault="00E159E3" w:rsidP="00DF31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  <w:r w:rsidR="009F24B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796" w:type="dxa"/>
          </w:tcPr>
          <w:p w14:paraId="49C414AC" w14:textId="235DA860" w:rsidR="00DE0103" w:rsidRDefault="00E159E3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59E3">
              <w:rPr>
                <w:rFonts w:ascii="Times New Roman" w:hAnsi="Times New Roman"/>
                <w:b/>
              </w:rPr>
              <w:t xml:space="preserve">Tesis </w:t>
            </w:r>
            <w:r w:rsidR="00DE0103">
              <w:rPr>
                <w:rFonts w:ascii="Times New Roman" w:hAnsi="Times New Roman"/>
                <w:b/>
              </w:rPr>
              <w:t>K</w:t>
            </w:r>
            <w:r w:rsidRPr="00E159E3">
              <w:rPr>
                <w:rFonts w:ascii="Times New Roman" w:hAnsi="Times New Roman"/>
                <w:b/>
              </w:rPr>
              <w:t xml:space="preserve">apatma </w:t>
            </w:r>
            <w:r w:rsidR="00DE0103">
              <w:rPr>
                <w:rFonts w:ascii="Times New Roman" w:hAnsi="Times New Roman"/>
                <w:b/>
              </w:rPr>
              <w:t>İ</w:t>
            </w:r>
            <w:r w:rsidRPr="00E159E3">
              <w:rPr>
                <w:rFonts w:ascii="Times New Roman" w:hAnsi="Times New Roman"/>
                <w:b/>
              </w:rPr>
              <w:t xml:space="preserve">şlemleri </w:t>
            </w:r>
          </w:p>
          <w:p w14:paraId="78D60578" w14:textId="4685C451" w:rsidR="00E159E3" w:rsidRPr="00E159E3" w:rsidRDefault="00E159E3" w:rsidP="00182A3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E159E3">
              <w:rPr>
                <w:rFonts w:ascii="Times New Roman" w:hAnsi="Times New Roman"/>
              </w:rPr>
              <w:lastRenderedPageBreak/>
              <w:t>Tesisin kapatılmasına karar verildiğinde Atık Yönetimi Yönetmeliğinin 10</w:t>
            </w:r>
            <w:r w:rsidR="0064136E">
              <w:rPr>
                <w:rFonts w:ascii="Times New Roman" w:hAnsi="Times New Roman"/>
              </w:rPr>
              <w:t xml:space="preserve"> </w:t>
            </w:r>
            <w:r w:rsidRPr="00E159E3">
              <w:rPr>
                <w:rFonts w:ascii="Times New Roman" w:hAnsi="Times New Roman"/>
              </w:rPr>
              <w:t xml:space="preserve">uncu maddesinin birinci fıkrasının (h) bendi </w:t>
            </w:r>
            <w:r w:rsidR="00B47D67">
              <w:rPr>
                <w:rFonts w:ascii="Times New Roman" w:hAnsi="Times New Roman"/>
              </w:rPr>
              <w:t xml:space="preserve">ile Atık Ön İşlem ve Geri Kazanım Tesislerinin Genel Esaslarına İlişkin Yönetmeliğin 12 </w:t>
            </w:r>
            <w:proofErr w:type="spellStart"/>
            <w:r w:rsidR="00B47D67">
              <w:rPr>
                <w:rFonts w:ascii="Times New Roman" w:hAnsi="Times New Roman"/>
              </w:rPr>
              <w:t>nci</w:t>
            </w:r>
            <w:proofErr w:type="spellEnd"/>
            <w:r w:rsidR="00B47D67">
              <w:rPr>
                <w:rFonts w:ascii="Times New Roman" w:hAnsi="Times New Roman"/>
              </w:rPr>
              <w:t xml:space="preserve"> maddesi</w:t>
            </w:r>
            <w:r w:rsidR="00EC40FB">
              <w:rPr>
                <w:rFonts w:ascii="Times New Roman" w:hAnsi="Times New Roman"/>
              </w:rPr>
              <w:t>nin birinci fıkrasının (h) bendi</w:t>
            </w:r>
            <w:r w:rsidR="00B47D67">
              <w:rPr>
                <w:rFonts w:ascii="Times New Roman" w:hAnsi="Times New Roman"/>
              </w:rPr>
              <w:t xml:space="preserve"> </w:t>
            </w:r>
            <w:r w:rsidRPr="00E159E3">
              <w:rPr>
                <w:rFonts w:ascii="Times New Roman" w:hAnsi="Times New Roman"/>
              </w:rPr>
              <w:t>uyarınca kapatma planı sunulacağına ve mevzuat hükümleri doğrultusunda kapatma işlemlerinin gerçekleştirileceğine dair taahhütname eklenerek genel olarak yapılacak işlemlere yer verilmelidir.</w:t>
            </w:r>
            <w:proofErr w:type="gramEnd"/>
          </w:p>
        </w:tc>
      </w:tr>
    </w:tbl>
    <w:p w14:paraId="28FC9BCB" w14:textId="4FEFDAF7" w:rsidR="000A0FE5" w:rsidRDefault="000A0FE5">
      <w:pPr>
        <w:rPr>
          <w:rFonts w:ascii="Times New Roman" w:hAnsi="Times New Roman"/>
          <w:sz w:val="20"/>
          <w:szCs w:val="20"/>
        </w:rPr>
      </w:pPr>
      <w:r w:rsidRPr="00E159E3">
        <w:rPr>
          <w:rFonts w:ascii="Times New Roman" w:hAnsi="Times New Roman"/>
          <w:sz w:val="20"/>
          <w:szCs w:val="20"/>
        </w:rPr>
        <w:lastRenderedPageBreak/>
        <w:t xml:space="preserve">Not: Teknik Uygunluk Raporu’nun her bir sayfasının </w:t>
      </w:r>
      <w:r w:rsidR="00E25362" w:rsidRPr="00E159E3">
        <w:rPr>
          <w:rFonts w:ascii="Times New Roman" w:hAnsi="Times New Roman"/>
          <w:sz w:val="20"/>
          <w:szCs w:val="20"/>
        </w:rPr>
        <w:t xml:space="preserve">işletme kaşesi ile birlikte </w:t>
      </w:r>
      <w:r w:rsidRPr="00E159E3">
        <w:rPr>
          <w:rFonts w:ascii="Times New Roman" w:hAnsi="Times New Roman"/>
          <w:sz w:val="20"/>
          <w:szCs w:val="20"/>
        </w:rPr>
        <w:t>hazırlayan kişi</w:t>
      </w:r>
      <w:r w:rsidR="00E25362" w:rsidRPr="00E159E3">
        <w:rPr>
          <w:rFonts w:ascii="Times New Roman" w:hAnsi="Times New Roman"/>
          <w:sz w:val="20"/>
          <w:szCs w:val="20"/>
        </w:rPr>
        <w:t>/</w:t>
      </w:r>
      <w:r w:rsidR="0061399D" w:rsidRPr="00E159E3">
        <w:rPr>
          <w:rFonts w:ascii="Times New Roman" w:hAnsi="Times New Roman"/>
          <w:sz w:val="20"/>
          <w:szCs w:val="20"/>
        </w:rPr>
        <w:t xml:space="preserve">kurum/ </w:t>
      </w:r>
      <w:r w:rsidR="00E25362" w:rsidRPr="00E159E3">
        <w:rPr>
          <w:rFonts w:ascii="Times New Roman" w:hAnsi="Times New Roman"/>
          <w:sz w:val="20"/>
          <w:szCs w:val="20"/>
        </w:rPr>
        <w:t>kuruluş</w:t>
      </w:r>
      <w:r w:rsidRPr="00E159E3">
        <w:rPr>
          <w:rFonts w:ascii="Times New Roman" w:hAnsi="Times New Roman"/>
          <w:sz w:val="20"/>
          <w:szCs w:val="20"/>
        </w:rPr>
        <w:t xml:space="preserve"> tarafından paraflanması gerekmektedir.</w:t>
      </w:r>
    </w:p>
    <w:p w14:paraId="3FB016D6" w14:textId="055BC21A" w:rsidR="006932AB" w:rsidRPr="00955358" w:rsidRDefault="006932AB">
      <w:pPr>
        <w:rPr>
          <w:rFonts w:ascii="Times New Roman" w:hAnsi="Times New Roman"/>
          <w:b/>
          <w:sz w:val="18"/>
          <w:szCs w:val="18"/>
        </w:rPr>
      </w:pPr>
      <w:r w:rsidRPr="00955358">
        <w:rPr>
          <w:rFonts w:ascii="Times New Roman" w:hAnsi="Times New Roman"/>
          <w:b/>
          <w:sz w:val="18"/>
          <w:szCs w:val="18"/>
        </w:rPr>
        <w:t>Dipnot</w:t>
      </w:r>
      <w:r w:rsidR="00955358" w:rsidRPr="00955358">
        <w:rPr>
          <w:rFonts w:ascii="Times New Roman" w:hAnsi="Times New Roman"/>
          <w:b/>
          <w:sz w:val="18"/>
          <w:szCs w:val="18"/>
        </w:rPr>
        <w:t>lar</w:t>
      </w:r>
      <w:r w:rsidRPr="00955358">
        <w:rPr>
          <w:rFonts w:ascii="Times New Roman" w:hAnsi="Times New Roman"/>
          <w:b/>
          <w:sz w:val="18"/>
          <w:szCs w:val="18"/>
        </w:rPr>
        <w:t>:</w:t>
      </w:r>
    </w:p>
    <w:p w14:paraId="7F66D11F" w14:textId="1F71388D" w:rsidR="006932AB" w:rsidRDefault="00DC0961" w:rsidP="006932AB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vertAlign w:val="superscript"/>
        </w:rPr>
        <w:t>1</w:t>
      </w:r>
      <w:r>
        <w:rPr>
          <w:rFonts w:ascii="Times New Roman" w:hAnsi="Times New Roman"/>
          <w:b/>
          <w:sz w:val="18"/>
          <w:szCs w:val="18"/>
        </w:rPr>
        <w:t xml:space="preserve">: </w:t>
      </w:r>
      <w:r w:rsidR="006932AB">
        <w:rPr>
          <w:rFonts w:ascii="Times New Roman" w:hAnsi="Times New Roman"/>
          <w:b/>
          <w:sz w:val="18"/>
          <w:szCs w:val="18"/>
        </w:rPr>
        <w:t xml:space="preserve">AEEE işleme tesisleri, tesise kabul edecekleri </w:t>
      </w:r>
      <w:proofErr w:type="spellStart"/>
      <w:r w:rsidR="006932AB">
        <w:rPr>
          <w:rFonts w:ascii="Times New Roman" w:hAnsi="Times New Roman"/>
          <w:b/>
          <w:sz w:val="18"/>
          <w:szCs w:val="18"/>
        </w:rPr>
        <w:t>AEEE’leri</w:t>
      </w:r>
      <w:proofErr w:type="spellEnd"/>
      <w:r w:rsidR="006932AB">
        <w:rPr>
          <w:rFonts w:ascii="Times New Roman" w:hAnsi="Times New Roman"/>
          <w:b/>
          <w:sz w:val="18"/>
          <w:szCs w:val="18"/>
        </w:rPr>
        <w:t xml:space="preserve">; 1/1/2024 tarihine kadar Atık Elektrikli ve Elektronik Eşyaların Yönetimi Hakkında Yönetmeliğin Ek-1/A’sında yer alan kategorilere göre, 1/1/2024 tarihinden itibaren ise anılan Yönetmeliğin Ek-2/A’sında yer alan kategorilere göre sınıflandırmalıdır. </w:t>
      </w:r>
    </w:p>
    <w:p w14:paraId="0A1B7BB8" w14:textId="7DD7B6DA" w:rsidR="003A79D1" w:rsidRPr="006932AB" w:rsidRDefault="003A79D1" w:rsidP="006932AB">
      <w:pPr>
        <w:rPr>
          <w:vertAlign w:val="superscript"/>
        </w:rPr>
      </w:pPr>
    </w:p>
    <w:sectPr w:rsidR="003A79D1" w:rsidRPr="006932AB" w:rsidSect="00E159E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997"/>
    <w:multiLevelType w:val="hybridMultilevel"/>
    <w:tmpl w:val="F9A00688"/>
    <w:lvl w:ilvl="0" w:tplc="EEF849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E1A47"/>
    <w:multiLevelType w:val="hybridMultilevel"/>
    <w:tmpl w:val="B22CD92A"/>
    <w:lvl w:ilvl="0" w:tplc="F266C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F2"/>
    <w:rsid w:val="00016984"/>
    <w:rsid w:val="0004058F"/>
    <w:rsid w:val="0005003B"/>
    <w:rsid w:val="000573CE"/>
    <w:rsid w:val="0005785C"/>
    <w:rsid w:val="000632C7"/>
    <w:rsid w:val="00081995"/>
    <w:rsid w:val="00096E1A"/>
    <w:rsid w:val="000A0FE5"/>
    <w:rsid w:val="000A4EB2"/>
    <w:rsid w:val="000B5A36"/>
    <w:rsid w:val="000F4DAD"/>
    <w:rsid w:val="00101E0C"/>
    <w:rsid w:val="001631A0"/>
    <w:rsid w:val="001631F8"/>
    <w:rsid w:val="00177D9C"/>
    <w:rsid w:val="001804F8"/>
    <w:rsid w:val="00182A38"/>
    <w:rsid w:val="0018590E"/>
    <w:rsid w:val="001A136E"/>
    <w:rsid w:val="001B74EA"/>
    <w:rsid w:val="001C2E76"/>
    <w:rsid w:val="001C71C7"/>
    <w:rsid w:val="001D04EC"/>
    <w:rsid w:val="001D4C86"/>
    <w:rsid w:val="001D689F"/>
    <w:rsid w:val="001F076E"/>
    <w:rsid w:val="00206A77"/>
    <w:rsid w:val="00207CEE"/>
    <w:rsid w:val="002422B2"/>
    <w:rsid w:val="00245F97"/>
    <w:rsid w:val="00250ED0"/>
    <w:rsid w:val="0025407A"/>
    <w:rsid w:val="0026487B"/>
    <w:rsid w:val="002C2061"/>
    <w:rsid w:val="002E41B1"/>
    <w:rsid w:val="002E46A7"/>
    <w:rsid w:val="003159D7"/>
    <w:rsid w:val="00325E0E"/>
    <w:rsid w:val="00333119"/>
    <w:rsid w:val="0033354C"/>
    <w:rsid w:val="00335AC9"/>
    <w:rsid w:val="00342296"/>
    <w:rsid w:val="003447B0"/>
    <w:rsid w:val="0036771B"/>
    <w:rsid w:val="00372C79"/>
    <w:rsid w:val="00373A18"/>
    <w:rsid w:val="00394C55"/>
    <w:rsid w:val="00396C52"/>
    <w:rsid w:val="003A1EBA"/>
    <w:rsid w:val="003A79D1"/>
    <w:rsid w:val="003B72AE"/>
    <w:rsid w:val="003C1EB1"/>
    <w:rsid w:val="003F5452"/>
    <w:rsid w:val="003F5E8E"/>
    <w:rsid w:val="00425722"/>
    <w:rsid w:val="00434FF1"/>
    <w:rsid w:val="00441358"/>
    <w:rsid w:val="00452484"/>
    <w:rsid w:val="0049079D"/>
    <w:rsid w:val="00493670"/>
    <w:rsid w:val="004A2CBD"/>
    <w:rsid w:val="004E326C"/>
    <w:rsid w:val="00553157"/>
    <w:rsid w:val="0056494F"/>
    <w:rsid w:val="00565929"/>
    <w:rsid w:val="00574019"/>
    <w:rsid w:val="00575932"/>
    <w:rsid w:val="00592A45"/>
    <w:rsid w:val="0059501C"/>
    <w:rsid w:val="005A705C"/>
    <w:rsid w:val="005B69CC"/>
    <w:rsid w:val="005D1688"/>
    <w:rsid w:val="005E4D17"/>
    <w:rsid w:val="00600092"/>
    <w:rsid w:val="0061399D"/>
    <w:rsid w:val="00623CEC"/>
    <w:rsid w:val="0062617F"/>
    <w:rsid w:val="00635F26"/>
    <w:rsid w:val="0064136E"/>
    <w:rsid w:val="006535B3"/>
    <w:rsid w:val="0065417B"/>
    <w:rsid w:val="00656E83"/>
    <w:rsid w:val="006578FF"/>
    <w:rsid w:val="0066116D"/>
    <w:rsid w:val="00663D86"/>
    <w:rsid w:val="00670F81"/>
    <w:rsid w:val="00691C92"/>
    <w:rsid w:val="006932AB"/>
    <w:rsid w:val="006B589E"/>
    <w:rsid w:val="006C2B55"/>
    <w:rsid w:val="006D4D83"/>
    <w:rsid w:val="006E0C0D"/>
    <w:rsid w:val="006E567A"/>
    <w:rsid w:val="007053B7"/>
    <w:rsid w:val="0070756E"/>
    <w:rsid w:val="00732E79"/>
    <w:rsid w:val="00734FE7"/>
    <w:rsid w:val="00773D24"/>
    <w:rsid w:val="00777090"/>
    <w:rsid w:val="00794693"/>
    <w:rsid w:val="007A40C9"/>
    <w:rsid w:val="007D7349"/>
    <w:rsid w:val="007D7CB6"/>
    <w:rsid w:val="007E3D87"/>
    <w:rsid w:val="00812FB6"/>
    <w:rsid w:val="00815BF6"/>
    <w:rsid w:val="00847FC0"/>
    <w:rsid w:val="008638A8"/>
    <w:rsid w:val="008645E3"/>
    <w:rsid w:val="00867639"/>
    <w:rsid w:val="0087529F"/>
    <w:rsid w:val="00896506"/>
    <w:rsid w:val="008A3341"/>
    <w:rsid w:val="008B2BA0"/>
    <w:rsid w:val="008B2D97"/>
    <w:rsid w:val="008B50D2"/>
    <w:rsid w:val="008C2CF3"/>
    <w:rsid w:val="008E1238"/>
    <w:rsid w:val="008F1C53"/>
    <w:rsid w:val="008F434F"/>
    <w:rsid w:val="00932BCA"/>
    <w:rsid w:val="009418D7"/>
    <w:rsid w:val="00955358"/>
    <w:rsid w:val="009B01E3"/>
    <w:rsid w:val="009C65BA"/>
    <w:rsid w:val="009D016E"/>
    <w:rsid w:val="009D62E6"/>
    <w:rsid w:val="009E2337"/>
    <w:rsid w:val="009F24B4"/>
    <w:rsid w:val="009F6D02"/>
    <w:rsid w:val="00A01830"/>
    <w:rsid w:val="00A11E36"/>
    <w:rsid w:val="00A12BB8"/>
    <w:rsid w:val="00A133AC"/>
    <w:rsid w:val="00A42635"/>
    <w:rsid w:val="00A43C6C"/>
    <w:rsid w:val="00A57AC3"/>
    <w:rsid w:val="00A65460"/>
    <w:rsid w:val="00A71507"/>
    <w:rsid w:val="00A862F5"/>
    <w:rsid w:val="00AA428E"/>
    <w:rsid w:val="00AC02CC"/>
    <w:rsid w:val="00AC205F"/>
    <w:rsid w:val="00AC2819"/>
    <w:rsid w:val="00AD293E"/>
    <w:rsid w:val="00AE3C46"/>
    <w:rsid w:val="00AF3358"/>
    <w:rsid w:val="00B04F6A"/>
    <w:rsid w:val="00B05EA4"/>
    <w:rsid w:val="00B2197F"/>
    <w:rsid w:val="00B234F7"/>
    <w:rsid w:val="00B238CD"/>
    <w:rsid w:val="00B30D7C"/>
    <w:rsid w:val="00B47D67"/>
    <w:rsid w:val="00B60757"/>
    <w:rsid w:val="00B73932"/>
    <w:rsid w:val="00B9233D"/>
    <w:rsid w:val="00BA3450"/>
    <w:rsid w:val="00BE2B1D"/>
    <w:rsid w:val="00C12D63"/>
    <w:rsid w:val="00C44274"/>
    <w:rsid w:val="00C54932"/>
    <w:rsid w:val="00C5511B"/>
    <w:rsid w:val="00C63042"/>
    <w:rsid w:val="00C706D4"/>
    <w:rsid w:val="00C7327B"/>
    <w:rsid w:val="00CB45AC"/>
    <w:rsid w:val="00CC3420"/>
    <w:rsid w:val="00CC38FC"/>
    <w:rsid w:val="00CD4D05"/>
    <w:rsid w:val="00CF212E"/>
    <w:rsid w:val="00D169C9"/>
    <w:rsid w:val="00D250FA"/>
    <w:rsid w:val="00D37DE7"/>
    <w:rsid w:val="00D42C20"/>
    <w:rsid w:val="00D665E2"/>
    <w:rsid w:val="00D77EF0"/>
    <w:rsid w:val="00D94031"/>
    <w:rsid w:val="00D958E8"/>
    <w:rsid w:val="00DC0961"/>
    <w:rsid w:val="00DD083A"/>
    <w:rsid w:val="00DD68D6"/>
    <w:rsid w:val="00DE0103"/>
    <w:rsid w:val="00DF31BF"/>
    <w:rsid w:val="00E159E3"/>
    <w:rsid w:val="00E25362"/>
    <w:rsid w:val="00E3520B"/>
    <w:rsid w:val="00E66110"/>
    <w:rsid w:val="00E72B98"/>
    <w:rsid w:val="00EC385E"/>
    <w:rsid w:val="00EC40FB"/>
    <w:rsid w:val="00EC778F"/>
    <w:rsid w:val="00EC7BBF"/>
    <w:rsid w:val="00ED0E62"/>
    <w:rsid w:val="00ED635A"/>
    <w:rsid w:val="00F35A06"/>
    <w:rsid w:val="00F40107"/>
    <w:rsid w:val="00F42F68"/>
    <w:rsid w:val="00F507BB"/>
    <w:rsid w:val="00F5193F"/>
    <w:rsid w:val="00F567B3"/>
    <w:rsid w:val="00F57B49"/>
    <w:rsid w:val="00FA57F8"/>
    <w:rsid w:val="00FA7867"/>
    <w:rsid w:val="00FB33F2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7171C"/>
  <w15:docId w15:val="{6D940364-36BF-4196-8A6D-3B35D1C6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2C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4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4936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17B42"/>
    <w:rPr>
      <w:rFonts w:ascii="Times New Roman" w:hAnsi="Times New Roman"/>
      <w:sz w:val="0"/>
      <w:szCs w:val="0"/>
      <w:lang w:eastAsia="en-US"/>
    </w:rPr>
  </w:style>
  <w:style w:type="paragraph" w:styleId="ListeParagraf">
    <w:name w:val="List Paragraph"/>
    <w:basedOn w:val="Normal"/>
    <w:uiPriority w:val="99"/>
    <w:qFormat/>
    <w:rsid w:val="0066116D"/>
    <w:pPr>
      <w:ind w:left="720"/>
      <w:contextualSpacing/>
    </w:pPr>
    <w:rPr>
      <w:rFonts w:eastAsia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663D8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63D8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63D86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63D8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63D86"/>
    <w:rPr>
      <w:b/>
      <w:bCs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663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Orman Bakanlıgı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ykaraca</dc:creator>
  <cp:lastModifiedBy>Hasan Seçgin</cp:lastModifiedBy>
  <cp:revision>2</cp:revision>
  <cp:lastPrinted>2011-09-13T12:43:00Z</cp:lastPrinted>
  <dcterms:created xsi:type="dcterms:W3CDTF">2023-02-15T13:06:00Z</dcterms:created>
  <dcterms:modified xsi:type="dcterms:W3CDTF">2023-02-15T13:06:00Z</dcterms:modified>
</cp:coreProperties>
</file>