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D1" w:rsidRDefault="00DF6DA7" w:rsidP="00392CEA">
      <w:pPr>
        <w:spacing w:after="0"/>
        <w:jc w:val="center"/>
        <w:rPr>
          <w:b/>
        </w:rPr>
      </w:pPr>
      <w:r>
        <w:rPr>
          <w:b/>
        </w:rPr>
        <w:t xml:space="preserve">T.C </w:t>
      </w:r>
    </w:p>
    <w:p w:rsidR="00392CEA" w:rsidRPr="00392CEA" w:rsidRDefault="006850D1" w:rsidP="00392CEA">
      <w:pPr>
        <w:spacing w:after="0"/>
        <w:jc w:val="center"/>
        <w:rPr>
          <w:b/>
        </w:rPr>
      </w:pPr>
      <w:r>
        <w:rPr>
          <w:b/>
        </w:rPr>
        <w:t>ORTA KAYMAKAMLIĞI</w:t>
      </w:r>
    </w:p>
    <w:p w:rsidR="00392CEA" w:rsidRPr="00392CEA" w:rsidRDefault="006850D1" w:rsidP="00392CEA">
      <w:pPr>
        <w:spacing w:after="0"/>
        <w:jc w:val="center"/>
        <w:rPr>
          <w:b/>
        </w:rPr>
      </w:pPr>
      <w:r>
        <w:rPr>
          <w:b/>
        </w:rPr>
        <w:t>MİLLİ EMLAK ŞEFLİĞİ</w:t>
      </w:r>
    </w:p>
    <w:p w:rsidR="00392CEA" w:rsidRDefault="00392CEA" w:rsidP="00781005">
      <w:pPr>
        <w:spacing w:after="0"/>
      </w:pPr>
    </w:p>
    <w:tbl>
      <w:tblPr>
        <w:tblStyle w:val="TabloKlavuzu"/>
        <w:tblpPr w:leftFromText="141" w:rightFromText="141" w:vertAnchor="page" w:horzAnchor="margin" w:tblpY="1906"/>
        <w:tblW w:w="0" w:type="auto"/>
        <w:tblLook w:val="04A0" w:firstRow="1" w:lastRow="0" w:firstColumn="1" w:lastColumn="0" w:noHBand="0" w:noVBand="1"/>
      </w:tblPr>
      <w:tblGrid>
        <w:gridCol w:w="636"/>
        <w:gridCol w:w="1769"/>
        <w:gridCol w:w="1276"/>
        <w:gridCol w:w="1984"/>
        <w:gridCol w:w="1399"/>
        <w:gridCol w:w="1399"/>
        <w:gridCol w:w="2164"/>
        <w:gridCol w:w="1984"/>
        <w:gridCol w:w="2693"/>
      </w:tblGrid>
      <w:tr w:rsidR="00392CEA" w:rsidTr="00D23005">
        <w:trPr>
          <w:trHeight w:val="414"/>
        </w:trPr>
        <w:tc>
          <w:tcPr>
            <w:tcW w:w="636" w:type="dxa"/>
          </w:tcPr>
          <w:p w:rsidR="00392CEA" w:rsidRPr="00AF57B1" w:rsidRDefault="00392CEA" w:rsidP="00392CEA">
            <w:pPr>
              <w:jc w:val="center"/>
              <w:rPr>
                <w:b/>
              </w:rPr>
            </w:pPr>
            <w:r w:rsidRPr="00AF57B1">
              <w:rPr>
                <w:b/>
              </w:rPr>
              <w:t>SIRA NO</w:t>
            </w:r>
          </w:p>
        </w:tc>
        <w:tc>
          <w:tcPr>
            <w:tcW w:w="1769" w:type="dxa"/>
          </w:tcPr>
          <w:p w:rsidR="00392CEA" w:rsidRPr="00AF57B1" w:rsidRDefault="00392CEA" w:rsidP="00392CEA">
            <w:pPr>
              <w:jc w:val="center"/>
              <w:rPr>
                <w:b/>
              </w:rPr>
            </w:pPr>
            <w:r w:rsidRPr="00AF57B1">
              <w:rPr>
                <w:b/>
              </w:rPr>
              <w:t>CİNSİ</w:t>
            </w:r>
          </w:p>
        </w:tc>
        <w:tc>
          <w:tcPr>
            <w:tcW w:w="1276" w:type="dxa"/>
          </w:tcPr>
          <w:p w:rsidR="00392CEA" w:rsidRPr="00AF57B1" w:rsidRDefault="00392CEA" w:rsidP="00392CEA">
            <w:pPr>
              <w:jc w:val="center"/>
              <w:rPr>
                <w:b/>
              </w:rPr>
            </w:pPr>
            <w:r w:rsidRPr="00AF57B1">
              <w:rPr>
                <w:b/>
              </w:rPr>
              <w:t>MİKTARI</w:t>
            </w:r>
          </w:p>
        </w:tc>
        <w:tc>
          <w:tcPr>
            <w:tcW w:w="1984" w:type="dxa"/>
          </w:tcPr>
          <w:p w:rsidR="00392CEA" w:rsidRPr="00AF57B1" w:rsidRDefault="00392CEA" w:rsidP="00392CEA">
            <w:pPr>
              <w:jc w:val="center"/>
              <w:rPr>
                <w:b/>
              </w:rPr>
            </w:pPr>
            <w:r w:rsidRPr="00AF57B1">
              <w:rPr>
                <w:b/>
              </w:rPr>
              <w:t>BİRİM FİYATI</w:t>
            </w:r>
          </w:p>
        </w:tc>
        <w:tc>
          <w:tcPr>
            <w:tcW w:w="1399" w:type="dxa"/>
          </w:tcPr>
          <w:p w:rsidR="00392CEA" w:rsidRPr="00AF57B1" w:rsidRDefault="00392CEA" w:rsidP="00392CEA">
            <w:pPr>
              <w:jc w:val="center"/>
              <w:rPr>
                <w:b/>
              </w:rPr>
            </w:pPr>
            <w:r w:rsidRPr="00AF57B1">
              <w:rPr>
                <w:b/>
              </w:rPr>
              <w:t>TUTARI (TL)</w:t>
            </w:r>
          </w:p>
        </w:tc>
        <w:tc>
          <w:tcPr>
            <w:tcW w:w="1399" w:type="dxa"/>
          </w:tcPr>
          <w:p w:rsidR="00392CEA" w:rsidRPr="00AF57B1" w:rsidRDefault="00392CEA" w:rsidP="00392CEA">
            <w:pPr>
              <w:jc w:val="center"/>
              <w:rPr>
                <w:b/>
              </w:rPr>
            </w:pPr>
            <w:r w:rsidRPr="00AF57B1">
              <w:rPr>
                <w:b/>
              </w:rPr>
              <w:t>GEÇİCİ TEMİNATI</w:t>
            </w:r>
          </w:p>
        </w:tc>
        <w:tc>
          <w:tcPr>
            <w:tcW w:w="2164" w:type="dxa"/>
          </w:tcPr>
          <w:p w:rsidR="00392CEA" w:rsidRPr="00AF57B1" w:rsidRDefault="00392CEA" w:rsidP="00392CEA">
            <w:pPr>
              <w:jc w:val="center"/>
              <w:rPr>
                <w:b/>
              </w:rPr>
            </w:pPr>
            <w:r w:rsidRPr="00AF57B1">
              <w:rPr>
                <w:b/>
              </w:rPr>
              <w:t>BULUNDUĞU YER</w:t>
            </w:r>
          </w:p>
        </w:tc>
        <w:tc>
          <w:tcPr>
            <w:tcW w:w="1984" w:type="dxa"/>
          </w:tcPr>
          <w:p w:rsidR="00392CEA" w:rsidRPr="00AF57B1" w:rsidRDefault="00392CEA" w:rsidP="00392CEA">
            <w:pPr>
              <w:jc w:val="center"/>
              <w:rPr>
                <w:b/>
              </w:rPr>
            </w:pPr>
            <w:r w:rsidRPr="00AF57B1">
              <w:rPr>
                <w:b/>
              </w:rPr>
              <w:t>İHALE TARİHİ</w:t>
            </w:r>
          </w:p>
        </w:tc>
        <w:tc>
          <w:tcPr>
            <w:tcW w:w="2693" w:type="dxa"/>
          </w:tcPr>
          <w:p w:rsidR="00392CEA" w:rsidRPr="00AF57B1" w:rsidRDefault="00392CEA" w:rsidP="00392CEA">
            <w:pPr>
              <w:jc w:val="center"/>
              <w:rPr>
                <w:b/>
              </w:rPr>
            </w:pPr>
            <w:r w:rsidRPr="00AF57B1">
              <w:rPr>
                <w:b/>
              </w:rPr>
              <w:t>İHALE SAATİ</w:t>
            </w:r>
          </w:p>
        </w:tc>
      </w:tr>
      <w:tr w:rsidR="00392CEA" w:rsidTr="00D23005">
        <w:trPr>
          <w:trHeight w:val="695"/>
        </w:trPr>
        <w:tc>
          <w:tcPr>
            <w:tcW w:w="636" w:type="dxa"/>
          </w:tcPr>
          <w:p w:rsidR="00392CEA" w:rsidRDefault="00392CEA" w:rsidP="00392CEA">
            <w:pPr>
              <w:jc w:val="center"/>
            </w:pPr>
            <w:r>
              <w:t>1</w:t>
            </w:r>
          </w:p>
        </w:tc>
        <w:tc>
          <w:tcPr>
            <w:tcW w:w="1769" w:type="dxa"/>
          </w:tcPr>
          <w:p w:rsidR="00392CEA" w:rsidRDefault="00CA1091" w:rsidP="00392CEA">
            <w:pPr>
              <w:jc w:val="center"/>
            </w:pPr>
            <w:r>
              <w:t>Kerestelik Söğüt Ağaçları</w:t>
            </w:r>
          </w:p>
          <w:p w:rsidR="00392CEA" w:rsidRDefault="00CA1091" w:rsidP="00392CEA">
            <w:pPr>
              <w:jc w:val="center"/>
            </w:pPr>
            <w:r>
              <w:t>Odunluk  Söğüt Ağaçları</w:t>
            </w:r>
          </w:p>
        </w:tc>
        <w:tc>
          <w:tcPr>
            <w:tcW w:w="1276" w:type="dxa"/>
          </w:tcPr>
          <w:p w:rsidR="00392CEA" w:rsidRDefault="00CA1091" w:rsidP="00392CEA">
            <w:pPr>
              <w:jc w:val="center"/>
            </w:pPr>
            <w:r>
              <w:t>20.000</w:t>
            </w:r>
            <w:r w:rsidR="00392CEA">
              <w:t xml:space="preserve"> m3</w:t>
            </w:r>
          </w:p>
          <w:p w:rsidR="00392CEA" w:rsidRDefault="00392CEA" w:rsidP="00392CEA">
            <w:pPr>
              <w:jc w:val="center"/>
            </w:pPr>
            <w:r>
              <w:t>120 ster</w:t>
            </w:r>
          </w:p>
        </w:tc>
        <w:tc>
          <w:tcPr>
            <w:tcW w:w="1984" w:type="dxa"/>
          </w:tcPr>
          <w:p w:rsidR="00392CEA" w:rsidRDefault="00CA1091" w:rsidP="00392CEA">
            <w:pPr>
              <w:jc w:val="center"/>
            </w:pPr>
            <w:r>
              <w:t>1,50</w:t>
            </w:r>
            <w:r w:rsidR="00392CEA">
              <w:t xml:space="preserve"> TL / m3</w:t>
            </w:r>
          </w:p>
          <w:p w:rsidR="00392CEA" w:rsidRDefault="006850D1" w:rsidP="00392CEA">
            <w:pPr>
              <w:jc w:val="center"/>
            </w:pPr>
            <w:r>
              <w:t>375</w:t>
            </w:r>
            <w:r w:rsidR="00392CEA">
              <w:t>,00 TL / ster</w:t>
            </w:r>
          </w:p>
        </w:tc>
        <w:tc>
          <w:tcPr>
            <w:tcW w:w="1399" w:type="dxa"/>
          </w:tcPr>
          <w:p w:rsidR="00392CEA" w:rsidRDefault="00CA1091" w:rsidP="00392CEA">
            <w:pPr>
              <w:jc w:val="center"/>
            </w:pPr>
            <w:r>
              <w:t>7</w:t>
            </w:r>
            <w:r w:rsidR="00392CEA">
              <w:t>5.000,00 TL</w:t>
            </w:r>
          </w:p>
        </w:tc>
        <w:tc>
          <w:tcPr>
            <w:tcW w:w="1399" w:type="dxa"/>
          </w:tcPr>
          <w:p w:rsidR="00392CEA" w:rsidRDefault="00CA1091" w:rsidP="00392CEA">
            <w:pPr>
              <w:jc w:val="center"/>
            </w:pPr>
            <w:r>
              <w:t>22.500</w:t>
            </w:r>
            <w:r w:rsidR="00392CEA">
              <w:t>,00 TL</w:t>
            </w:r>
          </w:p>
        </w:tc>
        <w:tc>
          <w:tcPr>
            <w:tcW w:w="2164" w:type="dxa"/>
          </w:tcPr>
          <w:p w:rsidR="00392CEA" w:rsidRDefault="00CA1091" w:rsidP="00392CEA">
            <w:pPr>
              <w:jc w:val="center"/>
            </w:pPr>
            <w:r>
              <w:t>Sultanbeyazıt mahallesi 493 ada 86 parsel</w:t>
            </w:r>
          </w:p>
        </w:tc>
        <w:tc>
          <w:tcPr>
            <w:tcW w:w="1984" w:type="dxa"/>
          </w:tcPr>
          <w:p w:rsidR="00392CEA" w:rsidRDefault="00A47F64" w:rsidP="00392CEA">
            <w:pPr>
              <w:jc w:val="center"/>
            </w:pPr>
            <w:r>
              <w:t>03</w:t>
            </w:r>
            <w:r w:rsidR="00CA1091">
              <w:t>.09.2024</w:t>
            </w:r>
          </w:p>
        </w:tc>
        <w:tc>
          <w:tcPr>
            <w:tcW w:w="2693" w:type="dxa"/>
          </w:tcPr>
          <w:p w:rsidR="00392CEA" w:rsidRDefault="00CA1091" w:rsidP="00392CEA">
            <w:pPr>
              <w:jc w:val="center"/>
            </w:pPr>
            <w:r>
              <w:t>10:20</w:t>
            </w:r>
          </w:p>
        </w:tc>
      </w:tr>
    </w:tbl>
    <w:p w:rsidR="00392CEA" w:rsidRDefault="00392CEA" w:rsidP="00781005">
      <w:pPr>
        <w:spacing w:after="0"/>
      </w:pPr>
    </w:p>
    <w:p w:rsidR="00392CEA" w:rsidRDefault="00392CEA" w:rsidP="00781005">
      <w:pPr>
        <w:spacing w:after="0"/>
      </w:pPr>
    </w:p>
    <w:p w:rsidR="00781005" w:rsidRPr="000D78CF" w:rsidRDefault="00781005" w:rsidP="00392CEA">
      <w:pPr>
        <w:spacing w:after="0"/>
        <w:jc w:val="both"/>
        <w:rPr>
          <w:sz w:val="20"/>
          <w:szCs w:val="20"/>
        </w:rPr>
      </w:pPr>
      <w:r w:rsidRPr="00F72EB5">
        <w:rPr>
          <w:b/>
          <w:sz w:val="20"/>
          <w:szCs w:val="20"/>
        </w:rPr>
        <w:t>1-</w:t>
      </w:r>
      <w:r w:rsidRPr="000D78CF">
        <w:rPr>
          <w:sz w:val="20"/>
          <w:szCs w:val="20"/>
        </w:rPr>
        <w:t xml:space="preserve"> Söz konusu ağaçların m³ </w:t>
      </w:r>
      <w:r w:rsidR="000C0BA4">
        <w:rPr>
          <w:sz w:val="20"/>
          <w:szCs w:val="20"/>
        </w:rPr>
        <w:t xml:space="preserve">ve ster bazında </w:t>
      </w:r>
      <w:r w:rsidR="00392CEA">
        <w:rPr>
          <w:sz w:val="20"/>
          <w:szCs w:val="20"/>
        </w:rPr>
        <w:t>miktarları tahmini miktar</w:t>
      </w:r>
      <w:r w:rsidR="00451F9B">
        <w:rPr>
          <w:sz w:val="20"/>
          <w:szCs w:val="20"/>
        </w:rPr>
        <w:t xml:space="preserve"> üzerinden ihaleye çıkmış olup tamamı için ihalesi yapılacaktır. </w:t>
      </w:r>
      <w:r w:rsidRPr="000D78CF">
        <w:rPr>
          <w:sz w:val="20"/>
          <w:szCs w:val="20"/>
        </w:rPr>
        <w:t xml:space="preserve"> </w:t>
      </w:r>
    </w:p>
    <w:p w:rsidR="00781005" w:rsidRPr="000D78CF" w:rsidRDefault="00781005" w:rsidP="00392CEA">
      <w:pPr>
        <w:spacing w:after="0"/>
        <w:jc w:val="both"/>
        <w:rPr>
          <w:sz w:val="20"/>
          <w:szCs w:val="20"/>
        </w:rPr>
      </w:pPr>
      <w:r w:rsidRPr="00F72EB5">
        <w:rPr>
          <w:b/>
          <w:sz w:val="20"/>
          <w:szCs w:val="20"/>
        </w:rPr>
        <w:t>2-</w:t>
      </w:r>
      <w:r w:rsidRPr="000D78CF">
        <w:rPr>
          <w:sz w:val="20"/>
          <w:szCs w:val="20"/>
        </w:rPr>
        <w:t xml:space="preserve"> Her türlü yükleme, taşıma, ağaçların </w:t>
      </w:r>
      <w:r w:rsidR="00451F9B">
        <w:rPr>
          <w:sz w:val="20"/>
          <w:szCs w:val="20"/>
        </w:rPr>
        <w:t xml:space="preserve">nakliyesi ve </w:t>
      </w:r>
      <w:r w:rsidRPr="000D78CF">
        <w:rPr>
          <w:sz w:val="20"/>
          <w:szCs w:val="20"/>
        </w:rPr>
        <w:t>kesimi, kesim sonrası kesim alanındaki ve çevresindeki ağaç artıklarının temizliği ve meydana gelecek hasarlar müşteri tarafından karşılanacaktır. Gerekli emniyet tedbirleri müşteri tarafından sağlanacaktır.</w:t>
      </w:r>
    </w:p>
    <w:p w:rsidR="00781005" w:rsidRPr="000D78CF" w:rsidRDefault="00781005" w:rsidP="00392CEA">
      <w:pPr>
        <w:spacing w:after="0"/>
        <w:jc w:val="both"/>
        <w:rPr>
          <w:sz w:val="20"/>
          <w:szCs w:val="20"/>
        </w:rPr>
      </w:pPr>
      <w:r w:rsidRPr="00F72EB5">
        <w:rPr>
          <w:b/>
          <w:sz w:val="20"/>
          <w:szCs w:val="20"/>
        </w:rPr>
        <w:t>3-</w:t>
      </w:r>
      <w:r w:rsidRPr="000D78CF">
        <w:rPr>
          <w:sz w:val="20"/>
          <w:szCs w:val="20"/>
        </w:rPr>
        <w:t xml:space="preserve"> Yukarıda bilgileri ile tahmini bedeli, geçici teminatı, ihale tarihi ve saati belirtilen TAŞINIR MALLARIN, 2886 sayılı Devlet İhale Kanununun 51/a maddesine göre Pazarlık Usulü ile satışı yapılacaktır.</w:t>
      </w:r>
    </w:p>
    <w:p w:rsidR="00781005" w:rsidRPr="000D78CF" w:rsidRDefault="00781005" w:rsidP="00392CEA">
      <w:pPr>
        <w:spacing w:after="0"/>
        <w:jc w:val="both"/>
        <w:rPr>
          <w:sz w:val="20"/>
          <w:szCs w:val="20"/>
        </w:rPr>
      </w:pPr>
      <w:r w:rsidRPr="00F72EB5">
        <w:rPr>
          <w:b/>
          <w:sz w:val="20"/>
          <w:szCs w:val="20"/>
        </w:rPr>
        <w:t>4-</w:t>
      </w:r>
      <w:r w:rsidRPr="000D78CF">
        <w:rPr>
          <w:sz w:val="20"/>
          <w:szCs w:val="20"/>
        </w:rPr>
        <w:t xml:space="preserve"> İhale </w:t>
      </w:r>
      <w:r w:rsidR="007A4F03">
        <w:rPr>
          <w:sz w:val="20"/>
          <w:szCs w:val="20"/>
        </w:rPr>
        <w:t>Orta Milli Emlak</w:t>
      </w:r>
      <w:r w:rsidRPr="000D78CF">
        <w:rPr>
          <w:sz w:val="20"/>
          <w:szCs w:val="20"/>
        </w:rPr>
        <w:t xml:space="preserve"> </w:t>
      </w:r>
      <w:r w:rsidR="007A4F03">
        <w:rPr>
          <w:sz w:val="20"/>
          <w:szCs w:val="20"/>
        </w:rPr>
        <w:t>Şefliği</w:t>
      </w:r>
      <w:r w:rsidR="00195BE9" w:rsidRPr="000D78CF">
        <w:rPr>
          <w:sz w:val="20"/>
          <w:szCs w:val="20"/>
        </w:rPr>
        <w:t xml:space="preserve"> </w:t>
      </w:r>
      <w:r w:rsidRPr="000D78CF">
        <w:rPr>
          <w:sz w:val="20"/>
          <w:szCs w:val="20"/>
        </w:rPr>
        <w:t xml:space="preserve">odasında toplanacak komisyon huzurunda yapılacaktır. </w:t>
      </w:r>
    </w:p>
    <w:p w:rsidR="00781005" w:rsidRPr="000D78CF" w:rsidRDefault="00781005" w:rsidP="00392CEA">
      <w:pPr>
        <w:spacing w:after="0"/>
        <w:jc w:val="both"/>
        <w:rPr>
          <w:sz w:val="20"/>
          <w:szCs w:val="20"/>
        </w:rPr>
      </w:pPr>
      <w:r w:rsidRPr="00F72EB5">
        <w:rPr>
          <w:b/>
          <w:sz w:val="20"/>
          <w:szCs w:val="20"/>
        </w:rPr>
        <w:t>5-</w:t>
      </w:r>
      <w:r w:rsidRPr="000D78CF">
        <w:rPr>
          <w:sz w:val="20"/>
          <w:szCs w:val="20"/>
        </w:rPr>
        <w:t xml:space="preserve"> Komisyon ihaleyi yapıp yapmamakta serbesttir.</w:t>
      </w:r>
    </w:p>
    <w:p w:rsidR="00781005" w:rsidRDefault="00781005" w:rsidP="00392CEA">
      <w:pPr>
        <w:spacing w:after="0"/>
        <w:jc w:val="both"/>
        <w:rPr>
          <w:sz w:val="20"/>
          <w:szCs w:val="20"/>
        </w:rPr>
      </w:pPr>
      <w:r w:rsidRPr="00F72EB5">
        <w:rPr>
          <w:b/>
          <w:sz w:val="20"/>
          <w:szCs w:val="20"/>
        </w:rPr>
        <w:t>6-</w:t>
      </w:r>
      <w:r w:rsidRPr="000D78CF">
        <w:rPr>
          <w:sz w:val="20"/>
          <w:szCs w:val="20"/>
        </w:rPr>
        <w:t xml:space="preserve"> Satışı yapılacak taşınır mallarla ilgili şartname mesai saatleri içinde Milli Emlak </w:t>
      </w:r>
      <w:r w:rsidR="007A4F03">
        <w:rPr>
          <w:sz w:val="20"/>
          <w:szCs w:val="20"/>
        </w:rPr>
        <w:t>Şefliğinde</w:t>
      </w:r>
      <w:r w:rsidRPr="000D78CF">
        <w:rPr>
          <w:sz w:val="20"/>
          <w:szCs w:val="20"/>
        </w:rPr>
        <w:t xml:space="preserve"> bedelsiz görülebilir. </w:t>
      </w:r>
    </w:p>
    <w:p w:rsidR="00F72EB5" w:rsidRPr="000D78CF" w:rsidRDefault="00F72EB5" w:rsidP="00392CEA">
      <w:pPr>
        <w:spacing w:after="0"/>
        <w:jc w:val="both"/>
        <w:rPr>
          <w:sz w:val="20"/>
          <w:szCs w:val="20"/>
        </w:rPr>
      </w:pPr>
      <w:r w:rsidRPr="00F72EB5">
        <w:rPr>
          <w:b/>
          <w:sz w:val="20"/>
          <w:szCs w:val="20"/>
        </w:rPr>
        <w:t>7-</w:t>
      </w:r>
      <w:r w:rsidR="007A4F03">
        <w:rPr>
          <w:sz w:val="20"/>
          <w:szCs w:val="20"/>
        </w:rPr>
        <w:t xml:space="preserve"> Kesilecek</w:t>
      </w:r>
      <w:bookmarkStart w:id="0" w:name="_GoBack"/>
      <w:bookmarkEnd w:id="0"/>
      <w:r w:rsidR="007A4F03">
        <w:rPr>
          <w:sz w:val="20"/>
          <w:szCs w:val="20"/>
        </w:rPr>
        <w:t xml:space="preserve"> olan </w:t>
      </w:r>
      <w:r>
        <w:rPr>
          <w:sz w:val="20"/>
          <w:szCs w:val="20"/>
        </w:rPr>
        <w:t xml:space="preserve"> ağaçları mevcut durumu ile satılacak olup, her türlü vergi, resim, harçlar alıcısına aittir.</w:t>
      </w:r>
    </w:p>
    <w:p w:rsidR="00781005" w:rsidRPr="000D78CF" w:rsidRDefault="00F72EB5" w:rsidP="00392CEA">
      <w:pPr>
        <w:spacing w:after="0"/>
        <w:jc w:val="both"/>
        <w:rPr>
          <w:sz w:val="20"/>
          <w:szCs w:val="20"/>
        </w:rPr>
      </w:pPr>
      <w:r w:rsidRPr="00F72EB5">
        <w:rPr>
          <w:b/>
          <w:sz w:val="20"/>
          <w:szCs w:val="20"/>
        </w:rPr>
        <w:t>8</w:t>
      </w:r>
      <w:r w:rsidR="00781005" w:rsidRPr="00F72EB5">
        <w:rPr>
          <w:b/>
          <w:sz w:val="20"/>
          <w:szCs w:val="20"/>
        </w:rPr>
        <w:t>-</w:t>
      </w:r>
      <w:r w:rsidR="00781005" w:rsidRPr="000D78CF">
        <w:rPr>
          <w:sz w:val="20"/>
          <w:szCs w:val="20"/>
        </w:rPr>
        <w:t xml:space="preserve"> İhaleye katılmak isteyen isteklilerin ihale saatine kadar;</w:t>
      </w:r>
    </w:p>
    <w:p w:rsidR="00781005" w:rsidRPr="000D78CF" w:rsidRDefault="00781005" w:rsidP="00392CEA">
      <w:pPr>
        <w:spacing w:after="0"/>
        <w:jc w:val="both"/>
        <w:rPr>
          <w:sz w:val="20"/>
          <w:szCs w:val="20"/>
        </w:rPr>
      </w:pPr>
      <w:r w:rsidRPr="000D78CF">
        <w:rPr>
          <w:sz w:val="20"/>
          <w:szCs w:val="20"/>
        </w:rPr>
        <w:t xml:space="preserve">a. Yasal yerleşim sahibi olmaları, </w:t>
      </w:r>
    </w:p>
    <w:p w:rsidR="00781005" w:rsidRPr="000D78CF" w:rsidRDefault="00781005" w:rsidP="00392CEA">
      <w:pPr>
        <w:spacing w:after="0"/>
        <w:jc w:val="both"/>
        <w:rPr>
          <w:sz w:val="20"/>
          <w:szCs w:val="20"/>
        </w:rPr>
      </w:pPr>
      <w:r w:rsidRPr="000D78CF">
        <w:rPr>
          <w:sz w:val="20"/>
          <w:szCs w:val="20"/>
        </w:rPr>
        <w:t xml:space="preserve">b. Gerçek ve tüzel kişilerin tebligat için Türkiye de adres göstermeleri </w:t>
      </w:r>
    </w:p>
    <w:p w:rsidR="00451F9B" w:rsidRDefault="00781005" w:rsidP="00392CEA">
      <w:pPr>
        <w:spacing w:after="0"/>
        <w:jc w:val="both"/>
        <w:rPr>
          <w:sz w:val="20"/>
          <w:szCs w:val="20"/>
        </w:rPr>
      </w:pPr>
      <w:r w:rsidRPr="000D78CF">
        <w:rPr>
          <w:sz w:val="20"/>
          <w:szCs w:val="20"/>
        </w:rPr>
        <w:t>c. Gerçek kişilerin T.C kimlik numaralı nüfus cüzdanı suretini vermeleri (Aslı ihale sırasında ibraz edilecektir), tüzel kişilerin vergi kimlik numarasını bildirmesi,</w:t>
      </w:r>
    </w:p>
    <w:p w:rsidR="00781005" w:rsidRPr="000D78CF" w:rsidRDefault="00781005" w:rsidP="00392CEA">
      <w:pPr>
        <w:spacing w:after="0"/>
        <w:jc w:val="both"/>
        <w:rPr>
          <w:sz w:val="20"/>
          <w:szCs w:val="20"/>
        </w:rPr>
      </w:pPr>
      <w:r w:rsidRPr="000D78CF">
        <w:rPr>
          <w:sz w:val="20"/>
          <w:szCs w:val="20"/>
        </w:rPr>
        <w:t xml:space="preserve">d. Geçici teminatı yatırmaları (2886 sayılı DİK’NUN 26.maddesinde belirtilen değerlerden “Tedavüldeki Türk parası, mevduat veya katılım bankalarının verecekleri süresiz teminat mektupları( şekil ve içeriği kanunda belirtilen şekilde) Hazine Müsteşarlığınca ihraç edilen Devlet İç Borçlanma Senetleri veya bu senetler yerine düzenlenen belgeler (nominal bedele faiz dahil edilerek ihraç edilmiş ise ana paraya tekabül eden satış değerleri esas alınır)” </w:t>
      </w:r>
    </w:p>
    <w:p w:rsidR="00781005" w:rsidRPr="000D78CF" w:rsidRDefault="00781005" w:rsidP="00392CEA">
      <w:pPr>
        <w:spacing w:after="0"/>
        <w:jc w:val="both"/>
        <w:rPr>
          <w:sz w:val="20"/>
          <w:szCs w:val="20"/>
        </w:rPr>
      </w:pPr>
      <w:r w:rsidRPr="000D78CF">
        <w:rPr>
          <w:sz w:val="20"/>
          <w:szCs w:val="20"/>
        </w:rPr>
        <w:t xml:space="preserve">e. Özel hukuk tüzel kişilerinin, yukarıda belirtilen şartlardan ayrı olarak,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vekaletnameyi vermeleri; kamu tüzel kişilerinin ise, yukarıdaki b) ve ç) bentlerinde belirtilen şartlardan ayrı olarak tüzel kişilik adına ihaleye katılacak veya teklifte bulunacak kişilerin tüzel kişiliği temsile yetkili olduklarını gösterir belgeyi vermeleri, </w:t>
      </w:r>
    </w:p>
    <w:p w:rsidR="00F72EB5" w:rsidRDefault="00781005" w:rsidP="00392CEA">
      <w:pPr>
        <w:spacing w:after="0"/>
        <w:jc w:val="both"/>
        <w:rPr>
          <w:sz w:val="20"/>
          <w:szCs w:val="20"/>
        </w:rPr>
      </w:pPr>
      <w:r w:rsidRPr="000D78CF">
        <w:rPr>
          <w:sz w:val="20"/>
          <w:szCs w:val="20"/>
        </w:rPr>
        <w:t>f. İstekliler 2886 sayılı Kanunun 37.maddesine uygun olarak düzenleyecekleri tekliflerini ihalenin başlama saatine kadar İhale Komisyonu Başkanlığına ulaşmış olmak kaydıyla iadeli taahhütlü bir mektupla da gönderebilirler. Postada meydana gelecek gecikmeler kabul edilmez.</w:t>
      </w:r>
    </w:p>
    <w:p w:rsidR="00195BE9" w:rsidRPr="000D78CF" w:rsidRDefault="00781005" w:rsidP="00392CEA">
      <w:pPr>
        <w:spacing w:after="0"/>
        <w:jc w:val="both"/>
        <w:rPr>
          <w:sz w:val="20"/>
          <w:szCs w:val="20"/>
        </w:rPr>
      </w:pPr>
      <w:r w:rsidRPr="000D78CF">
        <w:rPr>
          <w:sz w:val="20"/>
          <w:szCs w:val="20"/>
        </w:rPr>
        <w:t xml:space="preserve">g. Telefaks ve elektronik posta ile yapılacak müracaatlar kabul edilmez. </w:t>
      </w:r>
    </w:p>
    <w:p w:rsidR="00BE6A74" w:rsidRPr="00C37774" w:rsidRDefault="00195BE9" w:rsidP="00781005">
      <w:pPr>
        <w:spacing w:after="0"/>
        <w:rPr>
          <w:b/>
        </w:rPr>
      </w:pPr>
      <w:r w:rsidRPr="00C37774">
        <w:rPr>
          <w:b/>
        </w:rPr>
        <w:t xml:space="preserve">                                                                                                                                                                                                                                                </w:t>
      </w:r>
      <w:r w:rsidR="00781005" w:rsidRPr="00C37774">
        <w:rPr>
          <w:b/>
        </w:rPr>
        <w:t>İLAN OLUNUR</w:t>
      </w:r>
    </w:p>
    <w:sectPr w:rsidR="00BE6A74" w:rsidRPr="00C37774" w:rsidSect="00392CE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F6A" w:rsidRDefault="00851F6A" w:rsidP="000D78CF">
      <w:pPr>
        <w:spacing w:after="0" w:line="240" w:lineRule="auto"/>
      </w:pPr>
      <w:r>
        <w:separator/>
      </w:r>
    </w:p>
  </w:endnote>
  <w:endnote w:type="continuationSeparator" w:id="0">
    <w:p w:rsidR="00851F6A" w:rsidRDefault="00851F6A" w:rsidP="000D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F6A" w:rsidRDefault="00851F6A" w:rsidP="000D78CF">
      <w:pPr>
        <w:spacing w:after="0" w:line="240" w:lineRule="auto"/>
      </w:pPr>
      <w:r>
        <w:separator/>
      </w:r>
    </w:p>
  </w:footnote>
  <w:footnote w:type="continuationSeparator" w:id="0">
    <w:p w:rsidR="00851F6A" w:rsidRDefault="00851F6A" w:rsidP="000D78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F92"/>
    <w:rsid w:val="000C0BA4"/>
    <w:rsid w:val="000D78CF"/>
    <w:rsid w:val="00195BE9"/>
    <w:rsid w:val="00392CEA"/>
    <w:rsid w:val="00451F9B"/>
    <w:rsid w:val="005D09B1"/>
    <w:rsid w:val="006850D1"/>
    <w:rsid w:val="006E75D9"/>
    <w:rsid w:val="006F4D07"/>
    <w:rsid w:val="00781005"/>
    <w:rsid w:val="007A4F03"/>
    <w:rsid w:val="00851F6A"/>
    <w:rsid w:val="008B286B"/>
    <w:rsid w:val="00A47F64"/>
    <w:rsid w:val="00AF57B1"/>
    <w:rsid w:val="00BC2F92"/>
    <w:rsid w:val="00BE6A74"/>
    <w:rsid w:val="00C37774"/>
    <w:rsid w:val="00C965D3"/>
    <w:rsid w:val="00CA1091"/>
    <w:rsid w:val="00D23005"/>
    <w:rsid w:val="00DF6DA7"/>
    <w:rsid w:val="00E11F26"/>
    <w:rsid w:val="00F72E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6D46"/>
  <w15:chartTrackingRefBased/>
  <w15:docId w15:val="{449CB9F7-C7DC-4D60-96CE-AB3BAE70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81005"/>
    <w:pPr>
      <w:ind w:left="720"/>
      <w:contextualSpacing/>
    </w:pPr>
  </w:style>
  <w:style w:type="table" w:styleId="TabloKlavuzu">
    <w:name w:val="Table Grid"/>
    <w:basedOn w:val="NormalTablo"/>
    <w:uiPriority w:val="39"/>
    <w:rsid w:val="0078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D78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78CF"/>
  </w:style>
  <w:style w:type="paragraph" w:styleId="AltBilgi">
    <w:name w:val="footer"/>
    <w:basedOn w:val="Normal"/>
    <w:link w:val="AltBilgiChar"/>
    <w:uiPriority w:val="99"/>
    <w:unhideWhenUsed/>
    <w:rsid w:val="000D78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78CF"/>
  </w:style>
  <w:style w:type="paragraph" w:styleId="BalonMetni">
    <w:name w:val="Balloon Text"/>
    <w:basedOn w:val="Normal"/>
    <w:link w:val="BalonMetniChar"/>
    <w:uiPriority w:val="99"/>
    <w:semiHidden/>
    <w:unhideWhenUsed/>
    <w:rsid w:val="00392C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2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1</Pages>
  <Words>510</Words>
  <Characters>2910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Muhlis EMİR</dc:creator>
  <cp:keywords/>
  <dc:description/>
  <cp:lastModifiedBy>Öznur Kayıhan</cp:lastModifiedBy>
  <cp:revision>14</cp:revision>
  <cp:lastPrinted>2023-07-19T05:37:00Z</cp:lastPrinted>
  <dcterms:created xsi:type="dcterms:W3CDTF">2023-07-18T08:16:00Z</dcterms:created>
  <dcterms:modified xsi:type="dcterms:W3CDTF">2024-08-12T12:54:00Z</dcterms:modified>
</cp:coreProperties>
</file>