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E8D8" w14:textId="77777777" w:rsidR="00874E13" w:rsidRPr="007677B1" w:rsidRDefault="00874E13" w:rsidP="00874E13">
      <w:pPr>
        <w:pStyle w:val="Balk11"/>
        <w:keepNext/>
        <w:keepLines/>
        <w:spacing w:after="240"/>
        <w:jc w:val="both"/>
        <w:rPr>
          <w:rFonts w:asciiTheme="minorHAnsi" w:hAnsiTheme="minorHAnsi" w:cstheme="minorHAnsi"/>
          <w:sz w:val="22"/>
          <w:szCs w:val="22"/>
        </w:rPr>
      </w:pPr>
      <w:bookmarkStart w:id="0" w:name="bookmark0"/>
      <w:r w:rsidRPr="007677B1">
        <w:rPr>
          <w:rFonts w:asciiTheme="minorHAnsi" w:hAnsiTheme="minorHAnsi" w:cstheme="minorHAnsi"/>
          <w:color w:val="000000"/>
          <w:sz w:val="22"/>
          <w:szCs w:val="22"/>
          <w:lang w:eastAsia="tr-TR" w:bidi="tr-TR"/>
        </w:rPr>
        <w:t>GENEL HÜKÜMLER</w:t>
      </w:r>
      <w:bookmarkEnd w:id="0"/>
    </w:p>
    <w:p w14:paraId="687C6A6D" w14:textId="77777777" w:rsidR="00874E13" w:rsidRPr="007677B1" w:rsidRDefault="00874E13" w:rsidP="00874E13">
      <w:pPr>
        <w:pStyle w:val="Gvdemetni0"/>
        <w:numPr>
          <w:ilvl w:val="0"/>
          <w:numId w:val="1"/>
        </w:numPr>
        <w:tabs>
          <w:tab w:val="left" w:pos="346"/>
        </w:tabs>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3194 SAYILI İMAR KANUNU VE İLGİLİ YÖNETMELİK HÜKÜMLERİNE UYULMASI ZORUNLUDUR.</w:t>
      </w:r>
    </w:p>
    <w:p w14:paraId="080BCE23" w14:textId="77777777" w:rsidR="00874E13" w:rsidRPr="007677B1" w:rsidRDefault="00874E13" w:rsidP="00874E13">
      <w:pPr>
        <w:pStyle w:val="Gvdemetni0"/>
        <w:numPr>
          <w:ilvl w:val="0"/>
          <w:numId w:val="1"/>
        </w:numPr>
        <w:tabs>
          <w:tab w:val="left" w:pos="346"/>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2872 SAYILI ÇEVRE KANUNU VE BU KANUNA DAYALI OLARAK ÇIKARILAN YÖNETMELİKLERİN İLGİLİ HÜKÜMLERİNE UYULMASI ZORUNLUDUR.</w:t>
      </w:r>
    </w:p>
    <w:p w14:paraId="47EFD5D4" w14:textId="77777777" w:rsidR="00874E13" w:rsidRPr="007677B1" w:rsidRDefault="00874E13" w:rsidP="00874E13">
      <w:pPr>
        <w:pStyle w:val="Gvdemetni0"/>
        <w:numPr>
          <w:ilvl w:val="0"/>
          <w:numId w:val="1"/>
        </w:numPr>
        <w:tabs>
          <w:tab w:val="left" w:pos="346"/>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2863 SAYILI KÜLTÜR VE TABİAT VARLIKLARI KORUMA KANUNU HÜKÜMLERİNE UYULMASI ZORUNLUDUR. BU KANUNUN 4. MADDESİ UYARINCA: ALANDA YAPILACAK FAALİYETLER ESNASINDA HERHANGİ BİR KÜLTÜR VE TABİAT VARLIĞINA RASTLANILMASI DURUMUNDA, FAALİYETLERİN DERHAL DURDURULMASI VE DURUMUN EN YAKIN MÜLKİ AMİRLİĞE VEYA MÜZE MÜDÜRLÜĞÜNE/İLGİLİ BÖLGE KOMİSYONUNA BİLDİRİLMESİ ZORUNLUDUR.</w:t>
      </w:r>
    </w:p>
    <w:p w14:paraId="56EAF9EF" w14:textId="77777777" w:rsidR="00874E13" w:rsidRPr="007677B1" w:rsidRDefault="00874E13" w:rsidP="00874E13">
      <w:pPr>
        <w:pStyle w:val="Gvdemetni0"/>
        <w:numPr>
          <w:ilvl w:val="0"/>
          <w:numId w:val="1"/>
        </w:numPr>
        <w:tabs>
          <w:tab w:val="left" w:pos="346"/>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5403 SAYILI TOPRAK KORUMA VE ARAZİ KULLANIMI KANUNUNA VE BU KANUNA BAĞLI OLARAK ÇIKARTILAN YÖNETMELİK HÜKÜMLERİNE UYULMASI ZORUNLUDUR.</w:t>
      </w:r>
    </w:p>
    <w:p w14:paraId="0F833073" w14:textId="77777777" w:rsidR="00874E13" w:rsidRPr="007677B1" w:rsidRDefault="00874E13" w:rsidP="00874E13">
      <w:pPr>
        <w:pStyle w:val="Gvdemetni0"/>
        <w:numPr>
          <w:ilvl w:val="0"/>
          <w:numId w:val="1"/>
        </w:numPr>
        <w:tabs>
          <w:tab w:val="left" w:pos="346"/>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PLANLAMA ALANI İÇERİSİNDE YAPILACAK HER TÜRLÜ YAPILAŞMADA "BİNALARIN YANGINDAN KORUNMASI HAKKINDA YÖNETMELİK" "AFET BÖLGELERİNDE YAPILACAK YAPILAR HAKKINDA YÖNETMELİK" VE "DEPREM BÖLGELERİNDE YAPILACAK BİNALAR HAKKINDA YÖNETMELİK" VE 18.03.2018 TARİHLİ RESMİ GAZETEDE YAYIMLANAN "TÜRKİYE BİNA DEPREM YÖNETMELİĞİ” HÜKÜMLERİNE UYULACAKTIR.</w:t>
      </w:r>
    </w:p>
    <w:p w14:paraId="36E67176" w14:textId="77777777" w:rsidR="00874E13" w:rsidRPr="007677B1" w:rsidRDefault="00874E13" w:rsidP="00874E13">
      <w:pPr>
        <w:pStyle w:val="Gvdemetni0"/>
        <w:numPr>
          <w:ilvl w:val="0"/>
          <w:numId w:val="1"/>
        </w:numPr>
        <w:tabs>
          <w:tab w:val="left" w:pos="346"/>
        </w:tabs>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SIĞINAK YÖNETMELİĞİ VE OTOPARK YÖNETMELİĞİ HÜKÜMLERİNE UYULMASI ZORUNLUDUR.</w:t>
      </w:r>
    </w:p>
    <w:p w14:paraId="419B92DC" w14:textId="77777777" w:rsidR="00874E13" w:rsidRPr="007677B1" w:rsidRDefault="00874E13" w:rsidP="00874E13">
      <w:pPr>
        <w:pStyle w:val="Gvdemetni0"/>
        <w:numPr>
          <w:ilvl w:val="0"/>
          <w:numId w:val="1"/>
        </w:numPr>
        <w:tabs>
          <w:tab w:val="left" w:pos="388"/>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PLANLANAN ALANDA TESİS EDİLECEK ELEKTRİK, SU, KANALİZASYON, HABERLEŞME TESİSİ VB. TEKNİKALTYAPI TESİSLERİNE AİT PROJELER İLGİLİ KAMU KURULUŞLARININ ARADIĞI STANDARTLARA UYGUN OLARAK YAPILIP ONAYLANMADAN İNŞAAT RUHSATI VERİLEMEZ.</w:t>
      </w:r>
    </w:p>
    <w:p w14:paraId="085DD758" w14:textId="77777777" w:rsidR="00874E13" w:rsidRPr="007677B1" w:rsidRDefault="00874E13" w:rsidP="00874E13">
      <w:pPr>
        <w:pStyle w:val="Gvdemetni0"/>
        <w:numPr>
          <w:ilvl w:val="0"/>
          <w:numId w:val="1"/>
        </w:numPr>
        <w:tabs>
          <w:tab w:val="left" w:pos="388"/>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ELEKTRİK KUVVETLİ AKIM TESİSLERİ YÖNETMELİĞİ İLE KONUSUNA GÖRE İLGİLİ KANUN VE YÖNETMELİK HÜKÜMLERİNE UYULACAKTIR.</w:t>
      </w:r>
    </w:p>
    <w:p w14:paraId="131B0125" w14:textId="77777777" w:rsidR="00874E13" w:rsidRPr="007677B1" w:rsidRDefault="00874E13" w:rsidP="00874E13">
      <w:pPr>
        <w:pStyle w:val="Gvdemetni0"/>
        <w:numPr>
          <w:ilvl w:val="0"/>
          <w:numId w:val="1"/>
        </w:numPr>
        <w:tabs>
          <w:tab w:val="left" w:pos="388"/>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4857 SAYILI İŞ KANUNU VE 6331 SAYILI İŞ SAĞLIĞI VE GÜVENLİĞİ KANUNUNA VE BU KANUNA İSTİNADEN ÇIKARILAN, TÜM YÖNETMELİKLERİN İLGİLİ HÜKÜMLERİNE UYULMASI ZORUNLUDUR.</w:t>
      </w:r>
    </w:p>
    <w:p w14:paraId="0E07A86F" w14:textId="77777777" w:rsidR="00874E13" w:rsidRPr="007677B1" w:rsidRDefault="00874E13" w:rsidP="00874E13">
      <w:pPr>
        <w:pStyle w:val="Gvdemetni0"/>
        <w:numPr>
          <w:ilvl w:val="0"/>
          <w:numId w:val="1"/>
        </w:numPr>
        <w:tabs>
          <w:tab w:val="left" w:pos="388"/>
        </w:tabs>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1593 SAYILI UMUMİ HIFZISSIHHA KANUNU HÜKÜMLERİNE UYULMASI ZORUNLUDUR.</w:t>
      </w:r>
    </w:p>
    <w:p w14:paraId="56D56272" w14:textId="77777777" w:rsidR="00874E13" w:rsidRPr="007677B1" w:rsidRDefault="00874E13" w:rsidP="00874E13">
      <w:pPr>
        <w:pStyle w:val="Gvdemetni0"/>
        <w:numPr>
          <w:ilvl w:val="0"/>
          <w:numId w:val="1"/>
        </w:numPr>
        <w:tabs>
          <w:tab w:val="left" w:pos="388"/>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15.06.1985 TARİH VE 18785 SAYILI RESMİ GAZETEDE YAYIMLANARAK YÜRÜRLÜĞE GİREN 3213 SAYILI MADEN KANUNU VE UYGULAMA YÖNETMELİĞİ'NE UYULMASI ZORUNLUDUR.</w:t>
      </w:r>
    </w:p>
    <w:p w14:paraId="532E8B20" w14:textId="77777777" w:rsidR="00874E13" w:rsidRPr="007677B1" w:rsidRDefault="00874E13" w:rsidP="00874E13">
      <w:pPr>
        <w:pStyle w:val="Gvdemetni0"/>
        <w:numPr>
          <w:ilvl w:val="0"/>
          <w:numId w:val="1"/>
        </w:numPr>
        <w:tabs>
          <w:tab w:val="left" w:pos="383"/>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TESİSTE ÇALIŞACAK PERSONEL İÇİN SAĞLIKLI İÇME SUYU TEMİNİ AMACIYLA 17.02.2005 TARİH VE 25730 SAYILI İNSANI TÜKETİM AMAÇLI SULAR HAKKINDA YÖNETMELİK HÜKÜMLERİNE UYULMASI ZORUNLUDUR.</w:t>
      </w:r>
    </w:p>
    <w:p w14:paraId="3B9C310D" w14:textId="77777777" w:rsidR="00874E13" w:rsidRPr="007677B1" w:rsidRDefault="00874E13" w:rsidP="00874E13">
      <w:pPr>
        <w:pStyle w:val="Gvdemetni0"/>
        <w:numPr>
          <w:ilvl w:val="0"/>
          <w:numId w:val="1"/>
        </w:numPr>
        <w:tabs>
          <w:tab w:val="left" w:pos="383"/>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167 SAYILI YERALTI SULARI KANUNU VE YERALTI SULARININ KİRLENMEYE VE BOZULMAYA KARŞI KORUNMASI HAKKINDA YÖNETMELİK HÜKÜMLERİNE UYULMASI ZORUNLUDUR.</w:t>
      </w:r>
    </w:p>
    <w:p w14:paraId="7212A52C" w14:textId="77777777" w:rsidR="00874E13" w:rsidRPr="007677B1" w:rsidRDefault="00874E13" w:rsidP="00874E13">
      <w:pPr>
        <w:pStyle w:val="Gvdemetni0"/>
        <w:numPr>
          <w:ilvl w:val="0"/>
          <w:numId w:val="1"/>
        </w:numPr>
        <w:tabs>
          <w:tab w:val="left" w:pos="388"/>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SU KİRLİLİĞİ VE KONTROLÜ YÖNETMELİĞİ HÜKÜMLERİNE UYULACAKTIR.</w:t>
      </w:r>
    </w:p>
    <w:p w14:paraId="505786F0" w14:textId="77777777" w:rsidR="00874E13" w:rsidRPr="007677B1" w:rsidRDefault="00874E13" w:rsidP="00874E13">
      <w:pPr>
        <w:pStyle w:val="Gvdemetni0"/>
        <w:numPr>
          <w:ilvl w:val="0"/>
          <w:numId w:val="1"/>
        </w:numPr>
        <w:tabs>
          <w:tab w:val="left" w:pos="383"/>
        </w:tabs>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ATIK YÖNETİMİ YÖNETMELİĞİ HÜKÜMLERİNE UYULACAKTIR.</w:t>
      </w:r>
    </w:p>
    <w:p w14:paraId="48E08C10" w14:textId="77777777" w:rsidR="00874E13" w:rsidRPr="007677B1" w:rsidRDefault="00874E13" w:rsidP="00874E13">
      <w:pPr>
        <w:pStyle w:val="Gvdemetni0"/>
        <w:numPr>
          <w:ilvl w:val="0"/>
          <w:numId w:val="1"/>
        </w:numPr>
        <w:tabs>
          <w:tab w:val="left" w:pos="383"/>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LAĞIM MECRASI İNŞAASI MÜMKÜN OLMAYAN YERLERDE YAPILACAK ÇUKURLARA AİT YÖNETMELİK HÜKÜMLERİNE UYULMASI ZORUNLUDUR.</w:t>
      </w:r>
    </w:p>
    <w:p w14:paraId="696A2AB6" w14:textId="77777777" w:rsidR="00874E13" w:rsidRPr="007677B1" w:rsidRDefault="00874E13" w:rsidP="00874E13">
      <w:pPr>
        <w:pStyle w:val="Gvdemetni0"/>
        <w:numPr>
          <w:ilvl w:val="0"/>
          <w:numId w:val="1"/>
        </w:numPr>
        <w:tabs>
          <w:tab w:val="left" w:pos="393"/>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PLANLAMA ALANINDA YER ALACAK HER TÜRLÜ YAPIDA VE ÇEVRE DÜZENLEME KARARLARINDA, PLAN, FEN, SAĞLIK, GÜVENLİ YAPILAŞMA, ESTETİK VE ÇEVRE ŞARTLARI İLE İLGİLİ MEVZUAT HÜKÜMLERİNE, TSE TARAFINDAN BELİRLENMİŞ STANDARTLARA VE 5378 SAYILI "ENGELLİLER HAKKINDA KANUN” HÜKÜMLERİNE UYULMASI ZORUNLUDUR.</w:t>
      </w:r>
    </w:p>
    <w:p w14:paraId="28F56D59" w14:textId="77777777" w:rsidR="00874E13" w:rsidRPr="007677B1" w:rsidRDefault="00874E13" w:rsidP="00874E13">
      <w:pPr>
        <w:pStyle w:val="Gvdemetni0"/>
        <w:numPr>
          <w:ilvl w:val="0"/>
          <w:numId w:val="1"/>
        </w:numPr>
        <w:tabs>
          <w:tab w:val="left" w:pos="393"/>
        </w:tabs>
        <w:ind w:left="340" w:hanging="340"/>
        <w:jc w:val="both"/>
        <w:rPr>
          <w:rFonts w:asciiTheme="minorHAnsi" w:hAnsiTheme="minorHAnsi" w:cstheme="minorHAnsi"/>
          <w:sz w:val="22"/>
          <w:szCs w:val="22"/>
        </w:rPr>
      </w:pPr>
      <w:r>
        <w:rPr>
          <w:rFonts w:asciiTheme="minorHAnsi" w:hAnsiTheme="minorHAnsi" w:cstheme="minorHAnsi"/>
          <w:color w:val="000000"/>
          <w:sz w:val="22"/>
          <w:szCs w:val="22"/>
          <w:lang w:eastAsia="tr-TR" w:bidi="tr-TR"/>
        </w:rPr>
        <w:t xml:space="preserve">PLANLAMA ALANINDA PLAN ÜZERİNDE GETİRİLEN KULLANIM KARARLARINDAN BAŞKA KULLANIM KARARLARI GELİŞTİRİLEMEZ. </w:t>
      </w:r>
      <w:r w:rsidRPr="007677B1">
        <w:rPr>
          <w:rFonts w:asciiTheme="minorHAnsi" w:hAnsiTheme="minorHAnsi" w:cstheme="minorHAnsi"/>
          <w:color w:val="000000"/>
          <w:sz w:val="22"/>
          <w:szCs w:val="22"/>
          <w:lang w:eastAsia="tr-TR" w:bidi="tr-TR"/>
        </w:rPr>
        <w:t>PLANDA BELİRTİLEN KULLANIM ALANLARINDA</w:t>
      </w:r>
      <w:r>
        <w:rPr>
          <w:rFonts w:asciiTheme="minorHAnsi" w:hAnsiTheme="minorHAnsi" w:cstheme="minorHAnsi"/>
          <w:color w:val="000000"/>
          <w:sz w:val="22"/>
          <w:szCs w:val="22"/>
          <w:lang w:eastAsia="tr-TR" w:bidi="tr-TR"/>
        </w:rPr>
        <w:t>,</w:t>
      </w:r>
      <w:r w:rsidRPr="007677B1">
        <w:rPr>
          <w:rFonts w:asciiTheme="minorHAnsi" w:hAnsiTheme="minorHAnsi" w:cstheme="minorHAnsi"/>
          <w:color w:val="000000"/>
          <w:sz w:val="22"/>
          <w:szCs w:val="22"/>
          <w:lang w:eastAsia="tr-TR" w:bidi="tr-TR"/>
        </w:rPr>
        <w:t xml:space="preserve"> KUL</w:t>
      </w:r>
      <w:r>
        <w:rPr>
          <w:rFonts w:asciiTheme="minorHAnsi" w:hAnsiTheme="minorHAnsi" w:cstheme="minorHAnsi"/>
          <w:color w:val="000000"/>
          <w:sz w:val="22"/>
          <w:szCs w:val="22"/>
          <w:lang w:eastAsia="tr-TR" w:bidi="tr-TR"/>
        </w:rPr>
        <w:t>L</w:t>
      </w:r>
      <w:r w:rsidRPr="007677B1">
        <w:rPr>
          <w:rFonts w:asciiTheme="minorHAnsi" w:hAnsiTheme="minorHAnsi" w:cstheme="minorHAnsi"/>
          <w:color w:val="000000"/>
          <w:sz w:val="22"/>
          <w:szCs w:val="22"/>
          <w:lang w:eastAsia="tr-TR" w:bidi="tr-TR"/>
        </w:rPr>
        <w:t>ANIM AMACI DIŞINDA HİÇBİR TESİS YAPILAMAZ. YAPILACAK TESİSLER AMACI DIŞINDA KULLANILAMAZ.</w:t>
      </w:r>
    </w:p>
    <w:p w14:paraId="6A70B204" w14:textId="77777777" w:rsidR="00874E13" w:rsidRPr="007677B1" w:rsidRDefault="00874E13" w:rsidP="00874E13">
      <w:pPr>
        <w:pStyle w:val="Gvdemetni0"/>
        <w:numPr>
          <w:ilvl w:val="0"/>
          <w:numId w:val="1"/>
        </w:numPr>
        <w:tabs>
          <w:tab w:val="left" w:pos="388"/>
        </w:tabs>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İŞYERİ AÇMA VE RUHSATLANDIRMA YÖNETMELİĞİ HÜKÜMLERİNE UYULMASI ZORUNLUDUR.</w:t>
      </w:r>
    </w:p>
    <w:p w14:paraId="006A369F" w14:textId="77777777" w:rsidR="00874E13" w:rsidRPr="007677B1" w:rsidRDefault="00874E13" w:rsidP="00874E13">
      <w:pPr>
        <w:pStyle w:val="Gvdemetni0"/>
        <w:numPr>
          <w:ilvl w:val="0"/>
          <w:numId w:val="1"/>
        </w:numPr>
        <w:tabs>
          <w:tab w:val="left" w:pos="393"/>
        </w:tabs>
        <w:ind w:left="340" w:hanging="34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 xml:space="preserve">YAPILAŞMA PLANLAMALARINDA ICAO ANNEX-14 CİLT 1 VE SHT-HES KRİTERLERİ İLE VE HAVALİMANLARINA İLİŞKİN İNŞAAT SINIRLAMALARINA AİT PLANLARIN YAPILMASI, YAYIMLANMASI, TAKİP ESASLARI VE SORUMLU KURULUŞLAR HAKKINDA 24.07.2012 TARİHLİ </w:t>
      </w:r>
      <w:r w:rsidRPr="007677B1">
        <w:rPr>
          <w:rFonts w:asciiTheme="minorHAnsi" w:hAnsiTheme="minorHAnsi" w:cstheme="minorHAnsi"/>
          <w:color w:val="000000"/>
          <w:sz w:val="22"/>
          <w:szCs w:val="22"/>
          <w:lang w:eastAsia="tr-TR" w:bidi="tr-TR"/>
        </w:rPr>
        <w:lastRenderedPageBreak/>
        <w:t>VE B.11.SHG.0.10.01.05/2549/1421 SAYILI HAVAALANLARI ÇEVRESİNDEKİ YAPILAŞMA KRİTERLERİ GENELGESİNE UYULACAKTIR</w:t>
      </w:r>
    </w:p>
    <w:p w14:paraId="05BE2C36" w14:textId="77777777" w:rsidR="00874E13" w:rsidRPr="007677B1" w:rsidRDefault="00874E13" w:rsidP="00874E13">
      <w:pPr>
        <w:pStyle w:val="Gvdemetni0"/>
        <w:numPr>
          <w:ilvl w:val="0"/>
          <w:numId w:val="1"/>
        </w:numPr>
        <w:tabs>
          <w:tab w:val="left" w:pos="385"/>
        </w:tabs>
        <w:ind w:left="360" w:hanging="36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6446 SAYILI ELEKTRİK PİYASASI KANUNU, 5346 SAYILI YENİLENEBİLİR ENERJİ KAYNAKLARININ ELEKTRİK ENERJİSİ ÜRETİMİ AMAÇLI KULLANIMINA İLİŞKİN KANUN VE BU KANUNLARA DAYALI OLARAK ÇIKARILAN TÜM YÖNETMELİKLERİN İLGİLİ HÜKÜMLERİNE UYULMASI ZORUNLUDUR.</w:t>
      </w:r>
    </w:p>
    <w:p w14:paraId="6BB2BACE" w14:textId="77777777" w:rsidR="00874E13" w:rsidRPr="007677B1" w:rsidRDefault="00874E13" w:rsidP="00874E13">
      <w:pPr>
        <w:pStyle w:val="Gvdemetni0"/>
        <w:numPr>
          <w:ilvl w:val="0"/>
          <w:numId w:val="1"/>
        </w:numPr>
        <w:tabs>
          <w:tab w:val="left" w:pos="385"/>
        </w:tabs>
        <w:ind w:left="360" w:hanging="360"/>
        <w:jc w:val="both"/>
        <w:rPr>
          <w:rFonts w:asciiTheme="minorHAnsi" w:hAnsiTheme="minorHAnsi" w:cstheme="minorHAnsi"/>
          <w:sz w:val="22"/>
          <w:szCs w:val="22"/>
        </w:rPr>
      </w:pPr>
      <w:r w:rsidRPr="007677B1">
        <w:rPr>
          <w:rFonts w:asciiTheme="minorHAnsi" w:hAnsiTheme="minorHAnsi" w:cstheme="minorHAnsi"/>
          <w:color w:val="000000"/>
          <w:sz w:val="22"/>
          <w:szCs w:val="22"/>
          <w:lang w:eastAsia="tr-TR" w:bidi="tr-TR"/>
        </w:rPr>
        <w:t>4915 SAYILI KARA AVCILIĞI KANUNU VE BU KANUNA DAYALI OLARAK ÇIKARILAN TÜM YÖNETMELİKLERİN İLGİLİ HÜKÜMLERİNE UYULMASI ZORUNLUDUR.</w:t>
      </w:r>
    </w:p>
    <w:p w14:paraId="3F38BF0B" w14:textId="77777777" w:rsidR="00287E9E" w:rsidRPr="00287E9E" w:rsidRDefault="00287E9E" w:rsidP="00287E9E">
      <w:pPr>
        <w:autoSpaceDE w:val="0"/>
        <w:autoSpaceDN w:val="0"/>
        <w:adjustRightInd w:val="0"/>
        <w:spacing w:after="120" w:line="240" w:lineRule="auto"/>
        <w:jc w:val="both"/>
        <w:rPr>
          <w:rFonts w:ascii="Segoe UI" w:eastAsia="Times New Roman" w:hAnsi="Segoe UI" w:cs="Segoe UI"/>
          <w:sz w:val="20"/>
          <w:szCs w:val="20"/>
          <w:lang w:eastAsia="tr-TR"/>
        </w:rPr>
      </w:pPr>
    </w:p>
    <w:p w14:paraId="28689375" w14:textId="77777777" w:rsidR="005E497B" w:rsidRDefault="005E497B"/>
    <w:sectPr w:rsidR="005E497B" w:rsidSect="0037048D">
      <w:pgSz w:w="11906" w:h="16838"/>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B98"/>
    <w:multiLevelType w:val="multilevel"/>
    <w:tmpl w:val="FFFFFFFF"/>
    <w:lvl w:ilvl="0">
      <w:start w:val="1"/>
      <w:numFmt w:val="decimal"/>
      <w:lvlText w:val="%1."/>
      <w:lvlJc w:val="left"/>
      <w:rPr>
        <w:rFonts w:ascii="Arial" w:hAnsi="Arial" w:cs="Arial"/>
        <w:b/>
        <w:bCs/>
        <w:color w:val="000000"/>
        <w:sz w:val="19"/>
        <w:szCs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81614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C2"/>
    <w:rsid w:val="000045EE"/>
    <w:rsid w:val="00287E9E"/>
    <w:rsid w:val="0037048D"/>
    <w:rsid w:val="005E497B"/>
    <w:rsid w:val="00874E13"/>
    <w:rsid w:val="00AF4A7C"/>
    <w:rsid w:val="00BD6A70"/>
    <w:rsid w:val="00C86653"/>
    <w:rsid w:val="00DE48D3"/>
    <w:rsid w:val="00ED0EC2"/>
    <w:rsid w:val="00F5535B"/>
    <w:rsid w:val="00FE6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E8C8"/>
  <w15:chartTrackingRefBased/>
  <w15:docId w15:val="{884E1F14-64D9-4B84-86F3-2301E5B2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D0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D0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D0EC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D0EC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D0EC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D0EC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0EC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0EC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0EC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0EC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D0EC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D0EC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D0EC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D0EC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D0E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0E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0E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0EC2"/>
    <w:rPr>
      <w:rFonts w:eastAsiaTheme="majorEastAsia" w:cstheme="majorBidi"/>
      <w:color w:val="272727" w:themeColor="text1" w:themeTint="D8"/>
    </w:rPr>
  </w:style>
  <w:style w:type="paragraph" w:styleId="KonuBal">
    <w:name w:val="Title"/>
    <w:basedOn w:val="Normal"/>
    <w:next w:val="Normal"/>
    <w:link w:val="KonuBalChar"/>
    <w:uiPriority w:val="10"/>
    <w:qFormat/>
    <w:rsid w:val="00ED0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0E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0E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0E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0E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0EC2"/>
    <w:rPr>
      <w:i/>
      <w:iCs/>
      <w:color w:val="404040" w:themeColor="text1" w:themeTint="BF"/>
    </w:rPr>
  </w:style>
  <w:style w:type="paragraph" w:styleId="ListeParagraf">
    <w:name w:val="List Paragraph"/>
    <w:basedOn w:val="Normal"/>
    <w:uiPriority w:val="34"/>
    <w:qFormat/>
    <w:rsid w:val="00ED0EC2"/>
    <w:pPr>
      <w:ind w:left="720"/>
      <w:contextualSpacing/>
    </w:pPr>
  </w:style>
  <w:style w:type="character" w:styleId="GlVurgulama">
    <w:name w:val="Intense Emphasis"/>
    <w:basedOn w:val="VarsaylanParagrafYazTipi"/>
    <w:uiPriority w:val="21"/>
    <w:qFormat/>
    <w:rsid w:val="00ED0EC2"/>
    <w:rPr>
      <w:i/>
      <w:iCs/>
      <w:color w:val="0F4761" w:themeColor="accent1" w:themeShade="BF"/>
    </w:rPr>
  </w:style>
  <w:style w:type="paragraph" w:styleId="GlAlnt">
    <w:name w:val="Intense Quote"/>
    <w:basedOn w:val="Normal"/>
    <w:next w:val="Normal"/>
    <w:link w:val="GlAlntChar"/>
    <w:uiPriority w:val="30"/>
    <w:qFormat/>
    <w:rsid w:val="00ED0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D0EC2"/>
    <w:rPr>
      <w:i/>
      <w:iCs/>
      <w:color w:val="0F4761" w:themeColor="accent1" w:themeShade="BF"/>
    </w:rPr>
  </w:style>
  <w:style w:type="character" w:styleId="GlBavuru">
    <w:name w:val="Intense Reference"/>
    <w:basedOn w:val="VarsaylanParagrafYazTipi"/>
    <w:uiPriority w:val="32"/>
    <w:qFormat/>
    <w:rsid w:val="00ED0EC2"/>
    <w:rPr>
      <w:b/>
      <w:bCs/>
      <w:smallCaps/>
      <w:color w:val="0F4761" w:themeColor="accent1" w:themeShade="BF"/>
      <w:spacing w:val="5"/>
    </w:rPr>
  </w:style>
  <w:style w:type="paragraph" w:customStyle="1" w:styleId="Bafelfdk1">
    <w:name w:val="Başfelıfdk #1"/>
    <w:basedOn w:val="Normal"/>
    <w:uiPriority w:val="99"/>
    <w:rsid w:val="00287E9E"/>
    <w:pPr>
      <w:autoSpaceDE w:val="0"/>
      <w:autoSpaceDN w:val="0"/>
      <w:adjustRightInd w:val="0"/>
      <w:spacing w:after="230" w:line="240" w:lineRule="auto"/>
      <w:outlineLvl w:val="0"/>
    </w:pPr>
    <w:rPr>
      <w:rFonts w:ascii="Arial" w:eastAsia="Times New Roman" w:hAnsi="Arial" w:cs="Arial"/>
      <w:b/>
      <w:bCs/>
      <w:sz w:val="19"/>
      <w:szCs w:val="19"/>
      <w:lang w:eastAsia="tr-TR"/>
    </w:rPr>
  </w:style>
  <w:style w:type="paragraph" w:customStyle="1" w:styleId="Gf6vdemetni">
    <w:name w:val="Göf6vde metni"/>
    <w:basedOn w:val="Normal"/>
    <w:uiPriority w:val="99"/>
    <w:rsid w:val="00287E9E"/>
    <w:pPr>
      <w:autoSpaceDE w:val="0"/>
      <w:autoSpaceDN w:val="0"/>
      <w:adjustRightInd w:val="0"/>
      <w:spacing w:after="0" w:line="240" w:lineRule="auto"/>
    </w:pPr>
    <w:rPr>
      <w:rFonts w:ascii="Arial" w:eastAsia="Times New Roman" w:hAnsi="Arial" w:cs="Arial"/>
      <w:sz w:val="19"/>
      <w:szCs w:val="19"/>
      <w:lang w:eastAsia="tr-TR"/>
    </w:rPr>
  </w:style>
  <w:style w:type="character" w:customStyle="1" w:styleId="Gvdemetni">
    <w:name w:val="Gövde metni_"/>
    <w:basedOn w:val="VarsaylanParagrafYazTipi"/>
    <w:link w:val="Gvdemetni0"/>
    <w:rsid w:val="00874E13"/>
    <w:rPr>
      <w:rFonts w:ascii="Arial" w:eastAsia="Arial" w:hAnsi="Arial" w:cs="Arial"/>
      <w:sz w:val="19"/>
      <w:szCs w:val="19"/>
    </w:rPr>
  </w:style>
  <w:style w:type="paragraph" w:customStyle="1" w:styleId="Gvdemetni0">
    <w:name w:val="Gövde metni"/>
    <w:basedOn w:val="Normal"/>
    <w:link w:val="Gvdemetni"/>
    <w:rsid w:val="00874E13"/>
    <w:pPr>
      <w:widowControl w:val="0"/>
      <w:spacing w:after="0" w:line="240" w:lineRule="auto"/>
    </w:pPr>
    <w:rPr>
      <w:rFonts w:ascii="Arial" w:eastAsia="Arial" w:hAnsi="Arial" w:cs="Arial"/>
      <w:sz w:val="19"/>
      <w:szCs w:val="19"/>
    </w:rPr>
  </w:style>
  <w:style w:type="character" w:customStyle="1" w:styleId="Balk10">
    <w:name w:val="Başlık #1_"/>
    <w:basedOn w:val="VarsaylanParagrafYazTipi"/>
    <w:link w:val="Balk11"/>
    <w:rsid w:val="00874E13"/>
    <w:rPr>
      <w:rFonts w:ascii="Arial" w:eastAsia="Arial" w:hAnsi="Arial" w:cs="Arial"/>
      <w:b/>
      <w:bCs/>
      <w:sz w:val="19"/>
      <w:szCs w:val="19"/>
    </w:rPr>
  </w:style>
  <w:style w:type="paragraph" w:customStyle="1" w:styleId="Balk11">
    <w:name w:val="Başlık #1"/>
    <w:basedOn w:val="Normal"/>
    <w:link w:val="Balk10"/>
    <w:rsid w:val="00874E13"/>
    <w:pPr>
      <w:widowControl w:val="0"/>
      <w:spacing w:after="230" w:line="240" w:lineRule="auto"/>
      <w:outlineLvl w:val="0"/>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Ozkan</dc:creator>
  <cp:keywords/>
  <dc:description/>
  <cp:lastModifiedBy>Mustafa Ozkan</cp:lastModifiedBy>
  <cp:revision>6</cp:revision>
  <dcterms:created xsi:type="dcterms:W3CDTF">2024-01-25T10:54:00Z</dcterms:created>
  <dcterms:modified xsi:type="dcterms:W3CDTF">2024-03-28T12:54:00Z</dcterms:modified>
</cp:coreProperties>
</file>