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74" w:rsidRDefault="00906D74" w:rsidP="00906D74">
      <w:pPr>
        <w:rPr>
          <w:rFonts w:ascii="Times New Roman" w:hAnsi="Times New Roman" w:cs="Times New Roman"/>
          <w:b/>
          <w:bCs/>
        </w:rPr>
      </w:pPr>
    </w:p>
    <w:p w:rsidR="00906D74" w:rsidRDefault="00906D74" w:rsidP="00906D74">
      <w:pPr>
        <w:rPr>
          <w:rFonts w:ascii="Times New Roman" w:hAnsi="Times New Roman" w:cs="Times New Roman"/>
          <w:b/>
          <w:bCs/>
        </w:rPr>
      </w:pPr>
    </w:p>
    <w:p w:rsidR="00906D74" w:rsidRDefault="00906D74" w:rsidP="00906D74">
      <w:pPr>
        <w:rPr>
          <w:rFonts w:ascii="Times New Roman" w:hAnsi="Times New Roman" w:cs="Times New Roman"/>
          <w:b/>
          <w:bCs/>
        </w:rPr>
      </w:pPr>
      <w:r w:rsidRPr="00906D74">
        <w:rPr>
          <w:rFonts w:ascii="Times New Roman" w:hAnsi="Times New Roman" w:cs="Times New Roman"/>
          <w:b/>
          <w:bCs/>
        </w:rPr>
        <w:t>12.07.2019 tarihinde Resmi Gazete yayımlanarak yürürlüğe girmiş olup 09 Ekim 2021 tarih ve 31623 sayılı Resmi Gazetede yayımlanarak revize edilmiştir</w:t>
      </w:r>
      <w:r>
        <w:rPr>
          <w:rFonts w:ascii="Times New Roman" w:hAnsi="Times New Roman" w:cs="Times New Roman"/>
          <w:b/>
          <w:bCs/>
        </w:rPr>
        <w:t>.</w:t>
      </w:r>
    </w:p>
    <w:p w:rsidR="00906D74" w:rsidRDefault="00906D74" w:rsidP="00906D74">
      <w:pPr>
        <w:rPr>
          <w:rFonts w:ascii="Times New Roman" w:hAnsi="Times New Roman" w:cs="Times New Roman"/>
          <w:b/>
          <w:bCs/>
        </w:rPr>
      </w:pPr>
    </w:p>
    <w:p w:rsidR="00906D74" w:rsidRDefault="00906D74" w:rsidP="00FE2EF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Bahse konu yönetmeliğin 2. Maddesinde “</w:t>
      </w:r>
      <w:r w:rsidRPr="00D21640">
        <w:rPr>
          <w:rFonts w:ascii="Times New Roman" w:hAnsi="Times New Roman" w:cs="Times New Roman"/>
        </w:rPr>
        <w:t>Bu Yönetmelik, mahalli idareler ve EK-1 listede tanımlı diğer yerler ile gönüllülük esasına dayalı olarak sıfır atık yönetim sistemini kurmak isteyenler için sıfır atık yönetim sisteminin kurulmasına, izlenmesine, sıfır atık belgesi düzenlenmesine ilişkin esasları kapsar</w:t>
      </w:r>
      <w:r>
        <w:rPr>
          <w:rFonts w:ascii="Times New Roman" w:hAnsi="Times New Roman" w:cs="Times New Roman"/>
        </w:rPr>
        <w:t>” denilmektedir.</w:t>
      </w:r>
    </w:p>
    <w:p w:rsidR="00906D74" w:rsidRDefault="00906D74" w:rsidP="00906D74">
      <w:pPr>
        <w:rPr>
          <w:rFonts w:ascii="Times New Roman" w:hAnsi="Times New Roman" w:cs="Times New Roman"/>
          <w:b/>
          <w:bCs/>
        </w:rPr>
      </w:pPr>
    </w:p>
    <w:p w:rsidR="00906D74" w:rsidRDefault="00FE2EFB" w:rsidP="00906D7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Sıfır Atık Yönetmeliğine tabi İşletmeler:</w:t>
      </w:r>
      <w:bookmarkStart w:id="0" w:name="_GoBack"/>
      <w:bookmarkEnd w:id="0"/>
    </w:p>
    <w:p w:rsidR="00906D74" w:rsidRPr="00906D74" w:rsidRDefault="00906D74" w:rsidP="00906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EK-1 </w:t>
      </w:r>
      <w:r w:rsidRPr="00906D74">
        <w:rPr>
          <w:rFonts w:ascii="Times New Roman" w:hAnsi="Times New Roman" w:cs="Times New Roman"/>
          <w:b/>
          <w:bCs/>
        </w:rPr>
        <w:t>B) Bina ve Yerleşkeler İçin Uygulama Takvimi</w:t>
      </w:r>
    </w:p>
    <w:p w:rsidR="007B3205" w:rsidRPr="00906D74" w:rsidRDefault="007B3205">
      <w:pPr>
        <w:rPr>
          <w:rFonts w:ascii="Times New Roman" w:hAnsi="Times New Roman" w:cs="Times New Roman"/>
        </w:rPr>
      </w:pPr>
    </w:p>
    <w:tbl>
      <w:tblPr>
        <w:tblW w:w="85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80"/>
        <w:gridCol w:w="5480"/>
        <w:gridCol w:w="2000"/>
      </w:tblGrid>
      <w:tr w:rsidR="00906D74" w:rsidRPr="00906D74" w:rsidTr="00906D74">
        <w:trPr>
          <w:trHeight w:val="1021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06D74" w:rsidRPr="00906D74" w:rsidRDefault="00906D74" w:rsidP="00906D7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tr-TR"/>
              </w:rPr>
              <w:t> 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6D74" w:rsidRPr="00906D74" w:rsidRDefault="00906D74" w:rsidP="00906D74">
            <w:pPr>
              <w:spacing w:line="25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tr-TR"/>
              </w:rPr>
              <w:t>Sıfır Atık Yönetim Sistemine Geçmesi Gerekenler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06D74" w:rsidRPr="00906D74" w:rsidRDefault="00906D74" w:rsidP="00906D7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tr-TR"/>
              </w:rPr>
              <w:t>Sisteme Geçişlerin Tamamlanması için Son Tarih</w:t>
            </w:r>
          </w:p>
        </w:tc>
      </w:tr>
      <w:tr w:rsidR="00906D74" w:rsidRPr="00906D74" w:rsidTr="00906D74">
        <w:trPr>
          <w:trHeight w:val="760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06D74" w:rsidRPr="00906D74" w:rsidRDefault="00906D74" w:rsidP="00906D74">
            <w:pPr>
              <w:spacing w:line="25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lang w:eastAsia="tr-TR"/>
              </w:rPr>
              <w:t>1.GRUP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06D74" w:rsidRPr="00906D74" w:rsidRDefault="00906D74" w:rsidP="00906D74">
            <w:pPr>
              <w:numPr>
                <w:ilvl w:val="0"/>
                <w:numId w:val="1"/>
              </w:numPr>
              <w:spacing w:after="0" w:line="256" w:lineRule="auto"/>
              <w:ind w:left="994"/>
              <w:contextualSpacing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tr-TR"/>
              </w:rPr>
              <w:t>Kamu Kurum ve Kuruluşları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06D74" w:rsidRPr="00906D74" w:rsidRDefault="00906D74" w:rsidP="00906D7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tr-TR"/>
              </w:rPr>
              <w:t>1 Haziran 2020</w:t>
            </w:r>
          </w:p>
        </w:tc>
      </w:tr>
      <w:tr w:rsidR="00906D74" w:rsidRPr="00906D74" w:rsidTr="00906D74">
        <w:trPr>
          <w:trHeight w:val="6751"/>
        </w:trPr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06D74" w:rsidRPr="00906D74" w:rsidRDefault="00906D74" w:rsidP="00906D74">
            <w:pPr>
              <w:spacing w:line="25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Theme="minorEastAsia" w:hAnsi="Times New Roman" w:cs="Times New Roman"/>
                <w:color w:val="000000" w:themeColor="dark1"/>
                <w:kern w:val="24"/>
                <w:lang w:eastAsia="tr-TR"/>
              </w:rPr>
              <w:t>2.GRUP</w:t>
            </w:r>
          </w:p>
        </w:tc>
        <w:tc>
          <w:tcPr>
            <w:tcW w:w="5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06D74" w:rsidRPr="00906D74" w:rsidRDefault="00906D74" w:rsidP="00906D74">
            <w:pPr>
              <w:numPr>
                <w:ilvl w:val="0"/>
                <w:numId w:val="2"/>
              </w:numPr>
              <w:spacing w:after="0" w:line="256" w:lineRule="auto"/>
              <w:ind w:left="994"/>
              <w:contextualSpacing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tr-TR"/>
              </w:rPr>
              <w:t xml:space="preserve">Organize Sanayi Bölgeleri </w:t>
            </w:r>
          </w:p>
          <w:p w:rsidR="00906D74" w:rsidRPr="00906D74" w:rsidRDefault="00906D74" w:rsidP="00906D74">
            <w:pPr>
              <w:numPr>
                <w:ilvl w:val="0"/>
                <w:numId w:val="2"/>
              </w:numPr>
              <w:spacing w:after="0" w:line="256" w:lineRule="auto"/>
              <w:ind w:left="994"/>
              <w:contextualSpacing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tr-TR"/>
              </w:rPr>
              <w:t>Havalimanları</w:t>
            </w:r>
          </w:p>
          <w:p w:rsidR="00906D74" w:rsidRPr="00906D74" w:rsidRDefault="00906D74" w:rsidP="00906D74">
            <w:pPr>
              <w:numPr>
                <w:ilvl w:val="0"/>
                <w:numId w:val="2"/>
              </w:numPr>
              <w:spacing w:after="0" w:line="256" w:lineRule="auto"/>
              <w:ind w:left="994"/>
              <w:contextualSpacing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tr-TR"/>
              </w:rPr>
              <w:t>Limanlar</w:t>
            </w:r>
          </w:p>
          <w:p w:rsidR="00906D74" w:rsidRPr="00906D74" w:rsidRDefault="00906D74" w:rsidP="00906D74">
            <w:pPr>
              <w:numPr>
                <w:ilvl w:val="0"/>
                <w:numId w:val="2"/>
              </w:numPr>
              <w:spacing w:after="0" w:line="256" w:lineRule="auto"/>
              <w:ind w:left="994"/>
              <w:contextualSpacing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tr-TR"/>
              </w:rPr>
              <w:t>İş merkezi ve Ticari Plazalar</w:t>
            </w:r>
          </w:p>
          <w:p w:rsidR="00906D74" w:rsidRPr="00906D74" w:rsidRDefault="00906D74" w:rsidP="00906D74">
            <w:pPr>
              <w:spacing w:after="0" w:line="256" w:lineRule="auto"/>
              <w:ind w:left="706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tr-TR"/>
              </w:rPr>
              <w:t>100 ve üzeri ofis/büro kapasiteli</w:t>
            </w:r>
          </w:p>
          <w:p w:rsidR="00906D74" w:rsidRPr="00906D74" w:rsidRDefault="00906D74" w:rsidP="00906D74">
            <w:pPr>
              <w:numPr>
                <w:ilvl w:val="0"/>
                <w:numId w:val="3"/>
              </w:numPr>
              <w:spacing w:after="0" w:line="256" w:lineRule="auto"/>
              <w:ind w:left="994"/>
              <w:contextualSpacing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tr-TR"/>
              </w:rPr>
              <w:t xml:space="preserve">Alışveriş Merkezleri </w:t>
            </w:r>
          </w:p>
          <w:p w:rsidR="00906D74" w:rsidRPr="00906D74" w:rsidRDefault="00906D74" w:rsidP="00906D74">
            <w:pPr>
              <w:spacing w:after="0" w:line="256" w:lineRule="auto"/>
              <w:ind w:left="706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tr-TR"/>
              </w:rPr>
              <w:t>5000 metrekare ve üzeri</w:t>
            </w:r>
          </w:p>
          <w:p w:rsidR="00906D74" w:rsidRPr="00906D74" w:rsidRDefault="00906D74" w:rsidP="00906D74">
            <w:pPr>
              <w:numPr>
                <w:ilvl w:val="0"/>
                <w:numId w:val="4"/>
              </w:numPr>
              <w:spacing w:after="0" w:line="256" w:lineRule="auto"/>
              <w:ind w:left="994"/>
              <w:contextualSpacing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tr-TR"/>
              </w:rPr>
              <w:t>ÇED Yönetmeliği’nin Ek-1 Listesinde Yer Alan Sanayi Tesisleri</w:t>
            </w:r>
          </w:p>
          <w:p w:rsidR="00906D74" w:rsidRPr="00906D74" w:rsidRDefault="00906D74" w:rsidP="00906D74">
            <w:pPr>
              <w:numPr>
                <w:ilvl w:val="0"/>
                <w:numId w:val="4"/>
              </w:numPr>
              <w:spacing w:after="0" w:line="256" w:lineRule="auto"/>
              <w:ind w:left="994"/>
              <w:contextualSpacing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tr-TR"/>
              </w:rPr>
              <w:t>Eğitim Kurumları ve Yurtlar</w:t>
            </w:r>
          </w:p>
          <w:p w:rsidR="00906D74" w:rsidRPr="00906D74" w:rsidRDefault="00906D74" w:rsidP="00906D74">
            <w:pPr>
              <w:spacing w:after="0" w:line="256" w:lineRule="auto"/>
              <w:ind w:left="706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tr-TR"/>
              </w:rPr>
              <w:t>250 ve fazla öğrencisi bulunanlar</w:t>
            </w:r>
          </w:p>
          <w:p w:rsidR="00906D74" w:rsidRPr="00906D74" w:rsidRDefault="00906D74" w:rsidP="00906D74">
            <w:pPr>
              <w:numPr>
                <w:ilvl w:val="0"/>
                <w:numId w:val="5"/>
              </w:numPr>
              <w:spacing w:after="0" w:line="256" w:lineRule="auto"/>
              <w:ind w:left="994"/>
              <w:contextualSpacing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tr-TR"/>
              </w:rPr>
              <w:t>100 Oda ve Üstü Konaklama Kapasiteli İşletmeler</w:t>
            </w:r>
          </w:p>
          <w:p w:rsidR="00906D74" w:rsidRPr="00906D74" w:rsidRDefault="00906D74" w:rsidP="00906D74">
            <w:pPr>
              <w:numPr>
                <w:ilvl w:val="0"/>
                <w:numId w:val="5"/>
              </w:numPr>
              <w:spacing w:after="0" w:line="256" w:lineRule="auto"/>
              <w:ind w:left="994"/>
              <w:contextualSpacing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tr-TR"/>
              </w:rPr>
              <w:t>Sağlık Kuruluşları</w:t>
            </w:r>
          </w:p>
          <w:p w:rsidR="00906D74" w:rsidRPr="00906D74" w:rsidRDefault="00906D74" w:rsidP="00906D74">
            <w:pPr>
              <w:spacing w:after="0" w:line="256" w:lineRule="auto"/>
              <w:ind w:left="706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tr-TR"/>
              </w:rPr>
              <w:t>100 yatak ve üzeri kapasiteli</w:t>
            </w:r>
          </w:p>
          <w:p w:rsidR="00906D74" w:rsidRPr="00906D74" w:rsidRDefault="00906D74" w:rsidP="00906D74">
            <w:pPr>
              <w:numPr>
                <w:ilvl w:val="0"/>
                <w:numId w:val="6"/>
              </w:numPr>
              <w:spacing w:after="0" w:line="256" w:lineRule="auto"/>
              <w:ind w:left="994"/>
              <w:contextualSpacing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tr-TR"/>
              </w:rPr>
              <w:t>Akaryakıt istasyonları ve dinlenme tesisleri</w:t>
            </w:r>
          </w:p>
          <w:p w:rsidR="00906D74" w:rsidRPr="00906D74" w:rsidRDefault="00906D74" w:rsidP="00906D74">
            <w:pPr>
              <w:numPr>
                <w:ilvl w:val="0"/>
                <w:numId w:val="6"/>
              </w:numPr>
              <w:tabs>
                <w:tab w:val="left" w:pos="1842"/>
              </w:tabs>
              <w:spacing w:after="0" w:line="256" w:lineRule="auto"/>
              <w:ind w:left="994"/>
              <w:contextualSpacing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="Times New Roman" w:hAnsi="Times New Roman" w:cs="Times New Roman"/>
                <w:color w:val="000000" w:themeColor="dark1"/>
                <w:kern w:val="3"/>
                <w:lang w:eastAsia="tr-TR"/>
              </w:rPr>
              <w:t>300 ve üzeri konuta sahip siteler</w:t>
            </w:r>
          </w:p>
          <w:p w:rsidR="00906D74" w:rsidRPr="00906D74" w:rsidRDefault="00906D74" w:rsidP="00906D74">
            <w:pPr>
              <w:numPr>
                <w:ilvl w:val="0"/>
                <w:numId w:val="6"/>
              </w:numPr>
              <w:tabs>
                <w:tab w:val="left" w:pos="1842"/>
              </w:tabs>
              <w:spacing w:after="0" w:line="256" w:lineRule="auto"/>
              <w:ind w:left="994"/>
              <w:contextualSpacing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="Times New Roman" w:hAnsi="Times New Roman" w:cs="Times New Roman"/>
                <w:color w:val="000000" w:themeColor="dark1"/>
                <w:kern w:val="3"/>
                <w:lang w:eastAsia="tr-TR"/>
              </w:rPr>
              <w:t>Zincir marketler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06D74" w:rsidRPr="00906D74" w:rsidRDefault="00906D74" w:rsidP="00906D74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06D74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tr-TR"/>
              </w:rPr>
              <w:t>31 Aralık 2020</w:t>
            </w:r>
          </w:p>
        </w:tc>
      </w:tr>
    </w:tbl>
    <w:p w:rsidR="00906D74" w:rsidRPr="00906D74" w:rsidRDefault="00906D74">
      <w:pPr>
        <w:rPr>
          <w:rFonts w:ascii="Times New Roman" w:hAnsi="Times New Roman" w:cs="Times New Roman"/>
        </w:rPr>
      </w:pPr>
    </w:p>
    <w:p w:rsidR="00906D74" w:rsidRPr="00906D74" w:rsidRDefault="00906D74">
      <w:pPr>
        <w:rPr>
          <w:rFonts w:ascii="Times New Roman" w:hAnsi="Times New Roman" w:cs="Times New Roman"/>
        </w:rPr>
      </w:pPr>
    </w:p>
    <w:tbl>
      <w:tblPr>
        <w:tblW w:w="94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60"/>
        <w:gridCol w:w="6140"/>
        <w:gridCol w:w="2200"/>
      </w:tblGrid>
      <w:tr w:rsidR="00906D74" w:rsidRPr="00906D74" w:rsidTr="00906D74">
        <w:trPr>
          <w:trHeight w:val="3307"/>
        </w:trPr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06D74" w:rsidRPr="00906D74" w:rsidRDefault="00906D74" w:rsidP="00906D74">
            <w:pPr>
              <w:rPr>
                <w:rFonts w:ascii="Times New Roman" w:hAnsi="Times New Roman" w:cs="Times New Roman"/>
              </w:rPr>
            </w:pPr>
            <w:r w:rsidRPr="00906D74">
              <w:rPr>
                <w:rFonts w:ascii="Times New Roman" w:hAnsi="Times New Roman" w:cs="Times New Roman"/>
              </w:rPr>
              <w:t>3.GRUP</w:t>
            </w:r>
          </w:p>
        </w:tc>
        <w:tc>
          <w:tcPr>
            <w:tcW w:w="6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06D74" w:rsidRDefault="00FE2EFB" w:rsidP="00906D7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06D74">
              <w:rPr>
                <w:rFonts w:ascii="Times New Roman" w:hAnsi="Times New Roman" w:cs="Times New Roman"/>
              </w:rPr>
              <w:t>Alışveriş Merkezleri (1000-4999 metrekare)</w:t>
            </w:r>
          </w:p>
          <w:p w:rsidR="00000000" w:rsidRPr="00906D74" w:rsidRDefault="00FE2EFB" w:rsidP="00906D7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06D74">
              <w:rPr>
                <w:rFonts w:ascii="Times New Roman" w:hAnsi="Times New Roman" w:cs="Times New Roman"/>
              </w:rPr>
              <w:t xml:space="preserve">İş Merkezi ve </w:t>
            </w:r>
            <w:proofErr w:type="gramStart"/>
            <w:r w:rsidRPr="00906D74">
              <w:rPr>
                <w:rFonts w:ascii="Times New Roman" w:hAnsi="Times New Roman" w:cs="Times New Roman"/>
              </w:rPr>
              <w:t>Ticari  Plazalar</w:t>
            </w:r>
            <w:proofErr w:type="gramEnd"/>
            <w:r w:rsidRPr="00906D74">
              <w:rPr>
                <w:rFonts w:ascii="Times New Roman" w:hAnsi="Times New Roman" w:cs="Times New Roman"/>
              </w:rPr>
              <w:t>(100 ve üzeri çalışanlı)</w:t>
            </w:r>
          </w:p>
          <w:p w:rsidR="00000000" w:rsidRPr="00906D74" w:rsidRDefault="00FE2EFB" w:rsidP="00906D7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06D74">
              <w:rPr>
                <w:rFonts w:ascii="Times New Roman" w:hAnsi="Times New Roman" w:cs="Times New Roman"/>
              </w:rPr>
              <w:t>Tren ve Otobüs Terminalleri</w:t>
            </w:r>
          </w:p>
          <w:p w:rsidR="00000000" w:rsidRPr="00906D74" w:rsidRDefault="00FE2EFB" w:rsidP="00906D7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06D74">
              <w:rPr>
                <w:rFonts w:ascii="Times New Roman" w:hAnsi="Times New Roman" w:cs="Times New Roman"/>
              </w:rPr>
              <w:t>ÇED Yönetmeliği Ek-2 Listesinde Yer Alan Sanayi Tesisleri</w:t>
            </w:r>
          </w:p>
          <w:p w:rsidR="00000000" w:rsidRPr="00906D74" w:rsidRDefault="00FE2EFB" w:rsidP="00906D7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06D74">
              <w:rPr>
                <w:rFonts w:ascii="Times New Roman" w:hAnsi="Times New Roman" w:cs="Times New Roman"/>
              </w:rPr>
              <w:t>Eğitim Kurumları ve Yurtlar(50-249 öğrencili)</w:t>
            </w:r>
          </w:p>
          <w:p w:rsidR="00000000" w:rsidRPr="00906D74" w:rsidRDefault="00FE2EFB" w:rsidP="00906D7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06D74">
              <w:rPr>
                <w:rFonts w:ascii="Times New Roman" w:hAnsi="Times New Roman" w:cs="Times New Roman"/>
              </w:rPr>
              <w:t>50-99 Arası Oda Konaklama Kapasiteli</w:t>
            </w:r>
            <w:r w:rsidRPr="00906D74">
              <w:rPr>
                <w:rFonts w:ascii="Times New Roman" w:hAnsi="Times New Roman" w:cs="Times New Roman"/>
              </w:rPr>
              <w:t xml:space="preserve"> </w:t>
            </w:r>
            <w:r w:rsidRPr="00906D74">
              <w:rPr>
                <w:rFonts w:ascii="Times New Roman" w:hAnsi="Times New Roman" w:cs="Times New Roman"/>
              </w:rPr>
              <w:t>İşletmeler</w:t>
            </w:r>
          </w:p>
          <w:p w:rsidR="00000000" w:rsidRPr="00906D74" w:rsidRDefault="00FE2EFB" w:rsidP="00906D7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06D74">
              <w:rPr>
                <w:rFonts w:ascii="Times New Roman" w:hAnsi="Times New Roman" w:cs="Times New Roman"/>
              </w:rPr>
              <w:t>Sağlık Kuruluşları(50-99 arası yatak kapasiteli)</w:t>
            </w:r>
          </w:p>
          <w:p w:rsidR="00000000" w:rsidRPr="00906D74" w:rsidRDefault="00FE2EFB" w:rsidP="00906D7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06D74">
              <w:rPr>
                <w:rFonts w:ascii="Times New Roman" w:hAnsi="Times New Roman" w:cs="Times New Roman"/>
              </w:rPr>
              <w:t>Serbest Bölgeler, Sanayi Siteleri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06D74" w:rsidRPr="00906D74" w:rsidRDefault="00906D74" w:rsidP="00906D74">
            <w:pPr>
              <w:rPr>
                <w:rFonts w:ascii="Times New Roman" w:hAnsi="Times New Roman" w:cs="Times New Roman"/>
              </w:rPr>
            </w:pPr>
            <w:r w:rsidRPr="00906D74">
              <w:rPr>
                <w:rFonts w:ascii="Times New Roman" w:hAnsi="Times New Roman" w:cs="Times New Roman"/>
              </w:rPr>
              <w:t>31 Aralık 2021</w:t>
            </w:r>
          </w:p>
        </w:tc>
      </w:tr>
      <w:tr w:rsidR="00906D74" w:rsidRPr="00906D74" w:rsidTr="00906D74">
        <w:trPr>
          <w:trHeight w:val="5775"/>
        </w:trPr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06D74" w:rsidRPr="00906D74" w:rsidRDefault="00906D74" w:rsidP="00906D74">
            <w:pPr>
              <w:rPr>
                <w:rFonts w:ascii="Times New Roman" w:hAnsi="Times New Roman" w:cs="Times New Roman"/>
              </w:rPr>
            </w:pPr>
            <w:r w:rsidRPr="00906D74">
              <w:rPr>
                <w:rFonts w:ascii="Times New Roman" w:hAnsi="Times New Roman" w:cs="Times New Roman"/>
              </w:rPr>
              <w:t>4.GRUP</w:t>
            </w:r>
          </w:p>
        </w:tc>
        <w:tc>
          <w:tcPr>
            <w:tcW w:w="6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Pr="00906D74" w:rsidRDefault="00FE2EFB" w:rsidP="00906D7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06D74">
              <w:rPr>
                <w:rFonts w:ascii="Times New Roman" w:hAnsi="Times New Roman" w:cs="Times New Roman"/>
              </w:rPr>
              <w:t>Alışveriş Merkezleri(1000 m2’den az)</w:t>
            </w:r>
          </w:p>
          <w:p w:rsidR="00000000" w:rsidRPr="00906D74" w:rsidRDefault="00FE2EFB" w:rsidP="00906D7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06D74">
              <w:rPr>
                <w:rFonts w:ascii="Times New Roman" w:hAnsi="Times New Roman" w:cs="Times New Roman"/>
              </w:rPr>
              <w:t>Eğitim Kurumları ve Yurtlar (50’den az öğrencili)</w:t>
            </w:r>
          </w:p>
          <w:p w:rsidR="00000000" w:rsidRPr="00906D74" w:rsidRDefault="00FE2EFB" w:rsidP="00906D7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06D74">
              <w:rPr>
                <w:rFonts w:ascii="Times New Roman" w:hAnsi="Times New Roman" w:cs="Times New Roman"/>
              </w:rPr>
              <w:t>50’den Az Oda Konaklama Kapasiteli İşletmeler</w:t>
            </w:r>
          </w:p>
          <w:p w:rsidR="00000000" w:rsidRPr="00906D74" w:rsidRDefault="00FE2EFB" w:rsidP="00906D7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06D74">
              <w:rPr>
                <w:rFonts w:ascii="Times New Roman" w:hAnsi="Times New Roman" w:cs="Times New Roman"/>
              </w:rPr>
              <w:t>Sağlık Kuruluşları (50’den az yatak kapasiteli)</w:t>
            </w:r>
          </w:p>
          <w:p w:rsidR="00000000" w:rsidRPr="00906D74" w:rsidRDefault="00FE2EFB" w:rsidP="00906D7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06D74">
              <w:rPr>
                <w:rFonts w:ascii="Times New Roman" w:hAnsi="Times New Roman" w:cs="Times New Roman"/>
              </w:rPr>
              <w:t>İş Merkezi ve Ticari Plazalar (100den az çalışanlı)</w:t>
            </w:r>
          </w:p>
          <w:p w:rsidR="00000000" w:rsidRPr="00906D74" w:rsidRDefault="00FE2EFB" w:rsidP="00906D7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06D74">
              <w:rPr>
                <w:rFonts w:ascii="Times New Roman" w:hAnsi="Times New Roman" w:cs="Times New Roman"/>
              </w:rPr>
              <w:t>Laboratuvarlar, Hukuk büroları, Dernek, Kooperatif, Çevre Danışmanlık firmaları, Meslek kuruluşları, Tüzel Kişiliğe sahip kuruluşlar(50 den fazla çal</w:t>
            </w:r>
            <w:r w:rsidRPr="00906D74">
              <w:rPr>
                <w:rFonts w:ascii="Times New Roman" w:hAnsi="Times New Roman" w:cs="Times New Roman"/>
              </w:rPr>
              <w:t>ışanı bulunanlar)</w:t>
            </w:r>
          </w:p>
          <w:p w:rsidR="00000000" w:rsidRPr="00906D74" w:rsidRDefault="00FE2EFB" w:rsidP="00906D7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06D74">
              <w:rPr>
                <w:rFonts w:ascii="Times New Roman" w:hAnsi="Times New Roman" w:cs="Times New Roman"/>
              </w:rPr>
              <w:t xml:space="preserve">Kafeterya ve </w:t>
            </w:r>
            <w:proofErr w:type="spellStart"/>
            <w:r w:rsidRPr="00906D74">
              <w:rPr>
                <w:rFonts w:ascii="Times New Roman" w:hAnsi="Times New Roman" w:cs="Times New Roman"/>
              </w:rPr>
              <w:t>retoranlar</w:t>
            </w:r>
            <w:proofErr w:type="spellEnd"/>
            <w:r w:rsidRPr="00906D74">
              <w:rPr>
                <w:rFonts w:ascii="Times New Roman" w:hAnsi="Times New Roman" w:cs="Times New Roman"/>
              </w:rPr>
              <w:t xml:space="preserve"> (400m2 den fazla)</w:t>
            </w:r>
          </w:p>
          <w:p w:rsidR="00000000" w:rsidRPr="00906D74" w:rsidRDefault="00FE2EFB" w:rsidP="00906D7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06D74">
              <w:rPr>
                <w:rFonts w:ascii="Times New Roman" w:hAnsi="Times New Roman" w:cs="Times New Roman"/>
              </w:rPr>
              <w:t>Kargo şirketleri (Dağıtım merkezleri ve şubeleri)</w:t>
            </w:r>
          </w:p>
          <w:p w:rsidR="00000000" w:rsidRPr="00906D74" w:rsidRDefault="00FE2EFB" w:rsidP="00906D74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06D74">
              <w:rPr>
                <w:rFonts w:ascii="Times New Roman" w:hAnsi="Times New Roman" w:cs="Times New Roman"/>
              </w:rPr>
              <w:t>27/11/2014 tarih ve 29188 sayılı Resmi Gaz. De yayımlanan Mesafeli Söz. Yönetmeliği kapsamında ambalajlı ürün satışı yapan yerler ( Dağıtım merkezleri ve şubeleri)</w:t>
            </w:r>
          </w:p>
        </w:tc>
        <w:tc>
          <w:tcPr>
            <w:tcW w:w="22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06D74" w:rsidRPr="00906D74" w:rsidRDefault="00906D74" w:rsidP="00906D74">
            <w:pPr>
              <w:rPr>
                <w:rFonts w:ascii="Times New Roman" w:hAnsi="Times New Roman" w:cs="Times New Roman"/>
              </w:rPr>
            </w:pPr>
            <w:r w:rsidRPr="00906D74">
              <w:rPr>
                <w:rFonts w:ascii="Times New Roman" w:hAnsi="Times New Roman" w:cs="Times New Roman"/>
              </w:rPr>
              <w:t>31 Aralık 2022</w:t>
            </w:r>
          </w:p>
        </w:tc>
      </w:tr>
    </w:tbl>
    <w:p w:rsidR="00906D74" w:rsidRDefault="00906D74">
      <w:pPr>
        <w:rPr>
          <w:rFonts w:ascii="Times New Roman" w:hAnsi="Times New Roman" w:cs="Times New Roman"/>
        </w:rPr>
      </w:pPr>
    </w:p>
    <w:p w:rsidR="00906D74" w:rsidRDefault="00906D74">
      <w:pPr>
        <w:rPr>
          <w:rFonts w:ascii="Times New Roman" w:hAnsi="Times New Roman" w:cs="Times New Roman"/>
        </w:rPr>
      </w:pPr>
    </w:p>
    <w:p w:rsidR="00906D74" w:rsidRPr="00F01975" w:rsidRDefault="00906D74" w:rsidP="00F01975">
      <w:pPr>
        <w:jc w:val="both"/>
        <w:rPr>
          <w:rFonts w:ascii="Times New Roman" w:hAnsi="Times New Roman" w:cs="Times New Roman"/>
          <w:sz w:val="24"/>
          <w:szCs w:val="24"/>
        </w:rPr>
      </w:pPr>
      <w:r w:rsidRPr="00F01975">
        <w:rPr>
          <w:rFonts w:ascii="Times New Roman" w:hAnsi="Times New Roman" w:cs="Times New Roman"/>
          <w:sz w:val="24"/>
          <w:szCs w:val="24"/>
        </w:rPr>
        <w:t xml:space="preserve">Yukarıdaki listede </w:t>
      </w:r>
      <w:proofErr w:type="spellStart"/>
      <w:r w:rsidRPr="00F01975">
        <w:rPr>
          <w:rFonts w:ascii="Times New Roman" w:hAnsi="Times New Roman" w:cs="Times New Roman"/>
          <w:sz w:val="24"/>
          <w:szCs w:val="24"/>
        </w:rPr>
        <w:t>yeralan</w:t>
      </w:r>
      <w:proofErr w:type="spellEnd"/>
      <w:r w:rsidRPr="00F01975">
        <w:rPr>
          <w:rFonts w:ascii="Times New Roman" w:hAnsi="Times New Roman" w:cs="Times New Roman"/>
          <w:sz w:val="24"/>
          <w:szCs w:val="24"/>
        </w:rPr>
        <w:t xml:space="preserve"> işletmelerin dışında </w:t>
      </w:r>
      <w:r w:rsidR="00887DC0">
        <w:rPr>
          <w:rFonts w:ascii="Times New Roman" w:hAnsi="Times New Roman" w:cs="Times New Roman"/>
          <w:sz w:val="24"/>
          <w:szCs w:val="24"/>
        </w:rPr>
        <w:t>kalan</w:t>
      </w:r>
      <w:r w:rsidRPr="00F01975">
        <w:rPr>
          <w:rFonts w:ascii="Times New Roman" w:hAnsi="Times New Roman" w:cs="Times New Roman"/>
          <w:sz w:val="24"/>
          <w:szCs w:val="24"/>
        </w:rPr>
        <w:t xml:space="preserve"> tesislerin</w:t>
      </w:r>
      <w:r w:rsidR="00887DC0">
        <w:rPr>
          <w:rFonts w:ascii="Times New Roman" w:hAnsi="Times New Roman" w:cs="Times New Roman"/>
          <w:sz w:val="24"/>
          <w:szCs w:val="24"/>
        </w:rPr>
        <w:t>,</w:t>
      </w:r>
      <w:r w:rsidRPr="00F01975">
        <w:rPr>
          <w:rFonts w:ascii="Times New Roman" w:hAnsi="Times New Roman" w:cs="Times New Roman"/>
          <w:sz w:val="24"/>
          <w:szCs w:val="24"/>
        </w:rPr>
        <w:t xml:space="preserve"> herhangi bir şekilde İl Müdürlüğümüzden yazı almalarına gerek bulunmamaktadır. Yukarıda belirtilen tesisler için Sıfır Atık Sistemi üzerinden başvuru yapılma</w:t>
      </w:r>
      <w:r w:rsidR="00887DC0">
        <w:rPr>
          <w:rFonts w:ascii="Times New Roman" w:hAnsi="Times New Roman" w:cs="Times New Roman"/>
          <w:sz w:val="24"/>
          <w:szCs w:val="24"/>
        </w:rPr>
        <w:t>lıdır</w:t>
      </w:r>
      <w:r w:rsidRPr="00F01975">
        <w:rPr>
          <w:rFonts w:ascii="Times New Roman" w:hAnsi="Times New Roman" w:cs="Times New Roman"/>
          <w:sz w:val="24"/>
          <w:szCs w:val="24"/>
        </w:rPr>
        <w:t xml:space="preserve">. İl Müdürlüğümüze konu ile ilgili herhangi bir basılı evrak için başvuru yapılmaması, </w:t>
      </w:r>
      <w:r w:rsidR="00F01975" w:rsidRPr="00F01975">
        <w:rPr>
          <w:rFonts w:ascii="Times New Roman" w:hAnsi="Times New Roman" w:cs="Times New Roman"/>
          <w:sz w:val="24"/>
          <w:szCs w:val="24"/>
        </w:rPr>
        <w:t xml:space="preserve">yukarıda </w:t>
      </w:r>
      <w:proofErr w:type="spellStart"/>
      <w:r w:rsidR="00F01975" w:rsidRPr="00F01975">
        <w:rPr>
          <w:rFonts w:ascii="Times New Roman" w:hAnsi="Times New Roman" w:cs="Times New Roman"/>
          <w:sz w:val="24"/>
          <w:szCs w:val="24"/>
        </w:rPr>
        <w:t>yeralan</w:t>
      </w:r>
      <w:proofErr w:type="spellEnd"/>
      <w:r w:rsidR="00F01975" w:rsidRPr="00F01975">
        <w:rPr>
          <w:rFonts w:ascii="Times New Roman" w:hAnsi="Times New Roman" w:cs="Times New Roman"/>
          <w:sz w:val="24"/>
          <w:szCs w:val="24"/>
        </w:rPr>
        <w:t xml:space="preserve"> listelerin tüm değerlendirilmelerde kullanılması yeterlidir.</w:t>
      </w:r>
    </w:p>
    <w:sectPr w:rsidR="00906D74" w:rsidRPr="00F01975" w:rsidSect="0090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099"/>
    <w:multiLevelType w:val="hybridMultilevel"/>
    <w:tmpl w:val="17F8FE8C"/>
    <w:lvl w:ilvl="0" w:tplc="CE042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A2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0E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4B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EC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AD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C9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2C8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EE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4325FB"/>
    <w:multiLevelType w:val="hybridMultilevel"/>
    <w:tmpl w:val="A45E4434"/>
    <w:lvl w:ilvl="0" w:tplc="0220D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4C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788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60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08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482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EE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F2B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AD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960B45"/>
    <w:multiLevelType w:val="hybridMultilevel"/>
    <w:tmpl w:val="12768F40"/>
    <w:lvl w:ilvl="0" w:tplc="F57AD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AD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704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321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D6B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21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1C5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D8D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6C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761C2C"/>
    <w:multiLevelType w:val="hybridMultilevel"/>
    <w:tmpl w:val="04626432"/>
    <w:lvl w:ilvl="0" w:tplc="4EC2F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610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AA2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85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60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29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20F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4AC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BCC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3F4554"/>
    <w:multiLevelType w:val="hybridMultilevel"/>
    <w:tmpl w:val="B282A6AE"/>
    <w:lvl w:ilvl="0" w:tplc="FDDEE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0E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7AF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E1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0C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AC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2A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CA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FE2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6648E5"/>
    <w:multiLevelType w:val="hybridMultilevel"/>
    <w:tmpl w:val="5C78EF00"/>
    <w:lvl w:ilvl="0" w:tplc="736C8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40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61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2D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42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EF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67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60B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C4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62716E6"/>
    <w:multiLevelType w:val="hybridMultilevel"/>
    <w:tmpl w:val="3FC28B38"/>
    <w:lvl w:ilvl="0" w:tplc="7EAE4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6E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E7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C9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6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47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E7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48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02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E5C6A74"/>
    <w:multiLevelType w:val="hybridMultilevel"/>
    <w:tmpl w:val="4F5499B6"/>
    <w:lvl w:ilvl="0" w:tplc="83643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69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2C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2F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67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28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009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E0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563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74"/>
    <w:rsid w:val="007B3205"/>
    <w:rsid w:val="00887DC0"/>
    <w:rsid w:val="00906D74"/>
    <w:rsid w:val="00F01975"/>
    <w:rsid w:val="00F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AB10"/>
  <w15:chartTrackingRefBased/>
  <w15:docId w15:val="{E8ABBE54-F8D7-497C-936A-372538C4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06D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06D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7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9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1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6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9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1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 Bulut</dc:creator>
  <cp:keywords/>
  <dc:description/>
  <cp:lastModifiedBy>Alev Bulut</cp:lastModifiedBy>
  <cp:revision>3</cp:revision>
  <dcterms:created xsi:type="dcterms:W3CDTF">2021-11-12T06:20:00Z</dcterms:created>
  <dcterms:modified xsi:type="dcterms:W3CDTF">2021-11-12T06:32:00Z</dcterms:modified>
</cp:coreProperties>
</file>