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8F" w:rsidRPr="0023542D" w:rsidRDefault="007B3C8F" w:rsidP="00C5321E">
      <w:pPr>
        <w:spacing w:after="0"/>
        <w:ind w:left="-567"/>
        <w:jc w:val="center"/>
        <w:rPr>
          <w:b/>
          <w:sz w:val="16"/>
          <w:szCs w:val="16"/>
        </w:rPr>
      </w:pPr>
    </w:p>
    <w:p w:rsidR="007B3C8F" w:rsidRPr="00FB1BB4" w:rsidRDefault="007B3C8F" w:rsidP="00355EB6">
      <w:pPr>
        <w:spacing w:after="0"/>
        <w:ind w:left="-142"/>
        <w:jc w:val="center"/>
        <w:rPr>
          <w:b/>
          <w:sz w:val="36"/>
          <w:szCs w:val="36"/>
        </w:rPr>
      </w:pPr>
      <w:r w:rsidRPr="00FB1BB4">
        <w:rPr>
          <w:b/>
          <w:sz w:val="36"/>
          <w:szCs w:val="36"/>
        </w:rPr>
        <w:t>İLAN</w:t>
      </w:r>
    </w:p>
    <w:p w:rsidR="00C5321E" w:rsidRDefault="00C5321E" w:rsidP="00C5321E">
      <w:pPr>
        <w:spacing w:after="0"/>
        <w:ind w:left="-567"/>
        <w:jc w:val="center"/>
        <w:rPr>
          <w:b/>
          <w:sz w:val="28"/>
          <w:szCs w:val="28"/>
        </w:rPr>
      </w:pPr>
      <w:r w:rsidRPr="00FB1BB4">
        <w:rPr>
          <w:b/>
          <w:sz w:val="28"/>
          <w:szCs w:val="28"/>
        </w:rPr>
        <w:t>ORHANGAZİ MİLLİ EMLAK ŞEFLİĞİNDEN SATIŞ İHALESİ YAPILACAK TAŞINMAZLAR</w:t>
      </w:r>
    </w:p>
    <w:tbl>
      <w:tblPr>
        <w:tblStyle w:val="TabloKlavuzu"/>
        <w:tblW w:w="14960" w:type="dxa"/>
        <w:tblLayout w:type="fixed"/>
        <w:tblLook w:val="04A0" w:firstRow="1" w:lastRow="0" w:firstColumn="1" w:lastColumn="0" w:noHBand="0" w:noVBand="1"/>
      </w:tblPr>
      <w:tblGrid>
        <w:gridCol w:w="817"/>
        <w:gridCol w:w="1525"/>
        <w:gridCol w:w="1027"/>
        <w:gridCol w:w="851"/>
        <w:gridCol w:w="885"/>
        <w:gridCol w:w="1310"/>
        <w:gridCol w:w="1100"/>
        <w:gridCol w:w="1734"/>
        <w:gridCol w:w="1349"/>
        <w:gridCol w:w="1243"/>
        <w:gridCol w:w="1634"/>
        <w:gridCol w:w="1485"/>
      </w:tblGrid>
      <w:tr w:rsidR="0023542D" w:rsidRPr="00FB1BB4" w:rsidTr="0082578B">
        <w:tc>
          <w:tcPr>
            <w:tcW w:w="817" w:type="dxa"/>
            <w:vAlign w:val="center"/>
          </w:tcPr>
          <w:p w:rsidR="00C5321E" w:rsidRPr="00FB1BB4" w:rsidRDefault="00C5321E" w:rsidP="007A0589">
            <w:pPr>
              <w:rPr>
                <w:b/>
                <w:sz w:val="24"/>
                <w:szCs w:val="24"/>
              </w:rPr>
            </w:pPr>
            <w:r w:rsidRPr="00FB1BB4">
              <w:rPr>
                <w:b/>
                <w:sz w:val="24"/>
                <w:szCs w:val="24"/>
              </w:rPr>
              <w:t>Sıra No</w:t>
            </w:r>
          </w:p>
        </w:tc>
        <w:tc>
          <w:tcPr>
            <w:tcW w:w="1525" w:type="dxa"/>
            <w:vAlign w:val="center"/>
          </w:tcPr>
          <w:p w:rsidR="00C5321E" w:rsidRPr="00FB1BB4" w:rsidRDefault="00C5321E" w:rsidP="00FB1BB4">
            <w:pPr>
              <w:tabs>
                <w:tab w:val="left" w:pos="242"/>
              </w:tabs>
              <w:jc w:val="center"/>
              <w:rPr>
                <w:b/>
                <w:sz w:val="24"/>
                <w:szCs w:val="24"/>
              </w:rPr>
            </w:pPr>
            <w:r w:rsidRPr="00FB1BB4">
              <w:rPr>
                <w:b/>
                <w:sz w:val="24"/>
                <w:szCs w:val="24"/>
              </w:rPr>
              <w:t>Mahalle</w:t>
            </w:r>
          </w:p>
        </w:tc>
        <w:tc>
          <w:tcPr>
            <w:tcW w:w="1027" w:type="dxa"/>
            <w:vAlign w:val="center"/>
          </w:tcPr>
          <w:p w:rsidR="00C5321E" w:rsidRPr="00FB1BB4" w:rsidRDefault="00C5321E" w:rsidP="007A0589">
            <w:pPr>
              <w:jc w:val="center"/>
              <w:rPr>
                <w:b/>
                <w:sz w:val="24"/>
                <w:szCs w:val="24"/>
              </w:rPr>
            </w:pPr>
            <w:r w:rsidRPr="00FB1BB4">
              <w:rPr>
                <w:b/>
                <w:sz w:val="24"/>
                <w:szCs w:val="24"/>
              </w:rPr>
              <w:t>Cinsi</w:t>
            </w:r>
          </w:p>
        </w:tc>
        <w:tc>
          <w:tcPr>
            <w:tcW w:w="851" w:type="dxa"/>
            <w:vAlign w:val="center"/>
          </w:tcPr>
          <w:p w:rsidR="00C5321E" w:rsidRPr="00FB1BB4" w:rsidRDefault="00C5321E" w:rsidP="007A0589">
            <w:pPr>
              <w:jc w:val="center"/>
              <w:rPr>
                <w:b/>
                <w:sz w:val="24"/>
                <w:szCs w:val="24"/>
              </w:rPr>
            </w:pPr>
            <w:r w:rsidRPr="00FB1BB4">
              <w:rPr>
                <w:b/>
                <w:sz w:val="24"/>
                <w:szCs w:val="24"/>
              </w:rPr>
              <w:t>Ada No</w:t>
            </w:r>
          </w:p>
        </w:tc>
        <w:tc>
          <w:tcPr>
            <w:tcW w:w="885" w:type="dxa"/>
            <w:vAlign w:val="center"/>
          </w:tcPr>
          <w:p w:rsidR="00C5321E" w:rsidRPr="00FB1BB4" w:rsidRDefault="00C5321E" w:rsidP="007A0589">
            <w:pPr>
              <w:jc w:val="center"/>
              <w:rPr>
                <w:b/>
                <w:sz w:val="24"/>
                <w:szCs w:val="24"/>
              </w:rPr>
            </w:pPr>
            <w:r w:rsidRPr="00FB1BB4">
              <w:rPr>
                <w:b/>
                <w:sz w:val="24"/>
                <w:szCs w:val="24"/>
              </w:rPr>
              <w:t>Parsel No</w:t>
            </w:r>
          </w:p>
        </w:tc>
        <w:tc>
          <w:tcPr>
            <w:tcW w:w="1310" w:type="dxa"/>
            <w:vAlign w:val="center"/>
          </w:tcPr>
          <w:p w:rsidR="00C5321E" w:rsidRPr="00FB1BB4" w:rsidRDefault="00C5321E" w:rsidP="007A0589">
            <w:pPr>
              <w:jc w:val="center"/>
              <w:rPr>
                <w:b/>
                <w:sz w:val="24"/>
                <w:szCs w:val="24"/>
              </w:rPr>
            </w:pPr>
            <w:r w:rsidRPr="00FB1BB4">
              <w:rPr>
                <w:b/>
                <w:sz w:val="24"/>
                <w:szCs w:val="24"/>
              </w:rPr>
              <w:t>Yüzölçümü (m</w:t>
            </w:r>
            <w:r w:rsidRPr="00FB1BB4">
              <w:rPr>
                <w:b/>
                <w:sz w:val="24"/>
                <w:szCs w:val="24"/>
                <w:vertAlign w:val="superscript"/>
              </w:rPr>
              <w:t>2</w:t>
            </w:r>
            <w:r w:rsidRPr="00FB1BB4">
              <w:rPr>
                <w:b/>
                <w:sz w:val="24"/>
                <w:szCs w:val="24"/>
              </w:rPr>
              <w:t>)</w:t>
            </w:r>
          </w:p>
        </w:tc>
        <w:tc>
          <w:tcPr>
            <w:tcW w:w="1100" w:type="dxa"/>
            <w:vAlign w:val="center"/>
          </w:tcPr>
          <w:p w:rsidR="00C5321E" w:rsidRPr="00FB1BB4" w:rsidRDefault="00C5321E" w:rsidP="007A0589">
            <w:pPr>
              <w:jc w:val="center"/>
              <w:rPr>
                <w:b/>
                <w:sz w:val="24"/>
                <w:szCs w:val="24"/>
              </w:rPr>
            </w:pPr>
            <w:r w:rsidRPr="00FB1BB4">
              <w:rPr>
                <w:b/>
                <w:sz w:val="24"/>
                <w:szCs w:val="24"/>
              </w:rPr>
              <w:t>Hazine</w:t>
            </w:r>
          </w:p>
          <w:p w:rsidR="00C5321E" w:rsidRPr="00FB1BB4" w:rsidRDefault="00C5321E" w:rsidP="007A0589">
            <w:pPr>
              <w:jc w:val="center"/>
              <w:rPr>
                <w:b/>
                <w:sz w:val="24"/>
                <w:szCs w:val="24"/>
              </w:rPr>
            </w:pPr>
            <w:r w:rsidRPr="00FB1BB4">
              <w:rPr>
                <w:b/>
                <w:sz w:val="24"/>
                <w:szCs w:val="24"/>
              </w:rPr>
              <w:t>Hissesi</w:t>
            </w:r>
          </w:p>
          <w:p w:rsidR="00C5321E" w:rsidRPr="00FB1BB4" w:rsidRDefault="00C5321E" w:rsidP="007A0589">
            <w:pPr>
              <w:jc w:val="center"/>
              <w:rPr>
                <w:b/>
                <w:sz w:val="24"/>
                <w:szCs w:val="24"/>
              </w:rPr>
            </w:pPr>
            <w:r w:rsidRPr="00FB1BB4">
              <w:rPr>
                <w:b/>
                <w:sz w:val="24"/>
                <w:szCs w:val="24"/>
              </w:rPr>
              <w:t>(m</w:t>
            </w:r>
            <w:r w:rsidRPr="00FB1BB4">
              <w:rPr>
                <w:b/>
                <w:sz w:val="24"/>
                <w:szCs w:val="24"/>
                <w:vertAlign w:val="superscript"/>
              </w:rPr>
              <w:t>2</w:t>
            </w:r>
            <w:r w:rsidRPr="00FB1BB4">
              <w:rPr>
                <w:b/>
                <w:sz w:val="24"/>
                <w:szCs w:val="24"/>
              </w:rPr>
              <w:t>)</w:t>
            </w:r>
          </w:p>
        </w:tc>
        <w:tc>
          <w:tcPr>
            <w:tcW w:w="1734" w:type="dxa"/>
            <w:vAlign w:val="center"/>
          </w:tcPr>
          <w:p w:rsidR="00C5321E" w:rsidRPr="00FB1BB4" w:rsidRDefault="00C5321E" w:rsidP="007A0589">
            <w:pPr>
              <w:jc w:val="center"/>
              <w:rPr>
                <w:b/>
                <w:sz w:val="24"/>
                <w:szCs w:val="24"/>
              </w:rPr>
            </w:pPr>
            <w:r w:rsidRPr="00FB1BB4">
              <w:rPr>
                <w:b/>
                <w:sz w:val="24"/>
                <w:szCs w:val="24"/>
              </w:rPr>
              <w:t>İmar Durumu</w:t>
            </w:r>
          </w:p>
        </w:tc>
        <w:tc>
          <w:tcPr>
            <w:tcW w:w="1349" w:type="dxa"/>
            <w:vAlign w:val="center"/>
          </w:tcPr>
          <w:p w:rsidR="00C5321E" w:rsidRPr="00FB1BB4" w:rsidRDefault="00C5321E" w:rsidP="007A0589">
            <w:pPr>
              <w:jc w:val="center"/>
              <w:rPr>
                <w:b/>
                <w:sz w:val="24"/>
                <w:szCs w:val="24"/>
              </w:rPr>
            </w:pPr>
            <w:r w:rsidRPr="00FB1BB4">
              <w:rPr>
                <w:b/>
                <w:sz w:val="24"/>
                <w:szCs w:val="24"/>
              </w:rPr>
              <w:t>Tahmini</w:t>
            </w:r>
          </w:p>
          <w:p w:rsidR="00C5321E" w:rsidRPr="00FB1BB4" w:rsidRDefault="00C5321E" w:rsidP="007A0589">
            <w:pPr>
              <w:jc w:val="center"/>
              <w:rPr>
                <w:b/>
                <w:sz w:val="24"/>
                <w:szCs w:val="24"/>
              </w:rPr>
            </w:pPr>
            <w:r w:rsidRPr="00FB1BB4">
              <w:rPr>
                <w:b/>
                <w:sz w:val="24"/>
                <w:szCs w:val="24"/>
              </w:rPr>
              <w:t>Satış bedeli</w:t>
            </w:r>
          </w:p>
          <w:p w:rsidR="00C5321E" w:rsidRPr="00FB1BB4" w:rsidRDefault="00C5321E" w:rsidP="007A0589">
            <w:pPr>
              <w:jc w:val="center"/>
              <w:rPr>
                <w:b/>
                <w:sz w:val="24"/>
                <w:szCs w:val="24"/>
              </w:rPr>
            </w:pPr>
            <w:r w:rsidRPr="00FB1BB4">
              <w:rPr>
                <w:b/>
                <w:sz w:val="24"/>
                <w:szCs w:val="24"/>
              </w:rPr>
              <w:t>(TL)</w:t>
            </w:r>
          </w:p>
        </w:tc>
        <w:tc>
          <w:tcPr>
            <w:tcW w:w="1243" w:type="dxa"/>
            <w:vAlign w:val="center"/>
          </w:tcPr>
          <w:p w:rsidR="00C5321E" w:rsidRPr="00FB1BB4" w:rsidRDefault="00C5321E" w:rsidP="007A0589">
            <w:pPr>
              <w:jc w:val="center"/>
              <w:rPr>
                <w:b/>
                <w:sz w:val="24"/>
                <w:szCs w:val="24"/>
              </w:rPr>
            </w:pPr>
            <w:r w:rsidRPr="00FB1BB4">
              <w:rPr>
                <w:b/>
                <w:sz w:val="24"/>
                <w:szCs w:val="24"/>
              </w:rPr>
              <w:t>Geçici</w:t>
            </w:r>
          </w:p>
          <w:p w:rsidR="00C5321E" w:rsidRPr="00FB1BB4" w:rsidRDefault="00C5321E" w:rsidP="007A0589">
            <w:pPr>
              <w:jc w:val="center"/>
              <w:rPr>
                <w:b/>
                <w:sz w:val="24"/>
                <w:szCs w:val="24"/>
              </w:rPr>
            </w:pPr>
            <w:r w:rsidRPr="00FB1BB4">
              <w:rPr>
                <w:b/>
                <w:sz w:val="24"/>
                <w:szCs w:val="24"/>
              </w:rPr>
              <w:t>Teminatı</w:t>
            </w:r>
          </w:p>
          <w:p w:rsidR="00C5321E" w:rsidRPr="00FB1BB4" w:rsidRDefault="00C5321E" w:rsidP="007A0589">
            <w:pPr>
              <w:jc w:val="center"/>
              <w:rPr>
                <w:b/>
                <w:sz w:val="24"/>
                <w:szCs w:val="24"/>
              </w:rPr>
            </w:pPr>
            <w:r w:rsidRPr="00FB1BB4">
              <w:rPr>
                <w:b/>
                <w:sz w:val="24"/>
                <w:szCs w:val="24"/>
              </w:rPr>
              <w:t>(TL)</w:t>
            </w:r>
          </w:p>
        </w:tc>
        <w:tc>
          <w:tcPr>
            <w:tcW w:w="1634" w:type="dxa"/>
            <w:vAlign w:val="center"/>
          </w:tcPr>
          <w:p w:rsidR="00C5321E" w:rsidRPr="00FB1BB4" w:rsidRDefault="00C5321E" w:rsidP="007A0589">
            <w:pPr>
              <w:jc w:val="center"/>
              <w:rPr>
                <w:b/>
                <w:sz w:val="24"/>
                <w:szCs w:val="24"/>
              </w:rPr>
            </w:pPr>
            <w:r w:rsidRPr="00FB1BB4">
              <w:rPr>
                <w:b/>
                <w:sz w:val="24"/>
                <w:szCs w:val="24"/>
              </w:rPr>
              <w:t>İhale Tarihi</w:t>
            </w:r>
          </w:p>
        </w:tc>
        <w:tc>
          <w:tcPr>
            <w:tcW w:w="1485" w:type="dxa"/>
            <w:vAlign w:val="center"/>
          </w:tcPr>
          <w:p w:rsidR="00C5321E" w:rsidRPr="00FB1BB4" w:rsidRDefault="00C5321E" w:rsidP="007A0589">
            <w:pPr>
              <w:jc w:val="center"/>
              <w:rPr>
                <w:b/>
                <w:sz w:val="24"/>
                <w:szCs w:val="24"/>
              </w:rPr>
            </w:pPr>
            <w:r w:rsidRPr="00FB1BB4">
              <w:rPr>
                <w:b/>
                <w:sz w:val="24"/>
                <w:szCs w:val="24"/>
              </w:rPr>
              <w:t>İhale</w:t>
            </w:r>
          </w:p>
          <w:p w:rsidR="00C5321E" w:rsidRPr="00FB1BB4" w:rsidRDefault="00C5321E" w:rsidP="007A0589">
            <w:pPr>
              <w:jc w:val="center"/>
              <w:rPr>
                <w:b/>
                <w:sz w:val="24"/>
                <w:szCs w:val="24"/>
              </w:rPr>
            </w:pPr>
            <w:r w:rsidRPr="00FB1BB4">
              <w:rPr>
                <w:b/>
                <w:sz w:val="24"/>
                <w:szCs w:val="24"/>
              </w:rPr>
              <w:t>Saati</w:t>
            </w:r>
          </w:p>
        </w:tc>
      </w:tr>
      <w:tr w:rsidR="0023542D" w:rsidRPr="00FB1BB4" w:rsidTr="0082578B">
        <w:tc>
          <w:tcPr>
            <w:tcW w:w="817" w:type="dxa"/>
          </w:tcPr>
          <w:p w:rsidR="00C5321E" w:rsidRDefault="00C5321E" w:rsidP="007A0589">
            <w:pPr>
              <w:jc w:val="center"/>
              <w:rPr>
                <w:sz w:val="24"/>
                <w:szCs w:val="24"/>
              </w:rPr>
            </w:pPr>
            <w:r w:rsidRPr="00FB1BB4">
              <w:rPr>
                <w:sz w:val="24"/>
                <w:szCs w:val="24"/>
              </w:rPr>
              <w:t>1</w:t>
            </w:r>
          </w:p>
          <w:p w:rsidR="00355EB6" w:rsidRPr="00FB1BB4" w:rsidRDefault="00355EB6" w:rsidP="007A0589">
            <w:pPr>
              <w:jc w:val="center"/>
              <w:rPr>
                <w:sz w:val="24"/>
                <w:szCs w:val="24"/>
              </w:rPr>
            </w:pPr>
          </w:p>
        </w:tc>
        <w:tc>
          <w:tcPr>
            <w:tcW w:w="1525" w:type="dxa"/>
            <w:vAlign w:val="center"/>
          </w:tcPr>
          <w:p w:rsidR="00C5321E" w:rsidRPr="00FB1BB4" w:rsidRDefault="0082578B" w:rsidP="007A0589">
            <w:pPr>
              <w:jc w:val="center"/>
              <w:rPr>
                <w:sz w:val="24"/>
                <w:szCs w:val="24"/>
              </w:rPr>
            </w:pPr>
            <w:r>
              <w:rPr>
                <w:sz w:val="24"/>
                <w:szCs w:val="24"/>
              </w:rPr>
              <w:t xml:space="preserve">Mahmudiye </w:t>
            </w:r>
          </w:p>
        </w:tc>
        <w:tc>
          <w:tcPr>
            <w:tcW w:w="1027" w:type="dxa"/>
            <w:vAlign w:val="center"/>
          </w:tcPr>
          <w:p w:rsidR="00C5321E" w:rsidRPr="00FB1BB4" w:rsidRDefault="0082578B" w:rsidP="007A0589">
            <w:pPr>
              <w:jc w:val="center"/>
              <w:rPr>
                <w:sz w:val="24"/>
                <w:szCs w:val="24"/>
              </w:rPr>
            </w:pPr>
            <w:r>
              <w:rPr>
                <w:sz w:val="24"/>
                <w:szCs w:val="24"/>
              </w:rPr>
              <w:t>Çalılık</w:t>
            </w:r>
          </w:p>
        </w:tc>
        <w:tc>
          <w:tcPr>
            <w:tcW w:w="851" w:type="dxa"/>
            <w:vAlign w:val="center"/>
          </w:tcPr>
          <w:p w:rsidR="00C5321E" w:rsidRPr="00FB1BB4" w:rsidRDefault="0082578B" w:rsidP="007A0589">
            <w:pPr>
              <w:jc w:val="center"/>
              <w:rPr>
                <w:sz w:val="24"/>
                <w:szCs w:val="24"/>
              </w:rPr>
            </w:pPr>
            <w:r>
              <w:rPr>
                <w:sz w:val="24"/>
                <w:szCs w:val="24"/>
              </w:rPr>
              <w:t>119</w:t>
            </w:r>
          </w:p>
        </w:tc>
        <w:tc>
          <w:tcPr>
            <w:tcW w:w="885" w:type="dxa"/>
            <w:vAlign w:val="center"/>
          </w:tcPr>
          <w:p w:rsidR="00C5321E" w:rsidRPr="00FB1BB4" w:rsidRDefault="0082578B" w:rsidP="007A0589">
            <w:pPr>
              <w:jc w:val="center"/>
              <w:rPr>
                <w:sz w:val="24"/>
                <w:szCs w:val="24"/>
              </w:rPr>
            </w:pPr>
            <w:r>
              <w:rPr>
                <w:sz w:val="24"/>
                <w:szCs w:val="24"/>
              </w:rPr>
              <w:t>81</w:t>
            </w:r>
          </w:p>
        </w:tc>
        <w:tc>
          <w:tcPr>
            <w:tcW w:w="1310" w:type="dxa"/>
            <w:vAlign w:val="center"/>
          </w:tcPr>
          <w:p w:rsidR="00C5321E" w:rsidRPr="00FB1BB4" w:rsidRDefault="0082578B" w:rsidP="007A0589">
            <w:pPr>
              <w:jc w:val="center"/>
              <w:rPr>
                <w:sz w:val="24"/>
                <w:szCs w:val="24"/>
              </w:rPr>
            </w:pPr>
            <w:r>
              <w:rPr>
                <w:sz w:val="24"/>
                <w:szCs w:val="24"/>
              </w:rPr>
              <w:t>489,39</w:t>
            </w:r>
          </w:p>
        </w:tc>
        <w:tc>
          <w:tcPr>
            <w:tcW w:w="1100" w:type="dxa"/>
            <w:vAlign w:val="center"/>
          </w:tcPr>
          <w:p w:rsidR="00C5321E" w:rsidRPr="00FB1BB4" w:rsidRDefault="00C5321E" w:rsidP="007A0589">
            <w:pPr>
              <w:jc w:val="center"/>
              <w:rPr>
                <w:sz w:val="24"/>
                <w:szCs w:val="24"/>
              </w:rPr>
            </w:pPr>
            <w:r w:rsidRPr="00FB1BB4">
              <w:rPr>
                <w:sz w:val="24"/>
                <w:szCs w:val="24"/>
              </w:rPr>
              <w:t>Tam</w:t>
            </w:r>
          </w:p>
        </w:tc>
        <w:tc>
          <w:tcPr>
            <w:tcW w:w="1734" w:type="dxa"/>
            <w:vAlign w:val="center"/>
          </w:tcPr>
          <w:p w:rsidR="00C5321E" w:rsidRPr="00FB1BB4" w:rsidRDefault="0082578B" w:rsidP="007A0589">
            <w:pPr>
              <w:jc w:val="center"/>
              <w:rPr>
                <w:sz w:val="24"/>
                <w:szCs w:val="24"/>
              </w:rPr>
            </w:pPr>
            <w:r>
              <w:rPr>
                <w:sz w:val="24"/>
                <w:szCs w:val="24"/>
              </w:rPr>
              <w:t>Diğer Tarım Alanı</w:t>
            </w:r>
          </w:p>
        </w:tc>
        <w:tc>
          <w:tcPr>
            <w:tcW w:w="1349" w:type="dxa"/>
            <w:vAlign w:val="center"/>
          </w:tcPr>
          <w:p w:rsidR="00C5321E" w:rsidRPr="00FB1BB4" w:rsidRDefault="0082578B" w:rsidP="007A0589">
            <w:pPr>
              <w:jc w:val="center"/>
              <w:rPr>
                <w:sz w:val="24"/>
                <w:szCs w:val="24"/>
              </w:rPr>
            </w:pPr>
            <w:r>
              <w:rPr>
                <w:sz w:val="24"/>
                <w:szCs w:val="24"/>
              </w:rPr>
              <w:t>5</w:t>
            </w:r>
            <w:r w:rsidR="00C5321E" w:rsidRPr="00FB1BB4">
              <w:rPr>
                <w:sz w:val="24"/>
                <w:szCs w:val="24"/>
              </w:rPr>
              <w:t>.000,00</w:t>
            </w:r>
          </w:p>
        </w:tc>
        <w:tc>
          <w:tcPr>
            <w:tcW w:w="1243" w:type="dxa"/>
            <w:vAlign w:val="center"/>
          </w:tcPr>
          <w:p w:rsidR="00C5321E" w:rsidRPr="00FB1BB4" w:rsidRDefault="0082578B" w:rsidP="007A0589">
            <w:pPr>
              <w:jc w:val="center"/>
              <w:rPr>
                <w:sz w:val="24"/>
                <w:szCs w:val="24"/>
              </w:rPr>
            </w:pPr>
            <w:r>
              <w:rPr>
                <w:sz w:val="24"/>
                <w:szCs w:val="24"/>
              </w:rPr>
              <w:t>1.000,00</w:t>
            </w:r>
          </w:p>
        </w:tc>
        <w:tc>
          <w:tcPr>
            <w:tcW w:w="1634" w:type="dxa"/>
            <w:vAlign w:val="center"/>
          </w:tcPr>
          <w:p w:rsidR="00C5321E" w:rsidRPr="00FB1BB4" w:rsidRDefault="0082578B" w:rsidP="007A0589">
            <w:pPr>
              <w:jc w:val="center"/>
              <w:rPr>
                <w:sz w:val="24"/>
                <w:szCs w:val="24"/>
              </w:rPr>
            </w:pPr>
            <w:r>
              <w:rPr>
                <w:sz w:val="24"/>
                <w:szCs w:val="24"/>
              </w:rPr>
              <w:t>21.08.2019</w:t>
            </w:r>
          </w:p>
        </w:tc>
        <w:tc>
          <w:tcPr>
            <w:tcW w:w="1485" w:type="dxa"/>
            <w:vAlign w:val="center"/>
          </w:tcPr>
          <w:p w:rsidR="00C5321E" w:rsidRPr="00FB1BB4" w:rsidRDefault="00C5321E" w:rsidP="007A0589">
            <w:pPr>
              <w:jc w:val="center"/>
              <w:rPr>
                <w:sz w:val="24"/>
                <w:szCs w:val="24"/>
              </w:rPr>
            </w:pPr>
            <w:proofErr w:type="gramStart"/>
            <w:r w:rsidRPr="00FB1BB4">
              <w:rPr>
                <w:sz w:val="24"/>
                <w:szCs w:val="24"/>
              </w:rPr>
              <w:t>14:00</w:t>
            </w:r>
            <w:proofErr w:type="gramEnd"/>
          </w:p>
        </w:tc>
      </w:tr>
      <w:tr w:rsidR="0023542D" w:rsidRPr="00FB1BB4" w:rsidTr="0082578B">
        <w:tc>
          <w:tcPr>
            <w:tcW w:w="817" w:type="dxa"/>
          </w:tcPr>
          <w:p w:rsidR="00C5321E" w:rsidRDefault="00C5321E" w:rsidP="007A0589">
            <w:pPr>
              <w:jc w:val="center"/>
              <w:rPr>
                <w:sz w:val="24"/>
                <w:szCs w:val="24"/>
              </w:rPr>
            </w:pPr>
            <w:r w:rsidRPr="00FB1BB4">
              <w:rPr>
                <w:sz w:val="24"/>
                <w:szCs w:val="24"/>
              </w:rPr>
              <w:t>2</w:t>
            </w:r>
          </w:p>
          <w:p w:rsidR="00355EB6" w:rsidRPr="00FB1BB4" w:rsidRDefault="00355EB6" w:rsidP="007A0589">
            <w:pPr>
              <w:jc w:val="center"/>
              <w:rPr>
                <w:sz w:val="24"/>
                <w:szCs w:val="24"/>
              </w:rPr>
            </w:pPr>
          </w:p>
        </w:tc>
        <w:tc>
          <w:tcPr>
            <w:tcW w:w="1525" w:type="dxa"/>
            <w:vAlign w:val="center"/>
          </w:tcPr>
          <w:p w:rsidR="00C5321E" w:rsidRPr="00FB1BB4" w:rsidRDefault="0082578B" w:rsidP="007A0589">
            <w:pPr>
              <w:jc w:val="center"/>
              <w:rPr>
                <w:sz w:val="24"/>
                <w:szCs w:val="24"/>
              </w:rPr>
            </w:pPr>
            <w:r>
              <w:rPr>
                <w:sz w:val="24"/>
                <w:szCs w:val="24"/>
              </w:rPr>
              <w:t>Mahmudiye</w:t>
            </w:r>
          </w:p>
        </w:tc>
        <w:tc>
          <w:tcPr>
            <w:tcW w:w="1027" w:type="dxa"/>
            <w:vAlign w:val="center"/>
          </w:tcPr>
          <w:p w:rsidR="00C5321E" w:rsidRPr="00FB1BB4" w:rsidRDefault="0082578B" w:rsidP="007A0589">
            <w:pPr>
              <w:jc w:val="center"/>
              <w:rPr>
                <w:sz w:val="24"/>
                <w:szCs w:val="24"/>
              </w:rPr>
            </w:pPr>
            <w:r>
              <w:rPr>
                <w:sz w:val="24"/>
                <w:szCs w:val="24"/>
              </w:rPr>
              <w:t>Ağaçlık</w:t>
            </w:r>
          </w:p>
        </w:tc>
        <w:tc>
          <w:tcPr>
            <w:tcW w:w="851" w:type="dxa"/>
            <w:vAlign w:val="center"/>
          </w:tcPr>
          <w:p w:rsidR="00C5321E" w:rsidRPr="00FB1BB4" w:rsidRDefault="0082578B" w:rsidP="007A0589">
            <w:pPr>
              <w:jc w:val="center"/>
              <w:rPr>
                <w:sz w:val="24"/>
                <w:szCs w:val="24"/>
              </w:rPr>
            </w:pPr>
            <w:r>
              <w:rPr>
                <w:sz w:val="24"/>
                <w:szCs w:val="24"/>
              </w:rPr>
              <w:t>118</w:t>
            </w:r>
          </w:p>
        </w:tc>
        <w:tc>
          <w:tcPr>
            <w:tcW w:w="885" w:type="dxa"/>
            <w:vAlign w:val="center"/>
          </w:tcPr>
          <w:p w:rsidR="00C5321E" w:rsidRPr="00FB1BB4" w:rsidRDefault="0082578B" w:rsidP="007A0589">
            <w:pPr>
              <w:jc w:val="center"/>
              <w:rPr>
                <w:sz w:val="24"/>
                <w:szCs w:val="24"/>
              </w:rPr>
            </w:pPr>
            <w:r>
              <w:rPr>
                <w:sz w:val="24"/>
                <w:szCs w:val="24"/>
              </w:rPr>
              <w:t>31</w:t>
            </w:r>
          </w:p>
        </w:tc>
        <w:tc>
          <w:tcPr>
            <w:tcW w:w="1310" w:type="dxa"/>
            <w:vAlign w:val="center"/>
          </w:tcPr>
          <w:p w:rsidR="00C5321E" w:rsidRPr="00FB1BB4" w:rsidRDefault="0082578B" w:rsidP="007A0589">
            <w:pPr>
              <w:jc w:val="center"/>
              <w:rPr>
                <w:sz w:val="24"/>
                <w:szCs w:val="24"/>
              </w:rPr>
            </w:pPr>
            <w:r>
              <w:rPr>
                <w:sz w:val="24"/>
                <w:szCs w:val="24"/>
              </w:rPr>
              <w:t>1.483,97</w:t>
            </w:r>
          </w:p>
        </w:tc>
        <w:tc>
          <w:tcPr>
            <w:tcW w:w="1100" w:type="dxa"/>
            <w:vAlign w:val="center"/>
          </w:tcPr>
          <w:p w:rsidR="00C5321E" w:rsidRPr="00FB1BB4" w:rsidRDefault="00C5321E" w:rsidP="007A0589">
            <w:pPr>
              <w:jc w:val="center"/>
              <w:rPr>
                <w:sz w:val="24"/>
                <w:szCs w:val="24"/>
              </w:rPr>
            </w:pPr>
            <w:r w:rsidRPr="00FB1BB4">
              <w:rPr>
                <w:sz w:val="24"/>
                <w:szCs w:val="24"/>
              </w:rPr>
              <w:t>Tam</w:t>
            </w:r>
          </w:p>
        </w:tc>
        <w:tc>
          <w:tcPr>
            <w:tcW w:w="1734" w:type="dxa"/>
            <w:vAlign w:val="center"/>
          </w:tcPr>
          <w:p w:rsidR="00C5321E" w:rsidRPr="00FB1BB4" w:rsidRDefault="0082578B" w:rsidP="007A0589">
            <w:pPr>
              <w:jc w:val="center"/>
              <w:rPr>
                <w:sz w:val="24"/>
                <w:szCs w:val="24"/>
              </w:rPr>
            </w:pPr>
            <w:r>
              <w:rPr>
                <w:sz w:val="24"/>
                <w:szCs w:val="24"/>
              </w:rPr>
              <w:t>Diğer Tarım Alanı</w:t>
            </w:r>
          </w:p>
        </w:tc>
        <w:tc>
          <w:tcPr>
            <w:tcW w:w="1349" w:type="dxa"/>
            <w:vAlign w:val="center"/>
          </w:tcPr>
          <w:p w:rsidR="00C5321E" w:rsidRPr="00FB1BB4" w:rsidRDefault="0082578B" w:rsidP="007A0589">
            <w:pPr>
              <w:jc w:val="center"/>
              <w:rPr>
                <w:sz w:val="24"/>
                <w:szCs w:val="24"/>
              </w:rPr>
            </w:pPr>
            <w:r>
              <w:rPr>
                <w:sz w:val="24"/>
                <w:szCs w:val="24"/>
              </w:rPr>
              <w:t>7.500,00</w:t>
            </w:r>
          </w:p>
        </w:tc>
        <w:tc>
          <w:tcPr>
            <w:tcW w:w="1243" w:type="dxa"/>
            <w:vAlign w:val="center"/>
          </w:tcPr>
          <w:p w:rsidR="00C5321E" w:rsidRPr="00FB1BB4" w:rsidRDefault="0082578B" w:rsidP="007A0589">
            <w:pPr>
              <w:jc w:val="center"/>
              <w:rPr>
                <w:sz w:val="24"/>
                <w:szCs w:val="24"/>
              </w:rPr>
            </w:pPr>
            <w:r>
              <w:rPr>
                <w:sz w:val="24"/>
                <w:szCs w:val="24"/>
              </w:rPr>
              <w:t>1.500,00</w:t>
            </w:r>
          </w:p>
        </w:tc>
        <w:tc>
          <w:tcPr>
            <w:tcW w:w="1634" w:type="dxa"/>
            <w:vAlign w:val="center"/>
          </w:tcPr>
          <w:p w:rsidR="00C5321E" w:rsidRPr="00FB1BB4" w:rsidRDefault="0082578B" w:rsidP="007A0589">
            <w:pPr>
              <w:jc w:val="center"/>
              <w:rPr>
                <w:sz w:val="24"/>
                <w:szCs w:val="24"/>
              </w:rPr>
            </w:pPr>
            <w:r>
              <w:rPr>
                <w:sz w:val="24"/>
                <w:szCs w:val="24"/>
              </w:rPr>
              <w:t>21.08.2019</w:t>
            </w:r>
          </w:p>
        </w:tc>
        <w:tc>
          <w:tcPr>
            <w:tcW w:w="1485" w:type="dxa"/>
            <w:vAlign w:val="center"/>
          </w:tcPr>
          <w:p w:rsidR="00C5321E" w:rsidRPr="00FB1BB4" w:rsidRDefault="00C5321E" w:rsidP="007A0589">
            <w:pPr>
              <w:jc w:val="center"/>
              <w:rPr>
                <w:sz w:val="24"/>
                <w:szCs w:val="24"/>
              </w:rPr>
            </w:pPr>
            <w:proofErr w:type="gramStart"/>
            <w:r w:rsidRPr="00FB1BB4">
              <w:rPr>
                <w:sz w:val="24"/>
                <w:szCs w:val="24"/>
              </w:rPr>
              <w:t>14:30</w:t>
            </w:r>
            <w:proofErr w:type="gramEnd"/>
          </w:p>
        </w:tc>
      </w:tr>
      <w:tr w:rsidR="0023542D" w:rsidRPr="00FB1BB4" w:rsidTr="0082578B">
        <w:tc>
          <w:tcPr>
            <w:tcW w:w="817" w:type="dxa"/>
          </w:tcPr>
          <w:p w:rsidR="00C5321E" w:rsidRDefault="00C5321E" w:rsidP="007A0589">
            <w:pPr>
              <w:jc w:val="center"/>
              <w:rPr>
                <w:sz w:val="24"/>
                <w:szCs w:val="24"/>
              </w:rPr>
            </w:pPr>
            <w:r w:rsidRPr="00FB1BB4">
              <w:rPr>
                <w:sz w:val="24"/>
                <w:szCs w:val="24"/>
              </w:rPr>
              <w:t>3</w:t>
            </w:r>
          </w:p>
          <w:p w:rsidR="00355EB6" w:rsidRPr="00FB1BB4" w:rsidRDefault="00355EB6" w:rsidP="007A0589">
            <w:pPr>
              <w:jc w:val="center"/>
              <w:rPr>
                <w:sz w:val="24"/>
                <w:szCs w:val="24"/>
              </w:rPr>
            </w:pPr>
          </w:p>
        </w:tc>
        <w:tc>
          <w:tcPr>
            <w:tcW w:w="1525" w:type="dxa"/>
            <w:vAlign w:val="center"/>
          </w:tcPr>
          <w:p w:rsidR="00C5321E" w:rsidRPr="00FB1BB4" w:rsidRDefault="0082578B" w:rsidP="007A0589">
            <w:pPr>
              <w:jc w:val="center"/>
              <w:rPr>
                <w:sz w:val="24"/>
                <w:szCs w:val="24"/>
              </w:rPr>
            </w:pPr>
            <w:r>
              <w:rPr>
                <w:sz w:val="24"/>
                <w:szCs w:val="24"/>
              </w:rPr>
              <w:t>Hürriyet</w:t>
            </w:r>
          </w:p>
        </w:tc>
        <w:tc>
          <w:tcPr>
            <w:tcW w:w="1027" w:type="dxa"/>
            <w:vAlign w:val="center"/>
          </w:tcPr>
          <w:p w:rsidR="00C5321E" w:rsidRPr="00FB1BB4" w:rsidRDefault="00C5321E" w:rsidP="007A0589">
            <w:pPr>
              <w:jc w:val="center"/>
              <w:rPr>
                <w:sz w:val="24"/>
                <w:szCs w:val="24"/>
              </w:rPr>
            </w:pPr>
            <w:r w:rsidRPr="00FB1BB4">
              <w:rPr>
                <w:sz w:val="24"/>
                <w:szCs w:val="24"/>
              </w:rPr>
              <w:t>Arsa</w:t>
            </w:r>
          </w:p>
        </w:tc>
        <w:tc>
          <w:tcPr>
            <w:tcW w:w="851" w:type="dxa"/>
            <w:vAlign w:val="center"/>
          </w:tcPr>
          <w:p w:rsidR="00C5321E" w:rsidRPr="00FB1BB4" w:rsidRDefault="0082578B" w:rsidP="007A0589">
            <w:pPr>
              <w:jc w:val="center"/>
              <w:rPr>
                <w:sz w:val="24"/>
                <w:szCs w:val="24"/>
              </w:rPr>
            </w:pPr>
            <w:r>
              <w:rPr>
                <w:sz w:val="24"/>
                <w:szCs w:val="24"/>
              </w:rPr>
              <w:t>201</w:t>
            </w:r>
          </w:p>
        </w:tc>
        <w:tc>
          <w:tcPr>
            <w:tcW w:w="885" w:type="dxa"/>
            <w:vAlign w:val="center"/>
          </w:tcPr>
          <w:p w:rsidR="00C5321E" w:rsidRPr="00FB1BB4" w:rsidRDefault="0082578B" w:rsidP="007A0589">
            <w:pPr>
              <w:jc w:val="center"/>
              <w:rPr>
                <w:sz w:val="24"/>
                <w:szCs w:val="24"/>
              </w:rPr>
            </w:pPr>
            <w:r>
              <w:rPr>
                <w:sz w:val="24"/>
                <w:szCs w:val="24"/>
              </w:rPr>
              <w:t>10</w:t>
            </w:r>
          </w:p>
        </w:tc>
        <w:tc>
          <w:tcPr>
            <w:tcW w:w="1310" w:type="dxa"/>
            <w:vAlign w:val="center"/>
          </w:tcPr>
          <w:p w:rsidR="00C5321E" w:rsidRPr="00FB1BB4" w:rsidRDefault="0082578B" w:rsidP="007A0589">
            <w:pPr>
              <w:jc w:val="center"/>
              <w:rPr>
                <w:sz w:val="24"/>
                <w:szCs w:val="24"/>
              </w:rPr>
            </w:pPr>
            <w:r>
              <w:rPr>
                <w:sz w:val="24"/>
                <w:szCs w:val="24"/>
              </w:rPr>
              <w:t>184,96</w:t>
            </w:r>
          </w:p>
        </w:tc>
        <w:tc>
          <w:tcPr>
            <w:tcW w:w="1100" w:type="dxa"/>
            <w:vAlign w:val="center"/>
          </w:tcPr>
          <w:p w:rsidR="00C5321E" w:rsidRPr="00FB1BB4" w:rsidRDefault="00C5321E" w:rsidP="007A0589">
            <w:pPr>
              <w:jc w:val="center"/>
              <w:rPr>
                <w:sz w:val="24"/>
                <w:szCs w:val="24"/>
              </w:rPr>
            </w:pPr>
            <w:r w:rsidRPr="00FB1BB4">
              <w:rPr>
                <w:sz w:val="24"/>
                <w:szCs w:val="24"/>
              </w:rPr>
              <w:t>Tam</w:t>
            </w:r>
          </w:p>
        </w:tc>
        <w:tc>
          <w:tcPr>
            <w:tcW w:w="1734" w:type="dxa"/>
            <w:vAlign w:val="center"/>
          </w:tcPr>
          <w:p w:rsidR="00C5321E" w:rsidRPr="00FB1BB4" w:rsidRDefault="00C5321E" w:rsidP="007A0589">
            <w:pPr>
              <w:jc w:val="center"/>
              <w:rPr>
                <w:sz w:val="24"/>
                <w:szCs w:val="24"/>
              </w:rPr>
            </w:pPr>
            <w:r w:rsidRPr="00FB1BB4">
              <w:rPr>
                <w:sz w:val="24"/>
                <w:szCs w:val="24"/>
              </w:rPr>
              <w:t>Konut Alanı</w:t>
            </w:r>
          </w:p>
        </w:tc>
        <w:tc>
          <w:tcPr>
            <w:tcW w:w="1349" w:type="dxa"/>
            <w:vAlign w:val="center"/>
          </w:tcPr>
          <w:p w:rsidR="00C5321E" w:rsidRPr="00FB1BB4" w:rsidRDefault="0082578B" w:rsidP="007A0589">
            <w:pPr>
              <w:jc w:val="center"/>
              <w:rPr>
                <w:sz w:val="24"/>
                <w:szCs w:val="24"/>
              </w:rPr>
            </w:pPr>
            <w:r>
              <w:rPr>
                <w:sz w:val="24"/>
                <w:szCs w:val="24"/>
              </w:rPr>
              <w:t>305.500,00</w:t>
            </w:r>
          </w:p>
        </w:tc>
        <w:tc>
          <w:tcPr>
            <w:tcW w:w="1243" w:type="dxa"/>
            <w:vAlign w:val="center"/>
          </w:tcPr>
          <w:p w:rsidR="00C5321E" w:rsidRPr="00FB1BB4" w:rsidRDefault="0082578B" w:rsidP="007A0589">
            <w:pPr>
              <w:jc w:val="center"/>
              <w:rPr>
                <w:sz w:val="24"/>
                <w:szCs w:val="24"/>
              </w:rPr>
            </w:pPr>
            <w:r>
              <w:rPr>
                <w:sz w:val="24"/>
                <w:szCs w:val="24"/>
              </w:rPr>
              <w:t>61.100,00</w:t>
            </w:r>
          </w:p>
        </w:tc>
        <w:tc>
          <w:tcPr>
            <w:tcW w:w="1634" w:type="dxa"/>
            <w:vAlign w:val="center"/>
          </w:tcPr>
          <w:p w:rsidR="00C5321E" w:rsidRPr="00FB1BB4" w:rsidRDefault="0082578B" w:rsidP="007A0589">
            <w:pPr>
              <w:jc w:val="center"/>
              <w:rPr>
                <w:sz w:val="24"/>
                <w:szCs w:val="24"/>
              </w:rPr>
            </w:pPr>
            <w:r>
              <w:rPr>
                <w:sz w:val="24"/>
                <w:szCs w:val="24"/>
              </w:rPr>
              <w:t>21.08.2019</w:t>
            </w:r>
          </w:p>
        </w:tc>
        <w:tc>
          <w:tcPr>
            <w:tcW w:w="1485" w:type="dxa"/>
            <w:vAlign w:val="center"/>
          </w:tcPr>
          <w:p w:rsidR="00C5321E" w:rsidRPr="00FB1BB4" w:rsidRDefault="00C5321E" w:rsidP="007A0589">
            <w:pPr>
              <w:jc w:val="center"/>
              <w:rPr>
                <w:sz w:val="24"/>
                <w:szCs w:val="24"/>
              </w:rPr>
            </w:pPr>
            <w:proofErr w:type="gramStart"/>
            <w:r w:rsidRPr="00FB1BB4">
              <w:rPr>
                <w:sz w:val="24"/>
                <w:szCs w:val="24"/>
              </w:rPr>
              <w:t>15:00</w:t>
            </w:r>
            <w:proofErr w:type="gramEnd"/>
          </w:p>
        </w:tc>
      </w:tr>
    </w:tbl>
    <w:p w:rsidR="00FB1BB4" w:rsidRDefault="0023542D" w:rsidP="00FB1BB4">
      <w:pPr>
        <w:spacing w:after="0"/>
        <w:jc w:val="both"/>
        <w:rPr>
          <w:sz w:val="24"/>
          <w:szCs w:val="24"/>
        </w:rPr>
      </w:pPr>
      <w:r w:rsidRPr="00FB1BB4">
        <w:rPr>
          <w:sz w:val="24"/>
          <w:szCs w:val="24"/>
        </w:rPr>
        <w:tab/>
      </w:r>
    </w:p>
    <w:p w:rsidR="004F6270" w:rsidRDefault="0082578B" w:rsidP="004F6270">
      <w:pPr>
        <w:spacing w:after="0"/>
        <w:jc w:val="both"/>
        <w:rPr>
          <w:sz w:val="24"/>
          <w:szCs w:val="24"/>
        </w:rPr>
      </w:pPr>
      <w:r>
        <w:rPr>
          <w:sz w:val="24"/>
          <w:szCs w:val="24"/>
        </w:rPr>
        <w:tab/>
      </w:r>
      <w:r w:rsidR="00C5321E" w:rsidRPr="00FB1BB4">
        <w:rPr>
          <w:sz w:val="24"/>
          <w:szCs w:val="24"/>
        </w:rPr>
        <w:t>Yukarıda tapu ve ihale bilgileri belirtilen Hazineye ait taşınmaz malların, 2886 sayılı Kanunun 45.maddesine g</w:t>
      </w:r>
      <w:r w:rsidR="000C04F3" w:rsidRPr="00FB1BB4">
        <w:rPr>
          <w:sz w:val="24"/>
          <w:szCs w:val="24"/>
        </w:rPr>
        <w:t xml:space="preserve">öre Açık Teklif Usulü ile satış </w:t>
      </w:r>
      <w:r w:rsidR="00C5321E" w:rsidRPr="00FB1BB4">
        <w:rPr>
          <w:sz w:val="24"/>
          <w:szCs w:val="24"/>
        </w:rPr>
        <w:t>ihaleleri, hizalarında belirtilen tarih ve saatlerde Orhangazi Milli Emlak Şefliği odasında toplanacak komisyon huzurunda yapılacaktır.</w:t>
      </w:r>
    </w:p>
    <w:p w:rsidR="003F1C46" w:rsidRDefault="004F6270" w:rsidP="004F6270">
      <w:pPr>
        <w:spacing w:after="0"/>
        <w:jc w:val="both"/>
        <w:rPr>
          <w:sz w:val="24"/>
          <w:szCs w:val="24"/>
        </w:rPr>
      </w:pPr>
      <w:r>
        <w:rPr>
          <w:sz w:val="24"/>
          <w:szCs w:val="24"/>
        </w:rPr>
        <w:tab/>
      </w:r>
      <w:r w:rsidR="00C5321E" w:rsidRPr="00FB1BB4">
        <w:rPr>
          <w:sz w:val="24"/>
          <w:szCs w:val="24"/>
        </w:rPr>
        <w:t>İhaleye iştirak etmek isteyenlerin, ihale başlangıç saatine kadar yatıracakları geçici teminat makbuzu veya 2886 sayılı Kanuna göre düzenlenmiş süre</w:t>
      </w:r>
      <w:r w:rsidR="0023542D" w:rsidRPr="00FB1BB4">
        <w:rPr>
          <w:sz w:val="24"/>
          <w:szCs w:val="24"/>
        </w:rPr>
        <w:t>siz teminat mektubu (Banka teyit</w:t>
      </w:r>
      <w:r w:rsidR="00C5321E" w:rsidRPr="00FB1BB4">
        <w:rPr>
          <w:sz w:val="24"/>
          <w:szCs w:val="24"/>
        </w:rPr>
        <w:t xml:space="preserve"> yazısı) ile birlikte, </w:t>
      </w:r>
      <w:r w:rsidR="0023542D" w:rsidRPr="00FB1BB4">
        <w:rPr>
          <w:sz w:val="24"/>
          <w:szCs w:val="24"/>
        </w:rPr>
        <w:t>ikametgâh</w:t>
      </w:r>
      <w:r w:rsidR="00C5321E" w:rsidRPr="00FB1BB4">
        <w:rPr>
          <w:sz w:val="24"/>
          <w:szCs w:val="24"/>
        </w:rPr>
        <w:t xml:space="preserve"> senedi ve nüfus cüzdanı örneği (T.C.</w:t>
      </w:r>
      <w:r w:rsidR="00C75D83" w:rsidRPr="00FB1BB4">
        <w:rPr>
          <w:sz w:val="24"/>
          <w:szCs w:val="24"/>
        </w:rPr>
        <w:t xml:space="preserve"> </w:t>
      </w:r>
      <w:r w:rsidR="000C04F3" w:rsidRPr="00FB1BB4">
        <w:rPr>
          <w:sz w:val="24"/>
          <w:szCs w:val="24"/>
        </w:rPr>
        <w:t>Kimlik numarasını</w:t>
      </w:r>
      <w:r w:rsidR="00C5321E" w:rsidRPr="00FB1BB4">
        <w:rPr>
          <w:sz w:val="24"/>
          <w:szCs w:val="24"/>
        </w:rPr>
        <w:t xml:space="preserve"> belirtir.) Tebligat için Türkiye adresini gösterir yazılı beyanı (örneği İdaremizden temin edilebilir). </w:t>
      </w:r>
      <w:proofErr w:type="gramStart"/>
      <w:r w:rsidR="00C5321E" w:rsidRPr="00FB1BB4">
        <w:rPr>
          <w:sz w:val="24"/>
          <w:szCs w:val="24"/>
        </w:rPr>
        <w:t xml:space="preserve">Özel hukuk tüzel kişilerinin, yukarıda belirtilen şartlardan ayrı olarak, tüzel kişiliğin vergi kimlik numarası ile idare merkezlerinin bulunduğu yer mahkemesinden veya siciline kayıtlı bulunduğu ticaret veya sanayi odasından yahut </w:t>
      </w:r>
      <w:r w:rsidR="00C75D83" w:rsidRPr="00FB1BB4">
        <w:rPr>
          <w:sz w:val="24"/>
          <w:szCs w:val="24"/>
        </w:rPr>
        <w:t>benzeri mesleki kuruluştan, 2019</w:t>
      </w:r>
      <w:r w:rsidR="00C5321E" w:rsidRPr="00FB1BB4">
        <w:rPr>
          <w:sz w:val="24"/>
          <w:szCs w:val="24"/>
        </w:rPr>
        <w:t xml:space="preserve"> yılı içinde alınmış sicil kayıt belgesi, tüzel kişilik adına ihaleye katılacak veya teklifte bulunacak kişilerin tüzel kişiliği temsile yetkil</w:t>
      </w:r>
      <w:r w:rsidR="000C04F3" w:rsidRPr="00FB1BB4">
        <w:rPr>
          <w:sz w:val="24"/>
          <w:szCs w:val="24"/>
        </w:rPr>
        <w:t>i olduklarını gösterir noterlikçe</w:t>
      </w:r>
      <w:r w:rsidR="00C5321E" w:rsidRPr="00FB1BB4">
        <w:rPr>
          <w:sz w:val="24"/>
          <w:szCs w:val="24"/>
        </w:rPr>
        <w:t xml:space="preserve"> tasdik edilmiş imza </w:t>
      </w:r>
      <w:r w:rsidR="0023542D" w:rsidRPr="00FB1BB4">
        <w:rPr>
          <w:sz w:val="24"/>
          <w:szCs w:val="24"/>
        </w:rPr>
        <w:t>sirkülerini veya</w:t>
      </w:r>
      <w:r w:rsidR="00C5321E" w:rsidRPr="00FB1BB4">
        <w:rPr>
          <w:sz w:val="24"/>
          <w:szCs w:val="24"/>
        </w:rPr>
        <w:t xml:space="preserve"> </w:t>
      </w:r>
      <w:r w:rsidR="0082578B" w:rsidRPr="00FB1BB4">
        <w:rPr>
          <w:sz w:val="24"/>
          <w:szCs w:val="24"/>
        </w:rPr>
        <w:t>vekâletnameyi</w:t>
      </w:r>
      <w:r w:rsidR="00C5321E" w:rsidRPr="00FB1BB4">
        <w:rPr>
          <w:sz w:val="24"/>
          <w:szCs w:val="24"/>
        </w:rPr>
        <w:t xml:space="preserve"> vermeleri ve tüzel kişiliğinin tebligat adres beyanı, Kamu tüzel kişiler</w:t>
      </w:r>
      <w:r>
        <w:rPr>
          <w:sz w:val="24"/>
          <w:szCs w:val="24"/>
        </w:rPr>
        <w:t>inin ise, tebligat için Türkiye’</w:t>
      </w:r>
      <w:r w:rsidR="00C5321E" w:rsidRPr="00FB1BB4">
        <w:rPr>
          <w:sz w:val="24"/>
          <w:szCs w:val="24"/>
        </w:rPr>
        <w:t xml:space="preserve">de adres göstermeleri ile vergi kimlik numarası bildirmeleri ve tüzel kişilik adına ihaleye katılacak veya teklifte bulunacak kişilerin tüzel kişiliği temsile yetkili olduğunu belirtir belge ile birlikte ihale saatinde Komisyon huzurunda hazır bulunmaları gerekmektedir. </w:t>
      </w:r>
      <w:proofErr w:type="gramEnd"/>
      <w:r w:rsidR="00C5321E" w:rsidRPr="00FB1BB4">
        <w:rPr>
          <w:sz w:val="24"/>
          <w:szCs w:val="24"/>
        </w:rPr>
        <w:t xml:space="preserve">Ortak girişim olarak ihalelere teklif verilemez. </w:t>
      </w:r>
    </w:p>
    <w:p w:rsidR="003F1C46" w:rsidRDefault="003F1C46" w:rsidP="004F6270">
      <w:pPr>
        <w:spacing w:after="0"/>
        <w:jc w:val="both"/>
        <w:rPr>
          <w:sz w:val="24"/>
          <w:szCs w:val="24"/>
        </w:rPr>
      </w:pPr>
      <w:r>
        <w:rPr>
          <w:sz w:val="24"/>
          <w:szCs w:val="24"/>
        </w:rPr>
        <w:tab/>
      </w:r>
      <w:r w:rsidR="00C5321E" w:rsidRPr="00FB1BB4">
        <w:rPr>
          <w:sz w:val="24"/>
          <w:szCs w:val="24"/>
        </w:rPr>
        <w:t>Şartname ve ihale dosyası mesai</w:t>
      </w:r>
      <w:r w:rsidR="0023542D" w:rsidRPr="00FB1BB4">
        <w:rPr>
          <w:sz w:val="24"/>
          <w:szCs w:val="24"/>
        </w:rPr>
        <w:t xml:space="preserve"> saatleri içerisinde </w:t>
      </w:r>
      <w:r w:rsidR="00AD0F4C">
        <w:rPr>
          <w:sz w:val="24"/>
          <w:szCs w:val="24"/>
        </w:rPr>
        <w:t xml:space="preserve">bedelsiz olarak </w:t>
      </w:r>
      <w:r w:rsidR="0023542D" w:rsidRPr="00FB1BB4">
        <w:rPr>
          <w:sz w:val="24"/>
          <w:szCs w:val="24"/>
        </w:rPr>
        <w:t xml:space="preserve">Orhangazi </w:t>
      </w:r>
      <w:r w:rsidR="00C5321E" w:rsidRPr="00FB1BB4">
        <w:rPr>
          <w:sz w:val="24"/>
          <w:szCs w:val="24"/>
        </w:rPr>
        <w:t>Milli Emlak Şefliğinde görülebilir.</w:t>
      </w:r>
    </w:p>
    <w:p w:rsidR="0082578B" w:rsidRDefault="003F1C46" w:rsidP="00AD0F4C">
      <w:pPr>
        <w:spacing w:after="0"/>
        <w:jc w:val="both"/>
        <w:rPr>
          <w:sz w:val="24"/>
          <w:szCs w:val="24"/>
        </w:rPr>
      </w:pPr>
      <w:r>
        <w:rPr>
          <w:sz w:val="24"/>
          <w:szCs w:val="24"/>
        </w:rPr>
        <w:tab/>
      </w:r>
      <w:r w:rsidR="00C5321E" w:rsidRPr="00FB1BB4">
        <w:rPr>
          <w:sz w:val="24"/>
          <w:szCs w:val="24"/>
        </w:rPr>
        <w:t xml:space="preserve">Posta ile yapılacak müracaatlarda meydana gelebilecek gecikmeler kabul edilmez. </w:t>
      </w:r>
      <w:r w:rsidR="0023542D" w:rsidRPr="00FB1BB4">
        <w:rPr>
          <w:sz w:val="24"/>
          <w:szCs w:val="24"/>
        </w:rPr>
        <w:t xml:space="preserve"> </w:t>
      </w:r>
    </w:p>
    <w:p w:rsidR="0082578B" w:rsidRDefault="00AD0F4C" w:rsidP="00FB1BB4">
      <w:pPr>
        <w:spacing w:after="0"/>
        <w:ind w:right="-32"/>
        <w:jc w:val="both"/>
        <w:rPr>
          <w:rFonts w:eastAsia="Times New Roman"/>
          <w:color w:val="1C283D"/>
          <w:lang w:eastAsia="tr-TR"/>
        </w:rPr>
      </w:pPr>
      <w:r>
        <w:rPr>
          <w:rFonts w:eastAsia="Times New Roman"/>
          <w:color w:val="1C283D"/>
          <w:lang w:eastAsia="tr-TR"/>
        </w:rPr>
        <w:tab/>
      </w:r>
      <w:r w:rsidR="0082578B">
        <w:rPr>
          <w:rFonts w:eastAsia="Times New Roman"/>
          <w:color w:val="1C283D"/>
          <w:lang w:eastAsia="tr-TR"/>
        </w:rPr>
        <w:t>S</w:t>
      </w:r>
      <w:r w:rsidR="0082578B" w:rsidRPr="00AA4C65">
        <w:rPr>
          <w:rFonts w:eastAsia="Times New Roman"/>
          <w:color w:val="1C283D"/>
          <w:lang w:eastAsia="tr-TR"/>
        </w:rPr>
        <w:t>atış bedeli</w:t>
      </w:r>
      <w:r w:rsidR="0082578B">
        <w:rPr>
          <w:rFonts w:eastAsia="Times New Roman"/>
          <w:color w:val="1C283D"/>
          <w:lang w:eastAsia="tr-TR"/>
        </w:rPr>
        <w:t xml:space="preserve"> taksitle</w:t>
      </w:r>
      <w:r w:rsidR="007029B7">
        <w:rPr>
          <w:rFonts w:eastAsia="Times New Roman"/>
          <w:color w:val="1C283D"/>
          <w:lang w:eastAsia="tr-TR"/>
        </w:rPr>
        <w:t xml:space="preserve"> de</w:t>
      </w:r>
      <w:bookmarkStart w:id="0" w:name="_GoBack"/>
      <w:bookmarkEnd w:id="0"/>
      <w:r w:rsidR="0082578B" w:rsidRPr="00AA4C65">
        <w:rPr>
          <w:rFonts w:eastAsia="Times New Roman"/>
          <w:color w:val="1C283D"/>
          <w:lang w:eastAsia="tr-TR"/>
        </w:rPr>
        <w:t xml:space="preserve"> ödenebilir. Taksitle ödeme hâlinde, satış bedelinin en az dörtte biri peşin, kalanı en fazla iki yılda taksitlerle ödenir. Alacağın kalan kısmına kanunî faiz uygulanır.</w:t>
      </w:r>
    </w:p>
    <w:p w:rsidR="00AD0F4C" w:rsidRDefault="00AD0F4C" w:rsidP="00FB1BB4">
      <w:pPr>
        <w:spacing w:after="0"/>
        <w:ind w:right="-32"/>
        <w:jc w:val="both"/>
        <w:rPr>
          <w:rFonts w:eastAsia="Times New Roman"/>
          <w:color w:val="1C283D"/>
          <w:lang w:eastAsia="tr-TR"/>
        </w:rPr>
      </w:pPr>
      <w:r>
        <w:rPr>
          <w:sz w:val="24"/>
          <w:szCs w:val="24"/>
        </w:rPr>
        <w:tab/>
      </w:r>
      <w:r w:rsidRPr="00FB1BB4">
        <w:rPr>
          <w:sz w:val="24"/>
          <w:szCs w:val="24"/>
        </w:rPr>
        <w:t xml:space="preserve">İhale bilgileri </w:t>
      </w:r>
      <w:hyperlink r:id="rId5" w:history="1">
        <w:r w:rsidRPr="00FB1BB4">
          <w:rPr>
            <w:rStyle w:val="Kpr"/>
            <w:color w:val="auto"/>
            <w:sz w:val="24"/>
            <w:szCs w:val="24"/>
            <w:u w:val="none"/>
          </w:rPr>
          <w:t>www.bursa.csb.gov.tr</w:t>
        </w:r>
      </w:hyperlink>
      <w:r w:rsidRPr="00FB1BB4">
        <w:rPr>
          <w:sz w:val="24"/>
          <w:szCs w:val="24"/>
        </w:rPr>
        <w:t xml:space="preserve"> adresinden öğrenilebileceği gibi, Türkiye genelindeki ihale bilgileri www.milliemlak.gov.tr adresinden öğrenilebilir.</w:t>
      </w:r>
    </w:p>
    <w:p w:rsidR="00AD0F4C" w:rsidRDefault="00AD0F4C" w:rsidP="00FB1BB4">
      <w:pPr>
        <w:spacing w:after="0"/>
        <w:ind w:right="-32"/>
        <w:jc w:val="both"/>
        <w:rPr>
          <w:sz w:val="24"/>
          <w:szCs w:val="24"/>
        </w:rPr>
      </w:pPr>
      <w:r>
        <w:rPr>
          <w:sz w:val="24"/>
          <w:szCs w:val="24"/>
        </w:rPr>
        <w:tab/>
      </w:r>
      <w:r w:rsidRPr="00FB1BB4">
        <w:rPr>
          <w:sz w:val="24"/>
          <w:szCs w:val="24"/>
        </w:rPr>
        <w:t xml:space="preserve">Komisyon ihaleyi yapıp yapmamakta serbesttir.  </w:t>
      </w:r>
    </w:p>
    <w:p w:rsidR="00C5321E" w:rsidRDefault="00C5321E" w:rsidP="00FB1BB4">
      <w:pPr>
        <w:spacing w:after="0"/>
        <w:ind w:right="-32"/>
        <w:jc w:val="both"/>
        <w:rPr>
          <w:b/>
          <w:sz w:val="24"/>
          <w:szCs w:val="24"/>
        </w:rPr>
      </w:pPr>
      <w:r w:rsidRPr="00FB1BB4">
        <w:rPr>
          <w:b/>
          <w:sz w:val="24"/>
          <w:szCs w:val="24"/>
        </w:rPr>
        <w:t>İLAN OLUNUR.</w:t>
      </w:r>
    </w:p>
    <w:p w:rsidR="00830F85" w:rsidRDefault="00830F85" w:rsidP="00FB1BB4">
      <w:pPr>
        <w:spacing w:after="0"/>
        <w:ind w:right="-32"/>
        <w:jc w:val="both"/>
        <w:rPr>
          <w:b/>
          <w:sz w:val="24"/>
          <w:szCs w:val="24"/>
        </w:rPr>
      </w:pPr>
      <w:r>
        <w:rPr>
          <w:b/>
          <w:sz w:val="24"/>
          <w:szCs w:val="24"/>
        </w:rPr>
        <w:t>__________________________________________________________________________________________________________________________</w:t>
      </w:r>
    </w:p>
    <w:p w:rsidR="00982880" w:rsidRPr="00830F85" w:rsidRDefault="0082578B" w:rsidP="00830F85">
      <w:pPr>
        <w:spacing w:after="0"/>
        <w:ind w:right="-32"/>
        <w:jc w:val="both"/>
        <w:rPr>
          <w:sz w:val="24"/>
          <w:szCs w:val="24"/>
        </w:rPr>
      </w:pPr>
      <w:r>
        <w:rPr>
          <w:sz w:val="24"/>
          <w:szCs w:val="24"/>
        </w:rPr>
        <w:t>İrtibat telefon</w:t>
      </w:r>
      <w:r w:rsidR="00830F85" w:rsidRPr="00830F85">
        <w:rPr>
          <w:sz w:val="24"/>
          <w:szCs w:val="24"/>
        </w:rPr>
        <w:t>: (0224) 5731015</w:t>
      </w:r>
    </w:p>
    <w:sectPr w:rsidR="00982880" w:rsidRPr="00830F85" w:rsidSect="00830F85">
      <w:pgSz w:w="16838" w:h="11906" w:orient="landscape"/>
      <w:pgMar w:top="142" w:right="1103"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A7"/>
    <w:rsid w:val="00007E53"/>
    <w:rsid w:val="000303F6"/>
    <w:rsid w:val="0008368C"/>
    <w:rsid w:val="00084099"/>
    <w:rsid w:val="000B5706"/>
    <w:rsid w:val="000B6F93"/>
    <w:rsid w:val="000C04F3"/>
    <w:rsid w:val="000D14F0"/>
    <w:rsid w:val="000E1150"/>
    <w:rsid w:val="000E4BA7"/>
    <w:rsid w:val="001047A6"/>
    <w:rsid w:val="00110C5E"/>
    <w:rsid w:val="001125A9"/>
    <w:rsid w:val="001752C9"/>
    <w:rsid w:val="001777E2"/>
    <w:rsid w:val="001B5D30"/>
    <w:rsid w:val="001E66E0"/>
    <w:rsid w:val="00230C5C"/>
    <w:rsid w:val="00231F5D"/>
    <w:rsid w:val="0023542D"/>
    <w:rsid w:val="002E22FB"/>
    <w:rsid w:val="002F10D6"/>
    <w:rsid w:val="00355EB6"/>
    <w:rsid w:val="00356502"/>
    <w:rsid w:val="00380480"/>
    <w:rsid w:val="003B0973"/>
    <w:rsid w:val="003F1C46"/>
    <w:rsid w:val="0044460E"/>
    <w:rsid w:val="004576DE"/>
    <w:rsid w:val="004F6270"/>
    <w:rsid w:val="005A1F45"/>
    <w:rsid w:val="005E01B2"/>
    <w:rsid w:val="00617610"/>
    <w:rsid w:val="00617A29"/>
    <w:rsid w:val="0063356F"/>
    <w:rsid w:val="00695F7B"/>
    <w:rsid w:val="006A5EC8"/>
    <w:rsid w:val="007029B7"/>
    <w:rsid w:val="007123C7"/>
    <w:rsid w:val="0073421F"/>
    <w:rsid w:val="00736BC9"/>
    <w:rsid w:val="00753B80"/>
    <w:rsid w:val="00765720"/>
    <w:rsid w:val="007673E1"/>
    <w:rsid w:val="0078069F"/>
    <w:rsid w:val="007B3C8F"/>
    <w:rsid w:val="00824A60"/>
    <w:rsid w:val="0082578B"/>
    <w:rsid w:val="00830F85"/>
    <w:rsid w:val="00832755"/>
    <w:rsid w:val="00843A1D"/>
    <w:rsid w:val="008F51B2"/>
    <w:rsid w:val="009241CF"/>
    <w:rsid w:val="009538B8"/>
    <w:rsid w:val="0096717C"/>
    <w:rsid w:val="00982880"/>
    <w:rsid w:val="00997B4F"/>
    <w:rsid w:val="00A06612"/>
    <w:rsid w:val="00A17CE3"/>
    <w:rsid w:val="00A42974"/>
    <w:rsid w:val="00AD0F4C"/>
    <w:rsid w:val="00AF1632"/>
    <w:rsid w:val="00B1413D"/>
    <w:rsid w:val="00B60215"/>
    <w:rsid w:val="00B63AC0"/>
    <w:rsid w:val="00B63B34"/>
    <w:rsid w:val="00B701A6"/>
    <w:rsid w:val="00B815C1"/>
    <w:rsid w:val="00B85826"/>
    <w:rsid w:val="00B95262"/>
    <w:rsid w:val="00BA5A1D"/>
    <w:rsid w:val="00BF572B"/>
    <w:rsid w:val="00C116AC"/>
    <w:rsid w:val="00C5321E"/>
    <w:rsid w:val="00C75D83"/>
    <w:rsid w:val="00CA6FEB"/>
    <w:rsid w:val="00CB0690"/>
    <w:rsid w:val="00CB29D6"/>
    <w:rsid w:val="00CE3873"/>
    <w:rsid w:val="00D07862"/>
    <w:rsid w:val="00D474A0"/>
    <w:rsid w:val="00D86A9A"/>
    <w:rsid w:val="00D97D02"/>
    <w:rsid w:val="00DC7170"/>
    <w:rsid w:val="00E1449D"/>
    <w:rsid w:val="00E51DB9"/>
    <w:rsid w:val="00EA3CA2"/>
    <w:rsid w:val="00F054F6"/>
    <w:rsid w:val="00FB1BB4"/>
    <w:rsid w:val="00FC79D5"/>
    <w:rsid w:val="00FF6E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4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E4B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4BA7"/>
    <w:rPr>
      <w:rFonts w:ascii="Tahoma" w:hAnsi="Tahoma" w:cs="Tahoma"/>
      <w:sz w:val="16"/>
      <w:szCs w:val="16"/>
    </w:rPr>
  </w:style>
  <w:style w:type="character" w:styleId="Kpr">
    <w:name w:val="Hyperlink"/>
    <w:basedOn w:val="VarsaylanParagrafYazTipi"/>
    <w:uiPriority w:val="99"/>
    <w:unhideWhenUsed/>
    <w:rsid w:val="00C5321E"/>
    <w:rPr>
      <w:color w:val="0000FF" w:themeColor="hyperlink"/>
      <w:u w:val="single"/>
    </w:rPr>
  </w:style>
  <w:style w:type="paragraph" w:styleId="ListeParagraf">
    <w:name w:val="List Paragraph"/>
    <w:basedOn w:val="Normal"/>
    <w:uiPriority w:val="34"/>
    <w:qFormat/>
    <w:rsid w:val="003F1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4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E4B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4BA7"/>
    <w:rPr>
      <w:rFonts w:ascii="Tahoma" w:hAnsi="Tahoma" w:cs="Tahoma"/>
      <w:sz w:val="16"/>
      <w:szCs w:val="16"/>
    </w:rPr>
  </w:style>
  <w:style w:type="character" w:styleId="Kpr">
    <w:name w:val="Hyperlink"/>
    <w:basedOn w:val="VarsaylanParagrafYazTipi"/>
    <w:uiPriority w:val="99"/>
    <w:unhideWhenUsed/>
    <w:rsid w:val="00C5321E"/>
    <w:rPr>
      <w:color w:val="0000FF" w:themeColor="hyperlink"/>
      <w:u w:val="single"/>
    </w:rPr>
  </w:style>
  <w:style w:type="paragraph" w:styleId="ListeParagraf">
    <w:name w:val="List Paragraph"/>
    <w:basedOn w:val="Normal"/>
    <w:uiPriority w:val="34"/>
    <w:qFormat/>
    <w:rsid w:val="003F1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rsa.cs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431</Words>
  <Characters>2460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Adm06</cp:lastModifiedBy>
  <cp:revision>13</cp:revision>
  <cp:lastPrinted>2019-07-26T05:53:00Z</cp:lastPrinted>
  <dcterms:created xsi:type="dcterms:W3CDTF">2019-03-28T07:07:00Z</dcterms:created>
  <dcterms:modified xsi:type="dcterms:W3CDTF">2019-07-26T06:07:00Z</dcterms:modified>
</cp:coreProperties>
</file>