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89" w:rsidRDefault="001D4089" w:rsidP="007F616B">
      <w:pPr>
        <w:pStyle w:val="AralkYok"/>
        <w:tabs>
          <w:tab w:val="left" w:pos="8931"/>
        </w:tabs>
        <w:rPr>
          <w:b/>
          <w:sz w:val="24"/>
          <w:szCs w:val="24"/>
        </w:rPr>
      </w:pPr>
    </w:p>
    <w:p w:rsidR="001D4089" w:rsidRPr="008A3EED" w:rsidRDefault="00AC3A06" w:rsidP="001D4089">
      <w:pPr>
        <w:pStyle w:val="AralkYok"/>
        <w:tabs>
          <w:tab w:val="left" w:pos="8931"/>
        </w:tabs>
        <w:ind w:left="7506" w:hanging="7506"/>
        <w:jc w:val="center"/>
        <w:rPr>
          <w:b/>
          <w:sz w:val="24"/>
          <w:szCs w:val="24"/>
        </w:rPr>
      </w:pPr>
      <w:r>
        <w:rPr>
          <w:b/>
          <w:sz w:val="24"/>
          <w:szCs w:val="24"/>
        </w:rPr>
        <w:t>T.C.</w:t>
      </w:r>
    </w:p>
    <w:p w:rsidR="001D4089" w:rsidRDefault="001D4089" w:rsidP="001D4089">
      <w:pPr>
        <w:pStyle w:val="AralkYok"/>
        <w:jc w:val="center"/>
        <w:rPr>
          <w:b/>
          <w:sz w:val="24"/>
          <w:szCs w:val="24"/>
        </w:rPr>
      </w:pPr>
      <w:r>
        <w:rPr>
          <w:b/>
          <w:sz w:val="24"/>
          <w:szCs w:val="24"/>
        </w:rPr>
        <w:t>MUSTAFAKEMALPAŞA</w:t>
      </w:r>
      <w:r w:rsidR="00B31BA1">
        <w:rPr>
          <w:b/>
          <w:sz w:val="24"/>
          <w:szCs w:val="24"/>
        </w:rPr>
        <w:t xml:space="preserve"> KAYMAKAMLIĞI</w:t>
      </w:r>
    </w:p>
    <w:p w:rsidR="00B31BA1" w:rsidRPr="008A3EED" w:rsidRDefault="00B31BA1" w:rsidP="001D4089">
      <w:pPr>
        <w:pStyle w:val="AralkYok"/>
        <w:jc w:val="center"/>
        <w:rPr>
          <w:b/>
          <w:sz w:val="24"/>
          <w:szCs w:val="24"/>
        </w:rPr>
      </w:pPr>
      <w:r>
        <w:rPr>
          <w:b/>
          <w:sz w:val="24"/>
          <w:szCs w:val="24"/>
        </w:rPr>
        <w:t>Milli Emlak Şefliğinden</w:t>
      </w:r>
    </w:p>
    <w:tbl>
      <w:tblPr>
        <w:tblpPr w:leftFromText="141" w:rightFromText="141" w:vertAnchor="page" w:horzAnchor="margin" w:tblpX="-289" w:tblpY="198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09"/>
        <w:gridCol w:w="1559"/>
        <w:gridCol w:w="993"/>
        <w:gridCol w:w="708"/>
        <w:gridCol w:w="1134"/>
        <w:gridCol w:w="993"/>
        <w:gridCol w:w="850"/>
        <w:gridCol w:w="992"/>
        <w:gridCol w:w="1843"/>
        <w:gridCol w:w="992"/>
        <w:gridCol w:w="1276"/>
        <w:gridCol w:w="1276"/>
        <w:gridCol w:w="1134"/>
      </w:tblGrid>
      <w:tr w:rsidR="00B31BA1" w:rsidRPr="007363B6" w:rsidTr="00F379AB">
        <w:trPr>
          <w:trHeight w:val="558"/>
        </w:trPr>
        <w:tc>
          <w:tcPr>
            <w:tcW w:w="562" w:type="dxa"/>
            <w:shd w:val="clear" w:color="000000" w:fill="FFFFFF"/>
            <w:vAlign w:val="center"/>
          </w:tcPr>
          <w:p w:rsidR="00506A7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Pr>
                <w:rFonts w:eastAsia="Times New Roman"/>
                <w:b/>
                <w:bCs/>
                <w:sz w:val="18"/>
                <w:szCs w:val="18"/>
                <w:lang w:eastAsia="tr-TR"/>
              </w:rPr>
              <w:t xml:space="preserve">Sıra </w:t>
            </w:r>
            <w:r w:rsidRPr="00773AA3">
              <w:rPr>
                <w:rFonts w:eastAsia="Times New Roman"/>
                <w:b/>
                <w:bCs/>
                <w:sz w:val="18"/>
                <w:szCs w:val="18"/>
                <w:lang w:eastAsia="tr-TR"/>
              </w:rPr>
              <w:t>No</w:t>
            </w:r>
          </w:p>
        </w:tc>
        <w:tc>
          <w:tcPr>
            <w:tcW w:w="709"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İli</w:t>
            </w:r>
          </w:p>
        </w:tc>
        <w:tc>
          <w:tcPr>
            <w:tcW w:w="1559"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İlçesi</w:t>
            </w:r>
          </w:p>
        </w:tc>
        <w:tc>
          <w:tcPr>
            <w:tcW w:w="993"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Mahallesi</w:t>
            </w:r>
          </w:p>
        </w:tc>
        <w:tc>
          <w:tcPr>
            <w:tcW w:w="708"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Cinsi</w:t>
            </w:r>
          </w:p>
        </w:tc>
        <w:tc>
          <w:tcPr>
            <w:tcW w:w="1134"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Parsel No</w:t>
            </w:r>
          </w:p>
        </w:tc>
        <w:tc>
          <w:tcPr>
            <w:tcW w:w="993"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Yüzölçümü (m²)</w:t>
            </w:r>
          </w:p>
        </w:tc>
        <w:tc>
          <w:tcPr>
            <w:tcW w:w="850" w:type="dxa"/>
            <w:shd w:val="clear" w:color="000000" w:fill="FFFFFF"/>
            <w:vAlign w:val="center"/>
          </w:tcPr>
          <w:p w:rsidR="00506A7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Pr>
                <w:rFonts w:eastAsia="Times New Roman"/>
                <w:b/>
                <w:bCs/>
                <w:sz w:val="18"/>
                <w:szCs w:val="18"/>
                <w:lang w:eastAsia="tr-TR"/>
              </w:rPr>
              <w:t>Yeri</w:t>
            </w:r>
          </w:p>
        </w:tc>
        <w:tc>
          <w:tcPr>
            <w:tcW w:w="992" w:type="dxa"/>
            <w:shd w:val="clear" w:color="000000" w:fill="FFFFFF"/>
            <w:vAlign w:val="center"/>
            <w:hideMark/>
          </w:tcPr>
          <w:p w:rsidR="00506A7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Hazine Hissesi</w:t>
            </w: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(m²)</w:t>
            </w:r>
          </w:p>
        </w:tc>
        <w:tc>
          <w:tcPr>
            <w:tcW w:w="1843" w:type="dxa"/>
            <w:shd w:val="clear" w:color="000000" w:fill="FFFFFF"/>
            <w:vAlign w:val="center"/>
          </w:tcPr>
          <w:p w:rsidR="00506A73" w:rsidRPr="00773AA3" w:rsidRDefault="00506A73" w:rsidP="00F379AB">
            <w:pPr>
              <w:pStyle w:val="AralkYok"/>
              <w:jc w:val="center"/>
              <w:rPr>
                <w:rFonts w:eastAsia="Times New Roman"/>
                <w:b/>
                <w:bCs/>
                <w:sz w:val="18"/>
                <w:szCs w:val="18"/>
                <w:lang w:eastAsia="tr-TR"/>
              </w:rPr>
            </w:pPr>
            <w:r>
              <w:rPr>
                <w:rFonts w:eastAsia="Times New Roman"/>
                <w:b/>
                <w:bCs/>
                <w:sz w:val="18"/>
                <w:szCs w:val="18"/>
                <w:lang w:eastAsia="tr-TR"/>
              </w:rPr>
              <w:t>İmar Durumu</w:t>
            </w:r>
          </w:p>
        </w:tc>
        <w:tc>
          <w:tcPr>
            <w:tcW w:w="992"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 xml:space="preserve">Tahmini </w:t>
            </w:r>
            <w:r w:rsidRPr="00773AA3">
              <w:rPr>
                <w:rFonts w:eastAsia="Times New Roman"/>
                <w:b/>
                <w:bCs/>
                <w:sz w:val="18"/>
                <w:szCs w:val="18"/>
                <w:lang w:eastAsia="tr-TR"/>
              </w:rPr>
              <w:br/>
              <w:t>Satış Bedeli (TL)</w:t>
            </w:r>
          </w:p>
        </w:tc>
        <w:tc>
          <w:tcPr>
            <w:tcW w:w="1276"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 xml:space="preserve">Geçici </w:t>
            </w:r>
            <w:r w:rsidRPr="00773AA3">
              <w:rPr>
                <w:rFonts w:eastAsia="Times New Roman"/>
                <w:b/>
                <w:bCs/>
                <w:sz w:val="18"/>
                <w:szCs w:val="18"/>
                <w:lang w:eastAsia="tr-TR"/>
              </w:rPr>
              <w:br/>
              <w:t>Teminat</w:t>
            </w: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(TL)</w:t>
            </w:r>
          </w:p>
        </w:tc>
        <w:tc>
          <w:tcPr>
            <w:tcW w:w="1276"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İhale</w:t>
            </w: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Tarihi</w:t>
            </w:r>
          </w:p>
        </w:tc>
        <w:tc>
          <w:tcPr>
            <w:tcW w:w="1134" w:type="dxa"/>
            <w:shd w:val="clear" w:color="000000" w:fill="FFFFFF"/>
            <w:vAlign w:val="center"/>
            <w:hideMark/>
          </w:tcPr>
          <w:p w:rsidR="00506A73" w:rsidRPr="00773AA3" w:rsidRDefault="00506A73" w:rsidP="00F379AB">
            <w:pPr>
              <w:pStyle w:val="AralkYok"/>
              <w:jc w:val="center"/>
              <w:rPr>
                <w:rFonts w:eastAsia="Times New Roman"/>
                <w:b/>
                <w:bCs/>
                <w:sz w:val="18"/>
                <w:szCs w:val="18"/>
                <w:lang w:eastAsia="tr-TR"/>
              </w:rPr>
            </w:pPr>
          </w:p>
          <w:p w:rsidR="00506A7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İhale</w:t>
            </w:r>
          </w:p>
          <w:p w:rsidR="00506A73" w:rsidRPr="00773AA3" w:rsidRDefault="00506A73" w:rsidP="00F379AB">
            <w:pPr>
              <w:pStyle w:val="AralkYok"/>
              <w:jc w:val="center"/>
              <w:rPr>
                <w:rFonts w:eastAsia="Times New Roman"/>
                <w:b/>
                <w:bCs/>
                <w:sz w:val="18"/>
                <w:szCs w:val="18"/>
                <w:lang w:eastAsia="tr-TR"/>
              </w:rPr>
            </w:pPr>
            <w:r w:rsidRPr="00773AA3">
              <w:rPr>
                <w:rFonts w:eastAsia="Times New Roman"/>
                <w:b/>
                <w:bCs/>
                <w:sz w:val="18"/>
                <w:szCs w:val="18"/>
                <w:lang w:eastAsia="tr-TR"/>
              </w:rPr>
              <w:t>Saati</w:t>
            </w:r>
          </w:p>
        </w:tc>
      </w:tr>
      <w:tr w:rsidR="00B31BA1" w:rsidRPr="007363B6" w:rsidTr="00F379AB">
        <w:trPr>
          <w:trHeight w:val="284"/>
        </w:trPr>
        <w:tc>
          <w:tcPr>
            <w:tcW w:w="562" w:type="dxa"/>
            <w:shd w:val="clear" w:color="000000" w:fill="FFFFFF"/>
            <w:vAlign w:val="center"/>
          </w:tcPr>
          <w:p w:rsidR="00506A73" w:rsidRDefault="00506A73" w:rsidP="00F379AB">
            <w:pPr>
              <w:pStyle w:val="AralkYok"/>
              <w:jc w:val="center"/>
              <w:rPr>
                <w:rFonts w:eastAsia="Times New Roman"/>
                <w:bCs/>
                <w:sz w:val="18"/>
                <w:szCs w:val="18"/>
                <w:lang w:eastAsia="tr-TR"/>
              </w:rPr>
            </w:pPr>
            <w:r>
              <w:rPr>
                <w:rFonts w:eastAsia="Times New Roman"/>
                <w:bCs/>
                <w:sz w:val="18"/>
                <w:szCs w:val="18"/>
                <w:lang w:eastAsia="tr-TR"/>
              </w:rPr>
              <w:t>1</w:t>
            </w:r>
          </w:p>
        </w:tc>
        <w:tc>
          <w:tcPr>
            <w:tcW w:w="709" w:type="dxa"/>
            <w:shd w:val="clear" w:color="000000" w:fill="FFFFFF"/>
            <w:vAlign w:val="center"/>
          </w:tcPr>
          <w:p w:rsidR="00506A73" w:rsidRPr="007363B6" w:rsidRDefault="00506A73" w:rsidP="00F379AB">
            <w:pPr>
              <w:pStyle w:val="AralkYok"/>
              <w:jc w:val="center"/>
              <w:rPr>
                <w:rFonts w:eastAsia="Times New Roman"/>
                <w:bCs/>
                <w:sz w:val="18"/>
                <w:szCs w:val="18"/>
                <w:lang w:eastAsia="tr-TR"/>
              </w:rPr>
            </w:pPr>
            <w:r>
              <w:rPr>
                <w:rFonts w:eastAsia="Times New Roman"/>
                <w:bCs/>
                <w:sz w:val="18"/>
                <w:szCs w:val="18"/>
                <w:lang w:eastAsia="tr-TR"/>
              </w:rPr>
              <w:t>Bursa</w:t>
            </w:r>
          </w:p>
        </w:tc>
        <w:tc>
          <w:tcPr>
            <w:tcW w:w="1559" w:type="dxa"/>
            <w:shd w:val="clear" w:color="000000" w:fill="FFFFFF"/>
            <w:vAlign w:val="center"/>
          </w:tcPr>
          <w:p w:rsidR="00506A73" w:rsidRDefault="00506A73" w:rsidP="00F379AB">
            <w:pPr>
              <w:pStyle w:val="AralkYok"/>
              <w:jc w:val="center"/>
              <w:rPr>
                <w:rFonts w:eastAsia="Times New Roman"/>
                <w:bCs/>
                <w:sz w:val="18"/>
                <w:szCs w:val="18"/>
                <w:lang w:eastAsia="tr-TR"/>
              </w:rPr>
            </w:pPr>
            <w:r>
              <w:rPr>
                <w:rFonts w:eastAsia="Times New Roman"/>
                <w:bCs/>
                <w:sz w:val="18"/>
                <w:szCs w:val="18"/>
                <w:lang w:eastAsia="tr-TR"/>
              </w:rPr>
              <w:t>Mustafakemalpaşa</w:t>
            </w:r>
          </w:p>
        </w:tc>
        <w:tc>
          <w:tcPr>
            <w:tcW w:w="993" w:type="dxa"/>
            <w:shd w:val="clear" w:color="000000" w:fill="FFFFFF"/>
            <w:vAlign w:val="center"/>
          </w:tcPr>
          <w:p w:rsidR="00506A73" w:rsidRDefault="00B31BA1" w:rsidP="00F379AB">
            <w:pPr>
              <w:pStyle w:val="AralkYok"/>
              <w:jc w:val="center"/>
              <w:rPr>
                <w:rFonts w:eastAsia="Times New Roman"/>
                <w:bCs/>
                <w:sz w:val="18"/>
                <w:szCs w:val="18"/>
                <w:lang w:eastAsia="tr-TR"/>
              </w:rPr>
            </w:pPr>
            <w:r>
              <w:rPr>
                <w:rFonts w:eastAsia="Times New Roman"/>
                <w:bCs/>
                <w:sz w:val="18"/>
                <w:szCs w:val="18"/>
                <w:lang w:eastAsia="tr-TR"/>
              </w:rPr>
              <w:t>Çiviliçam</w:t>
            </w:r>
          </w:p>
        </w:tc>
        <w:tc>
          <w:tcPr>
            <w:tcW w:w="708" w:type="dxa"/>
            <w:shd w:val="clear" w:color="000000" w:fill="FFFFFF"/>
            <w:vAlign w:val="center"/>
          </w:tcPr>
          <w:p w:rsidR="00506A73" w:rsidRPr="007363B6" w:rsidRDefault="00506A73" w:rsidP="00F379AB">
            <w:pPr>
              <w:pStyle w:val="AralkYok"/>
              <w:jc w:val="center"/>
              <w:rPr>
                <w:rFonts w:eastAsia="Times New Roman"/>
                <w:bCs/>
                <w:sz w:val="18"/>
                <w:szCs w:val="18"/>
                <w:lang w:eastAsia="tr-TR"/>
              </w:rPr>
            </w:pPr>
            <w:r>
              <w:rPr>
                <w:rFonts w:eastAsia="Times New Roman"/>
                <w:bCs/>
                <w:sz w:val="18"/>
                <w:szCs w:val="18"/>
                <w:lang w:eastAsia="tr-TR"/>
              </w:rPr>
              <w:t>Arsa</w:t>
            </w:r>
          </w:p>
        </w:tc>
        <w:tc>
          <w:tcPr>
            <w:tcW w:w="1134" w:type="dxa"/>
            <w:shd w:val="clear" w:color="000000" w:fill="FFFFFF"/>
            <w:vAlign w:val="center"/>
          </w:tcPr>
          <w:p w:rsidR="00506A73" w:rsidRPr="007363B6" w:rsidRDefault="00B31BA1" w:rsidP="00F379AB">
            <w:pPr>
              <w:pStyle w:val="AralkYok"/>
              <w:jc w:val="center"/>
              <w:rPr>
                <w:rFonts w:eastAsia="Times New Roman"/>
                <w:bCs/>
                <w:sz w:val="18"/>
                <w:szCs w:val="18"/>
                <w:lang w:eastAsia="tr-TR"/>
              </w:rPr>
            </w:pPr>
            <w:r>
              <w:rPr>
                <w:rFonts w:eastAsia="Times New Roman"/>
                <w:bCs/>
                <w:sz w:val="18"/>
                <w:szCs w:val="18"/>
                <w:lang w:eastAsia="tr-TR"/>
              </w:rPr>
              <w:t>424</w:t>
            </w:r>
          </w:p>
        </w:tc>
        <w:tc>
          <w:tcPr>
            <w:tcW w:w="993" w:type="dxa"/>
            <w:shd w:val="clear" w:color="000000" w:fill="FFFFFF"/>
            <w:vAlign w:val="center"/>
          </w:tcPr>
          <w:p w:rsidR="00506A73" w:rsidRDefault="00B31BA1" w:rsidP="00F379AB">
            <w:pPr>
              <w:pStyle w:val="AralkYok"/>
              <w:jc w:val="center"/>
              <w:rPr>
                <w:rFonts w:eastAsia="Times New Roman"/>
                <w:bCs/>
                <w:sz w:val="18"/>
                <w:szCs w:val="18"/>
                <w:lang w:eastAsia="tr-TR"/>
              </w:rPr>
            </w:pPr>
            <w:r>
              <w:rPr>
                <w:rFonts w:eastAsia="Times New Roman"/>
                <w:bCs/>
                <w:sz w:val="18"/>
                <w:szCs w:val="18"/>
                <w:lang w:eastAsia="tr-TR"/>
              </w:rPr>
              <w:t>800</w:t>
            </w:r>
            <w:r w:rsidR="00506A73">
              <w:rPr>
                <w:rFonts w:eastAsia="Times New Roman"/>
                <w:bCs/>
                <w:sz w:val="18"/>
                <w:szCs w:val="18"/>
                <w:lang w:eastAsia="tr-TR"/>
              </w:rPr>
              <w:t>,00</w:t>
            </w:r>
          </w:p>
        </w:tc>
        <w:tc>
          <w:tcPr>
            <w:tcW w:w="850" w:type="dxa"/>
            <w:shd w:val="clear" w:color="000000" w:fill="FFFFFF"/>
            <w:vAlign w:val="center"/>
          </w:tcPr>
          <w:p w:rsidR="00506A73" w:rsidRDefault="00B31BA1" w:rsidP="00F379AB">
            <w:pPr>
              <w:pStyle w:val="AralkYok"/>
              <w:jc w:val="center"/>
            </w:pPr>
            <w:proofErr w:type="spellStart"/>
            <w:r>
              <w:rPr>
                <w:sz w:val="20"/>
              </w:rPr>
              <w:t>Köyiçi</w:t>
            </w:r>
            <w:proofErr w:type="spellEnd"/>
          </w:p>
        </w:tc>
        <w:tc>
          <w:tcPr>
            <w:tcW w:w="992" w:type="dxa"/>
            <w:shd w:val="clear" w:color="000000" w:fill="FFFFFF"/>
            <w:vAlign w:val="center"/>
          </w:tcPr>
          <w:p w:rsidR="00506A73" w:rsidRDefault="00506A73" w:rsidP="00F379AB">
            <w:pPr>
              <w:pStyle w:val="AralkYok"/>
              <w:jc w:val="center"/>
              <w:rPr>
                <w:rFonts w:eastAsia="Times New Roman"/>
                <w:bCs/>
                <w:sz w:val="18"/>
                <w:szCs w:val="18"/>
                <w:lang w:eastAsia="tr-TR"/>
              </w:rPr>
            </w:pPr>
            <w:r>
              <w:rPr>
                <w:rFonts w:eastAsia="Times New Roman"/>
                <w:bCs/>
                <w:sz w:val="18"/>
                <w:szCs w:val="18"/>
                <w:lang w:eastAsia="tr-TR"/>
              </w:rPr>
              <w:t>Tam</w:t>
            </w:r>
          </w:p>
        </w:tc>
        <w:tc>
          <w:tcPr>
            <w:tcW w:w="1843" w:type="dxa"/>
            <w:shd w:val="clear" w:color="000000" w:fill="FFFFFF"/>
            <w:vAlign w:val="center"/>
          </w:tcPr>
          <w:p w:rsidR="00506A73" w:rsidRDefault="00955635" w:rsidP="00F379AB">
            <w:pPr>
              <w:pStyle w:val="AralkYok"/>
              <w:jc w:val="center"/>
              <w:rPr>
                <w:rFonts w:eastAsia="Times New Roman"/>
                <w:bCs/>
                <w:sz w:val="18"/>
                <w:szCs w:val="18"/>
                <w:lang w:eastAsia="tr-TR"/>
              </w:rPr>
            </w:pPr>
            <w:r>
              <w:rPr>
                <w:rFonts w:eastAsia="Times New Roman"/>
                <w:bCs/>
                <w:sz w:val="18"/>
                <w:szCs w:val="18"/>
                <w:lang w:eastAsia="tr-TR"/>
              </w:rPr>
              <w:t>İmarsız</w:t>
            </w:r>
          </w:p>
        </w:tc>
        <w:tc>
          <w:tcPr>
            <w:tcW w:w="992" w:type="dxa"/>
            <w:shd w:val="clear" w:color="000000" w:fill="FFFFFF"/>
            <w:vAlign w:val="center"/>
          </w:tcPr>
          <w:p w:rsidR="00506A73" w:rsidRPr="007363B6" w:rsidRDefault="00B31BA1" w:rsidP="00F379AB">
            <w:pPr>
              <w:pStyle w:val="AralkYok"/>
              <w:jc w:val="center"/>
              <w:rPr>
                <w:rFonts w:eastAsia="Times New Roman"/>
                <w:bCs/>
                <w:sz w:val="18"/>
                <w:szCs w:val="18"/>
                <w:lang w:eastAsia="tr-TR"/>
              </w:rPr>
            </w:pPr>
            <w:r>
              <w:rPr>
                <w:rFonts w:eastAsia="Times New Roman"/>
                <w:bCs/>
                <w:sz w:val="18"/>
                <w:szCs w:val="18"/>
                <w:lang w:eastAsia="tr-TR"/>
              </w:rPr>
              <w:t>24</w:t>
            </w:r>
            <w:r w:rsidR="00506A73">
              <w:rPr>
                <w:rFonts w:eastAsia="Times New Roman"/>
                <w:bCs/>
                <w:sz w:val="18"/>
                <w:szCs w:val="18"/>
                <w:lang w:eastAsia="tr-TR"/>
              </w:rPr>
              <w:t>.000,00</w:t>
            </w:r>
          </w:p>
        </w:tc>
        <w:tc>
          <w:tcPr>
            <w:tcW w:w="1276" w:type="dxa"/>
            <w:shd w:val="clear" w:color="000000" w:fill="FFFFFF"/>
            <w:vAlign w:val="center"/>
          </w:tcPr>
          <w:p w:rsidR="00506A73" w:rsidRPr="007363B6" w:rsidRDefault="00B31BA1" w:rsidP="00F379AB">
            <w:pPr>
              <w:pStyle w:val="AralkYok"/>
              <w:jc w:val="center"/>
              <w:rPr>
                <w:rFonts w:eastAsia="Times New Roman"/>
                <w:bCs/>
                <w:sz w:val="18"/>
                <w:szCs w:val="18"/>
                <w:lang w:eastAsia="tr-TR"/>
              </w:rPr>
            </w:pPr>
            <w:r>
              <w:rPr>
                <w:rFonts w:eastAsia="Times New Roman"/>
                <w:bCs/>
                <w:sz w:val="18"/>
                <w:szCs w:val="18"/>
                <w:lang w:eastAsia="tr-TR"/>
              </w:rPr>
              <w:t>4.8</w:t>
            </w:r>
            <w:r w:rsidR="00506A73">
              <w:rPr>
                <w:rFonts w:eastAsia="Times New Roman"/>
                <w:bCs/>
                <w:sz w:val="18"/>
                <w:szCs w:val="18"/>
                <w:lang w:eastAsia="tr-TR"/>
              </w:rPr>
              <w:t>00,00</w:t>
            </w:r>
          </w:p>
        </w:tc>
        <w:tc>
          <w:tcPr>
            <w:tcW w:w="1276" w:type="dxa"/>
            <w:shd w:val="clear" w:color="000000" w:fill="FFFFFF"/>
            <w:vAlign w:val="center"/>
          </w:tcPr>
          <w:p w:rsidR="00506A73" w:rsidRDefault="00093644" w:rsidP="00F379AB">
            <w:pPr>
              <w:pStyle w:val="AralkYok"/>
              <w:jc w:val="center"/>
              <w:rPr>
                <w:rFonts w:eastAsia="Times New Roman"/>
                <w:bCs/>
                <w:sz w:val="18"/>
                <w:szCs w:val="18"/>
                <w:lang w:eastAsia="tr-TR"/>
              </w:rPr>
            </w:pPr>
            <w:r>
              <w:rPr>
                <w:rFonts w:eastAsia="Times New Roman"/>
                <w:bCs/>
                <w:sz w:val="18"/>
                <w:szCs w:val="18"/>
                <w:lang w:eastAsia="tr-TR"/>
              </w:rPr>
              <w:t>12</w:t>
            </w:r>
            <w:r w:rsidR="00506A73">
              <w:rPr>
                <w:rFonts w:eastAsia="Times New Roman"/>
                <w:bCs/>
                <w:sz w:val="18"/>
                <w:szCs w:val="18"/>
                <w:lang w:eastAsia="tr-TR"/>
              </w:rPr>
              <w:t>.0</w:t>
            </w:r>
            <w:r>
              <w:rPr>
                <w:rFonts w:eastAsia="Times New Roman"/>
                <w:bCs/>
                <w:sz w:val="18"/>
                <w:szCs w:val="18"/>
                <w:lang w:eastAsia="tr-TR"/>
              </w:rPr>
              <w:t>9.2019</w:t>
            </w:r>
          </w:p>
        </w:tc>
        <w:tc>
          <w:tcPr>
            <w:tcW w:w="1134" w:type="dxa"/>
            <w:shd w:val="clear" w:color="000000" w:fill="FFFFFF"/>
            <w:vAlign w:val="center"/>
          </w:tcPr>
          <w:p w:rsidR="00506A73" w:rsidRPr="007363B6" w:rsidRDefault="00093644" w:rsidP="00F379AB">
            <w:pPr>
              <w:pStyle w:val="AralkYok"/>
              <w:jc w:val="center"/>
              <w:rPr>
                <w:rFonts w:eastAsia="Times New Roman"/>
                <w:bCs/>
                <w:sz w:val="18"/>
                <w:szCs w:val="18"/>
                <w:lang w:eastAsia="tr-TR"/>
              </w:rPr>
            </w:pPr>
            <w:r>
              <w:rPr>
                <w:rFonts w:eastAsia="Times New Roman"/>
                <w:bCs/>
                <w:sz w:val="18"/>
                <w:szCs w:val="18"/>
                <w:lang w:eastAsia="tr-TR"/>
              </w:rPr>
              <w:t>11</w:t>
            </w:r>
            <w:r w:rsidR="00506A73">
              <w:rPr>
                <w:rFonts w:eastAsia="Times New Roman"/>
                <w:bCs/>
                <w:sz w:val="18"/>
                <w:szCs w:val="18"/>
                <w:lang w:eastAsia="tr-TR"/>
              </w:rPr>
              <w:t>.00</w:t>
            </w:r>
          </w:p>
        </w:tc>
      </w:tr>
    </w:tbl>
    <w:p w:rsidR="001D4089" w:rsidRPr="008A3EED" w:rsidRDefault="00172163" w:rsidP="001D4089">
      <w:pPr>
        <w:pStyle w:val="AralkYok"/>
        <w:jc w:val="center"/>
        <w:rPr>
          <w:b/>
          <w:sz w:val="24"/>
          <w:szCs w:val="24"/>
        </w:rPr>
      </w:pPr>
      <w:r w:rsidRPr="008A3EED">
        <w:rPr>
          <w:b/>
          <w:sz w:val="24"/>
          <w:szCs w:val="24"/>
        </w:rPr>
        <w:t xml:space="preserve"> </w:t>
      </w:r>
      <w:r w:rsidR="00EC19D8">
        <w:rPr>
          <w:b/>
          <w:sz w:val="24"/>
          <w:szCs w:val="24"/>
        </w:rPr>
        <w:t>Satışı Y</w:t>
      </w:r>
      <w:r w:rsidR="001D4089" w:rsidRPr="008A3EED">
        <w:rPr>
          <w:b/>
          <w:sz w:val="24"/>
          <w:szCs w:val="24"/>
        </w:rPr>
        <w:t>apılacak Taşınmaz Listesi</w:t>
      </w:r>
    </w:p>
    <w:p w:rsidR="006C4B47" w:rsidRDefault="006C4B47" w:rsidP="006C4B47">
      <w:pPr>
        <w:spacing w:after="0" w:line="240" w:lineRule="auto"/>
        <w:ind w:firstLine="708"/>
        <w:jc w:val="both"/>
        <w:rPr>
          <w:rFonts w:ascii="Times New Roman" w:hAnsi="Times New Roman" w:cs="Times New Roman"/>
          <w:sz w:val="24"/>
          <w:szCs w:val="24"/>
        </w:rPr>
      </w:pPr>
    </w:p>
    <w:p w:rsidR="00F379AB" w:rsidRDefault="006726F9" w:rsidP="00F379AB">
      <w:pPr>
        <w:spacing w:after="0" w:line="240" w:lineRule="auto"/>
        <w:ind w:firstLine="708"/>
        <w:jc w:val="both"/>
        <w:rPr>
          <w:rFonts w:ascii="Times New Roman" w:hAnsi="Times New Roman" w:cs="Times New Roman"/>
          <w:b/>
          <w:sz w:val="20"/>
          <w:szCs w:val="24"/>
        </w:rPr>
      </w:pPr>
      <w:r w:rsidRPr="001C6CC7">
        <w:rPr>
          <w:rFonts w:ascii="Times New Roman" w:hAnsi="Times New Roman" w:cs="Times New Roman"/>
          <w:b/>
          <w:sz w:val="20"/>
          <w:szCs w:val="24"/>
        </w:rPr>
        <w:t xml:space="preserve"> </w:t>
      </w:r>
    </w:p>
    <w:p w:rsidR="006C4B47" w:rsidRPr="00F379AB" w:rsidRDefault="006C4B47" w:rsidP="00456AC2">
      <w:pPr>
        <w:pStyle w:val="AralkYok"/>
        <w:rPr>
          <w:b/>
          <w:szCs w:val="24"/>
        </w:rPr>
      </w:pPr>
      <w:bookmarkStart w:id="0" w:name="_GoBack"/>
      <w:r w:rsidRPr="001C6CC7">
        <w:rPr>
          <w:b/>
        </w:rPr>
        <w:t>1-</w:t>
      </w:r>
      <w:r w:rsidR="00F72EEC">
        <w:rPr>
          <w:b/>
        </w:rPr>
        <w:t xml:space="preserve"> </w:t>
      </w:r>
      <w:r w:rsidRPr="001C6CC7">
        <w:t xml:space="preserve">Yukarıda özellikleri belirtilen taşınmazların satış ihalesi 2886 sayılı Devlet İhale Kanununun 45. maddesi gereğince Açık Teklif Usulüyle, hizalarında belirtilen tarih ve saatlerde Mustafakemalpaşa </w:t>
      </w:r>
      <w:r w:rsidR="004B47BF" w:rsidRPr="001C6CC7">
        <w:t>Mill</w:t>
      </w:r>
      <w:r w:rsidR="004B47BF">
        <w:t>i Emlak Şefliğinde</w:t>
      </w:r>
      <w:r w:rsidR="004B47BF" w:rsidRPr="001C6CC7">
        <w:t xml:space="preserve"> </w:t>
      </w:r>
      <w:r w:rsidRPr="001C6CC7">
        <w:t>yapılacaktır.</w:t>
      </w:r>
    </w:p>
    <w:p w:rsidR="009B100C" w:rsidRPr="001C6CC7" w:rsidRDefault="006C4B47" w:rsidP="00456AC2">
      <w:pPr>
        <w:pStyle w:val="AralkYok"/>
        <w:rPr>
          <w:rFonts w:eastAsia="Times New Roman"/>
          <w:lang w:eastAsia="tr-TR"/>
        </w:rPr>
      </w:pPr>
      <w:r w:rsidRPr="001C6CC7">
        <w:t xml:space="preserve"> </w:t>
      </w:r>
      <w:proofErr w:type="gramStart"/>
      <w:r w:rsidRPr="001C6CC7">
        <w:rPr>
          <w:b/>
        </w:rPr>
        <w:t>2-</w:t>
      </w:r>
      <w:r w:rsidR="00F72EEC">
        <w:rPr>
          <w:b/>
        </w:rPr>
        <w:t xml:space="preserve"> </w:t>
      </w:r>
      <w:r w:rsidR="009B100C" w:rsidRPr="001C6CC7">
        <w:rPr>
          <w:rFonts w:eastAsia="Times New Roman"/>
          <w:lang w:eastAsia="tr-TR"/>
        </w:rPr>
        <w:t>İsteklilerin ihaleye katılabilmeleri için yatırmış oldukları geçici teminat makbuzunu veya süresiz banka teminat mektubunu, nüfus kayıt örneğini, yerleşim yeri belgesini, tüzel kişilik adına ihaleye gireceklerin yetki belgesi ve imza sirkülerini, 201</w:t>
      </w:r>
      <w:r w:rsidR="004B47BF">
        <w:rPr>
          <w:rFonts w:eastAsia="Times New Roman"/>
          <w:lang w:eastAsia="tr-TR"/>
        </w:rPr>
        <w:t>9</w:t>
      </w:r>
      <w:r w:rsidR="009B100C" w:rsidRPr="001C6CC7">
        <w:rPr>
          <w:rFonts w:eastAsia="Times New Roman"/>
          <w:lang w:eastAsia="tr-TR"/>
        </w:rPr>
        <w:t xml:space="preserve"> yılında alınan oda sicil kaydını, gerçek kişiler adına ihaleye gireceklerin noter tasdikli vekâletname örneğini ihale saatine kadar Komisyona vermeleri gerekmektedir.</w:t>
      </w:r>
      <w:r w:rsidR="009B100C" w:rsidRPr="001C6CC7">
        <w:rPr>
          <w:rFonts w:ascii="Arial TUR" w:eastAsia="Times New Roman" w:hAnsi="Arial TUR" w:cs="Arial TUR"/>
          <w:lang w:eastAsia="tr-TR"/>
        </w:rPr>
        <w:t xml:space="preserve"> </w:t>
      </w:r>
      <w:proofErr w:type="gramEnd"/>
    </w:p>
    <w:p w:rsidR="005D2760" w:rsidRDefault="006C4B47" w:rsidP="00456AC2">
      <w:pPr>
        <w:pStyle w:val="AralkYok"/>
      </w:pPr>
      <w:r w:rsidRPr="001C6CC7">
        <w:rPr>
          <w:b/>
        </w:rPr>
        <w:t>3-</w:t>
      </w:r>
      <w:r w:rsidR="00F72EEC">
        <w:rPr>
          <w:b/>
        </w:rPr>
        <w:t xml:space="preserve"> </w:t>
      </w:r>
      <w:r w:rsidRPr="001C6CC7">
        <w:t xml:space="preserve">Şartname ve ihale dosyaları mesai saatleri içerisinde </w:t>
      </w:r>
      <w:r w:rsidR="006726F9" w:rsidRPr="001C6CC7">
        <w:t xml:space="preserve">Mustafakemalpaşa </w:t>
      </w:r>
      <w:r w:rsidR="009A7F72" w:rsidRPr="001C6CC7">
        <w:t>Mill</w:t>
      </w:r>
      <w:r w:rsidR="007B6E3B">
        <w:t>i</w:t>
      </w:r>
      <w:r w:rsidR="004B47BF">
        <w:t xml:space="preserve"> Emlak Şefliğinde</w:t>
      </w:r>
      <w:r w:rsidR="006726F9" w:rsidRPr="001C6CC7">
        <w:t xml:space="preserve"> </w:t>
      </w:r>
      <w:r w:rsidRPr="001C6CC7">
        <w:t>ücretsiz olarak görülebilir.</w:t>
      </w:r>
    </w:p>
    <w:p w:rsidR="00A45F59" w:rsidRPr="005D2760" w:rsidRDefault="006C4B47" w:rsidP="00456AC2">
      <w:pPr>
        <w:pStyle w:val="AralkYok"/>
      </w:pPr>
      <w:r w:rsidRPr="001C6CC7">
        <w:rPr>
          <w:b/>
        </w:rPr>
        <w:t>4-</w:t>
      </w:r>
      <w:r w:rsidRPr="001C6CC7">
        <w:t xml:space="preserve"> </w:t>
      </w:r>
      <w:r w:rsidR="00A45F59" w:rsidRPr="001C6CC7">
        <w:rPr>
          <w:rFonts w:eastAsia="Times New Roman"/>
          <w:lang w:eastAsia="tr-TR"/>
        </w:rPr>
        <w:t>Posta yolu ile yapılacak müracaatlar kabul edilmeyecektir.</w:t>
      </w:r>
    </w:p>
    <w:p w:rsidR="00A45F59" w:rsidRPr="001C6CC7" w:rsidRDefault="006C4B47" w:rsidP="00456AC2">
      <w:pPr>
        <w:pStyle w:val="AralkYok"/>
        <w:rPr>
          <w:rFonts w:eastAsia="Times New Roman"/>
          <w:lang w:eastAsia="tr-TR"/>
        </w:rPr>
      </w:pPr>
      <w:r w:rsidRPr="001C6CC7">
        <w:rPr>
          <w:b/>
        </w:rPr>
        <w:t>5-</w:t>
      </w:r>
      <w:r w:rsidRPr="001C6CC7">
        <w:t xml:space="preserve"> </w:t>
      </w:r>
      <w:r w:rsidR="001C6CC7">
        <w:rPr>
          <w:rFonts w:eastAsia="Times New Roman"/>
          <w:lang w:eastAsia="tr-TR"/>
        </w:rPr>
        <w:t>İ</w:t>
      </w:r>
      <w:r w:rsidR="00A45F59" w:rsidRPr="001C6CC7">
        <w:rPr>
          <w:rFonts w:eastAsia="Times New Roman"/>
          <w:lang w:eastAsia="tr-TR"/>
        </w:rPr>
        <w:t xml:space="preserve">hale bedeli yasal süresi içerisinde yatırılmadığı takdirde geçici teminat Hazineye </w:t>
      </w:r>
      <w:proofErr w:type="spellStart"/>
      <w:r w:rsidR="00A45F59" w:rsidRPr="001C6CC7">
        <w:rPr>
          <w:rFonts w:eastAsia="Times New Roman"/>
          <w:lang w:eastAsia="tr-TR"/>
        </w:rPr>
        <w:t>İrad</w:t>
      </w:r>
      <w:proofErr w:type="spellEnd"/>
      <w:r w:rsidR="00A45F59" w:rsidRPr="001C6CC7">
        <w:rPr>
          <w:rFonts w:eastAsia="Times New Roman"/>
          <w:lang w:eastAsia="tr-TR"/>
        </w:rPr>
        <w:t xml:space="preserve"> kaydedilir.</w:t>
      </w:r>
    </w:p>
    <w:p w:rsidR="006C4B47" w:rsidRPr="001C6CC7" w:rsidRDefault="006C4B47" w:rsidP="00456AC2">
      <w:pPr>
        <w:pStyle w:val="AralkYok"/>
      </w:pPr>
      <w:r w:rsidRPr="001C6CC7">
        <w:rPr>
          <w:b/>
        </w:rPr>
        <w:t>6-</w:t>
      </w:r>
      <w:r w:rsidRPr="001C6CC7">
        <w:t xml:space="preserve"> İhale bilgileri http:/www.milliemlak.gov.tr - http:/www.bursadefterdarligi.gov.tr internet adresinden öğrenilebilir. Bilgi için: </w:t>
      </w:r>
      <w:proofErr w:type="spellStart"/>
      <w:r w:rsidRPr="001C6CC7">
        <w:t>Tlf</w:t>
      </w:r>
      <w:proofErr w:type="spellEnd"/>
      <w:proofErr w:type="gramStart"/>
      <w:r w:rsidRPr="001C6CC7">
        <w:t>.:</w:t>
      </w:r>
      <w:proofErr w:type="gramEnd"/>
      <w:r w:rsidRPr="001C6CC7">
        <w:t xml:space="preserve"> 0 224 </w:t>
      </w:r>
      <w:r w:rsidR="006726F9" w:rsidRPr="001C6CC7">
        <w:t>613</w:t>
      </w:r>
      <w:r w:rsidRPr="001C6CC7">
        <w:t xml:space="preserve"> </w:t>
      </w:r>
      <w:r w:rsidR="006726F9" w:rsidRPr="001C6CC7">
        <w:t>49</w:t>
      </w:r>
      <w:r w:rsidRPr="001C6CC7">
        <w:t xml:space="preserve"> </w:t>
      </w:r>
      <w:r w:rsidR="006726F9" w:rsidRPr="001C6CC7">
        <w:t>72</w:t>
      </w:r>
    </w:p>
    <w:p w:rsidR="006C4B47" w:rsidRPr="006726F9" w:rsidRDefault="006C4B47" w:rsidP="00456AC2">
      <w:pPr>
        <w:pStyle w:val="AralkYok"/>
        <w:rPr>
          <w:szCs w:val="24"/>
        </w:rPr>
      </w:pPr>
      <w:r w:rsidRPr="001C6CC7">
        <w:rPr>
          <w:b/>
        </w:rPr>
        <w:t>7-</w:t>
      </w:r>
      <w:r w:rsidRPr="001C6CC7">
        <w:t xml:space="preserve"> Komisyon ihaleyi yapıp yapmamakta serbesttir. İlan olunur.                                                                                                                                                                                                                                                                                  </w:t>
      </w:r>
      <w:bookmarkEnd w:id="0"/>
    </w:p>
    <w:p w:rsidR="006C4B47" w:rsidRPr="001272DF" w:rsidRDefault="006C4B47" w:rsidP="006C4B47">
      <w:pPr>
        <w:spacing w:after="0" w:line="240" w:lineRule="auto"/>
        <w:jc w:val="both"/>
        <w:rPr>
          <w:rFonts w:ascii="Times New Roman" w:hAnsi="Times New Roman" w:cs="Times New Roman"/>
          <w:sz w:val="24"/>
          <w:szCs w:val="24"/>
        </w:rPr>
      </w:pPr>
    </w:p>
    <w:p w:rsidR="006C4B47" w:rsidRPr="00444DEE" w:rsidRDefault="006C4B47" w:rsidP="006C4B47">
      <w:pPr>
        <w:rPr>
          <w:rFonts w:ascii="Times New Roman" w:hAnsi="Times New Roman" w:cs="Times New Roman"/>
          <w:sz w:val="24"/>
          <w:szCs w:val="24"/>
        </w:rPr>
      </w:pPr>
    </w:p>
    <w:p w:rsidR="00BB6399" w:rsidRPr="00A45F59" w:rsidRDefault="00BB6399" w:rsidP="00A45F59">
      <w:pPr>
        <w:tabs>
          <w:tab w:val="left" w:pos="10395"/>
        </w:tabs>
        <w:rPr>
          <w:rFonts w:ascii="Times New Roman" w:hAnsi="Times New Roman" w:cs="Times New Roman"/>
        </w:rPr>
      </w:pPr>
    </w:p>
    <w:sectPr w:rsidR="00BB6399" w:rsidRPr="00A45F59" w:rsidSect="00F379AB">
      <w:pgSz w:w="16838" w:h="11906" w:orient="landscape" w:code="9"/>
      <w:pgMar w:top="142" w:right="962"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760E"/>
    <w:rsid w:val="00093644"/>
    <w:rsid w:val="00154338"/>
    <w:rsid w:val="00172163"/>
    <w:rsid w:val="001C6CC7"/>
    <w:rsid w:val="001D4089"/>
    <w:rsid w:val="00245005"/>
    <w:rsid w:val="002669A4"/>
    <w:rsid w:val="00283E29"/>
    <w:rsid w:val="002E4C1C"/>
    <w:rsid w:val="00394B5D"/>
    <w:rsid w:val="00396925"/>
    <w:rsid w:val="003E726F"/>
    <w:rsid w:val="00427F15"/>
    <w:rsid w:val="00433CBB"/>
    <w:rsid w:val="00456AC2"/>
    <w:rsid w:val="00460879"/>
    <w:rsid w:val="004807A4"/>
    <w:rsid w:val="004A14BC"/>
    <w:rsid w:val="004B47BF"/>
    <w:rsid w:val="004D329E"/>
    <w:rsid w:val="004E1174"/>
    <w:rsid w:val="00506A73"/>
    <w:rsid w:val="005D2760"/>
    <w:rsid w:val="00637390"/>
    <w:rsid w:val="006726F9"/>
    <w:rsid w:val="00692A4B"/>
    <w:rsid w:val="006C4B47"/>
    <w:rsid w:val="006D4FB7"/>
    <w:rsid w:val="007B6E3B"/>
    <w:rsid w:val="007E14C6"/>
    <w:rsid w:val="007F616B"/>
    <w:rsid w:val="008118DA"/>
    <w:rsid w:val="00831041"/>
    <w:rsid w:val="008B6B5A"/>
    <w:rsid w:val="00955635"/>
    <w:rsid w:val="00973357"/>
    <w:rsid w:val="00997B97"/>
    <w:rsid w:val="009A7F72"/>
    <w:rsid w:val="009B100C"/>
    <w:rsid w:val="00A000B2"/>
    <w:rsid w:val="00A249A0"/>
    <w:rsid w:val="00A45F59"/>
    <w:rsid w:val="00A95BB4"/>
    <w:rsid w:val="00AC3A06"/>
    <w:rsid w:val="00B31BA1"/>
    <w:rsid w:val="00B41912"/>
    <w:rsid w:val="00BB5B12"/>
    <w:rsid w:val="00BB6399"/>
    <w:rsid w:val="00C8041A"/>
    <w:rsid w:val="00CC0403"/>
    <w:rsid w:val="00CC5025"/>
    <w:rsid w:val="00DA5DA0"/>
    <w:rsid w:val="00DD5ED9"/>
    <w:rsid w:val="00E76041"/>
    <w:rsid w:val="00EA7488"/>
    <w:rsid w:val="00EC19D8"/>
    <w:rsid w:val="00F379AB"/>
    <w:rsid w:val="00F72EEC"/>
    <w:rsid w:val="00FA031B"/>
    <w:rsid w:val="00FA7C52"/>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İBRAHİM BAYDAR</cp:lastModifiedBy>
  <cp:revision>53</cp:revision>
  <cp:lastPrinted>2016-11-30T12:13:00Z</cp:lastPrinted>
  <dcterms:created xsi:type="dcterms:W3CDTF">2016-11-29T12:31:00Z</dcterms:created>
  <dcterms:modified xsi:type="dcterms:W3CDTF">2019-08-27T05:27:00Z</dcterms:modified>
</cp:coreProperties>
</file>