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proofErr w:type="gramStart"/>
      <w:r w:rsidRPr="00E66BD6">
        <w:rPr>
          <w:bCs/>
          <w:sz w:val="44"/>
          <w:szCs w:val="44"/>
        </w:rPr>
        <w:t xml:space="preserve">İlimiz, </w:t>
      </w:r>
      <w:r w:rsidR="002E1101" w:rsidRPr="002E1101">
        <w:rPr>
          <w:sz w:val="44"/>
          <w:szCs w:val="44"/>
        </w:rPr>
        <w:t xml:space="preserve">Nilüfer İlçesi, </w:t>
      </w:r>
      <w:proofErr w:type="spellStart"/>
      <w:r w:rsidR="002E1101" w:rsidRPr="002E1101">
        <w:rPr>
          <w:sz w:val="44"/>
          <w:szCs w:val="44"/>
        </w:rPr>
        <w:t>Hasanağa</w:t>
      </w:r>
      <w:proofErr w:type="spellEnd"/>
      <w:r w:rsidR="002E1101" w:rsidRPr="002E1101">
        <w:rPr>
          <w:sz w:val="44"/>
          <w:szCs w:val="44"/>
        </w:rPr>
        <w:t xml:space="preserve"> organize sanayi bölgesi 5.Cadde No:6 adresinde tapunun H21C06B4C pafta, 101 ada, 5 parsel numarasında kayıtlı 11.280m2 yüz ölçümlü alan üzerinde 2.950,80m2 kapalı alanda </w:t>
      </w:r>
      <w:proofErr w:type="spellStart"/>
      <w:r w:rsidR="002E1101" w:rsidRPr="002E1101">
        <w:rPr>
          <w:sz w:val="44"/>
          <w:szCs w:val="44"/>
        </w:rPr>
        <w:t>Safteknik</w:t>
      </w:r>
      <w:proofErr w:type="spellEnd"/>
      <w:r w:rsidR="002E1101" w:rsidRPr="002E1101">
        <w:rPr>
          <w:sz w:val="44"/>
          <w:szCs w:val="44"/>
        </w:rPr>
        <w:t xml:space="preserve"> Toz Emme Sistemleri Sanayi Ve Ticaret Ltd. Şti. tarafından yapılması planlanan “Yüzey İşlem ve Toz Boyama Tesisi (Toplam havuz hacmi 22,60 m³)”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25.11.2014 tarih ve 29186 sayılı Resmi Gazetede yayımlanarak yürürlüğe giren Çevresel Etki Değerlendirmesi (ÇED) Yönetmeliğinin</w:t>
      </w:r>
      <w:r w:rsidR="002E1101">
        <w:rPr>
          <w:bCs/>
          <w:sz w:val="44"/>
          <w:szCs w:val="44"/>
        </w:rPr>
        <w:t xml:space="preserve"> </w:t>
      </w:r>
      <w:bookmarkStart w:id="0" w:name="_GoBack"/>
      <w:bookmarkEnd w:id="0"/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2E1101" w:rsidRPr="002E1101">
        <w:rPr>
          <w:sz w:val="44"/>
          <w:szCs w:val="44"/>
        </w:rPr>
        <w:t>23.02.2022 tarih ve E.202294 no.lu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1250C"/>
    <w:rsid w:val="00237CC2"/>
    <w:rsid w:val="002466A0"/>
    <w:rsid w:val="002D2CC1"/>
    <w:rsid w:val="002E110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43C0D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F00C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33A4-98DC-4B21-A81C-AC87C92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11</cp:revision>
  <cp:lastPrinted>2014-08-12T08:16:00Z</cp:lastPrinted>
  <dcterms:created xsi:type="dcterms:W3CDTF">2020-08-17T06:37:00Z</dcterms:created>
  <dcterms:modified xsi:type="dcterms:W3CDTF">2022-02-28T06:37:00Z</dcterms:modified>
</cp:coreProperties>
</file>