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A5" w:rsidRPr="00F77793" w:rsidRDefault="001D08A5" w:rsidP="001D08A5">
      <w:pPr>
        <w:pStyle w:val="KonuBal"/>
        <w:jc w:val="both"/>
        <w:rPr>
          <w:color w:val="FF0000"/>
        </w:rPr>
      </w:pPr>
      <w:r w:rsidRPr="001D08A5">
        <w:t xml:space="preserve">EK-I EGZOZ GAZI EMİSYON ÖLÇÜM İSTASYONU YETKİLENDİRME PROTOKOLÜ </w:t>
      </w:r>
      <w:r w:rsidRPr="00F77793">
        <w:rPr>
          <w:color w:val="FF0000"/>
        </w:rPr>
        <w:t>ÖRNEĞİ</w:t>
      </w:r>
    </w:p>
    <w:p w:rsidR="001D08A5" w:rsidRDefault="001D08A5" w:rsidP="001D08A5">
      <w:pPr>
        <w:pStyle w:val="KonuBal"/>
        <w:jc w:val="both"/>
      </w:pPr>
    </w:p>
    <w:p w:rsidR="001D08A5" w:rsidRDefault="001D08A5" w:rsidP="001D08A5">
      <w:pPr>
        <w:jc w:val="both"/>
        <w:rPr>
          <w:bCs/>
        </w:rPr>
      </w:pPr>
      <w:bookmarkStart w:id="0" w:name="_GoBack"/>
      <w:bookmarkEnd w:id="0"/>
    </w:p>
    <w:p w:rsidR="001D08A5" w:rsidRPr="001D08A5" w:rsidRDefault="001D08A5" w:rsidP="001D08A5">
      <w:pPr>
        <w:jc w:val="both"/>
        <w:rPr>
          <w:bCs/>
        </w:rPr>
      </w:pPr>
      <w:r w:rsidRPr="001D08A5">
        <w:rPr>
          <w:bCs/>
        </w:rPr>
        <w:t>PROTOKOLÜN KONUSU</w:t>
      </w:r>
    </w:p>
    <w:p w:rsidR="001D08A5" w:rsidRPr="001D08A5" w:rsidRDefault="001D08A5" w:rsidP="001D08A5">
      <w:pPr>
        <w:jc w:val="both"/>
        <w:rPr>
          <w:bCs/>
        </w:rPr>
      </w:pPr>
    </w:p>
    <w:p w:rsidR="001D08A5" w:rsidRPr="001D08A5" w:rsidRDefault="001D08A5" w:rsidP="001D08A5">
      <w:pPr>
        <w:jc w:val="both"/>
        <w:rPr>
          <w:bCs/>
        </w:rPr>
      </w:pPr>
      <w:r w:rsidRPr="001D08A5">
        <w:rPr>
          <w:bCs/>
        </w:rPr>
        <w:t>Madde 1:</w:t>
      </w:r>
    </w:p>
    <w:p w:rsidR="001D08A5" w:rsidRPr="001D08A5" w:rsidRDefault="001D08A5" w:rsidP="001D08A5">
      <w:pPr>
        <w:jc w:val="both"/>
      </w:pPr>
      <w:r w:rsidRPr="001D08A5">
        <w:t xml:space="preserve">Bu protokol, </w:t>
      </w:r>
      <w:r w:rsidRPr="001D08A5">
        <w:rPr>
          <w:iCs/>
        </w:rPr>
        <w:t xml:space="preserve">30/11/2013 tarih ve 28837 sayılı </w:t>
      </w:r>
      <w:r w:rsidRPr="001D08A5">
        <w:t xml:space="preserve">Resmi Gazete’de yayımlanan </w:t>
      </w:r>
      <w:r w:rsidRPr="001D08A5">
        <w:rPr>
          <w:iCs/>
        </w:rPr>
        <w:t xml:space="preserve">“Egzoz Gazı Emisyonu Kontrolü ile Benzin ve Motorin Kalitesi Yönetmeliği” </w:t>
      </w:r>
      <w:r w:rsidRPr="001D08A5">
        <w:t xml:space="preserve">hükümleri gereğince egzoz gazı </w:t>
      </w:r>
      <w:proofErr w:type="gramStart"/>
      <w:r w:rsidRPr="001D08A5">
        <w:t>emisyon</w:t>
      </w:r>
      <w:proofErr w:type="gramEnd"/>
      <w:r w:rsidRPr="001D08A5">
        <w:t xml:space="preserve"> ölçümü yapacak istasyonların uyması gereken hususları içermektedir. </w:t>
      </w:r>
    </w:p>
    <w:p w:rsidR="001D08A5" w:rsidRPr="001D08A5" w:rsidRDefault="001D08A5" w:rsidP="001D08A5">
      <w:pPr>
        <w:jc w:val="both"/>
        <w:rPr>
          <w:bCs/>
        </w:rPr>
      </w:pPr>
    </w:p>
    <w:p w:rsidR="001D08A5" w:rsidRPr="001D08A5" w:rsidRDefault="001D08A5" w:rsidP="001D08A5">
      <w:pPr>
        <w:jc w:val="both"/>
        <w:rPr>
          <w:bCs/>
        </w:rPr>
      </w:pPr>
      <w:r w:rsidRPr="001D08A5">
        <w:rPr>
          <w:bCs/>
        </w:rPr>
        <w:t>PROTOKOLÜN KAÇINCI KEZ YAPILDIĞI:</w:t>
      </w:r>
    </w:p>
    <w:p w:rsidR="001D08A5" w:rsidRPr="001D08A5" w:rsidRDefault="001D08A5" w:rsidP="001D08A5">
      <w:pPr>
        <w:jc w:val="both"/>
        <w:rPr>
          <w:bCs/>
        </w:rPr>
      </w:pPr>
    </w:p>
    <w:p w:rsidR="001D08A5" w:rsidRPr="001D08A5" w:rsidRDefault="001D08A5" w:rsidP="001D08A5">
      <w:pPr>
        <w:jc w:val="both"/>
        <w:rPr>
          <w:bCs/>
        </w:rPr>
      </w:pPr>
      <w:r w:rsidRPr="001D08A5">
        <w:rPr>
          <w:bCs/>
        </w:rPr>
        <w:t xml:space="preserve">TARAFLAR </w:t>
      </w:r>
      <w:r w:rsidRPr="001D08A5">
        <w:rPr>
          <w:bCs/>
        </w:rPr>
        <w:tab/>
      </w:r>
    </w:p>
    <w:p w:rsidR="001D08A5" w:rsidRPr="001D08A5" w:rsidRDefault="001D08A5" w:rsidP="001D08A5">
      <w:pPr>
        <w:jc w:val="both"/>
        <w:rPr>
          <w:bCs/>
        </w:rPr>
      </w:pPr>
    </w:p>
    <w:p w:rsidR="001D08A5" w:rsidRPr="001D08A5" w:rsidRDefault="001D08A5" w:rsidP="001D08A5">
      <w:pPr>
        <w:jc w:val="both"/>
        <w:rPr>
          <w:bCs/>
        </w:rPr>
      </w:pPr>
      <w:r w:rsidRPr="001D08A5">
        <w:rPr>
          <w:bCs/>
        </w:rPr>
        <w:t>Madde 2:</w:t>
      </w:r>
      <w:r w:rsidRPr="001D08A5">
        <w:rPr>
          <w:bCs/>
        </w:rPr>
        <w:tab/>
      </w:r>
      <w:r w:rsidRPr="001D08A5">
        <w:rPr>
          <w:bCs/>
        </w:rPr>
        <w:tab/>
      </w:r>
      <w:r w:rsidRPr="001D08A5">
        <w:rPr>
          <w:bCs/>
        </w:rPr>
        <w:tab/>
      </w:r>
      <w:r w:rsidRPr="001D08A5">
        <w:rPr>
          <w:bCs/>
        </w:rPr>
        <w:tab/>
      </w:r>
      <w:r w:rsidRPr="001D08A5">
        <w:rPr>
          <w:bCs/>
        </w:rPr>
        <w:tab/>
      </w:r>
      <w:r w:rsidRPr="001D08A5">
        <w:rPr>
          <w:bCs/>
        </w:rPr>
        <w:tab/>
      </w:r>
      <w:r w:rsidRPr="001D08A5">
        <w:rPr>
          <w:bCs/>
        </w:rPr>
        <w:tab/>
      </w:r>
      <w:r w:rsidRPr="001D08A5">
        <w:rPr>
          <w:bCs/>
        </w:rPr>
        <w:tab/>
      </w:r>
      <w:r w:rsidRPr="001D08A5">
        <w:rPr>
          <w:bCs/>
        </w:rPr>
        <w:tab/>
      </w:r>
      <w:r w:rsidRPr="001D08A5">
        <w:rPr>
          <w:bCs/>
        </w:rPr>
        <w:tab/>
      </w:r>
    </w:p>
    <w:p w:rsidR="001D08A5" w:rsidRPr="001D08A5" w:rsidRDefault="001D08A5" w:rsidP="001D08A5">
      <w:pPr>
        <w:jc w:val="both"/>
      </w:pPr>
      <w:r w:rsidRPr="001D08A5">
        <w:t xml:space="preserve">Bir tarafta </w:t>
      </w:r>
      <w:proofErr w:type="gramStart"/>
      <w:r w:rsidRPr="001D08A5">
        <w:t>.....................</w:t>
      </w:r>
      <w:proofErr w:type="gramEnd"/>
      <w:r w:rsidRPr="001D08A5">
        <w:t xml:space="preserve"> </w:t>
      </w:r>
      <w:r w:rsidRPr="001D08A5">
        <w:rPr>
          <w:iCs/>
        </w:rPr>
        <w:t>Çevre ve Şehircilik İl Müdürlüğü</w:t>
      </w:r>
      <w:r w:rsidRPr="001D08A5">
        <w:t xml:space="preserve"> ile diğer tarafta</w:t>
      </w:r>
      <w:proofErr w:type="gramStart"/>
      <w:r w:rsidRPr="001D08A5">
        <w:t>....................................................................................................................................................……</w:t>
      </w:r>
      <w:proofErr w:type="gramEnd"/>
      <w:r w:rsidRPr="001D08A5">
        <w:t xml:space="preserve">adresinde faaliyet gösteren   ............................................................. (firma adı yazılacak) arasında aşağıdaki şartlarla iş bu Protokol imzalanmıştır.                </w:t>
      </w:r>
    </w:p>
    <w:p w:rsidR="001D08A5" w:rsidRPr="001D08A5" w:rsidRDefault="001D08A5" w:rsidP="001D08A5">
      <w:pPr>
        <w:jc w:val="both"/>
      </w:pPr>
    </w:p>
    <w:p w:rsidR="001D08A5" w:rsidRPr="00F77793" w:rsidRDefault="001D08A5" w:rsidP="001D08A5">
      <w:pPr>
        <w:pStyle w:val="GvdeMetni"/>
        <w:rPr>
          <w:color w:val="FF0000"/>
          <w:lang w:eastAsia="en-US"/>
        </w:rPr>
      </w:pPr>
      <w:r w:rsidRPr="00F77793">
        <w:rPr>
          <w:color w:val="FF0000"/>
          <w:lang w:eastAsia="en-US"/>
        </w:rPr>
        <w:t xml:space="preserve">Bu protokolde, Çevre ve Şehircilik Bakanlığı “Bakanlık”, </w:t>
      </w:r>
      <w:r w:rsidRPr="00F77793">
        <w:rPr>
          <w:iCs/>
          <w:color w:val="FF0000"/>
        </w:rPr>
        <w:t>Çevre ve Şehircilik İl Müdürlüğü</w:t>
      </w:r>
      <w:r w:rsidRPr="00F77793">
        <w:rPr>
          <w:color w:val="FF0000"/>
          <w:lang w:eastAsia="en-US"/>
        </w:rPr>
        <w:t xml:space="preserve"> “İl Müdürlüğü”, Yetkili </w:t>
      </w:r>
      <w:r w:rsidRPr="00F77793">
        <w:rPr>
          <w:color w:val="FF0000"/>
        </w:rPr>
        <w:t xml:space="preserve">Egzoz Gazı Emisyon Ölçüm </w:t>
      </w:r>
      <w:r w:rsidRPr="00F77793">
        <w:rPr>
          <w:color w:val="FF0000"/>
          <w:lang w:eastAsia="en-US"/>
        </w:rPr>
        <w:t xml:space="preserve">İstasyonu “İstasyon” ve </w:t>
      </w:r>
      <w:r w:rsidRPr="00F77793">
        <w:rPr>
          <w:iCs/>
          <w:color w:val="FF0000"/>
        </w:rPr>
        <w:t>“Egzoz Gazı Emisyonu Kontrolü ile Benzin ve Motorin Kalitesi Yönetmeliği”</w:t>
      </w:r>
      <w:r w:rsidRPr="00F77793">
        <w:rPr>
          <w:bCs/>
          <w:color w:val="FF0000"/>
        </w:rPr>
        <w:t xml:space="preserve"> “Yönetmelik” </w:t>
      </w:r>
      <w:r w:rsidRPr="00F77793">
        <w:rPr>
          <w:color w:val="FF0000"/>
          <w:lang w:eastAsia="en-US"/>
        </w:rPr>
        <w:t>olarak anılacaktır.</w:t>
      </w:r>
    </w:p>
    <w:p w:rsidR="001D08A5" w:rsidRPr="001D08A5" w:rsidRDefault="001D08A5" w:rsidP="001D08A5">
      <w:pPr>
        <w:pStyle w:val="Balk6"/>
        <w:ind w:left="0"/>
        <w:rPr>
          <w:b w:val="0"/>
          <w:sz w:val="24"/>
        </w:rPr>
      </w:pPr>
    </w:p>
    <w:p w:rsidR="001D08A5" w:rsidRPr="001D08A5" w:rsidRDefault="001D08A5" w:rsidP="001D08A5">
      <w:pPr>
        <w:jc w:val="both"/>
        <w:rPr>
          <w:bCs/>
        </w:rPr>
      </w:pPr>
      <w:r w:rsidRPr="001D08A5">
        <w:rPr>
          <w:bCs/>
        </w:rPr>
        <w:t>ÖLÇÜM YAPACAK İSTASYONLARIN YÜKÜMLÜLÜKLERİ</w:t>
      </w:r>
    </w:p>
    <w:p w:rsidR="001D08A5" w:rsidRPr="001D08A5" w:rsidRDefault="001D08A5" w:rsidP="001D08A5">
      <w:pPr>
        <w:jc w:val="both"/>
        <w:rPr>
          <w:bCs/>
        </w:rPr>
      </w:pPr>
    </w:p>
    <w:p w:rsidR="001D08A5" w:rsidRPr="001D08A5" w:rsidRDefault="001D08A5" w:rsidP="001D08A5">
      <w:pPr>
        <w:jc w:val="both"/>
        <w:rPr>
          <w:bCs/>
        </w:rPr>
      </w:pPr>
      <w:r w:rsidRPr="001D08A5">
        <w:rPr>
          <w:bCs/>
        </w:rPr>
        <w:t>Madde 3:</w:t>
      </w:r>
    </w:p>
    <w:p w:rsidR="001D08A5" w:rsidRPr="001D08A5" w:rsidRDefault="001D08A5" w:rsidP="001D08A5">
      <w:pPr>
        <w:numPr>
          <w:ilvl w:val="0"/>
          <w:numId w:val="1"/>
        </w:numPr>
        <w:ind w:left="426" w:hanging="284"/>
        <w:jc w:val="both"/>
      </w:pPr>
      <w:r w:rsidRPr="001D08A5">
        <w:rPr>
          <w:bCs/>
        </w:rPr>
        <w:t xml:space="preserve">İstasyon işletenleri, Yönetmeliğin 15 inci Maddesindeki hükümlere uymak zorundadır. Uyulmadığının tespiti halinde aynı Yönetmeliğin ilgili hükümleri uygulanır. </w:t>
      </w:r>
    </w:p>
    <w:p w:rsidR="001D08A5" w:rsidRPr="001D08A5" w:rsidRDefault="001D08A5" w:rsidP="001D08A5">
      <w:pPr>
        <w:ind w:left="426"/>
        <w:jc w:val="both"/>
      </w:pPr>
    </w:p>
    <w:p w:rsidR="001D08A5" w:rsidRPr="001D08A5" w:rsidRDefault="001D08A5" w:rsidP="001D08A5">
      <w:pPr>
        <w:pStyle w:val="GvdeMetniGirintisi2"/>
        <w:numPr>
          <w:ilvl w:val="0"/>
          <w:numId w:val="1"/>
        </w:numPr>
        <w:ind w:left="426" w:hanging="284"/>
        <w:rPr>
          <w:sz w:val="24"/>
          <w:szCs w:val="24"/>
        </w:rPr>
      </w:pPr>
      <w:r w:rsidRPr="001D08A5">
        <w:rPr>
          <w:sz w:val="24"/>
          <w:szCs w:val="24"/>
        </w:rPr>
        <w:t xml:space="preserve">İstasyon işleteni tarafından egzoz gazı </w:t>
      </w:r>
      <w:proofErr w:type="gramStart"/>
      <w:r w:rsidRPr="001D08A5">
        <w:rPr>
          <w:sz w:val="24"/>
          <w:szCs w:val="24"/>
        </w:rPr>
        <w:t>emisyon</w:t>
      </w:r>
      <w:proofErr w:type="gramEnd"/>
      <w:r w:rsidRPr="001D08A5">
        <w:rPr>
          <w:sz w:val="24"/>
          <w:szCs w:val="24"/>
        </w:rPr>
        <w:t xml:space="preserve"> ölçümü yapıldıktan sonra sonuçların Yönetmeliğin EK-1 Tablo-1’de belirtilen sınır değerlere uygun olması halinde, motorlu taşıt egzoz gazı emisyon ruhsatında pul için ayrılan yere egzoz gazı emisyon ölçüm pulu yapıştırılıp, şirket kaşesiyle onayladıktan sonra, egzoz gazı emisyon ölçüm cihazı çıktısı ile birlikte taşıt sahibine verilir. Yeni ruhsatlar; hiç ruhsatı olmayan, eski ruhsatı dolup yeni ruhsat verilmesi gerekenler ile ruhsat üzerindeki araç bilgilerinde değişiklik olanlar için düzenlenecektir. Motorlu Taşıt Egzoz Emisyon Ruhsatı </w:t>
      </w:r>
      <w:proofErr w:type="gramStart"/>
      <w:r w:rsidRPr="001D08A5">
        <w:rPr>
          <w:sz w:val="24"/>
          <w:szCs w:val="24"/>
        </w:rPr>
        <w:t>bedeli ...</w:t>
      </w:r>
      <w:proofErr w:type="gramEnd"/>
      <w:r w:rsidRPr="001D08A5">
        <w:rPr>
          <w:sz w:val="24"/>
          <w:szCs w:val="24"/>
        </w:rPr>
        <w:t xml:space="preserve"> yılı için KDV </w:t>
      </w:r>
      <w:proofErr w:type="gramStart"/>
      <w:r w:rsidRPr="001D08A5">
        <w:rPr>
          <w:sz w:val="24"/>
          <w:szCs w:val="24"/>
        </w:rPr>
        <w:t>Dahil …</w:t>
      </w:r>
      <w:proofErr w:type="gramEnd"/>
      <w:r w:rsidRPr="001D08A5">
        <w:rPr>
          <w:sz w:val="24"/>
          <w:szCs w:val="24"/>
        </w:rPr>
        <w:t xml:space="preserve"> TL </w:t>
      </w:r>
      <w:proofErr w:type="gramStart"/>
      <w:r w:rsidRPr="001D08A5">
        <w:rPr>
          <w:sz w:val="24"/>
          <w:szCs w:val="24"/>
        </w:rPr>
        <w:t>(</w:t>
      </w:r>
      <w:proofErr w:type="gramEnd"/>
      <w:r w:rsidRPr="001D08A5">
        <w:rPr>
          <w:sz w:val="24"/>
          <w:szCs w:val="24"/>
        </w:rPr>
        <w:t>… Türk Lirası</w:t>
      </w:r>
      <w:proofErr w:type="gramStart"/>
      <w:r w:rsidRPr="001D08A5">
        <w:rPr>
          <w:sz w:val="24"/>
          <w:szCs w:val="24"/>
        </w:rPr>
        <w:t>)</w:t>
      </w:r>
      <w:proofErr w:type="gramEnd"/>
      <w:r w:rsidRPr="001D08A5">
        <w:rPr>
          <w:sz w:val="24"/>
          <w:szCs w:val="24"/>
        </w:rPr>
        <w:t xml:space="preserve"> olarak belirlenmiştir. </w:t>
      </w:r>
      <w:r w:rsidRPr="001D08A5">
        <w:rPr>
          <w:iCs/>
          <w:sz w:val="24"/>
          <w:szCs w:val="24"/>
        </w:rPr>
        <w:t>İl Müdürlüğünden</w:t>
      </w:r>
      <w:r w:rsidRPr="001D08A5">
        <w:rPr>
          <w:sz w:val="24"/>
          <w:szCs w:val="24"/>
        </w:rPr>
        <w:t xml:space="preserve"> KDV </w:t>
      </w:r>
      <w:proofErr w:type="gramStart"/>
      <w:r w:rsidRPr="001D08A5">
        <w:rPr>
          <w:sz w:val="24"/>
          <w:szCs w:val="24"/>
        </w:rPr>
        <w:t>Dahil …</w:t>
      </w:r>
      <w:proofErr w:type="gramEnd"/>
      <w:r w:rsidRPr="001D08A5">
        <w:rPr>
          <w:sz w:val="24"/>
          <w:szCs w:val="24"/>
        </w:rPr>
        <w:t xml:space="preserve"> TL (</w:t>
      </w:r>
      <w:proofErr w:type="gramStart"/>
      <w:r w:rsidRPr="001D08A5">
        <w:rPr>
          <w:sz w:val="24"/>
          <w:szCs w:val="24"/>
        </w:rPr>
        <w:t>….</w:t>
      </w:r>
      <w:proofErr w:type="gramEnd"/>
      <w:r w:rsidRPr="001D08A5">
        <w:rPr>
          <w:sz w:val="24"/>
          <w:szCs w:val="24"/>
        </w:rPr>
        <w:t xml:space="preserve"> Türk Lirası) bedel karşılığı alınan ruhsat taşıt sahibine </w:t>
      </w:r>
      <w:proofErr w:type="gramStart"/>
      <w:r w:rsidRPr="001D08A5">
        <w:rPr>
          <w:sz w:val="24"/>
          <w:szCs w:val="24"/>
        </w:rPr>
        <w:t>yine …</w:t>
      </w:r>
      <w:proofErr w:type="gramEnd"/>
      <w:r w:rsidRPr="001D08A5">
        <w:rPr>
          <w:sz w:val="24"/>
          <w:szCs w:val="24"/>
        </w:rPr>
        <w:t xml:space="preserve"> TL </w:t>
      </w:r>
      <w:proofErr w:type="gramStart"/>
      <w:r w:rsidRPr="001D08A5">
        <w:rPr>
          <w:sz w:val="24"/>
          <w:szCs w:val="24"/>
        </w:rPr>
        <w:t>(</w:t>
      </w:r>
      <w:proofErr w:type="gramEnd"/>
      <w:r w:rsidRPr="001D08A5">
        <w:rPr>
          <w:sz w:val="24"/>
          <w:szCs w:val="24"/>
        </w:rPr>
        <w:t xml:space="preserve">… Türk Lirası) KDV </w:t>
      </w:r>
      <w:proofErr w:type="gramStart"/>
      <w:r w:rsidRPr="001D08A5">
        <w:rPr>
          <w:sz w:val="24"/>
          <w:szCs w:val="24"/>
        </w:rPr>
        <w:t>Dahil</w:t>
      </w:r>
      <w:proofErr w:type="gramEnd"/>
      <w:r w:rsidRPr="001D08A5">
        <w:rPr>
          <w:sz w:val="24"/>
          <w:szCs w:val="24"/>
        </w:rPr>
        <w:t xml:space="preserve"> karşılığında verilecektir.</w:t>
      </w:r>
    </w:p>
    <w:p w:rsidR="001D08A5" w:rsidRPr="001D08A5" w:rsidRDefault="001D08A5" w:rsidP="001D08A5">
      <w:pPr>
        <w:pStyle w:val="GvdeMetniGirintisi2"/>
        <w:ind w:firstLine="0"/>
        <w:rPr>
          <w:sz w:val="24"/>
          <w:szCs w:val="24"/>
        </w:rPr>
      </w:pPr>
    </w:p>
    <w:p w:rsidR="001D08A5" w:rsidRPr="001D08A5" w:rsidRDefault="001D08A5" w:rsidP="001D08A5">
      <w:pPr>
        <w:numPr>
          <w:ilvl w:val="0"/>
          <w:numId w:val="1"/>
        </w:numPr>
        <w:ind w:left="426" w:hanging="284"/>
        <w:jc w:val="both"/>
      </w:pPr>
      <w:r w:rsidRPr="001D08A5">
        <w:t>Motorlu Taşıt Egzoz Gazı Emisyon Ruhsatı, Egzoz Gazı Emisyon Ölçüm Pulu ve Egzoz Gazı Emisyon Ölçüm İzleme Çizelgesi İl Müdürlüklerinden temin edilecektir.</w:t>
      </w:r>
    </w:p>
    <w:p w:rsidR="001D08A5" w:rsidRPr="001D08A5" w:rsidRDefault="001D08A5" w:rsidP="001D08A5">
      <w:pPr>
        <w:ind w:left="426"/>
        <w:jc w:val="both"/>
      </w:pPr>
    </w:p>
    <w:p w:rsidR="001D08A5" w:rsidRPr="001D08A5" w:rsidRDefault="001D08A5" w:rsidP="001D08A5">
      <w:pPr>
        <w:ind w:left="426" w:hanging="284"/>
        <w:jc w:val="both"/>
      </w:pPr>
      <w:r w:rsidRPr="001D08A5">
        <w:t>ç) Benzin, Dizel, Sıvılaştırılmış Petrol Gazı (LPG) ve Doğal Gaz’a (NG) göre tasarlanmış motorlu taşıtların egzoz gazı emisyon ölçümlerinde Yönetmeliğin 8 inci Maddesinde belirtilen egzoz gazı emisyon ölçüm esasları ve EK-1’inde belirtilen sınır değerler uygulanacaktır. Birden fazla yakıt tipi kullanan araçlarda (</w:t>
      </w:r>
      <w:proofErr w:type="spellStart"/>
      <w:r w:rsidRPr="001D08A5">
        <w:t>örn</w:t>
      </w:r>
      <w:proofErr w:type="spellEnd"/>
      <w:r w:rsidRPr="001D08A5">
        <w:t xml:space="preserve">: Benzin/LPG) her bir yakıt </w:t>
      </w:r>
      <w:r w:rsidRPr="001D08A5">
        <w:lastRenderedPageBreak/>
        <w:t>tipi için ayrı ayrı ölçüm gerçekleştirilerek Yönetmeliğin EK-1’inde belirtilen sınır değerlerin her iki yakıt tipi için de sağlandığı egzoz gazı emisyon ölçüm çıktısı ile belgelenecektir. Her iki yakıta göre yapılan ölçüm için tek bir pul bedeli alınacaktır.</w:t>
      </w:r>
    </w:p>
    <w:p w:rsidR="001D08A5" w:rsidRPr="001D08A5" w:rsidRDefault="001D08A5" w:rsidP="001D08A5">
      <w:pPr>
        <w:pStyle w:val="GvdeMetniGirintisi2"/>
        <w:ind w:firstLine="0"/>
        <w:rPr>
          <w:sz w:val="24"/>
          <w:szCs w:val="24"/>
        </w:rPr>
      </w:pPr>
    </w:p>
    <w:p w:rsidR="001D08A5" w:rsidRPr="001D08A5" w:rsidRDefault="001D08A5" w:rsidP="001D08A5">
      <w:pPr>
        <w:pStyle w:val="GvdeMetniGirintisi2"/>
        <w:numPr>
          <w:ilvl w:val="0"/>
          <w:numId w:val="1"/>
        </w:numPr>
        <w:ind w:left="426" w:hanging="284"/>
        <w:rPr>
          <w:sz w:val="24"/>
          <w:szCs w:val="24"/>
        </w:rPr>
      </w:pPr>
      <w:r w:rsidRPr="001D08A5">
        <w:rPr>
          <w:sz w:val="24"/>
          <w:szCs w:val="24"/>
        </w:rPr>
        <w:t xml:space="preserve">Egzoz gazı emisyon ölçümü yapılmayan veya standartlara uymayan hiçbir araca Egzoz Gazı Emisyon Ölçüm Pulu verilmeyecek ve onaylanmayacaktır. </w:t>
      </w:r>
    </w:p>
    <w:p w:rsidR="001D08A5" w:rsidRPr="001D08A5" w:rsidRDefault="001D08A5" w:rsidP="001D08A5">
      <w:pPr>
        <w:pStyle w:val="GvdeMetniGirintisi2"/>
        <w:ind w:left="426" w:firstLine="0"/>
        <w:rPr>
          <w:sz w:val="24"/>
          <w:szCs w:val="24"/>
        </w:rPr>
      </w:pPr>
    </w:p>
    <w:p w:rsidR="001D08A5" w:rsidRPr="001D08A5" w:rsidRDefault="001D08A5" w:rsidP="001D08A5">
      <w:pPr>
        <w:pStyle w:val="GvdeMetniGirintisi2"/>
        <w:numPr>
          <w:ilvl w:val="0"/>
          <w:numId w:val="1"/>
        </w:numPr>
        <w:ind w:left="426" w:hanging="284"/>
        <w:rPr>
          <w:sz w:val="24"/>
          <w:szCs w:val="24"/>
        </w:rPr>
      </w:pPr>
      <w:proofErr w:type="gramStart"/>
      <w:r w:rsidRPr="001D08A5">
        <w:rPr>
          <w:sz w:val="24"/>
          <w:szCs w:val="24"/>
        </w:rPr>
        <w:t>Bakanlık …</w:t>
      </w:r>
      <w:proofErr w:type="gramEnd"/>
      <w:r w:rsidRPr="001D08A5">
        <w:rPr>
          <w:sz w:val="24"/>
          <w:szCs w:val="24"/>
        </w:rPr>
        <w:t xml:space="preserve"> </w:t>
      </w:r>
      <w:proofErr w:type="gramStart"/>
      <w:r w:rsidRPr="001D08A5">
        <w:rPr>
          <w:sz w:val="24"/>
          <w:szCs w:val="24"/>
        </w:rPr>
        <w:t>yılı</w:t>
      </w:r>
      <w:proofErr w:type="gramEnd"/>
      <w:r w:rsidRPr="001D08A5">
        <w:rPr>
          <w:sz w:val="24"/>
          <w:szCs w:val="24"/>
        </w:rPr>
        <w:t xml:space="preserve"> </w:t>
      </w:r>
      <w:r w:rsidRPr="001D08A5">
        <w:rPr>
          <w:rFonts w:eastAsia="ヒラギノ明朝 Pro W3"/>
          <w:sz w:val="24"/>
          <w:szCs w:val="24"/>
        </w:rPr>
        <w:t xml:space="preserve">Döner Sermaye Birim Fiyat Listesine göre </w:t>
      </w:r>
      <w:r w:rsidRPr="001D08A5">
        <w:rPr>
          <w:sz w:val="24"/>
          <w:szCs w:val="24"/>
        </w:rPr>
        <w:t xml:space="preserve">Egzoz Gazı Emisyon Ölçüm Pulu Bedelini, … yılı için KDV </w:t>
      </w:r>
      <w:proofErr w:type="gramStart"/>
      <w:r w:rsidRPr="001D08A5">
        <w:rPr>
          <w:sz w:val="24"/>
          <w:szCs w:val="24"/>
        </w:rPr>
        <w:t>dahil …</w:t>
      </w:r>
      <w:proofErr w:type="gramEnd"/>
      <w:r w:rsidRPr="001D08A5">
        <w:rPr>
          <w:sz w:val="24"/>
          <w:szCs w:val="24"/>
        </w:rPr>
        <w:t xml:space="preserve"> TL (</w:t>
      </w:r>
      <w:proofErr w:type="gramStart"/>
      <w:r w:rsidRPr="001D08A5">
        <w:rPr>
          <w:sz w:val="24"/>
          <w:szCs w:val="24"/>
        </w:rPr>
        <w:t>……..</w:t>
      </w:r>
      <w:proofErr w:type="gramEnd"/>
      <w:r w:rsidRPr="001D08A5">
        <w:rPr>
          <w:sz w:val="24"/>
          <w:szCs w:val="24"/>
        </w:rPr>
        <w:t xml:space="preserve"> Türk Lirası</w:t>
      </w:r>
      <w:proofErr w:type="gramStart"/>
      <w:r w:rsidRPr="001D08A5">
        <w:rPr>
          <w:sz w:val="24"/>
          <w:szCs w:val="24"/>
        </w:rPr>
        <w:t>)</w:t>
      </w:r>
      <w:proofErr w:type="gramEnd"/>
      <w:r w:rsidRPr="001D08A5">
        <w:rPr>
          <w:sz w:val="24"/>
          <w:szCs w:val="24"/>
        </w:rPr>
        <w:t xml:space="preserve"> olarak belirlemiştir.</w:t>
      </w:r>
    </w:p>
    <w:p w:rsidR="001D08A5" w:rsidRPr="001D08A5" w:rsidRDefault="001D08A5" w:rsidP="001D08A5">
      <w:pPr>
        <w:pStyle w:val="GvdeMetniGirintisi2"/>
        <w:ind w:firstLine="0"/>
        <w:rPr>
          <w:sz w:val="24"/>
          <w:szCs w:val="24"/>
        </w:rPr>
      </w:pPr>
    </w:p>
    <w:p w:rsidR="001D08A5" w:rsidRPr="001D08A5" w:rsidRDefault="001D08A5" w:rsidP="001D08A5">
      <w:pPr>
        <w:pStyle w:val="GvdeMetniGirintisi2"/>
        <w:numPr>
          <w:ilvl w:val="0"/>
          <w:numId w:val="1"/>
        </w:numPr>
        <w:ind w:left="426" w:hanging="284"/>
        <w:rPr>
          <w:sz w:val="24"/>
          <w:szCs w:val="24"/>
        </w:rPr>
      </w:pPr>
      <w:r w:rsidRPr="001D08A5">
        <w:rPr>
          <w:sz w:val="24"/>
          <w:szCs w:val="24"/>
        </w:rPr>
        <w:t xml:space="preserve">Egzoz gazı emisyon ölçümlerinde, Egzoz Gazı Emisyon Ölçüm Pulu bedeli olan KDV </w:t>
      </w:r>
      <w:proofErr w:type="gramStart"/>
      <w:r w:rsidRPr="001D08A5">
        <w:rPr>
          <w:sz w:val="24"/>
          <w:szCs w:val="24"/>
        </w:rPr>
        <w:t>dahil …</w:t>
      </w:r>
      <w:proofErr w:type="gramEnd"/>
      <w:r w:rsidRPr="001D08A5">
        <w:rPr>
          <w:sz w:val="24"/>
          <w:szCs w:val="24"/>
        </w:rPr>
        <w:t xml:space="preserve"> TL </w:t>
      </w:r>
      <w:proofErr w:type="gramStart"/>
      <w:r w:rsidRPr="001D08A5">
        <w:rPr>
          <w:sz w:val="24"/>
          <w:szCs w:val="24"/>
        </w:rPr>
        <w:t>(</w:t>
      </w:r>
      <w:proofErr w:type="gramEnd"/>
      <w:r w:rsidRPr="001D08A5">
        <w:rPr>
          <w:sz w:val="24"/>
          <w:szCs w:val="24"/>
        </w:rPr>
        <w:t xml:space="preserve">… Türk Lirası)  </w:t>
      </w:r>
      <w:proofErr w:type="gramStart"/>
      <w:r w:rsidRPr="001D08A5">
        <w:rPr>
          <w:sz w:val="24"/>
          <w:szCs w:val="24"/>
        </w:rPr>
        <w:t>bedelin …</w:t>
      </w:r>
      <w:proofErr w:type="gramEnd"/>
      <w:r w:rsidRPr="001D08A5">
        <w:rPr>
          <w:sz w:val="24"/>
          <w:szCs w:val="24"/>
        </w:rPr>
        <w:t xml:space="preserve"> TL’ si </w:t>
      </w:r>
      <w:proofErr w:type="gramStart"/>
      <w:r w:rsidRPr="001D08A5">
        <w:rPr>
          <w:sz w:val="24"/>
          <w:szCs w:val="24"/>
        </w:rPr>
        <w:t>(</w:t>
      </w:r>
      <w:proofErr w:type="gramEnd"/>
      <w:r w:rsidRPr="001D08A5">
        <w:rPr>
          <w:sz w:val="24"/>
          <w:szCs w:val="24"/>
        </w:rPr>
        <w:t>… Türk Lirası</w:t>
      </w:r>
      <w:proofErr w:type="gramStart"/>
      <w:r w:rsidRPr="001D08A5">
        <w:rPr>
          <w:sz w:val="24"/>
          <w:szCs w:val="24"/>
        </w:rPr>
        <w:t>)</w:t>
      </w:r>
      <w:proofErr w:type="gramEnd"/>
      <w:r w:rsidRPr="001D08A5">
        <w:rPr>
          <w:sz w:val="24"/>
          <w:szCs w:val="24"/>
        </w:rPr>
        <w:t xml:space="preserve"> pul bedeli ve işletme gideri olup, Bakanlığın Döner Sermaye İşletmesinin</w:t>
      </w:r>
      <w:r w:rsidRPr="001D08A5">
        <w:rPr>
          <w:sz w:val="24"/>
          <w:szCs w:val="24"/>
          <w:lang w:eastAsia="en-US"/>
        </w:rPr>
        <w:t xml:space="preserve"> </w:t>
      </w:r>
      <w:r w:rsidRPr="001D08A5">
        <w:rPr>
          <w:sz w:val="24"/>
          <w:szCs w:val="24"/>
        </w:rPr>
        <w:t xml:space="preserve">ilgili hesap numarasına yatırılacak, … TL’ si </w:t>
      </w:r>
      <w:proofErr w:type="gramStart"/>
      <w:r w:rsidRPr="001D08A5">
        <w:rPr>
          <w:sz w:val="24"/>
          <w:szCs w:val="24"/>
        </w:rPr>
        <w:t>(</w:t>
      </w:r>
      <w:proofErr w:type="gramEnd"/>
      <w:r w:rsidRPr="001D08A5">
        <w:rPr>
          <w:sz w:val="24"/>
          <w:szCs w:val="24"/>
        </w:rPr>
        <w:t xml:space="preserve">… Türk Lirası </w:t>
      </w:r>
      <w:proofErr w:type="gramStart"/>
      <w:r w:rsidRPr="001D08A5">
        <w:rPr>
          <w:sz w:val="24"/>
          <w:szCs w:val="24"/>
        </w:rPr>
        <w:t>)</w:t>
      </w:r>
      <w:proofErr w:type="gramEnd"/>
      <w:r w:rsidRPr="001D08A5">
        <w:rPr>
          <w:sz w:val="24"/>
          <w:szCs w:val="24"/>
        </w:rPr>
        <w:t xml:space="preserve"> ise Egzoz Gazı Emisyon Ölçüm Yetki Belgesi ile yetki verilen ölçüm istasyonlarına gerçekleştirdikleri hizmetin karşılığı olarak bırakılacaktır.</w:t>
      </w:r>
    </w:p>
    <w:p w:rsidR="001D08A5" w:rsidRPr="001D08A5" w:rsidRDefault="001D08A5" w:rsidP="001D08A5">
      <w:pPr>
        <w:pStyle w:val="GvdeMetniGirintisi2"/>
        <w:ind w:left="426" w:firstLine="0"/>
        <w:rPr>
          <w:sz w:val="24"/>
          <w:szCs w:val="24"/>
        </w:rPr>
      </w:pPr>
    </w:p>
    <w:p w:rsidR="001D08A5" w:rsidRPr="001D08A5" w:rsidRDefault="001D08A5" w:rsidP="001D08A5">
      <w:pPr>
        <w:pStyle w:val="GvdeMetniGirintisi2"/>
        <w:numPr>
          <w:ilvl w:val="0"/>
          <w:numId w:val="1"/>
        </w:numPr>
        <w:ind w:left="426" w:hanging="284"/>
        <w:rPr>
          <w:sz w:val="24"/>
          <w:szCs w:val="24"/>
        </w:rPr>
      </w:pPr>
      <w:r w:rsidRPr="001D08A5">
        <w:rPr>
          <w:sz w:val="24"/>
          <w:szCs w:val="24"/>
        </w:rPr>
        <w:t xml:space="preserve">İstasyonlar pul bedellerini, </w:t>
      </w:r>
      <w:proofErr w:type="gramStart"/>
      <w:r w:rsidRPr="001D08A5">
        <w:rPr>
          <w:sz w:val="24"/>
          <w:szCs w:val="24"/>
        </w:rPr>
        <w:t>(</w:t>
      </w:r>
      <w:proofErr w:type="gramEnd"/>
      <w:r w:rsidRPr="001D08A5">
        <w:rPr>
          <w:sz w:val="24"/>
          <w:szCs w:val="24"/>
        </w:rPr>
        <w:t xml:space="preserve">… TL x satın alınan pul sayısı = toplam pul bedeli), peşin olarak Bakanlığın </w:t>
      </w:r>
      <w:r w:rsidRPr="001D08A5">
        <w:rPr>
          <w:sz w:val="24"/>
          <w:szCs w:val="24"/>
          <w:lang w:eastAsia="en-US"/>
        </w:rPr>
        <w:t xml:space="preserve">Döner Sermaye İşletmesinin </w:t>
      </w:r>
      <w:r w:rsidRPr="001D08A5">
        <w:rPr>
          <w:sz w:val="24"/>
          <w:szCs w:val="24"/>
        </w:rPr>
        <w:t xml:space="preserve">ilgili hesap numarasına yatırdıktan sonra,  banka dekontunun bir örneği ile </w:t>
      </w:r>
      <w:r w:rsidRPr="001D08A5">
        <w:rPr>
          <w:iCs/>
          <w:sz w:val="24"/>
          <w:szCs w:val="24"/>
        </w:rPr>
        <w:t>İl Müdürlüklerine</w:t>
      </w:r>
      <w:r w:rsidRPr="001D08A5">
        <w:rPr>
          <w:sz w:val="24"/>
          <w:szCs w:val="24"/>
        </w:rPr>
        <w:t xml:space="preserve"> başvurarak egzoz gazı </w:t>
      </w:r>
      <w:proofErr w:type="gramStart"/>
      <w:r w:rsidRPr="001D08A5">
        <w:rPr>
          <w:sz w:val="24"/>
          <w:szCs w:val="24"/>
        </w:rPr>
        <w:t>emisyon</w:t>
      </w:r>
      <w:proofErr w:type="gramEnd"/>
      <w:r w:rsidRPr="001D08A5">
        <w:rPr>
          <w:sz w:val="24"/>
          <w:szCs w:val="24"/>
        </w:rPr>
        <w:t xml:space="preserve"> ölçüm pullarını temin edebileceklerdir.</w:t>
      </w:r>
    </w:p>
    <w:p w:rsidR="001D08A5" w:rsidRPr="001D08A5" w:rsidRDefault="001D08A5" w:rsidP="001D08A5">
      <w:pPr>
        <w:pStyle w:val="GvdeMetniGirintisi2"/>
        <w:ind w:left="426" w:firstLine="0"/>
        <w:rPr>
          <w:sz w:val="24"/>
          <w:szCs w:val="24"/>
        </w:rPr>
      </w:pPr>
    </w:p>
    <w:p w:rsidR="001D08A5" w:rsidRPr="001D08A5" w:rsidRDefault="001D08A5" w:rsidP="001D08A5">
      <w:pPr>
        <w:pStyle w:val="GvdeMetniGirintisi2"/>
        <w:ind w:left="426" w:hanging="284"/>
        <w:rPr>
          <w:sz w:val="24"/>
          <w:szCs w:val="24"/>
        </w:rPr>
      </w:pPr>
      <w:r w:rsidRPr="001D08A5">
        <w:rPr>
          <w:sz w:val="24"/>
          <w:szCs w:val="24"/>
        </w:rPr>
        <w:t xml:space="preserve">ğ) Egzoz gazı </w:t>
      </w:r>
      <w:proofErr w:type="gramStart"/>
      <w:r w:rsidRPr="001D08A5">
        <w:rPr>
          <w:sz w:val="24"/>
          <w:szCs w:val="24"/>
        </w:rPr>
        <w:t>emisyon</w:t>
      </w:r>
      <w:proofErr w:type="gramEnd"/>
      <w:r w:rsidRPr="001D08A5">
        <w:rPr>
          <w:sz w:val="24"/>
          <w:szCs w:val="24"/>
        </w:rPr>
        <w:t xml:space="preserve"> ölçüm yetkisi devam eden istasyonların, …  yılında almış oldukları ancak 1/1/</w:t>
      </w:r>
      <w:proofErr w:type="gramStart"/>
      <w:r w:rsidRPr="001D08A5">
        <w:rPr>
          <w:sz w:val="24"/>
          <w:szCs w:val="24"/>
        </w:rPr>
        <w:t>.…</w:t>
      </w:r>
      <w:proofErr w:type="gramEnd"/>
      <w:r w:rsidRPr="001D08A5">
        <w:rPr>
          <w:sz w:val="24"/>
          <w:szCs w:val="24"/>
        </w:rPr>
        <w:t xml:space="preserve"> tarihine kadar kullanamadıkları egzoz gazı emisyon ölçüm pul sayısının 1/1/</w:t>
      </w:r>
      <w:proofErr w:type="gramStart"/>
      <w:r w:rsidRPr="001D08A5">
        <w:rPr>
          <w:sz w:val="24"/>
          <w:szCs w:val="24"/>
        </w:rPr>
        <w:t>…..</w:t>
      </w:r>
      <w:proofErr w:type="gramEnd"/>
      <w:r w:rsidRPr="001D08A5">
        <w:rPr>
          <w:sz w:val="24"/>
          <w:szCs w:val="24"/>
        </w:rPr>
        <w:t xml:space="preserve"> tarihi itibariyle tespit edilerek, </w:t>
      </w:r>
      <w:proofErr w:type="gramStart"/>
      <w:r w:rsidRPr="001D08A5">
        <w:rPr>
          <w:sz w:val="24"/>
          <w:szCs w:val="24"/>
        </w:rPr>
        <w:t>….</w:t>
      </w:r>
      <w:proofErr w:type="gramEnd"/>
      <w:r w:rsidRPr="001D08A5">
        <w:rPr>
          <w:sz w:val="24"/>
          <w:szCs w:val="24"/>
        </w:rPr>
        <w:t xml:space="preserve"> yılı için belirlenen pul bedeli arasındaki farkın Bakanlık Döner Sermaye İşletmesinin ilgili hesap numarasına yatırılması gerekmektedir.</w:t>
      </w:r>
    </w:p>
    <w:p w:rsidR="001D08A5" w:rsidRPr="001D08A5" w:rsidRDefault="001D08A5" w:rsidP="001D08A5">
      <w:pPr>
        <w:pStyle w:val="GvdeMetniGirintisi2"/>
        <w:ind w:left="426" w:firstLine="0"/>
        <w:rPr>
          <w:sz w:val="24"/>
          <w:szCs w:val="24"/>
        </w:rPr>
      </w:pPr>
    </w:p>
    <w:p w:rsidR="001D08A5" w:rsidRPr="001D08A5" w:rsidRDefault="001D08A5" w:rsidP="001D08A5">
      <w:pPr>
        <w:pStyle w:val="GvdeMetniGirintisi2"/>
        <w:numPr>
          <w:ilvl w:val="0"/>
          <w:numId w:val="1"/>
        </w:numPr>
        <w:ind w:left="426" w:hanging="284"/>
        <w:rPr>
          <w:sz w:val="24"/>
          <w:szCs w:val="24"/>
        </w:rPr>
      </w:pPr>
      <w:r w:rsidRPr="001D08A5">
        <w:rPr>
          <w:sz w:val="24"/>
          <w:szCs w:val="24"/>
        </w:rPr>
        <w:t xml:space="preserve"> “Egzoz Gazı Emisyon Ölçüm İzleme Çizelgesi” istasyon yetkilileri tarafından iki nüsha olarak doldurulacak ve bir adedi denetimlerde gösterilmek üzere ölçümün yapıldığı istasyonda kalacak diğeri ise İl Müdürlüğüne gönderilecektir. </w:t>
      </w:r>
    </w:p>
    <w:p w:rsidR="001D08A5" w:rsidRPr="001D08A5" w:rsidRDefault="001D08A5" w:rsidP="001D08A5">
      <w:pPr>
        <w:pStyle w:val="GvdeMetniGirintisi2"/>
        <w:ind w:firstLine="0"/>
        <w:rPr>
          <w:sz w:val="24"/>
          <w:szCs w:val="24"/>
        </w:rPr>
      </w:pPr>
    </w:p>
    <w:p w:rsidR="001D08A5" w:rsidRPr="001D08A5" w:rsidRDefault="001D08A5" w:rsidP="001D08A5">
      <w:pPr>
        <w:pStyle w:val="GvdeMetniGirintisi2"/>
        <w:tabs>
          <w:tab w:val="left" w:pos="709"/>
        </w:tabs>
        <w:ind w:left="426" w:hanging="284"/>
        <w:rPr>
          <w:sz w:val="24"/>
          <w:szCs w:val="24"/>
          <w:lang w:eastAsia="en-US"/>
        </w:rPr>
      </w:pPr>
      <w:r w:rsidRPr="001D08A5">
        <w:rPr>
          <w:sz w:val="24"/>
          <w:szCs w:val="24"/>
        </w:rPr>
        <w:t>ı) Egzoz gazı emisyon ölçüm cihazlarının özellikleri ve muayeneleri Yönetmeliğin 13 üncü Maddesinde belirtilen hükümlere uygun olacaktır.</w:t>
      </w:r>
      <w:r w:rsidRPr="001D08A5">
        <w:rPr>
          <w:sz w:val="24"/>
          <w:szCs w:val="24"/>
          <w:lang w:eastAsia="en-US"/>
        </w:rPr>
        <w:t xml:space="preserve"> </w:t>
      </w:r>
    </w:p>
    <w:p w:rsidR="001D08A5" w:rsidRPr="001D08A5" w:rsidRDefault="001D08A5" w:rsidP="001D08A5">
      <w:pPr>
        <w:pStyle w:val="ListeParagraf"/>
        <w:ind w:left="284"/>
      </w:pPr>
    </w:p>
    <w:p w:rsidR="001D08A5" w:rsidRPr="001D08A5" w:rsidRDefault="001D08A5" w:rsidP="001D08A5">
      <w:pPr>
        <w:pStyle w:val="GvdeMetniGirintisi2"/>
        <w:numPr>
          <w:ilvl w:val="0"/>
          <w:numId w:val="1"/>
        </w:numPr>
        <w:ind w:left="426" w:hanging="284"/>
        <w:rPr>
          <w:sz w:val="24"/>
          <w:szCs w:val="24"/>
        </w:rPr>
      </w:pPr>
      <w:r w:rsidRPr="001D08A5">
        <w:rPr>
          <w:sz w:val="24"/>
          <w:szCs w:val="24"/>
        </w:rPr>
        <w:t>Cihazların teknik özellikleri ile ilgili belgeler ve cihazların periyodik bakım ve muayenelerinin yaptırıldığına dair bilgiler istenildiğinde ibraz edilecektir.</w:t>
      </w:r>
    </w:p>
    <w:p w:rsidR="001D08A5" w:rsidRPr="001D08A5" w:rsidRDefault="001D08A5" w:rsidP="001D08A5">
      <w:pPr>
        <w:pStyle w:val="GvdeMetniGirintisi2"/>
        <w:ind w:left="426" w:firstLine="0"/>
        <w:rPr>
          <w:sz w:val="24"/>
          <w:szCs w:val="24"/>
        </w:rPr>
      </w:pPr>
    </w:p>
    <w:p w:rsidR="001D08A5" w:rsidRPr="001D08A5" w:rsidRDefault="001D08A5" w:rsidP="001D08A5">
      <w:pPr>
        <w:pStyle w:val="GvdeMetniGirintisi2"/>
        <w:numPr>
          <w:ilvl w:val="0"/>
          <w:numId w:val="1"/>
        </w:numPr>
        <w:ind w:left="426" w:hanging="284"/>
        <w:rPr>
          <w:sz w:val="24"/>
          <w:szCs w:val="24"/>
        </w:rPr>
      </w:pPr>
      <w:r w:rsidRPr="001D08A5">
        <w:rPr>
          <w:rFonts w:eastAsia="ヒラギノ明朝 Pro W3"/>
          <w:sz w:val="24"/>
          <w:szCs w:val="24"/>
        </w:rPr>
        <w:t xml:space="preserve">Egzoz gazı emisyon ölçümü için, yetkili her egzoz gazı emisyon ölçüm istasyonunda en az iki ölçüm personeli çalıştırmak zorundadır. Egzoz gazı </w:t>
      </w:r>
      <w:proofErr w:type="gramStart"/>
      <w:r w:rsidRPr="001D08A5">
        <w:rPr>
          <w:rFonts w:eastAsia="ヒラギノ明朝 Pro W3"/>
          <w:sz w:val="24"/>
          <w:szCs w:val="24"/>
        </w:rPr>
        <w:t>emisyon</w:t>
      </w:r>
      <w:proofErr w:type="gramEnd"/>
      <w:r w:rsidRPr="001D08A5">
        <w:rPr>
          <w:rFonts w:eastAsia="ヒラギノ明朝 Pro W3"/>
          <w:sz w:val="24"/>
          <w:szCs w:val="24"/>
        </w:rPr>
        <w:t xml:space="preserve"> ölçümünde çalıştırılan personelin; en az meslek liselerinin teknik eğitim veren motor, makine, elektrik, elektronik, kimya veya fizik bölümlerinden veya yüksekokulların teknik eğitim veren bölümlerinden mezun olması veya en az lise mezunu ve Milli Eğitim Bakanlığı tarafından verilen motor, makine, elektrik, elektronik, kimya veya fizik konularındaki teknik eğitimleri almış olması gerekir. Ayrıca, her iki personelin de egzoz gazı emisyon ölçümü konusunda eğitim aldıklarına dair belgeye sahip olması gerekir.</w:t>
      </w:r>
    </w:p>
    <w:p w:rsidR="001D08A5" w:rsidRPr="001D08A5" w:rsidRDefault="001D08A5" w:rsidP="001D08A5">
      <w:pPr>
        <w:pStyle w:val="GvdeMetniGirintisi2"/>
        <w:ind w:left="426" w:firstLine="0"/>
        <w:rPr>
          <w:sz w:val="24"/>
          <w:szCs w:val="24"/>
        </w:rPr>
      </w:pPr>
    </w:p>
    <w:p w:rsidR="001D08A5" w:rsidRPr="001D08A5" w:rsidRDefault="001D08A5" w:rsidP="001D08A5">
      <w:pPr>
        <w:pStyle w:val="Balk1"/>
        <w:spacing w:before="0" w:after="0"/>
        <w:rPr>
          <w:rFonts w:ascii="Times New Roman" w:hAnsi="Times New Roman"/>
          <w:b w:val="0"/>
          <w:sz w:val="24"/>
          <w:szCs w:val="24"/>
        </w:rPr>
      </w:pPr>
      <w:r w:rsidRPr="001D08A5">
        <w:rPr>
          <w:rFonts w:ascii="Times New Roman" w:hAnsi="Times New Roman"/>
          <w:b w:val="0"/>
          <w:sz w:val="24"/>
          <w:szCs w:val="24"/>
        </w:rPr>
        <w:t>DENETİM YETKİSİ</w:t>
      </w:r>
    </w:p>
    <w:p w:rsidR="001D08A5" w:rsidRPr="001D08A5" w:rsidRDefault="001D08A5" w:rsidP="001D08A5">
      <w:pPr>
        <w:jc w:val="both"/>
        <w:rPr>
          <w:bCs/>
        </w:rPr>
      </w:pPr>
    </w:p>
    <w:p w:rsidR="001D08A5" w:rsidRPr="001D08A5" w:rsidRDefault="001D08A5" w:rsidP="001D08A5">
      <w:pPr>
        <w:jc w:val="both"/>
        <w:rPr>
          <w:bCs/>
        </w:rPr>
      </w:pPr>
      <w:r w:rsidRPr="001D08A5">
        <w:rPr>
          <w:bCs/>
        </w:rPr>
        <w:t>Madde 4:</w:t>
      </w:r>
    </w:p>
    <w:p w:rsidR="001D08A5" w:rsidRDefault="001D08A5" w:rsidP="001D08A5">
      <w:pPr>
        <w:jc w:val="both"/>
      </w:pPr>
      <w:r w:rsidRPr="001D08A5">
        <w:t xml:space="preserve">İstasyonların denetimleri İl Müdürlüklerince yapılacaktır. </w:t>
      </w:r>
    </w:p>
    <w:p w:rsidR="001D08A5" w:rsidRPr="001D08A5" w:rsidRDefault="001D08A5" w:rsidP="001D08A5">
      <w:pPr>
        <w:jc w:val="both"/>
      </w:pPr>
    </w:p>
    <w:p w:rsidR="001D08A5" w:rsidRPr="001D08A5" w:rsidRDefault="001D08A5" w:rsidP="001D08A5">
      <w:pPr>
        <w:pStyle w:val="Balk1"/>
        <w:spacing w:before="0" w:after="0"/>
        <w:ind w:hanging="180"/>
        <w:rPr>
          <w:rFonts w:ascii="Times New Roman" w:hAnsi="Times New Roman"/>
          <w:b w:val="0"/>
          <w:sz w:val="24"/>
          <w:szCs w:val="24"/>
        </w:rPr>
      </w:pPr>
      <w:r w:rsidRPr="001D08A5">
        <w:rPr>
          <w:rFonts w:ascii="Times New Roman" w:hAnsi="Times New Roman"/>
          <w:b w:val="0"/>
          <w:sz w:val="24"/>
          <w:szCs w:val="24"/>
        </w:rPr>
        <w:lastRenderedPageBreak/>
        <w:t xml:space="preserve">   PROTOKOLUN GEÇERLİLİK SÜRESİ VE BOZULMA ŞARTLARI</w:t>
      </w:r>
    </w:p>
    <w:p w:rsidR="001D08A5" w:rsidRPr="001D08A5" w:rsidRDefault="001D08A5" w:rsidP="001D08A5">
      <w:pPr>
        <w:jc w:val="both"/>
        <w:rPr>
          <w:bCs/>
        </w:rPr>
      </w:pPr>
      <w:r w:rsidRPr="001D08A5">
        <w:rPr>
          <w:bCs/>
        </w:rPr>
        <w:t xml:space="preserve"> </w:t>
      </w:r>
    </w:p>
    <w:p w:rsidR="001D08A5" w:rsidRPr="001D08A5" w:rsidRDefault="001D08A5" w:rsidP="001D08A5">
      <w:pPr>
        <w:jc w:val="both"/>
      </w:pPr>
      <w:r w:rsidRPr="001D08A5">
        <w:rPr>
          <w:bCs/>
        </w:rPr>
        <w:t>Madde 5</w:t>
      </w:r>
      <w:r w:rsidRPr="001D08A5">
        <w:t xml:space="preserve">: </w:t>
      </w:r>
    </w:p>
    <w:p w:rsidR="001D08A5" w:rsidRPr="001D08A5" w:rsidRDefault="001D08A5" w:rsidP="001D08A5">
      <w:pPr>
        <w:ind w:hanging="250"/>
        <w:jc w:val="both"/>
      </w:pPr>
      <w:r w:rsidRPr="001D08A5">
        <w:t xml:space="preserve">    Bu Protokol 31/12/… tarihine kadar geçerlidir. Yönetmelik ve bu Protokolde yer alan şartların yerine getirilmediği İl Müdürlüğü tarafından tespit edildiği takdirde, İl Müdürlüğü protokolü tek taraflı olarak feshetmeye ve Egzoz Gazı Emisyon Ölçüm Yetki Belgesini iptal etmeye yetkilidir. </w:t>
      </w:r>
    </w:p>
    <w:p w:rsidR="001D08A5" w:rsidRPr="001D08A5" w:rsidRDefault="001D08A5" w:rsidP="001D08A5">
      <w:pPr>
        <w:jc w:val="both"/>
      </w:pPr>
    </w:p>
    <w:p w:rsidR="001D08A5" w:rsidRPr="001D08A5" w:rsidRDefault="001D08A5" w:rsidP="001D08A5">
      <w:pPr>
        <w:jc w:val="both"/>
      </w:pPr>
      <w:r w:rsidRPr="001D08A5">
        <w:t>DİĞER HÜKÜMLER</w:t>
      </w:r>
    </w:p>
    <w:p w:rsidR="001D08A5" w:rsidRDefault="001D08A5" w:rsidP="001D08A5">
      <w:pPr>
        <w:jc w:val="both"/>
      </w:pPr>
    </w:p>
    <w:p w:rsidR="001D08A5" w:rsidRPr="001D08A5" w:rsidRDefault="001D08A5" w:rsidP="001D08A5">
      <w:pPr>
        <w:jc w:val="both"/>
      </w:pPr>
      <w:r w:rsidRPr="001D08A5">
        <w:t>Madde 6:</w:t>
      </w:r>
    </w:p>
    <w:p w:rsidR="001D08A5" w:rsidRPr="001D08A5" w:rsidRDefault="001D08A5" w:rsidP="001D08A5">
      <w:pPr>
        <w:jc w:val="both"/>
      </w:pPr>
      <w:r w:rsidRPr="001D08A5">
        <w:t xml:space="preserve">Anlaşmazlık halinde </w:t>
      </w:r>
      <w:proofErr w:type="gramStart"/>
      <w:r w:rsidRPr="001D08A5">
        <w:t>........................................................</w:t>
      </w:r>
      <w:proofErr w:type="gramEnd"/>
      <w:r w:rsidRPr="001D08A5">
        <w:t xml:space="preserve"> mahkemeleri yetkilidir. </w:t>
      </w:r>
    </w:p>
    <w:p w:rsidR="001D08A5" w:rsidRPr="001D08A5" w:rsidRDefault="001D08A5" w:rsidP="001D08A5">
      <w:pPr>
        <w:jc w:val="both"/>
      </w:pPr>
    </w:p>
    <w:p w:rsidR="001D08A5" w:rsidRPr="001D08A5" w:rsidRDefault="001D08A5" w:rsidP="001D08A5">
      <w:pPr>
        <w:jc w:val="both"/>
      </w:pPr>
      <w:r w:rsidRPr="001D08A5">
        <w:t>Madde 7:</w:t>
      </w:r>
    </w:p>
    <w:p w:rsidR="001D08A5" w:rsidRPr="001D08A5" w:rsidRDefault="001D08A5" w:rsidP="001D08A5">
      <w:pPr>
        <w:jc w:val="both"/>
      </w:pPr>
      <w:r w:rsidRPr="001D08A5">
        <w:t>İşbu protokol yedi maddeden ibaret olup, üç nüsha hazırlanarak imza altına alınmıştır.</w:t>
      </w:r>
    </w:p>
    <w:p w:rsidR="001D08A5" w:rsidRPr="001D08A5" w:rsidRDefault="001D08A5" w:rsidP="001D08A5">
      <w:pPr>
        <w:ind w:left="70" w:hanging="250"/>
        <w:jc w:val="both"/>
      </w:pPr>
      <w:r w:rsidRPr="001D08A5">
        <w:t xml:space="preserve">   (</w:t>
      </w:r>
      <w:proofErr w:type="gramStart"/>
      <w:r w:rsidRPr="001D08A5">
        <w:t>….</w:t>
      </w:r>
      <w:proofErr w:type="gramEnd"/>
      <w:r w:rsidRPr="001D08A5">
        <w:t>/…./….)</w:t>
      </w:r>
    </w:p>
    <w:p w:rsidR="001D08A5" w:rsidRPr="001D08A5" w:rsidRDefault="001D08A5" w:rsidP="001D08A5">
      <w:pPr>
        <w:ind w:left="70" w:hanging="250"/>
        <w:jc w:val="both"/>
      </w:pPr>
    </w:p>
    <w:p w:rsidR="001D08A5" w:rsidRPr="001D08A5" w:rsidRDefault="001D08A5" w:rsidP="001D08A5">
      <w:pPr>
        <w:ind w:left="70" w:hanging="250"/>
        <w:jc w:val="both"/>
      </w:pPr>
    </w:p>
    <w:p w:rsidR="001D08A5" w:rsidRPr="001D08A5" w:rsidRDefault="001D08A5" w:rsidP="001D08A5">
      <w:pPr>
        <w:jc w:val="both"/>
      </w:pPr>
      <w:proofErr w:type="gramStart"/>
      <w:r w:rsidRPr="001D08A5">
        <w:t>.....................................................</w:t>
      </w:r>
      <w:proofErr w:type="gramEnd"/>
      <w:r w:rsidRPr="001D08A5">
        <w:t xml:space="preserve">                             </w:t>
      </w:r>
      <w:r>
        <w:t xml:space="preserve">                        </w:t>
      </w:r>
      <w:proofErr w:type="gramStart"/>
      <w:r w:rsidRPr="001D08A5">
        <w:t>.............................................</w:t>
      </w:r>
      <w:proofErr w:type="gramEnd"/>
    </w:p>
    <w:p w:rsidR="001D08A5" w:rsidRPr="001D08A5" w:rsidRDefault="001D08A5" w:rsidP="001D08A5">
      <w:pPr>
        <w:jc w:val="both"/>
      </w:pPr>
      <w:r>
        <w:t xml:space="preserve"> </w:t>
      </w:r>
      <w:r w:rsidRPr="001D08A5">
        <w:t xml:space="preserve">Çevre ve Şehircilik İl Müdürü </w:t>
      </w:r>
      <w:r w:rsidRPr="001D08A5">
        <w:tab/>
        <w:t xml:space="preserve">                                              </w:t>
      </w:r>
      <w:r>
        <w:t xml:space="preserve">        </w:t>
      </w:r>
      <w:r w:rsidRPr="001D08A5">
        <w:t>İstasyon Yetkilisi</w:t>
      </w:r>
      <w:r w:rsidRPr="001D08A5">
        <w:tab/>
      </w:r>
    </w:p>
    <w:p w:rsidR="001D08A5" w:rsidRPr="001D08A5" w:rsidRDefault="001D08A5" w:rsidP="001D08A5">
      <w:pPr>
        <w:jc w:val="both"/>
        <w:rPr>
          <w:strike/>
        </w:rPr>
      </w:pPr>
      <w:r w:rsidRPr="001D08A5">
        <w:t xml:space="preserve">                    </w:t>
      </w:r>
    </w:p>
    <w:p w:rsidR="001D08A5" w:rsidRPr="001D08A5" w:rsidRDefault="001D08A5" w:rsidP="001D08A5">
      <w:pPr>
        <w:ind w:left="3540" w:hanging="2820"/>
        <w:jc w:val="center"/>
        <w:rPr>
          <w:strike/>
        </w:rPr>
      </w:pPr>
    </w:p>
    <w:p w:rsidR="001D08A5" w:rsidRPr="001D08A5" w:rsidRDefault="001D08A5" w:rsidP="001D08A5">
      <w:pPr>
        <w:ind w:left="3540" w:hanging="2820"/>
        <w:jc w:val="center"/>
        <w:rPr>
          <w:strike/>
        </w:rPr>
      </w:pPr>
    </w:p>
    <w:p w:rsidR="001D08A5" w:rsidRPr="001D08A5" w:rsidRDefault="001D08A5" w:rsidP="001D08A5">
      <w:pPr>
        <w:ind w:left="3540" w:hanging="2820"/>
        <w:jc w:val="center"/>
        <w:rPr>
          <w:strike/>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1D08A5" w:rsidRPr="001D08A5" w:rsidRDefault="001D08A5" w:rsidP="001D08A5">
      <w:pPr>
        <w:pStyle w:val="KonuBal"/>
        <w:jc w:val="left"/>
        <w:rPr>
          <w:b w:val="0"/>
        </w:rPr>
      </w:pPr>
    </w:p>
    <w:p w:rsidR="00C67CD6" w:rsidRPr="001D08A5" w:rsidRDefault="00C67CD6" w:rsidP="001D08A5"/>
    <w:sectPr w:rsidR="00C67CD6" w:rsidRPr="001D0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EF7"/>
    <w:multiLevelType w:val="hybridMultilevel"/>
    <w:tmpl w:val="42A64928"/>
    <w:lvl w:ilvl="0" w:tplc="041F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A5"/>
    <w:rsid w:val="001D08A5"/>
    <w:rsid w:val="003F657D"/>
    <w:rsid w:val="00535F19"/>
    <w:rsid w:val="00677805"/>
    <w:rsid w:val="00935538"/>
    <w:rsid w:val="00C67CD6"/>
    <w:rsid w:val="00E71C58"/>
    <w:rsid w:val="00F77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A5"/>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1D08A5"/>
    <w:pPr>
      <w:keepNext/>
      <w:spacing w:before="240" w:after="60"/>
      <w:outlineLvl w:val="0"/>
    </w:pPr>
    <w:rPr>
      <w:rFonts w:ascii="Arial" w:hAnsi="Arial"/>
      <w:b/>
      <w:bCs/>
      <w:kern w:val="32"/>
      <w:sz w:val="32"/>
      <w:szCs w:val="32"/>
      <w:lang w:eastAsia="tr-TR"/>
    </w:rPr>
  </w:style>
  <w:style w:type="paragraph" w:styleId="Balk6">
    <w:name w:val="heading 6"/>
    <w:basedOn w:val="Normal"/>
    <w:next w:val="Normal"/>
    <w:link w:val="Balk6Char"/>
    <w:qFormat/>
    <w:rsid w:val="001D08A5"/>
    <w:pPr>
      <w:keepNext/>
      <w:ind w:left="720"/>
      <w:jc w:val="both"/>
      <w:outlineLvl w:val="5"/>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D08A5"/>
    <w:rPr>
      <w:rFonts w:ascii="Arial" w:eastAsia="Times New Roman" w:hAnsi="Arial" w:cs="Times New Roman"/>
      <w:b/>
      <w:bCs/>
      <w:kern w:val="32"/>
      <w:sz w:val="32"/>
      <w:szCs w:val="32"/>
      <w:lang w:eastAsia="tr-TR"/>
    </w:rPr>
  </w:style>
  <w:style w:type="character" w:customStyle="1" w:styleId="Balk6Char">
    <w:name w:val="Başlık 6 Char"/>
    <w:basedOn w:val="VarsaylanParagrafYazTipi"/>
    <w:link w:val="Balk6"/>
    <w:rsid w:val="001D08A5"/>
    <w:rPr>
      <w:rFonts w:ascii="Times New Roman" w:eastAsia="Times New Roman" w:hAnsi="Times New Roman" w:cs="Times New Roman"/>
      <w:b/>
      <w:bCs/>
      <w:szCs w:val="24"/>
      <w:lang w:eastAsia="tr-TR"/>
    </w:rPr>
  </w:style>
  <w:style w:type="paragraph" w:styleId="GvdeMetni">
    <w:name w:val="Body Text"/>
    <w:basedOn w:val="Normal"/>
    <w:link w:val="GvdeMetniChar"/>
    <w:rsid w:val="001D08A5"/>
    <w:pPr>
      <w:jc w:val="both"/>
    </w:pPr>
    <w:rPr>
      <w:lang w:eastAsia="tr-TR"/>
    </w:rPr>
  </w:style>
  <w:style w:type="character" w:customStyle="1" w:styleId="GvdeMetniChar">
    <w:name w:val="Gövde Metni Char"/>
    <w:basedOn w:val="VarsaylanParagrafYazTipi"/>
    <w:link w:val="GvdeMetni"/>
    <w:rsid w:val="001D08A5"/>
    <w:rPr>
      <w:rFonts w:ascii="Times New Roman" w:eastAsia="Times New Roman" w:hAnsi="Times New Roman" w:cs="Times New Roman"/>
      <w:sz w:val="24"/>
      <w:szCs w:val="24"/>
      <w:lang w:eastAsia="tr-TR"/>
    </w:rPr>
  </w:style>
  <w:style w:type="paragraph" w:styleId="KonuBal">
    <w:name w:val="Title"/>
    <w:basedOn w:val="Normal"/>
    <w:link w:val="KonuBalChar"/>
    <w:qFormat/>
    <w:rsid w:val="001D08A5"/>
    <w:pPr>
      <w:jc w:val="center"/>
    </w:pPr>
    <w:rPr>
      <w:b/>
      <w:bCs/>
      <w:lang w:eastAsia="tr-TR"/>
    </w:rPr>
  </w:style>
  <w:style w:type="character" w:customStyle="1" w:styleId="KonuBalChar">
    <w:name w:val="Konu Başlığı Char"/>
    <w:basedOn w:val="VarsaylanParagrafYazTipi"/>
    <w:link w:val="KonuBal"/>
    <w:rsid w:val="001D08A5"/>
    <w:rPr>
      <w:rFonts w:ascii="Times New Roman" w:eastAsia="Times New Roman" w:hAnsi="Times New Roman" w:cs="Times New Roman"/>
      <w:b/>
      <w:bCs/>
      <w:sz w:val="24"/>
      <w:szCs w:val="24"/>
      <w:lang w:eastAsia="tr-TR"/>
    </w:rPr>
  </w:style>
  <w:style w:type="paragraph" w:styleId="GvdeMetniGirintisi2">
    <w:name w:val="Body Text Indent 2"/>
    <w:basedOn w:val="Normal"/>
    <w:link w:val="GvdeMetniGirintisi2Char"/>
    <w:rsid w:val="001D08A5"/>
    <w:pPr>
      <w:ind w:firstLine="540"/>
      <w:jc w:val="both"/>
    </w:pPr>
    <w:rPr>
      <w:sz w:val="26"/>
      <w:szCs w:val="20"/>
      <w:lang w:eastAsia="tr-TR"/>
    </w:rPr>
  </w:style>
  <w:style w:type="character" w:customStyle="1" w:styleId="GvdeMetniGirintisi2Char">
    <w:name w:val="Gövde Metni Girintisi 2 Char"/>
    <w:basedOn w:val="VarsaylanParagrafYazTipi"/>
    <w:link w:val="GvdeMetniGirintisi2"/>
    <w:rsid w:val="001D08A5"/>
    <w:rPr>
      <w:rFonts w:ascii="Times New Roman" w:eastAsia="Times New Roman" w:hAnsi="Times New Roman" w:cs="Times New Roman"/>
      <w:sz w:val="26"/>
      <w:szCs w:val="20"/>
      <w:lang w:eastAsia="tr-TR"/>
    </w:rPr>
  </w:style>
  <w:style w:type="paragraph" w:styleId="ListeParagraf">
    <w:name w:val="List Paragraph"/>
    <w:basedOn w:val="Normal"/>
    <w:uiPriority w:val="34"/>
    <w:qFormat/>
    <w:rsid w:val="001D08A5"/>
    <w:pPr>
      <w:ind w:left="708"/>
    </w:pPr>
  </w:style>
  <w:style w:type="paragraph" w:styleId="BalonMetni">
    <w:name w:val="Balloon Text"/>
    <w:basedOn w:val="Normal"/>
    <w:link w:val="BalonMetniChar"/>
    <w:uiPriority w:val="99"/>
    <w:semiHidden/>
    <w:unhideWhenUsed/>
    <w:rsid w:val="00E71C58"/>
    <w:rPr>
      <w:rFonts w:ascii="Tahoma" w:hAnsi="Tahoma" w:cs="Tahoma"/>
      <w:sz w:val="16"/>
      <w:szCs w:val="16"/>
    </w:rPr>
  </w:style>
  <w:style w:type="character" w:customStyle="1" w:styleId="BalonMetniChar">
    <w:name w:val="Balon Metni Char"/>
    <w:basedOn w:val="VarsaylanParagrafYazTipi"/>
    <w:link w:val="BalonMetni"/>
    <w:uiPriority w:val="99"/>
    <w:semiHidden/>
    <w:rsid w:val="00E71C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A5"/>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1D08A5"/>
    <w:pPr>
      <w:keepNext/>
      <w:spacing w:before="240" w:after="60"/>
      <w:outlineLvl w:val="0"/>
    </w:pPr>
    <w:rPr>
      <w:rFonts w:ascii="Arial" w:hAnsi="Arial"/>
      <w:b/>
      <w:bCs/>
      <w:kern w:val="32"/>
      <w:sz w:val="32"/>
      <w:szCs w:val="32"/>
      <w:lang w:eastAsia="tr-TR"/>
    </w:rPr>
  </w:style>
  <w:style w:type="paragraph" w:styleId="Balk6">
    <w:name w:val="heading 6"/>
    <w:basedOn w:val="Normal"/>
    <w:next w:val="Normal"/>
    <w:link w:val="Balk6Char"/>
    <w:qFormat/>
    <w:rsid w:val="001D08A5"/>
    <w:pPr>
      <w:keepNext/>
      <w:ind w:left="720"/>
      <w:jc w:val="both"/>
      <w:outlineLvl w:val="5"/>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D08A5"/>
    <w:rPr>
      <w:rFonts w:ascii="Arial" w:eastAsia="Times New Roman" w:hAnsi="Arial" w:cs="Times New Roman"/>
      <w:b/>
      <w:bCs/>
      <w:kern w:val="32"/>
      <w:sz w:val="32"/>
      <w:szCs w:val="32"/>
      <w:lang w:eastAsia="tr-TR"/>
    </w:rPr>
  </w:style>
  <w:style w:type="character" w:customStyle="1" w:styleId="Balk6Char">
    <w:name w:val="Başlık 6 Char"/>
    <w:basedOn w:val="VarsaylanParagrafYazTipi"/>
    <w:link w:val="Balk6"/>
    <w:rsid w:val="001D08A5"/>
    <w:rPr>
      <w:rFonts w:ascii="Times New Roman" w:eastAsia="Times New Roman" w:hAnsi="Times New Roman" w:cs="Times New Roman"/>
      <w:b/>
      <w:bCs/>
      <w:szCs w:val="24"/>
      <w:lang w:eastAsia="tr-TR"/>
    </w:rPr>
  </w:style>
  <w:style w:type="paragraph" w:styleId="GvdeMetni">
    <w:name w:val="Body Text"/>
    <w:basedOn w:val="Normal"/>
    <w:link w:val="GvdeMetniChar"/>
    <w:rsid w:val="001D08A5"/>
    <w:pPr>
      <w:jc w:val="both"/>
    </w:pPr>
    <w:rPr>
      <w:lang w:eastAsia="tr-TR"/>
    </w:rPr>
  </w:style>
  <w:style w:type="character" w:customStyle="1" w:styleId="GvdeMetniChar">
    <w:name w:val="Gövde Metni Char"/>
    <w:basedOn w:val="VarsaylanParagrafYazTipi"/>
    <w:link w:val="GvdeMetni"/>
    <w:rsid w:val="001D08A5"/>
    <w:rPr>
      <w:rFonts w:ascii="Times New Roman" w:eastAsia="Times New Roman" w:hAnsi="Times New Roman" w:cs="Times New Roman"/>
      <w:sz w:val="24"/>
      <w:szCs w:val="24"/>
      <w:lang w:eastAsia="tr-TR"/>
    </w:rPr>
  </w:style>
  <w:style w:type="paragraph" w:styleId="KonuBal">
    <w:name w:val="Title"/>
    <w:basedOn w:val="Normal"/>
    <w:link w:val="KonuBalChar"/>
    <w:qFormat/>
    <w:rsid w:val="001D08A5"/>
    <w:pPr>
      <w:jc w:val="center"/>
    </w:pPr>
    <w:rPr>
      <w:b/>
      <w:bCs/>
      <w:lang w:eastAsia="tr-TR"/>
    </w:rPr>
  </w:style>
  <w:style w:type="character" w:customStyle="1" w:styleId="KonuBalChar">
    <w:name w:val="Konu Başlığı Char"/>
    <w:basedOn w:val="VarsaylanParagrafYazTipi"/>
    <w:link w:val="KonuBal"/>
    <w:rsid w:val="001D08A5"/>
    <w:rPr>
      <w:rFonts w:ascii="Times New Roman" w:eastAsia="Times New Roman" w:hAnsi="Times New Roman" w:cs="Times New Roman"/>
      <w:b/>
      <w:bCs/>
      <w:sz w:val="24"/>
      <w:szCs w:val="24"/>
      <w:lang w:eastAsia="tr-TR"/>
    </w:rPr>
  </w:style>
  <w:style w:type="paragraph" w:styleId="GvdeMetniGirintisi2">
    <w:name w:val="Body Text Indent 2"/>
    <w:basedOn w:val="Normal"/>
    <w:link w:val="GvdeMetniGirintisi2Char"/>
    <w:rsid w:val="001D08A5"/>
    <w:pPr>
      <w:ind w:firstLine="540"/>
      <w:jc w:val="both"/>
    </w:pPr>
    <w:rPr>
      <w:sz w:val="26"/>
      <w:szCs w:val="20"/>
      <w:lang w:eastAsia="tr-TR"/>
    </w:rPr>
  </w:style>
  <w:style w:type="character" w:customStyle="1" w:styleId="GvdeMetniGirintisi2Char">
    <w:name w:val="Gövde Metni Girintisi 2 Char"/>
    <w:basedOn w:val="VarsaylanParagrafYazTipi"/>
    <w:link w:val="GvdeMetniGirintisi2"/>
    <w:rsid w:val="001D08A5"/>
    <w:rPr>
      <w:rFonts w:ascii="Times New Roman" w:eastAsia="Times New Roman" w:hAnsi="Times New Roman" w:cs="Times New Roman"/>
      <w:sz w:val="26"/>
      <w:szCs w:val="20"/>
      <w:lang w:eastAsia="tr-TR"/>
    </w:rPr>
  </w:style>
  <w:style w:type="paragraph" w:styleId="ListeParagraf">
    <w:name w:val="List Paragraph"/>
    <w:basedOn w:val="Normal"/>
    <w:uiPriority w:val="34"/>
    <w:qFormat/>
    <w:rsid w:val="001D08A5"/>
    <w:pPr>
      <w:ind w:left="708"/>
    </w:pPr>
  </w:style>
  <w:style w:type="paragraph" w:styleId="BalonMetni">
    <w:name w:val="Balloon Text"/>
    <w:basedOn w:val="Normal"/>
    <w:link w:val="BalonMetniChar"/>
    <w:uiPriority w:val="99"/>
    <w:semiHidden/>
    <w:unhideWhenUsed/>
    <w:rsid w:val="00E71C58"/>
    <w:rPr>
      <w:rFonts w:ascii="Tahoma" w:hAnsi="Tahoma" w:cs="Tahoma"/>
      <w:sz w:val="16"/>
      <w:szCs w:val="16"/>
    </w:rPr>
  </w:style>
  <w:style w:type="character" w:customStyle="1" w:styleId="BalonMetniChar">
    <w:name w:val="Balon Metni Char"/>
    <w:basedOn w:val="VarsaylanParagrafYazTipi"/>
    <w:link w:val="BalonMetni"/>
    <w:uiPriority w:val="99"/>
    <w:semiHidden/>
    <w:rsid w:val="00E71C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968</Words>
  <Characters>5522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Kayabınar</dc:creator>
  <cp:lastModifiedBy>tahsin elma</cp:lastModifiedBy>
  <cp:revision>3</cp:revision>
  <cp:lastPrinted>2014-04-07T13:57:00Z</cp:lastPrinted>
  <dcterms:created xsi:type="dcterms:W3CDTF">2014-04-08T05:23:00Z</dcterms:created>
  <dcterms:modified xsi:type="dcterms:W3CDTF">2014-04-08T05:54:00Z</dcterms:modified>
</cp:coreProperties>
</file>