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82" w:rsidRPr="00C1692D" w:rsidRDefault="00F44B82" w:rsidP="00F44B82">
      <w:pPr>
        <w:pStyle w:val="Balk3"/>
        <w:ind w:left="567"/>
        <w:jc w:val="both"/>
        <w:rPr>
          <w:b/>
          <w:bCs/>
          <w:iCs/>
          <w:color w:val="00B050"/>
          <w:lang w:eastAsia="tr-TR"/>
        </w:rPr>
      </w:pPr>
      <w:bookmarkStart w:id="0" w:name="_Toc484706456"/>
      <w:bookmarkStart w:id="1" w:name="_Toc15986019"/>
      <w:bookmarkStart w:id="2" w:name="_Toc190681985"/>
      <w:r w:rsidRPr="00C1692D">
        <w:rPr>
          <w:b/>
          <w:bCs/>
          <w:color w:val="00B050"/>
        </w:rPr>
        <w:t xml:space="preserve">B.6.2. </w:t>
      </w:r>
      <w:r w:rsidRPr="00C1692D">
        <w:rPr>
          <w:b/>
          <w:color w:val="00B050"/>
        </w:rPr>
        <w:t>Organize Sanayi Bölgeleri ve Münferit Sanayiler Atıksu Altyapı Tesisleri</w:t>
      </w:r>
      <w:bookmarkEnd w:id="0"/>
      <w:bookmarkEnd w:id="1"/>
      <w:bookmarkEnd w:id="2"/>
    </w:p>
    <w:p w:rsidR="00F44B82" w:rsidRPr="000C4515" w:rsidRDefault="00F44B82" w:rsidP="00F44B8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tr-TR"/>
        </w:rPr>
      </w:pPr>
    </w:p>
    <w:p w:rsidR="00F44B82" w:rsidRPr="00255433" w:rsidRDefault="00F44B82" w:rsidP="00F44B82">
      <w:pPr>
        <w:pStyle w:val="AklamaMetni"/>
        <w:jc w:val="both"/>
        <w:rPr>
          <w:sz w:val="24"/>
          <w:szCs w:val="24"/>
        </w:rPr>
      </w:pPr>
      <w:r>
        <w:rPr>
          <w:sz w:val="24"/>
          <w:szCs w:val="24"/>
        </w:rPr>
        <w:t>Organize Sanayi Bölgelerinin (</w:t>
      </w:r>
      <w:r w:rsidRPr="00255433">
        <w:rPr>
          <w:sz w:val="24"/>
          <w:szCs w:val="24"/>
        </w:rPr>
        <w:t>OSB</w:t>
      </w:r>
      <w:r>
        <w:rPr>
          <w:sz w:val="24"/>
          <w:szCs w:val="24"/>
        </w:rPr>
        <w:t>)</w:t>
      </w:r>
      <w:r w:rsidRPr="00255433">
        <w:rPr>
          <w:sz w:val="24"/>
          <w:szCs w:val="24"/>
        </w:rPr>
        <w:t xml:space="preserve"> hem çalışmakta olan hem de inşaat ya da proje aşamasında olan atıksu arıtma tesisleri ile ilgili bilgiler verilerek </w:t>
      </w:r>
      <w:r w:rsidRPr="001120D4">
        <w:rPr>
          <w:sz w:val="24"/>
          <w:szCs w:val="24"/>
        </w:rPr>
        <w:t>aşağıdaki çizelge</w:t>
      </w:r>
      <w:r>
        <w:rPr>
          <w:sz w:val="24"/>
          <w:szCs w:val="24"/>
        </w:rPr>
        <w:t xml:space="preserve"> </w:t>
      </w:r>
      <w:r w:rsidRPr="00255433">
        <w:rPr>
          <w:sz w:val="24"/>
          <w:szCs w:val="24"/>
        </w:rPr>
        <w:t xml:space="preserve">hazırlanmalıdır. Ayrıca, OSB’lerin atıksu arıtma tesisinden çıkan arıtma çamurunun analizi de </w:t>
      </w:r>
      <w:r>
        <w:rPr>
          <w:sz w:val="24"/>
          <w:szCs w:val="24"/>
        </w:rPr>
        <w:t>(</w:t>
      </w:r>
      <w:r w:rsidRPr="00B076C6">
        <w:rPr>
          <w:sz w:val="24"/>
          <w:szCs w:val="24"/>
        </w:rPr>
        <w:t xml:space="preserve">Hangi mevzuata göre hangi analizlerin kastedildiği belirtilmelidir.) </w:t>
      </w:r>
      <w:r w:rsidRPr="00255433">
        <w:rPr>
          <w:sz w:val="24"/>
          <w:szCs w:val="24"/>
        </w:rPr>
        <w:t>verilmelidir.</w:t>
      </w:r>
    </w:p>
    <w:p w:rsidR="00F44B82" w:rsidRPr="00255433" w:rsidRDefault="00F44B82" w:rsidP="00F4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F44B82" w:rsidRPr="0026359E" w:rsidRDefault="00F44B82" w:rsidP="00F44B82">
      <w:pPr>
        <w:pStyle w:val="ResimYazs"/>
        <w:rPr>
          <w:sz w:val="24"/>
          <w:szCs w:val="24"/>
        </w:rPr>
      </w:pPr>
      <w:bookmarkStart w:id="3" w:name="_Toc536018657"/>
      <w:bookmarkStart w:id="4" w:name="_Toc15986163"/>
      <w:bookmarkStart w:id="5" w:name="_Toc127435009"/>
      <w:bookmarkStart w:id="6" w:name="_Toc190682074"/>
      <w:r w:rsidRPr="0026359E">
        <w:rPr>
          <w:sz w:val="24"/>
          <w:szCs w:val="24"/>
        </w:rPr>
        <w:t xml:space="preserve">Çizelge </w:t>
      </w:r>
      <w:r w:rsidRPr="0026359E">
        <w:rPr>
          <w:sz w:val="24"/>
          <w:szCs w:val="24"/>
        </w:rPr>
        <w:fldChar w:fldCharType="begin"/>
      </w:r>
      <w:r w:rsidRPr="0026359E">
        <w:rPr>
          <w:sz w:val="24"/>
          <w:szCs w:val="24"/>
        </w:rPr>
        <w:instrText xml:space="preserve"> SEQ Çizelge \* ARABIC </w:instrText>
      </w:r>
      <w:r w:rsidRPr="0026359E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</w:t>
      </w:r>
      <w:r w:rsidRPr="0026359E">
        <w:rPr>
          <w:sz w:val="24"/>
          <w:szCs w:val="24"/>
        </w:rPr>
        <w:fldChar w:fldCharType="end"/>
      </w:r>
      <w:r w:rsidRPr="0026359E">
        <w:rPr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……….</w:t>
      </w:r>
      <w:proofErr w:type="gramEnd"/>
      <w:r w:rsidRPr="0026359E">
        <w:rPr>
          <w:sz w:val="24"/>
          <w:szCs w:val="24"/>
        </w:rPr>
        <w:t>yılı OSB</w:t>
      </w:r>
      <w:r>
        <w:rPr>
          <w:sz w:val="24"/>
          <w:szCs w:val="24"/>
        </w:rPr>
        <w:t>, Serbest Bölgeler ve Sanayi Site</w:t>
      </w:r>
      <w:r w:rsidRPr="0026359E">
        <w:rPr>
          <w:sz w:val="24"/>
          <w:szCs w:val="24"/>
        </w:rPr>
        <w:t>ler</w:t>
      </w:r>
      <w:r>
        <w:rPr>
          <w:sz w:val="24"/>
          <w:szCs w:val="24"/>
        </w:rPr>
        <w:t>in</w:t>
      </w:r>
      <w:r w:rsidRPr="0026359E">
        <w:rPr>
          <w:sz w:val="24"/>
          <w:szCs w:val="24"/>
        </w:rPr>
        <w:t>de atıksu arıtma tesislerinin</w:t>
      </w:r>
      <w:r>
        <w:rPr>
          <w:sz w:val="24"/>
          <w:szCs w:val="24"/>
        </w:rPr>
        <w:t xml:space="preserve"> (AAT) </w:t>
      </w:r>
      <w:r w:rsidRPr="0026359E">
        <w:rPr>
          <w:sz w:val="24"/>
          <w:szCs w:val="24"/>
        </w:rPr>
        <w:t xml:space="preserve"> durumu</w:t>
      </w:r>
      <w:bookmarkEnd w:id="3"/>
      <w:bookmarkEnd w:id="4"/>
      <w:bookmarkEnd w:id="5"/>
      <w:bookmarkEnd w:id="6"/>
    </w:p>
    <w:p w:rsidR="00F44B82" w:rsidRPr="00454A8B" w:rsidRDefault="00F44B82" w:rsidP="00F44B82">
      <w:pPr>
        <w:spacing w:after="0" w:line="240" w:lineRule="auto"/>
        <w:rPr>
          <w:rFonts w:ascii="Times New Roman" w:hAnsi="Times New Roman"/>
        </w:rPr>
      </w:pPr>
      <w:r w:rsidRPr="00454A8B">
        <w:rPr>
          <w:rFonts w:ascii="Times New Roman" w:hAnsi="Times New Roman"/>
        </w:rPr>
        <w:t>(Kaynak, yıl)</w:t>
      </w:r>
    </w:p>
    <w:tbl>
      <w:tblPr>
        <w:tblStyle w:val="TabloKlavuzu2"/>
        <w:tblW w:w="5000" w:type="pct"/>
        <w:tblLook w:val="04A0" w:firstRow="1" w:lastRow="0" w:firstColumn="1" w:lastColumn="0" w:noHBand="0" w:noVBand="1"/>
      </w:tblPr>
      <w:tblGrid>
        <w:gridCol w:w="1477"/>
        <w:gridCol w:w="1097"/>
        <w:gridCol w:w="1493"/>
        <w:gridCol w:w="1229"/>
        <w:gridCol w:w="1229"/>
        <w:gridCol w:w="1343"/>
        <w:gridCol w:w="1194"/>
      </w:tblGrid>
      <w:tr w:rsidR="00F44B82" w:rsidRPr="004D7C9B" w:rsidTr="00022A99">
        <w:tc>
          <w:tcPr>
            <w:tcW w:w="81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D7C9B">
              <w:rPr>
                <w:b/>
                <w:bCs/>
                <w:color w:val="000000" w:themeColor="text1"/>
                <w:szCs w:val="18"/>
              </w:rPr>
              <w:t>OSB</w:t>
            </w:r>
            <w:r>
              <w:rPr>
                <w:b/>
                <w:bCs/>
                <w:color w:val="000000" w:themeColor="text1"/>
                <w:szCs w:val="18"/>
              </w:rPr>
              <w:t>/Serbest Bölge/Sanayi Sitesi</w:t>
            </w:r>
            <w:r w:rsidRPr="004D7C9B">
              <w:rPr>
                <w:b/>
                <w:bCs/>
                <w:color w:val="000000" w:themeColor="text1"/>
                <w:szCs w:val="18"/>
              </w:rPr>
              <w:t xml:space="preserve"> Adı</w:t>
            </w:r>
          </w:p>
        </w:tc>
        <w:tc>
          <w:tcPr>
            <w:tcW w:w="60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D7C9B">
              <w:rPr>
                <w:b/>
                <w:bCs/>
                <w:color w:val="000000" w:themeColor="text1"/>
                <w:szCs w:val="18"/>
              </w:rPr>
              <w:t>Mevcut Durumu</w:t>
            </w:r>
          </w:p>
        </w:tc>
        <w:tc>
          <w:tcPr>
            <w:tcW w:w="824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D7C9B">
              <w:rPr>
                <w:b/>
                <w:bCs/>
                <w:color w:val="000000" w:themeColor="text1"/>
                <w:szCs w:val="18"/>
              </w:rPr>
              <w:t>Kapasitesi</w:t>
            </w:r>
          </w:p>
          <w:p w:rsidR="00F44B82" w:rsidRPr="004D7C9B" w:rsidRDefault="00F44B82" w:rsidP="00022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D7C9B">
              <w:rPr>
                <w:b/>
                <w:bCs/>
                <w:color w:val="000000" w:themeColor="text1"/>
                <w:szCs w:val="18"/>
              </w:rPr>
              <w:t>(ton/gün)</w:t>
            </w: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D7C9B">
              <w:rPr>
                <w:b/>
                <w:bCs/>
                <w:color w:val="000000" w:themeColor="text1"/>
                <w:szCs w:val="18"/>
              </w:rPr>
              <w:t>SAİS Kabini Durumu</w:t>
            </w:r>
          </w:p>
          <w:p w:rsidR="00F44B82" w:rsidRPr="004D7C9B" w:rsidRDefault="00F44B82" w:rsidP="00022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D7C9B">
              <w:rPr>
                <w:b/>
                <w:bCs/>
                <w:color w:val="000000" w:themeColor="text1"/>
                <w:szCs w:val="18"/>
              </w:rPr>
              <w:t>(var/yok)</w:t>
            </w: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D7C9B">
              <w:rPr>
                <w:b/>
                <w:bCs/>
                <w:color w:val="000000" w:themeColor="text1"/>
                <w:szCs w:val="18"/>
              </w:rPr>
              <w:t>AAT Türü</w:t>
            </w:r>
          </w:p>
        </w:tc>
        <w:tc>
          <w:tcPr>
            <w:tcW w:w="741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D7C9B">
              <w:rPr>
                <w:b/>
                <w:bCs/>
                <w:color w:val="000000" w:themeColor="text1"/>
                <w:szCs w:val="18"/>
              </w:rPr>
              <w:t>AAT Çamuru Miktarı (ton/gün)</w:t>
            </w:r>
          </w:p>
        </w:tc>
        <w:tc>
          <w:tcPr>
            <w:tcW w:w="659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D7C9B">
              <w:rPr>
                <w:b/>
                <w:bCs/>
                <w:color w:val="000000" w:themeColor="text1"/>
                <w:szCs w:val="18"/>
              </w:rPr>
              <w:t xml:space="preserve">Deşarj Ortamı </w:t>
            </w:r>
          </w:p>
        </w:tc>
      </w:tr>
      <w:tr w:rsidR="00F44B82" w:rsidRPr="004D7C9B" w:rsidTr="00022A99">
        <w:tc>
          <w:tcPr>
            <w:tcW w:w="81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0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24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41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F44B82" w:rsidRPr="004D7C9B" w:rsidTr="00022A99">
        <w:tc>
          <w:tcPr>
            <w:tcW w:w="81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0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24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41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F44B82" w:rsidRPr="004D7C9B" w:rsidTr="00022A99">
        <w:tc>
          <w:tcPr>
            <w:tcW w:w="81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0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24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41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F44B82" w:rsidRPr="004D7C9B" w:rsidTr="00022A99">
        <w:tc>
          <w:tcPr>
            <w:tcW w:w="81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05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24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78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41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F44B82" w:rsidRPr="004D7C9B" w:rsidRDefault="00F44B82" w:rsidP="00022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F44B82" w:rsidRPr="004D7C9B" w:rsidRDefault="00F44B82" w:rsidP="00F44B8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"/>
          <w:szCs w:val="2"/>
          <w:u w:val="single"/>
        </w:rPr>
      </w:pPr>
    </w:p>
    <w:p w:rsidR="00F44B82" w:rsidRPr="004D7C9B" w:rsidRDefault="00F44B82" w:rsidP="00F44B82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"/>
          <w:szCs w:val="2"/>
          <w:u w:val="single"/>
        </w:rPr>
      </w:pPr>
    </w:p>
    <w:p w:rsidR="00F44B82" w:rsidRPr="004D7C9B" w:rsidRDefault="00F44B82" w:rsidP="00F44B82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"/>
          <w:szCs w:val="2"/>
          <w:u w:val="single"/>
        </w:rPr>
      </w:pPr>
    </w:p>
    <w:p w:rsidR="00F44B82" w:rsidRPr="00B02523" w:rsidRDefault="00F44B82" w:rsidP="00F44B8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B02523">
        <w:rPr>
          <w:rFonts w:ascii="Times New Roman" w:hAnsi="Times New Roman"/>
          <w:bCs/>
          <w:color w:val="000000" w:themeColor="text1"/>
        </w:rPr>
        <w:t>*22.03.2015 tarih ve 29303 sayılı Resmi Gazetede yayımlanarak yürürlüğe giren “Sürekli Atıksu İzleme Sistemleri (SAİS) Tebliği” kapsamında ülke genelinde kurulu kapasitesi 5.000 m</w:t>
      </w:r>
      <w:r w:rsidRPr="00B02523">
        <w:rPr>
          <w:rFonts w:ascii="Times New Roman" w:hAnsi="Times New Roman"/>
          <w:bCs/>
          <w:color w:val="000000" w:themeColor="text1"/>
          <w:vertAlign w:val="superscript"/>
        </w:rPr>
        <w:t>3</w:t>
      </w:r>
      <w:r w:rsidRPr="00B02523">
        <w:rPr>
          <w:rFonts w:ascii="Times New Roman" w:hAnsi="Times New Roman"/>
          <w:bCs/>
          <w:color w:val="000000" w:themeColor="text1"/>
        </w:rPr>
        <w:t xml:space="preserve">/gün ve üzerinde olan atıksu arıtma tesisinin çıkış sularında debi, </w:t>
      </w:r>
      <w:proofErr w:type="spellStart"/>
      <w:r w:rsidRPr="00B02523">
        <w:rPr>
          <w:rFonts w:ascii="Times New Roman" w:hAnsi="Times New Roman"/>
          <w:bCs/>
          <w:color w:val="000000" w:themeColor="text1"/>
        </w:rPr>
        <w:t>pH</w:t>
      </w:r>
      <w:proofErr w:type="spellEnd"/>
      <w:r w:rsidRPr="00B02523">
        <w:rPr>
          <w:rFonts w:ascii="Times New Roman" w:hAnsi="Times New Roman"/>
          <w:bCs/>
          <w:color w:val="000000" w:themeColor="text1"/>
        </w:rPr>
        <w:t xml:space="preserve">, İletkenlik, Çözünmüş Oksijen, Sıcaklık ve KOİ (Kimyasal Oksijen İhtiyacı)  ile AKM (Askıda Katı Madde) parametreleri 7/24 </w:t>
      </w:r>
      <w:proofErr w:type="gramStart"/>
      <w:r w:rsidRPr="00B02523">
        <w:rPr>
          <w:rFonts w:ascii="Times New Roman" w:hAnsi="Times New Roman"/>
          <w:bCs/>
          <w:color w:val="000000" w:themeColor="text1"/>
        </w:rPr>
        <w:t>online</w:t>
      </w:r>
      <w:proofErr w:type="gramEnd"/>
      <w:r w:rsidRPr="00B02523">
        <w:rPr>
          <w:rFonts w:ascii="Times New Roman" w:hAnsi="Times New Roman"/>
          <w:bCs/>
          <w:color w:val="000000" w:themeColor="text1"/>
        </w:rPr>
        <w:t xml:space="preserve"> izlenmektedir. Bu sayede tesislerin </w:t>
      </w:r>
      <w:proofErr w:type="spellStart"/>
      <w:r w:rsidRPr="00B02523">
        <w:rPr>
          <w:rFonts w:ascii="Times New Roman" w:hAnsi="Times New Roman"/>
          <w:bCs/>
          <w:color w:val="000000" w:themeColor="text1"/>
        </w:rPr>
        <w:t>atıksularını</w:t>
      </w:r>
      <w:proofErr w:type="spellEnd"/>
      <w:r w:rsidRPr="00B02523">
        <w:rPr>
          <w:rFonts w:ascii="Times New Roman" w:hAnsi="Times New Roman"/>
          <w:bCs/>
          <w:color w:val="000000" w:themeColor="text1"/>
        </w:rPr>
        <w:t xml:space="preserve"> arıtmadan su kaynaklarımıza deşarj etmeleri engellenmektedir. </w:t>
      </w:r>
    </w:p>
    <w:p w:rsidR="00F44B82" w:rsidRPr="002672CC" w:rsidRDefault="00F44B82" w:rsidP="00F44B8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44B82" w:rsidRPr="002672CC" w:rsidRDefault="00F44B82" w:rsidP="00F4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0"/>
          <w:lang w:eastAsia="tr-TR"/>
        </w:rPr>
      </w:pPr>
      <w:r w:rsidRPr="002672CC">
        <w:rPr>
          <w:rFonts w:ascii="Times New Roman" w:hAnsi="Times New Roman"/>
          <w:i/>
          <w:color w:val="808080" w:themeColor="background1" w:themeShade="80"/>
          <w:sz w:val="24"/>
          <w:szCs w:val="20"/>
          <w:lang w:eastAsia="tr-TR"/>
        </w:rPr>
        <w:t xml:space="preserve">Çizelge bilgileri </w:t>
      </w:r>
      <w:r w:rsidRPr="002672CC">
        <w:rPr>
          <w:rFonts w:ascii="Times New Roman" w:hAnsi="Times New Roman"/>
          <w:i/>
          <w:iCs/>
          <w:color w:val="808080" w:themeColor="background1" w:themeShade="80"/>
          <w:sz w:val="24"/>
          <w:szCs w:val="20"/>
          <w:lang w:eastAsia="tr-TR"/>
        </w:rPr>
        <w:t>Çevre, Şehircilik ve İklim Değişikliği İl Müdürlüklerimiz tarafından ÇED, İzin ve Denetim Genel Müdürlüğü Laboratuvar, Ölçüm ve İzleme Dairesi Başkanlığı’nca oluşturulan Sürekli İzleme Merkezinden (</w:t>
      </w:r>
      <w:r w:rsidRPr="002672CC">
        <w:rPr>
          <w:rFonts w:ascii="Times New Roman" w:hAnsi="Times New Roman"/>
          <w:color w:val="000000" w:themeColor="text1"/>
          <w:sz w:val="24"/>
          <w:szCs w:val="20"/>
          <w:lang w:eastAsia="tr-TR"/>
        </w:rPr>
        <w:t xml:space="preserve">- </w:t>
      </w:r>
      <w:hyperlink r:id="rId4" w:history="1">
        <w:r w:rsidRPr="002672CC">
          <w:rPr>
            <w:rFonts w:ascii="Times New Roman" w:hAnsi="Times New Roman"/>
            <w:color w:val="0000FF"/>
            <w:sz w:val="24"/>
            <w:szCs w:val="20"/>
            <w:u w:val="single"/>
            <w:lang w:eastAsia="tr-TR"/>
          </w:rPr>
          <w:t>https://sim.csb.gov.tr/</w:t>
        </w:r>
      </w:hyperlink>
      <w:r w:rsidRPr="002672CC">
        <w:rPr>
          <w:rFonts w:ascii="Times New Roman" w:hAnsi="Times New Roman"/>
          <w:color w:val="000000" w:themeColor="text1"/>
          <w:sz w:val="24"/>
          <w:szCs w:val="20"/>
          <w:lang w:eastAsia="tr-TR"/>
        </w:rPr>
        <w:t xml:space="preserve">) </w:t>
      </w:r>
      <w:r w:rsidRPr="002672CC">
        <w:rPr>
          <w:rFonts w:ascii="Times New Roman" w:hAnsi="Times New Roman"/>
          <w:i/>
          <w:iCs/>
          <w:color w:val="808080" w:themeColor="background1" w:themeShade="80"/>
          <w:sz w:val="24"/>
          <w:szCs w:val="20"/>
          <w:lang w:eastAsia="tr-TR"/>
        </w:rPr>
        <w:t>elde edilebilir.</w:t>
      </w:r>
    </w:p>
    <w:p w:rsidR="00F44B82" w:rsidRPr="002672CC" w:rsidRDefault="00F44B82" w:rsidP="00F44B8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i/>
          <w:color w:val="808080" w:themeColor="background1" w:themeShade="80"/>
          <w:sz w:val="24"/>
          <w:szCs w:val="24"/>
        </w:rPr>
      </w:pPr>
    </w:p>
    <w:p w:rsidR="00F44B82" w:rsidRPr="009337D0" w:rsidRDefault="00F44B82" w:rsidP="00F44B8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i/>
          <w:color w:val="808080" w:themeColor="background1" w:themeShade="80"/>
          <w:sz w:val="24"/>
          <w:szCs w:val="24"/>
        </w:rPr>
      </w:pPr>
      <w:r w:rsidRPr="002672CC">
        <w:rPr>
          <w:rFonts w:ascii="Times New Roman" w:hAnsi="Times New Roman"/>
          <w:bCs/>
          <w:i/>
          <w:color w:val="808080" w:themeColor="background1" w:themeShade="80"/>
          <w:sz w:val="24"/>
          <w:szCs w:val="24"/>
        </w:rPr>
        <w:t>Münferit atık su arıtma tesisi ile ilgili bilgi verilecekse sanayinin</w:t>
      </w:r>
      <w:r w:rsidRPr="009337D0">
        <w:rPr>
          <w:rFonts w:ascii="Times New Roman" w:hAnsi="Times New Roman"/>
          <w:bCs/>
          <w:i/>
          <w:color w:val="808080" w:themeColor="background1" w:themeShade="80"/>
          <w:sz w:val="24"/>
          <w:szCs w:val="24"/>
        </w:rPr>
        <w:t xml:space="preserve">/faaliyetin isimlerinin verilmesi yerine “İlde 200 adet münferit tesiste 155 adet atık su arıtma tesisi vardır” şeklinde ifade ile bilgilendirme yapılabilir.  </w:t>
      </w:r>
    </w:p>
    <w:p w:rsidR="00F44B82" w:rsidRDefault="00F44B82" w:rsidP="00F44B8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4B82" w:rsidRDefault="00F44B82" w:rsidP="00F44B82">
      <w:pPr>
        <w:pStyle w:val="ResimYazs"/>
        <w:jc w:val="both"/>
        <w:rPr>
          <w:bCs w:val="0"/>
          <w:sz w:val="24"/>
          <w:szCs w:val="24"/>
        </w:rPr>
      </w:pPr>
      <w:bookmarkStart w:id="7" w:name="_Toc127435010"/>
      <w:bookmarkStart w:id="8" w:name="_Toc190682075"/>
      <w:r w:rsidRPr="001501E5">
        <w:rPr>
          <w:sz w:val="24"/>
          <w:szCs w:val="24"/>
        </w:rPr>
        <w:t xml:space="preserve">Çizelge </w:t>
      </w:r>
      <w:r w:rsidRPr="001501E5">
        <w:rPr>
          <w:sz w:val="24"/>
          <w:szCs w:val="24"/>
        </w:rPr>
        <w:fldChar w:fldCharType="begin"/>
      </w:r>
      <w:r w:rsidRPr="001501E5">
        <w:rPr>
          <w:sz w:val="24"/>
          <w:szCs w:val="24"/>
        </w:rPr>
        <w:instrText xml:space="preserve"> SEQ Çizelge \* ARABIC </w:instrText>
      </w:r>
      <w:r w:rsidRPr="001501E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21</w:t>
      </w:r>
      <w:r w:rsidRPr="001501E5">
        <w:rPr>
          <w:sz w:val="24"/>
          <w:szCs w:val="24"/>
        </w:rPr>
        <w:fldChar w:fldCharType="end"/>
      </w:r>
      <w:r w:rsidRPr="001501E5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</w:t>
      </w:r>
      <w:proofErr w:type="gramStart"/>
      <w:r>
        <w:rPr>
          <w:bCs w:val="0"/>
          <w:sz w:val="24"/>
          <w:szCs w:val="24"/>
        </w:rPr>
        <w:t>……….</w:t>
      </w:r>
      <w:proofErr w:type="gramEnd"/>
      <w:r w:rsidRPr="001501E5">
        <w:rPr>
          <w:bCs w:val="0"/>
          <w:sz w:val="24"/>
          <w:szCs w:val="24"/>
        </w:rPr>
        <w:t>yılı itibariyle münferit sanayiye ait atıksu arıtma tesisi</w:t>
      </w:r>
      <w:r>
        <w:rPr>
          <w:bCs w:val="0"/>
          <w:sz w:val="24"/>
          <w:szCs w:val="24"/>
        </w:rPr>
        <w:t xml:space="preserve"> (AAT) sayısı</w:t>
      </w:r>
      <w:bookmarkEnd w:id="7"/>
      <w:bookmarkEnd w:id="8"/>
    </w:p>
    <w:p w:rsidR="00F44B82" w:rsidRDefault="00F44B82" w:rsidP="00F44B8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(Kaynak, yıl)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7"/>
        <w:gridCol w:w="2181"/>
        <w:gridCol w:w="2694"/>
      </w:tblGrid>
      <w:tr w:rsidR="00F44B82" w:rsidRPr="00407D78" w:rsidTr="00022A99">
        <w:trPr>
          <w:trHeight w:val="255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/>
                <w:bCs/>
                <w:sz w:val="24"/>
                <w:szCs w:val="24"/>
              </w:rPr>
              <w:t>Tesis Statüsü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/>
                <w:bCs/>
                <w:sz w:val="24"/>
                <w:szCs w:val="24"/>
              </w:rPr>
              <w:t>Toplam Tesis Sayısı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7D78">
              <w:rPr>
                <w:rFonts w:ascii="Times New Roman" w:hAnsi="Times New Roman"/>
                <w:b/>
                <w:bCs/>
                <w:sz w:val="24"/>
                <w:szCs w:val="24"/>
              </w:rPr>
              <w:t>AAT’si</w:t>
            </w:r>
            <w:proofErr w:type="spellEnd"/>
            <w:r w:rsidRPr="00407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Olan Tesis Sayısı</w:t>
            </w:r>
          </w:p>
        </w:tc>
      </w:tr>
      <w:tr w:rsidR="00F44B82" w:rsidRPr="00407D78" w:rsidTr="00022A99">
        <w:trPr>
          <w:trHeight w:val="255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Üretim Sektörü/Sanayi Tesisi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F44B82" w:rsidRPr="00407D78" w:rsidTr="00022A99">
        <w:trPr>
          <w:trHeight w:val="255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Turizm Tesisi veya Site Yönetimi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F44B82" w:rsidRPr="00407D78" w:rsidTr="00022A99">
        <w:trPr>
          <w:trHeight w:val="255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Diğer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82" w:rsidRPr="00407D78" w:rsidRDefault="00F44B82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</w:tbl>
    <w:p w:rsidR="00F44B82" w:rsidRPr="007C4189" w:rsidRDefault="00F44B82" w:rsidP="00F44B8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0B00" w:rsidRDefault="00C20B00"/>
    <w:p w:rsidR="00AE160C" w:rsidRDefault="00AE160C"/>
    <w:p w:rsidR="00AE160C" w:rsidRPr="0090258F" w:rsidRDefault="00AE160C" w:rsidP="00AE160C">
      <w:pPr>
        <w:pStyle w:val="Balk3"/>
        <w:ind w:left="567"/>
        <w:rPr>
          <w:b/>
          <w:color w:val="00B050"/>
          <w:lang w:eastAsia="tr-TR"/>
        </w:rPr>
      </w:pPr>
      <w:bookmarkStart w:id="9" w:name="_Toc484706479"/>
      <w:bookmarkStart w:id="10" w:name="_Toc22716500"/>
      <w:bookmarkStart w:id="11" w:name="_Toc190682012"/>
      <w:r w:rsidRPr="0090258F">
        <w:rPr>
          <w:b/>
          <w:color w:val="00B050"/>
          <w:lang w:eastAsia="tr-TR"/>
        </w:rPr>
        <w:t>C.12.3 Atıksu Arıtma Çamurları</w:t>
      </w:r>
      <w:bookmarkEnd w:id="9"/>
      <w:bookmarkEnd w:id="10"/>
      <w:bookmarkEnd w:id="11"/>
    </w:p>
    <w:p w:rsidR="00AE160C" w:rsidRPr="00391888" w:rsidRDefault="00AE160C" w:rsidP="00AE1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AE160C" w:rsidRPr="00391888" w:rsidRDefault="00AE160C" w:rsidP="00AE1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391888">
        <w:rPr>
          <w:rFonts w:ascii="Times New Roman" w:hAnsi="Times New Roman"/>
          <w:sz w:val="24"/>
          <w:szCs w:val="24"/>
          <w:lang w:eastAsia="tr-TR"/>
        </w:rPr>
        <w:t>İl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Pr="003F26BD">
        <w:rPr>
          <w:rFonts w:ascii="Times New Roman" w:hAnsi="Times New Roman"/>
          <w:sz w:val="24"/>
          <w:szCs w:val="24"/>
          <w:lang w:eastAsia="tr-TR"/>
        </w:rPr>
        <w:t>sınırları içerisin</w:t>
      </w:r>
      <w:r w:rsidRPr="00391888">
        <w:rPr>
          <w:rFonts w:ascii="Times New Roman" w:hAnsi="Times New Roman"/>
          <w:sz w:val="24"/>
          <w:szCs w:val="24"/>
          <w:lang w:eastAsia="tr-TR"/>
        </w:rPr>
        <w:t>de sanayi kuruluşları ve belediye</w:t>
      </w:r>
      <w:r>
        <w:rPr>
          <w:rFonts w:ascii="Times New Roman" w:hAnsi="Times New Roman"/>
          <w:sz w:val="24"/>
          <w:szCs w:val="24"/>
          <w:lang w:eastAsia="tr-TR"/>
        </w:rPr>
        <w:t>ler</w:t>
      </w:r>
      <w:r w:rsidRPr="00391888">
        <w:rPr>
          <w:rFonts w:ascii="Times New Roman" w:hAnsi="Times New Roman"/>
          <w:sz w:val="24"/>
          <w:szCs w:val="24"/>
          <w:lang w:eastAsia="tr-TR"/>
        </w:rPr>
        <w:t xml:space="preserve">in </w:t>
      </w:r>
      <w:r>
        <w:rPr>
          <w:rFonts w:ascii="Times New Roman" w:hAnsi="Times New Roman"/>
          <w:sz w:val="24"/>
          <w:szCs w:val="24"/>
          <w:lang w:eastAsia="tr-TR"/>
        </w:rPr>
        <w:t>OSB/</w:t>
      </w:r>
      <w:r w:rsidRPr="00391888">
        <w:rPr>
          <w:rFonts w:ascii="Times New Roman" w:hAnsi="Times New Roman"/>
          <w:sz w:val="24"/>
          <w:szCs w:val="24"/>
          <w:lang w:eastAsia="tr-TR"/>
        </w:rPr>
        <w:t xml:space="preserve">sanayi/evsel/kentsel atıksu arıtma tesislerinden kaynaklanan arıtma çamurlarından ve bunların bertaraf </w:t>
      </w:r>
      <w:r>
        <w:rPr>
          <w:rFonts w:ascii="Times New Roman" w:hAnsi="Times New Roman"/>
          <w:sz w:val="24"/>
          <w:szCs w:val="24"/>
          <w:lang w:eastAsia="tr-TR"/>
        </w:rPr>
        <w:t>yöntemlerinden söz edilmelidir.</w:t>
      </w:r>
    </w:p>
    <w:p w:rsidR="00AE160C" w:rsidRDefault="00AE160C">
      <w:bookmarkStart w:id="12" w:name="_GoBack"/>
      <w:bookmarkEnd w:id="12"/>
    </w:p>
    <w:sectPr w:rsidR="00AE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88"/>
    <w:rsid w:val="006B4CA7"/>
    <w:rsid w:val="00AE160C"/>
    <w:rsid w:val="00C20B00"/>
    <w:rsid w:val="00F31288"/>
    <w:rsid w:val="00F4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7861E"/>
  <w15:chartTrackingRefBased/>
  <w15:docId w15:val="{8734C6AF-BB06-44AF-A8AF-C907AFB6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82"/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F44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F44B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simYazs">
    <w:name w:val="caption"/>
    <w:basedOn w:val="Normal"/>
    <w:next w:val="Normal"/>
    <w:qFormat/>
    <w:rsid w:val="00F44B8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rsid w:val="00F4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4B8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2">
    <w:name w:val="Tablo Kılavuzu2"/>
    <w:basedOn w:val="NormalTablo"/>
    <w:next w:val="TabloKlavuzu"/>
    <w:uiPriority w:val="99"/>
    <w:rsid w:val="00F4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4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m.cs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İlkay Çifci</dc:creator>
  <cp:keywords/>
  <dc:description/>
  <cp:lastModifiedBy>Zeliha İlkay Çifci</cp:lastModifiedBy>
  <cp:revision>3</cp:revision>
  <dcterms:created xsi:type="dcterms:W3CDTF">2025-02-20T07:19:00Z</dcterms:created>
  <dcterms:modified xsi:type="dcterms:W3CDTF">2025-02-20T07:21:00Z</dcterms:modified>
</cp:coreProperties>
</file>