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C8B" w:rsidRPr="00DB7E02" w:rsidRDefault="00764C8B" w:rsidP="00167082">
      <w:pPr>
        <w:jc w:val="both"/>
        <w:rPr>
          <w:rFonts w:ascii="Times New Roman" w:hAnsi="Times New Roman" w:cs="Times New Roman"/>
          <w:b/>
          <w:sz w:val="24"/>
          <w:szCs w:val="24"/>
        </w:rPr>
      </w:pPr>
      <w:r w:rsidRPr="00DB7E02">
        <w:rPr>
          <w:rFonts w:ascii="Times New Roman" w:hAnsi="Times New Roman" w:cs="Times New Roman"/>
          <w:b/>
          <w:sz w:val="24"/>
          <w:szCs w:val="24"/>
        </w:rPr>
        <w:t xml:space="preserve">FAİZ DESTEĞİ: </w:t>
      </w:r>
    </w:p>
    <w:p w:rsidR="00764C8B" w:rsidRPr="00DB7E02" w:rsidRDefault="00764C8B" w:rsidP="00167082">
      <w:pPr>
        <w:jc w:val="both"/>
        <w:rPr>
          <w:rFonts w:ascii="Times New Roman" w:hAnsi="Times New Roman" w:cs="Times New Roman"/>
          <w:sz w:val="24"/>
          <w:szCs w:val="24"/>
        </w:rPr>
      </w:pPr>
      <w:r w:rsidRPr="00DB7E02">
        <w:rPr>
          <w:rFonts w:ascii="Times New Roman" w:hAnsi="Times New Roman" w:cs="Times New Roman"/>
          <w:sz w:val="24"/>
          <w:szCs w:val="24"/>
        </w:rPr>
        <w:t xml:space="preserve">6306 sayılı Kanun kapsamında, yapısı riskli olarak tespit edilen gerçek veya tüzel kişilerin bankalardan kullanacağı kredilere Bakanlığımızca faiz desteği verilmektedir. 6306 sayılı Kanunun 6 </w:t>
      </w:r>
      <w:proofErr w:type="spellStart"/>
      <w:r w:rsidRPr="00DB7E02">
        <w:rPr>
          <w:rFonts w:ascii="Times New Roman" w:hAnsi="Times New Roman" w:cs="Times New Roman"/>
          <w:sz w:val="24"/>
          <w:szCs w:val="24"/>
        </w:rPr>
        <w:t>ncı</w:t>
      </w:r>
      <w:proofErr w:type="spellEnd"/>
      <w:r w:rsidRPr="00DB7E02">
        <w:rPr>
          <w:rFonts w:ascii="Times New Roman" w:hAnsi="Times New Roman" w:cs="Times New Roman"/>
          <w:sz w:val="24"/>
          <w:szCs w:val="24"/>
        </w:rPr>
        <w:t xml:space="preserve"> maddesinin üçüncü fıkrası kapsamında konutunu ve/veya işyerini kendi </w:t>
      </w:r>
      <w:proofErr w:type="gramStart"/>
      <w:r w:rsidRPr="00DB7E02">
        <w:rPr>
          <w:rFonts w:ascii="Times New Roman" w:hAnsi="Times New Roman" w:cs="Times New Roman"/>
          <w:sz w:val="24"/>
          <w:szCs w:val="24"/>
        </w:rPr>
        <w:t>imkanları</w:t>
      </w:r>
      <w:proofErr w:type="gramEnd"/>
      <w:r w:rsidRPr="00DB7E02">
        <w:rPr>
          <w:rFonts w:ascii="Times New Roman" w:hAnsi="Times New Roman" w:cs="Times New Roman"/>
          <w:sz w:val="24"/>
          <w:szCs w:val="24"/>
        </w:rPr>
        <w:t xml:space="preserve"> ile yapmak ya da edinmek isteyenlerin, bankalardan kullanacakları kredilere sağlanacak faiz desteğine ilişkin esaslar Cumhurbaşkanlığı Kararnamesi ile belirlenmektedir. </w:t>
      </w:r>
    </w:p>
    <w:p w:rsidR="00764C8B" w:rsidRPr="00DB7E02" w:rsidRDefault="00764C8B" w:rsidP="00167082">
      <w:pPr>
        <w:jc w:val="both"/>
        <w:rPr>
          <w:rFonts w:ascii="Times New Roman" w:hAnsi="Times New Roman" w:cs="Times New Roman"/>
          <w:b/>
          <w:sz w:val="24"/>
          <w:szCs w:val="24"/>
        </w:rPr>
      </w:pPr>
      <w:r w:rsidRPr="00DB7E02">
        <w:rPr>
          <w:rFonts w:ascii="Times New Roman" w:hAnsi="Times New Roman" w:cs="Times New Roman"/>
          <w:b/>
          <w:sz w:val="24"/>
          <w:szCs w:val="24"/>
        </w:rPr>
        <w:t xml:space="preserve">FAİZ DESTEĞİ ESASLARI </w:t>
      </w:r>
    </w:p>
    <w:p w:rsidR="00764C8B" w:rsidRPr="00DB7E02" w:rsidRDefault="00764C8B" w:rsidP="00167082">
      <w:pPr>
        <w:jc w:val="both"/>
        <w:rPr>
          <w:rFonts w:ascii="Times New Roman" w:hAnsi="Times New Roman" w:cs="Times New Roman"/>
          <w:sz w:val="24"/>
          <w:szCs w:val="24"/>
        </w:rPr>
      </w:pPr>
      <w:r w:rsidRPr="00DB7E02">
        <w:rPr>
          <w:rFonts w:ascii="Times New Roman" w:hAnsi="Times New Roman" w:cs="Times New Roman"/>
          <w:sz w:val="24"/>
          <w:szCs w:val="24"/>
        </w:rPr>
        <w:t xml:space="preserve">• Bakanlık kendisine başvuran bankalarla protokol imzalar. </w:t>
      </w:r>
    </w:p>
    <w:p w:rsidR="00764C8B" w:rsidRPr="00DB7E02" w:rsidRDefault="00764C8B" w:rsidP="00167082">
      <w:pPr>
        <w:jc w:val="both"/>
        <w:rPr>
          <w:rFonts w:ascii="Times New Roman" w:hAnsi="Times New Roman" w:cs="Times New Roman"/>
          <w:sz w:val="24"/>
          <w:szCs w:val="24"/>
        </w:rPr>
      </w:pPr>
      <w:r w:rsidRPr="00DB7E02">
        <w:rPr>
          <w:rFonts w:ascii="Times New Roman" w:hAnsi="Times New Roman" w:cs="Times New Roman"/>
          <w:sz w:val="24"/>
          <w:szCs w:val="24"/>
        </w:rPr>
        <w:t xml:space="preserve">• Banka, kredi başvurularını protokol hükümleri ve bankanın kredilendirme usul, esas ve mevzuatı çerçevesinde değerlendirir. </w:t>
      </w:r>
    </w:p>
    <w:p w:rsidR="00764C8B" w:rsidRPr="00DB7E02" w:rsidRDefault="00764C8B" w:rsidP="00167082">
      <w:pPr>
        <w:jc w:val="both"/>
        <w:rPr>
          <w:rFonts w:ascii="Times New Roman" w:hAnsi="Times New Roman" w:cs="Times New Roman"/>
          <w:sz w:val="24"/>
          <w:szCs w:val="24"/>
        </w:rPr>
      </w:pPr>
      <w:r w:rsidRPr="00DB7E02">
        <w:rPr>
          <w:rFonts w:ascii="Times New Roman" w:hAnsi="Times New Roman" w:cs="Times New Roman"/>
          <w:sz w:val="24"/>
          <w:szCs w:val="24"/>
        </w:rPr>
        <w:t xml:space="preserve">• Banka kredi vermeyi uygun gördüğü hak sahiplerinin listesini Bakanlığa bildirir. Bakanlıkça başvuru 6306 sayılı Kanun kapsamında değerlendirilir. </w:t>
      </w:r>
    </w:p>
    <w:p w:rsidR="00764C8B" w:rsidRPr="00DB7E02" w:rsidRDefault="00764C8B" w:rsidP="00167082">
      <w:pPr>
        <w:jc w:val="both"/>
        <w:rPr>
          <w:rFonts w:ascii="Times New Roman" w:hAnsi="Times New Roman" w:cs="Times New Roman"/>
          <w:sz w:val="24"/>
          <w:szCs w:val="24"/>
        </w:rPr>
      </w:pPr>
      <w:r w:rsidRPr="00DB7E02">
        <w:rPr>
          <w:rFonts w:ascii="Times New Roman" w:hAnsi="Times New Roman" w:cs="Times New Roman"/>
          <w:sz w:val="24"/>
          <w:szCs w:val="24"/>
        </w:rPr>
        <w:t xml:space="preserve">• Faiz desteğinden yararlandırılacaklar Bankaya bildirilir. </w:t>
      </w:r>
    </w:p>
    <w:p w:rsidR="00764C8B" w:rsidRPr="00DB7E02" w:rsidRDefault="00764C8B" w:rsidP="00167082">
      <w:pPr>
        <w:jc w:val="both"/>
        <w:rPr>
          <w:rFonts w:ascii="Times New Roman" w:hAnsi="Times New Roman" w:cs="Times New Roman"/>
          <w:sz w:val="24"/>
          <w:szCs w:val="24"/>
        </w:rPr>
      </w:pPr>
      <w:r w:rsidRPr="00DB7E02">
        <w:rPr>
          <w:rFonts w:ascii="Times New Roman" w:hAnsi="Times New Roman" w:cs="Times New Roman"/>
          <w:sz w:val="24"/>
          <w:szCs w:val="24"/>
        </w:rPr>
        <w:t xml:space="preserve">• Faiz desteği sağlanacak krediler için bankalar tarafından talep edilecek ücret, sigorta ve benzeri giderler hak sahipleri tarafından ödenir. Faiz destekli krediler, Bakanlıkça onaylandıkları ilgili tarihte geçerli olan Bakanlar Kurulu Kararı veya Cumhurbaşkanı Kararı hükümlerine tabidir. Faiz desteği verilebilmesi için tahliye/yıkım tarihinden itibaren bir yıl içinde Bankaya başvurulmuş olması gerekir. Bu Karar kapsamında Bakanlıkça onaylanan faiz destekli kredilerin kullandırılma süresi, Bakanlık tarafından verilen faiz desteği uygunluk yazısı tarihinden itibaren iki yıldır. </w:t>
      </w:r>
    </w:p>
    <w:p w:rsidR="00764C8B" w:rsidRPr="00DB7E02" w:rsidRDefault="00764C8B" w:rsidP="00167082">
      <w:pPr>
        <w:jc w:val="both"/>
        <w:rPr>
          <w:rFonts w:ascii="Times New Roman" w:hAnsi="Times New Roman" w:cs="Times New Roman"/>
          <w:b/>
          <w:sz w:val="24"/>
          <w:szCs w:val="24"/>
        </w:rPr>
      </w:pPr>
      <w:r w:rsidRPr="00DB7E02">
        <w:rPr>
          <w:rFonts w:ascii="Times New Roman" w:hAnsi="Times New Roman" w:cs="Times New Roman"/>
          <w:b/>
          <w:sz w:val="24"/>
          <w:szCs w:val="24"/>
        </w:rPr>
        <w:t xml:space="preserve">FAİZ DESTEĞİ GERİ ÖDEMESİ </w:t>
      </w:r>
    </w:p>
    <w:p w:rsidR="00764C8B" w:rsidRPr="00DB7E02" w:rsidRDefault="00764C8B" w:rsidP="00167082">
      <w:pPr>
        <w:jc w:val="both"/>
        <w:rPr>
          <w:rFonts w:ascii="Times New Roman" w:hAnsi="Times New Roman" w:cs="Times New Roman"/>
          <w:sz w:val="24"/>
          <w:szCs w:val="24"/>
        </w:rPr>
      </w:pPr>
      <w:r w:rsidRPr="00DB7E02">
        <w:rPr>
          <w:rFonts w:ascii="Times New Roman" w:hAnsi="Times New Roman" w:cs="Times New Roman"/>
          <w:sz w:val="24"/>
          <w:szCs w:val="24"/>
        </w:rPr>
        <w:t xml:space="preserve">• Bankalar tarafından sağlanacak kredilere verilecek faiz desteği ödemeleri, Bakanlıkça belirlenerek hesaptan gerçekleştirilir. </w:t>
      </w:r>
    </w:p>
    <w:p w:rsidR="00764C8B" w:rsidRPr="00DB7E02" w:rsidRDefault="00764C8B" w:rsidP="00167082">
      <w:pPr>
        <w:jc w:val="both"/>
        <w:rPr>
          <w:rFonts w:ascii="Times New Roman" w:hAnsi="Times New Roman" w:cs="Times New Roman"/>
          <w:sz w:val="24"/>
          <w:szCs w:val="24"/>
        </w:rPr>
      </w:pPr>
      <w:r w:rsidRPr="00DB7E02">
        <w:rPr>
          <w:rFonts w:ascii="Times New Roman" w:hAnsi="Times New Roman" w:cs="Times New Roman"/>
          <w:sz w:val="24"/>
          <w:szCs w:val="24"/>
        </w:rPr>
        <w:t xml:space="preserve">• Hak sahipleri tarafından geri ödemesi gerçekleştirilmeyen krediler için faiz desteği ödemeleri durdurulur. </w:t>
      </w:r>
    </w:p>
    <w:p w:rsidR="00DB7E02" w:rsidRPr="00DB7E02" w:rsidRDefault="00764C8B" w:rsidP="00167082">
      <w:pPr>
        <w:jc w:val="both"/>
        <w:rPr>
          <w:rFonts w:ascii="Times New Roman" w:hAnsi="Times New Roman" w:cs="Times New Roman"/>
          <w:sz w:val="24"/>
          <w:szCs w:val="24"/>
        </w:rPr>
      </w:pPr>
      <w:r w:rsidRPr="00DB7E02">
        <w:rPr>
          <w:rFonts w:ascii="Times New Roman" w:hAnsi="Times New Roman" w:cs="Times New Roman"/>
          <w:sz w:val="24"/>
          <w:szCs w:val="24"/>
        </w:rPr>
        <w:t>• Hak sahiplerinin bankalar ile yapılacak olan protokoller kapsamında kullanacakları kredinin anapara riski ile faiz desteği dışında kalan faiz ödemelerinden doğan risk tamamen bankaya aittir.</w:t>
      </w:r>
    </w:p>
    <w:tbl>
      <w:tblPr>
        <w:tblStyle w:val="TabloKlavuzu"/>
        <w:tblW w:w="0" w:type="auto"/>
        <w:tblLook w:val="04A0" w:firstRow="1" w:lastRow="0" w:firstColumn="1" w:lastColumn="0" w:noHBand="0" w:noVBand="1"/>
      </w:tblPr>
      <w:tblGrid>
        <w:gridCol w:w="2263"/>
        <w:gridCol w:w="1560"/>
        <w:gridCol w:w="1559"/>
        <w:gridCol w:w="1417"/>
        <w:gridCol w:w="2263"/>
      </w:tblGrid>
      <w:tr w:rsidR="00764C8B" w:rsidTr="00167082">
        <w:trPr>
          <w:trHeight w:val="1081"/>
        </w:trPr>
        <w:tc>
          <w:tcPr>
            <w:tcW w:w="2263" w:type="dxa"/>
          </w:tcPr>
          <w:p w:rsidR="00DB7E02" w:rsidRDefault="00DB7E02">
            <w:pPr>
              <w:rPr>
                <w:rFonts w:ascii="Times New Roman" w:hAnsi="Times New Roman" w:cs="Times New Roman"/>
              </w:rPr>
            </w:pPr>
          </w:p>
          <w:p w:rsidR="00DB7E02" w:rsidRDefault="00DB7E02" w:rsidP="00DB7E02">
            <w:pPr>
              <w:rPr>
                <w:rFonts w:ascii="Times New Roman" w:hAnsi="Times New Roman" w:cs="Times New Roman"/>
              </w:rPr>
            </w:pPr>
          </w:p>
          <w:p w:rsidR="00764C8B" w:rsidRPr="00DB7E02" w:rsidRDefault="00DB7E02" w:rsidP="00DB7E02">
            <w:pPr>
              <w:rPr>
                <w:rFonts w:ascii="Times New Roman" w:hAnsi="Times New Roman" w:cs="Times New Roman"/>
              </w:rPr>
            </w:pPr>
            <w:r>
              <w:rPr>
                <w:rFonts w:ascii="Times New Roman" w:hAnsi="Times New Roman" w:cs="Times New Roman"/>
              </w:rPr>
              <w:t>Kredi Türü</w:t>
            </w:r>
          </w:p>
        </w:tc>
        <w:tc>
          <w:tcPr>
            <w:tcW w:w="1560" w:type="dxa"/>
          </w:tcPr>
          <w:p w:rsidR="00DB7E02" w:rsidRDefault="00DB7E02">
            <w:pPr>
              <w:rPr>
                <w:rFonts w:ascii="Times New Roman" w:hAnsi="Times New Roman" w:cs="Times New Roman"/>
              </w:rPr>
            </w:pPr>
          </w:p>
          <w:p w:rsidR="00764C8B" w:rsidRDefault="00DB7E02">
            <w:pPr>
              <w:rPr>
                <w:rFonts w:ascii="Times New Roman" w:hAnsi="Times New Roman" w:cs="Times New Roman"/>
              </w:rPr>
            </w:pPr>
            <w:r>
              <w:rPr>
                <w:rFonts w:ascii="Times New Roman" w:hAnsi="Times New Roman" w:cs="Times New Roman"/>
              </w:rPr>
              <w:t>Faiz Desteği</w:t>
            </w:r>
          </w:p>
          <w:p w:rsidR="00DB7E02" w:rsidRDefault="00DB7E02">
            <w:pPr>
              <w:rPr>
                <w:rFonts w:ascii="Times New Roman" w:hAnsi="Times New Roman" w:cs="Times New Roman"/>
              </w:rPr>
            </w:pPr>
            <w:r>
              <w:rPr>
                <w:rFonts w:ascii="Times New Roman" w:hAnsi="Times New Roman" w:cs="Times New Roman"/>
              </w:rPr>
              <w:t>Oranı (Yıllık)</w:t>
            </w:r>
          </w:p>
        </w:tc>
        <w:tc>
          <w:tcPr>
            <w:tcW w:w="1559" w:type="dxa"/>
          </w:tcPr>
          <w:p w:rsidR="00DB7E02" w:rsidRDefault="00DB7E02">
            <w:pPr>
              <w:rPr>
                <w:rFonts w:ascii="Times New Roman" w:hAnsi="Times New Roman" w:cs="Times New Roman"/>
              </w:rPr>
            </w:pPr>
          </w:p>
          <w:p w:rsidR="00764C8B" w:rsidRDefault="00DB7E02">
            <w:pPr>
              <w:rPr>
                <w:rFonts w:ascii="Times New Roman" w:hAnsi="Times New Roman" w:cs="Times New Roman"/>
              </w:rPr>
            </w:pPr>
            <w:r>
              <w:rPr>
                <w:rFonts w:ascii="Times New Roman" w:hAnsi="Times New Roman" w:cs="Times New Roman"/>
              </w:rPr>
              <w:t>Azami Ana Para Ödemesiz Dönem (Yıl)</w:t>
            </w:r>
          </w:p>
        </w:tc>
        <w:tc>
          <w:tcPr>
            <w:tcW w:w="1417" w:type="dxa"/>
          </w:tcPr>
          <w:p w:rsidR="00DB7E02" w:rsidRDefault="00DB7E02">
            <w:pPr>
              <w:rPr>
                <w:rFonts w:ascii="Times New Roman" w:hAnsi="Times New Roman" w:cs="Times New Roman"/>
              </w:rPr>
            </w:pPr>
          </w:p>
          <w:p w:rsidR="00764C8B" w:rsidRDefault="00DB7E02">
            <w:pPr>
              <w:rPr>
                <w:rFonts w:ascii="Times New Roman" w:hAnsi="Times New Roman" w:cs="Times New Roman"/>
              </w:rPr>
            </w:pPr>
            <w:r>
              <w:rPr>
                <w:rFonts w:ascii="Times New Roman" w:hAnsi="Times New Roman" w:cs="Times New Roman"/>
              </w:rPr>
              <w:t>Azami Vade (Yıl)</w:t>
            </w:r>
          </w:p>
        </w:tc>
        <w:tc>
          <w:tcPr>
            <w:tcW w:w="2263" w:type="dxa"/>
          </w:tcPr>
          <w:p w:rsidR="00764C8B" w:rsidRDefault="00DB7E02" w:rsidP="00DB7E02">
            <w:pPr>
              <w:rPr>
                <w:rFonts w:ascii="Times New Roman" w:hAnsi="Times New Roman" w:cs="Times New Roman"/>
              </w:rPr>
            </w:pPr>
            <w:r>
              <w:rPr>
                <w:rFonts w:ascii="Times New Roman" w:hAnsi="Times New Roman" w:cs="Times New Roman"/>
              </w:rPr>
              <w:t>Hak Sahipliği Bazında Destek Sağlanacak Kredi Anapara Tutarı için Üst Limit</w:t>
            </w:r>
          </w:p>
        </w:tc>
      </w:tr>
      <w:tr w:rsidR="00764C8B" w:rsidTr="00DB7E02">
        <w:trPr>
          <w:trHeight w:val="410"/>
        </w:trPr>
        <w:tc>
          <w:tcPr>
            <w:tcW w:w="2263" w:type="dxa"/>
          </w:tcPr>
          <w:p w:rsidR="00764C8B" w:rsidRDefault="00DB7E02">
            <w:pPr>
              <w:rPr>
                <w:rFonts w:ascii="Times New Roman" w:hAnsi="Times New Roman" w:cs="Times New Roman"/>
              </w:rPr>
            </w:pPr>
            <w:r>
              <w:rPr>
                <w:rFonts w:ascii="Times New Roman" w:hAnsi="Times New Roman" w:cs="Times New Roman"/>
              </w:rPr>
              <w:t>Güçlendirme Kredisi</w:t>
            </w:r>
          </w:p>
        </w:tc>
        <w:tc>
          <w:tcPr>
            <w:tcW w:w="1560" w:type="dxa"/>
          </w:tcPr>
          <w:p w:rsidR="00764C8B" w:rsidRDefault="00DB7E02" w:rsidP="00DB7E02">
            <w:pPr>
              <w:jc w:val="center"/>
              <w:rPr>
                <w:rFonts w:ascii="Times New Roman" w:hAnsi="Times New Roman" w:cs="Times New Roman"/>
              </w:rPr>
            </w:pPr>
            <w:r>
              <w:rPr>
                <w:rFonts w:ascii="Times New Roman" w:hAnsi="Times New Roman" w:cs="Times New Roman"/>
              </w:rPr>
              <w:t>400 Baz Puan</w:t>
            </w:r>
          </w:p>
        </w:tc>
        <w:tc>
          <w:tcPr>
            <w:tcW w:w="1559" w:type="dxa"/>
          </w:tcPr>
          <w:p w:rsidR="00764C8B" w:rsidRDefault="00DB7E02" w:rsidP="00DB7E02">
            <w:pPr>
              <w:jc w:val="center"/>
              <w:rPr>
                <w:rFonts w:ascii="Times New Roman" w:hAnsi="Times New Roman" w:cs="Times New Roman"/>
              </w:rPr>
            </w:pPr>
            <w:r>
              <w:rPr>
                <w:rFonts w:ascii="Times New Roman" w:hAnsi="Times New Roman" w:cs="Times New Roman"/>
              </w:rPr>
              <w:t>2</w:t>
            </w:r>
          </w:p>
        </w:tc>
        <w:tc>
          <w:tcPr>
            <w:tcW w:w="1417" w:type="dxa"/>
          </w:tcPr>
          <w:p w:rsidR="00764C8B" w:rsidRDefault="00DB7E02" w:rsidP="00DB7E02">
            <w:pPr>
              <w:jc w:val="center"/>
              <w:rPr>
                <w:rFonts w:ascii="Times New Roman" w:hAnsi="Times New Roman" w:cs="Times New Roman"/>
              </w:rPr>
            </w:pPr>
            <w:r>
              <w:rPr>
                <w:rFonts w:ascii="Times New Roman" w:hAnsi="Times New Roman" w:cs="Times New Roman"/>
              </w:rPr>
              <w:t>10</w:t>
            </w:r>
          </w:p>
        </w:tc>
        <w:tc>
          <w:tcPr>
            <w:tcW w:w="2263" w:type="dxa"/>
          </w:tcPr>
          <w:p w:rsidR="00764C8B" w:rsidRDefault="00DB7E02" w:rsidP="00DB7E02">
            <w:pPr>
              <w:jc w:val="center"/>
              <w:rPr>
                <w:rFonts w:ascii="Times New Roman" w:hAnsi="Times New Roman" w:cs="Times New Roman"/>
              </w:rPr>
            </w:pPr>
            <w:r>
              <w:rPr>
                <w:rFonts w:ascii="Times New Roman" w:hAnsi="Times New Roman" w:cs="Times New Roman"/>
              </w:rPr>
              <w:t>160.000,00 TL</w:t>
            </w:r>
          </w:p>
        </w:tc>
      </w:tr>
      <w:tr w:rsidR="00764C8B" w:rsidTr="00DB7E02">
        <w:trPr>
          <w:trHeight w:val="416"/>
        </w:trPr>
        <w:tc>
          <w:tcPr>
            <w:tcW w:w="2263" w:type="dxa"/>
          </w:tcPr>
          <w:p w:rsidR="00764C8B" w:rsidRDefault="00DB7E02">
            <w:pPr>
              <w:rPr>
                <w:rFonts w:ascii="Times New Roman" w:hAnsi="Times New Roman" w:cs="Times New Roman"/>
              </w:rPr>
            </w:pPr>
            <w:r>
              <w:rPr>
                <w:rFonts w:ascii="Times New Roman" w:hAnsi="Times New Roman" w:cs="Times New Roman"/>
              </w:rPr>
              <w:t>Konut Yapım Kredisi</w:t>
            </w:r>
          </w:p>
        </w:tc>
        <w:tc>
          <w:tcPr>
            <w:tcW w:w="1560" w:type="dxa"/>
          </w:tcPr>
          <w:p w:rsidR="00764C8B" w:rsidRDefault="00DB7E02" w:rsidP="00DB7E02">
            <w:pPr>
              <w:jc w:val="center"/>
              <w:rPr>
                <w:rFonts w:ascii="Times New Roman" w:hAnsi="Times New Roman" w:cs="Times New Roman"/>
              </w:rPr>
            </w:pPr>
            <w:r>
              <w:rPr>
                <w:rFonts w:ascii="Times New Roman" w:hAnsi="Times New Roman" w:cs="Times New Roman"/>
              </w:rPr>
              <w:t>400 Baz Puan</w:t>
            </w:r>
          </w:p>
        </w:tc>
        <w:tc>
          <w:tcPr>
            <w:tcW w:w="1559" w:type="dxa"/>
          </w:tcPr>
          <w:p w:rsidR="00764C8B" w:rsidRDefault="00DB7E02" w:rsidP="00DB7E02">
            <w:pPr>
              <w:jc w:val="center"/>
              <w:rPr>
                <w:rFonts w:ascii="Times New Roman" w:hAnsi="Times New Roman" w:cs="Times New Roman"/>
              </w:rPr>
            </w:pPr>
            <w:r>
              <w:rPr>
                <w:rFonts w:ascii="Times New Roman" w:hAnsi="Times New Roman" w:cs="Times New Roman"/>
              </w:rPr>
              <w:t>2</w:t>
            </w:r>
          </w:p>
        </w:tc>
        <w:tc>
          <w:tcPr>
            <w:tcW w:w="1417" w:type="dxa"/>
          </w:tcPr>
          <w:p w:rsidR="00764C8B" w:rsidRDefault="00DB7E02" w:rsidP="00DB7E02">
            <w:pPr>
              <w:jc w:val="center"/>
              <w:rPr>
                <w:rFonts w:ascii="Times New Roman" w:hAnsi="Times New Roman" w:cs="Times New Roman"/>
              </w:rPr>
            </w:pPr>
            <w:r>
              <w:rPr>
                <w:rFonts w:ascii="Times New Roman" w:hAnsi="Times New Roman" w:cs="Times New Roman"/>
              </w:rPr>
              <w:t>10</w:t>
            </w:r>
          </w:p>
        </w:tc>
        <w:tc>
          <w:tcPr>
            <w:tcW w:w="2263" w:type="dxa"/>
          </w:tcPr>
          <w:p w:rsidR="00764C8B" w:rsidRDefault="00DB7E02" w:rsidP="00DB7E02">
            <w:pPr>
              <w:jc w:val="center"/>
              <w:rPr>
                <w:rFonts w:ascii="Times New Roman" w:hAnsi="Times New Roman" w:cs="Times New Roman"/>
              </w:rPr>
            </w:pPr>
            <w:r>
              <w:rPr>
                <w:rFonts w:ascii="Times New Roman" w:hAnsi="Times New Roman" w:cs="Times New Roman"/>
              </w:rPr>
              <w:t>400.000,00 TL</w:t>
            </w:r>
          </w:p>
        </w:tc>
      </w:tr>
      <w:tr w:rsidR="00764C8B" w:rsidTr="00DB7E02">
        <w:trPr>
          <w:trHeight w:val="408"/>
        </w:trPr>
        <w:tc>
          <w:tcPr>
            <w:tcW w:w="2263" w:type="dxa"/>
          </w:tcPr>
          <w:p w:rsidR="00764C8B" w:rsidRDefault="00DB7E02">
            <w:pPr>
              <w:rPr>
                <w:rFonts w:ascii="Times New Roman" w:hAnsi="Times New Roman" w:cs="Times New Roman"/>
              </w:rPr>
            </w:pPr>
            <w:r>
              <w:rPr>
                <w:rFonts w:ascii="Times New Roman" w:hAnsi="Times New Roman" w:cs="Times New Roman"/>
              </w:rPr>
              <w:t>Konut Edinme Kredisi</w:t>
            </w:r>
          </w:p>
        </w:tc>
        <w:tc>
          <w:tcPr>
            <w:tcW w:w="1560" w:type="dxa"/>
          </w:tcPr>
          <w:p w:rsidR="00764C8B" w:rsidRDefault="00DB7E02" w:rsidP="00DB7E02">
            <w:pPr>
              <w:jc w:val="center"/>
              <w:rPr>
                <w:rFonts w:ascii="Times New Roman" w:hAnsi="Times New Roman" w:cs="Times New Roman"/>
              </w:rPr>
            </w:pPr>
            <w:r>
              <w:rPr>
                <w:rFonts w:ascii="Times New Roman" w:hAnsi="Times New Roman" w:cs="Times New Roman"/>
              </w:rPr>
              <w:t>400 Baz Puan</w:t>
            </w:r>
          </w:p>
        </w:tc>
        <w:tc>
          <w:tcPr>
            <w:tcW w:w="1559" w:type="dxa"/>
          </w:tcPr>
          <w:p w:rsidR="00764C8B" w:rsidRDefault="00DB7E02" w:rsidP="00DB7E02">
            <w:pPr>
              <w:jc w:val="center"/>
              <w:rPr>
                <w:rFonts w:ascii="Times New Roman" w:hAnsi="Times New Roman" w:cs="Times New Roman"/>
              </w:rPr>
            </w:pPr>
            <w:r>
              <w:rPr>
                <w:rFonts w:ascii="Times New Roman" w:hAnsi="Times New Roman" w:cs="Times New Roman"/>
              </w:rPr>
              <w:t>1</w:t>
            </w:r>
          </w:p>
        </w:tc>
        <w:tc>
          <w:tcPr>
            <w:tcW w:w="1417" w:type="dxa"/>
          </w:tcPr>
          <w:p w:rsidR="00764C8B" w:rsidRDefault="00DB7E02" w:rsidP="00DB7E02">
            <w:pPr>
              <w:jc w:val="center"/>
              <w:rPr>
                <w:rFonts w:ascii="Times New Roman" w:hAnsi="Times New Roman" w:cs="Times New Roman"/>
              </w:rPr>
            </w:pPr>
            <w:r>
              <w:rPr>
                <w:rFonts w:ascii="Times New Roman" w:hAnsi="Times New Roman" w:cs="Times New Roman"/>
              </w:rPr>
              <w:t>10</w:t>
            </w:r>
          </w:p>
        </w:tc>
        <w:tc>
          <w:tcPr>
            <w:tcW w:w="2263" w:type="dxa"/>
          </w:tcPr>
          <w:p w:rsidR="00764C8B" w:rsidRDefault="00DB7E02" w:rsidP="00DB7E02">
            <w:pPr>
              <w:jc w:val="center"/>
              <w:rPr>
                <w:rFonts w:ascii="Times New Roman" w:hAnsi="Times New Roman" w:cs="Times New Roman"/>
              </w:rPr>
            </w:pPr>
            <w:r>
              <w:rPr>
                <w:rFonts w:ascii="Times New Roman" w:hAnsi="Times New Roman" w:cs="Times New Roman"/>
              </w:rPr>
              <w:t>400.000,00 TL</w:t>
            </w:r>
          </w:p>
        </w:tc>
      </w:tr>
      <w:tr w:rsidR="00764C8B" w:rsidTr="00DB7E02">
        <w:trPr>
          <w:trHeight w:val="428"/>
        </w:trPr>
        <w:tc>
          <w:tcPr>
            <w:tcW w:w="2263" w:type="dxa"/>
          </w:tcPr>
          <w:p w:rsidR="00764C8B" w:rsidRDefault="00DB7E02">
            <w:pPr>
              <w:rPr>
                <w:rFonts w:ascii="Times New Roman" w:hAnsi="Times New Roman" w:cs="Times New Roman"/>
              </w:rPr>
            </w:pPr>
            <w:r>
              <w:rPr>
                <w:rFonts w:ascii="Times New Roman" w:hAnsi="Times New Roman" w:cs="Times New Roman"/>
              </w:rPr>
              <w:t>İşyeri Yapım Kredisi</w:t>
            </w:r>
          </w:p>
        </w:tc>
        <w:tc>
          <w:tcPr>
            <w:tcW w:w="1560" w:type="dxa"/>
          </w:tcPr>
          <w:p w:rsidR="00764C8B" w:rsidRDefault="00DB7E02" w:rsidP="00DB7E02">
            <w:pPr>
              <w:jc w:val="center"/>
              <w:rPr>
                <w:rFonts w:ascii="Times New Roman" w:hAnsi="Times New Roman" w:cs="Times New Roman"/>
              </w:rPr>
            </w:pPr>
            <w:r>
              <w:rPr>
                <w:rFonts w:ascii="Times New Roman" w:hAnsi="Times New Roman" w:cs="Times New Roman"/>
              </w:rPr>
              <w:t>3</w:t>
            </w:r>
            <w:r>
              <w:rPr>
                <w:rFonts w:ascii="Times New Roman" w:hAnsi="Times New Roman" w:cs="Times New Roman"/>
              </w:rPr>
              <w:t>00 Baz Puan</w:t>
            </w:r>
          </w:p>
        </w:tc>
        <w:tc>
          <w:tcPr>
            <w:tcW w:w="1559" w:type="dxa"/>
          </w:tcPr>
          <w:p w:rsidR="00764C8B" w:rsidRDefault="00DB7E02" w:rsidP="00DB7E02">
            <w:pPr>
              <w:jc w:val="center"/>
              <w:rPr>
                <w:rFonts w:ascii="Times New Roman" w:hAnsi="Times New Roman" w:cs="Times New Roman"/>
              </w:rPr>
            </w:pPr>
            <w:r>
              <w:rPr>
                <w:rFonts w:ascii="Times New Roman" w:hAnsi="Times New Roman" w:cs="Times New Roman"/>
              </w:rPr>
              <w:t>2</w:t>
            </w:r>
          </w:p>
        </w:tc>
        <w:tc>
          <w:tcPr>
            <w:tcW w:w="1417" w:type="dxa"/>
          </w:tcPr>
          <w:p w:rsidR="00764C8B" w:rsidRDefault="00DB7E02" w:rsidP="00DB7E02">
            <w:pPr>
              <w:jc w:val="center"/>
              <w:rPr>
                <w:rFonts w:ascii="Times New Roman" w:hAnsi="Times New Roman" w:cs="Times New Roman"/>
              </w:rPr>
            </w:pPr>
            <w:r>
              <w:rPr>
                <w:rFonts w:ascii="Times New Roman" w:hAnsi="Times New Roman" w:cs="Times New Roman"/>
              </w:rPr>
              <w:t>7</w:t>
            </w:r>
          </w:p>
        </w:tc>
        <w:tc>
          <w:tcPr>
            <w:tcW w:w="2263" w:type="dxa"/>
          </w:tcPr>
          <w:p w:rsidR="00764C8B" w:rsidRDefault="00DB7E02" w:rsidP="00DB7E02">
            <w:pPr>
              <w:jc w:val="center"/>
              <w:rPr>
                <w:rFonts w:ascii="Times New Roman" w:hAnsi="Times New Roman" w:cs="Times New Roman"/>
              </w:rPr>
            </w:pPr>
            <w:r>
              <w:rPr>
                <w:rFonts w:ascii="Times New Roman" w:hAnsi="Times New Roman" w:cs="Times New Roman"/>
              </w:rPr>
              <w:t>400.000,00 TL</w:t>
            </w:r>
          </w:p>
        </w:tc>
      </w:tr>
      <w:tr w:rsidR="00764C8B" w:rsidTr="00DB7E02">
        <w:trPr>
          <w:trHeight w:val="406"/>
        </w:trPr>
        <w:tc>
          <w:tcPr>
            <w:tcW w:w="2263" w:type="dxa"/>
          </w:tcPr>
          <w:p w:rsidR="00764C8B" w:rsidRDefault="00DB7E02">
            <w:pPr>
              <w:rPr>
                <w:rFonts w:ascii="Times New Roman" w:hAnsi="Times New Roman" w:cs="Times New Roman"/>
              </w:rPr>
            </w:pPr>
            <w:r>
              <w:rPr>
                <w:rFonts w:ascii="Times New Roman" w:hAnsi="Times New Roman" w:cs="Times New Roman"/>
              </w:rPr>
              <w:t>İşyeri Edinme Kredisi</w:t>
            </w:r>
          </w:p>
        </w:tc>
        <w:tc>
          <w:tcPr>
            <w:tcW w:w="1560" w:type="dxa"/>
          </w:tcPr>
          <w:p w:rsidR="00764C8B" w:rsidRDefault="00DB7E02" w:rsidP="00DB7E02">
            <w:pPr>
              <w:jc w:val="center"/>
              <w:rPr>
                <w:rFonts w:ascii="Times New Roman" w:hAnsi="Times New Roman" w:cs="Times New Roman"/>
              </w:rPr>
            </w:pPr>
            <w:r>
              <w:rPr>
                <w:rFonts w:ascii="Times New Roman" w:hAnsi="Times New Roman" w:cs="Times New Roman"/>
              </w:rPr>
              <w:t>3</w:t>
            </w:r>
            <w:r>
              <w:rPr>
                <w:rFonts w:ascii="Times New Roman" w:hAnsi="Times New Roman" w:cs="Times New Roman"/>
              </w:rPr>
              <w:t>00 Baz Puan</w:t>
            </w:r>
          </w:p>
        </w:tc>
        <w:tc>
          <w:tcPr>
            <w:tcW w:w="1559" w:type="dxa"/>
          </w:tcPr>
          <w:p w:rsidR="00764C8B" w:rsidRDefault="00DB7E02" w:rsidP="00DB7E02">
            <w:pPr>
              <w:jc w:val="center"/>
              <w:rPr>
                <w:rFonts w:ascii="Times New Roman" w:hAnsi="Times New Roman" w:cs="Times New Roman"/>
              </w:rPr>
            </w:pPr>
            <w:r>
              <w:rPr>
                <w:rFonts w:ascii="Times New Roman" w:hAnsi="Times New Roman" w:cs="Times New Roman"/>
              </w:rPr>
              <w:t>1</w:t>
            </w:r>
          </w:p>
        </w:tc>
        <w:tc>
          <w:tcPr>
            <w:tcW w:w="1417" w:type="dxa"/>
          </w:tcPr>
          <w:p w:rsidR="00764C8B" w:rsidRDefault="00DB7E02" w:rsidP="00DB7E02">
            <w:pPr>
              <w:jc w:val="center"/>
              <w:rPr>
                <w:rFonts w:ascii="Times New Roman" w:hAnsi="Times New Roman" w:cs="Times New Roman"/>
              </w:rPr>
            </w:pPr>
            <w:r>
              <w:rPr>
                <w:rFonts w:ascii="Times New Roman" w:hAnsi="Times New Roman" w:cs="Times New Roman"/>
              </w:rPr>
              <w:t>7</w:t>
            </w:r>
          </w:p>
        </w:tc>
        <w:tc>
          <w:tcPr>
            <w:tcW w:w="2263" w:type="dxa"/>
          </w:tcPr>
          <w:p w:rsidR="00764C8B" w:rsidRDefault="00DB7E02" w:rsidP="00DB7E02">
            <w:pPr>
              <w:jc w:val="center"/>
              <w:rPr>
                <w:rFonts w:ascii="Times New Roman" w:hAnsi="Times New Roman" w:cs="Times New Roman"/>
              </w:rPr>
            </w:pPr>
            <w:r>
              <w:rPr>
                <w:rFonts w:ascii="Times New Roman" w:hAnsi="Times New Roman" w:cs="Times New Roman"/>
              </w:rPr>
              <w:t>400.000,00 TL</w:t>
            </w:r>
          </w:p>
        </w:tc>
      </w:tr>
    </w:tbl>
    <w:p w:rsidR="00764C8B" w:rsidRPr="00764C8B" w:rsidRDefault="00DB7E02">
      <w:pPr>
        <w:rPr>
          <w:rFonts w:ascii="Times New Roman" w:hAnsi="Times New Roman" w:cs="Times New Roman"/>
        </w:rPr>
      </w:pPr>
      <w:bookmarkStart w:id="0" w:name="_GoBack"/>
      <w:bookmarkEnd w:id="0"/>
      <w:r>
        <w:rPr>
          <w:rFonts w:ascii="Times New Roman" w:hAnsi="Times New Roman" w:cs="Times New Roman"/>
        </w:rPr>
        <w:t>Bir hak sahibi adına faiz desteği sağlanacak toplam kredi tutarı 2.000</w:t>
      </w:r>
      <w:r w:rsidR="00167082">
        <w:rPr>
          <w:rFonts w:ascii="Times New Roman" w:hAnsi="Times New Roman" w:cs="Times New Roman"/>
        </w:rPr>
        <w:t>.000,00 TL’yi geçemez.</w:t>
      </w:r>
    </w:p>
    <w:sectPr w:rsidR="00764C8B" w:rsidRPr="00764C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C8B"/>
    <w:rsid w:val="00167082"/>
    <w:rsid w:val="00764C8B"/>
    <w:rsid w:val="00C473B6"/>
    <w:rsid w:val="00D554F7"/>
    <w:rsid w:val="00DB7E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8FF29"/>
  <w15:chartTrackingRefBased/>
  <w15:docId w15:val="{5AEBB60D-9C76-414C-B6CC-045F9DE68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64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20F26-DBBC-46DA-9EB7-F8F469E1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366</Words>
  <Characters>2092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İmran ÖZDÖNER</dc:creator>
  <cp:keywords/>
  <dc:description/>
  <cp:lastModifiedBy>Fatma İmran ÖZDÖNER</cp:lastModifiedBy>
  <cp:revision>1</cp:revision>
  <dcterms:created xsi:type="dcterms:W3CDTF">2022-02-11T07:05:00Z</dcterms:created>
  <dcterms:modified xsi:type="dcterms:W3CDTF">2022-02-11T07:26:00Z</dcterms:modified>
</cp:coreProperties>
</file>