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7F8" w:rsidRPr="005277F8" w:rsidRDefault="005277F8" w:rsidP="005277F8">
      <w:pPr>
        <w:shd w:val="clear" w:color="auto" w:fill="FFFFFF"/>
        <w:spacing w:after="345" w:line="300" w:lineRule="atLeast"/>
        <w:jc w:val="center"/>
        <w:rPr>
          <w:rFonts w:ascii="Times New Roman" w:eastAsia="Times New Roman" w:hAnsi="Times New Roman" w:cs="Times New Roman"/>
          <w:color w:val="1A1A1E"/>
          <w:sz w:val="24"/>
          <w:szCs w:val="24"/>
          <w:lang w:eastAsia="tr-TR"/>
        </w:rPr>
      </w:pPr>
      <w:r w:rsidRPr="005277F8">
        <w:rPr>
          <w:rFonts w:ascii="Times New Roman" w:eastAsia="Times New Roman" w:hAnsi="Times New Roman" w:cs="Times New Roman"/>
          <w:b/>
          <w:bCs/>
          <w:color w:val="1A1A1E"/>
          <w:sz w:val="24"/>
          <w:szCs w:val="24"/>
          <w:lang w:eastAsia="tr-TR"/>
        </w:rPr>
        <w:t>İLAN</w:t>
      </w:r>
      <w:r w:rsidRPr="005277F8">
        <w:rPr>
          <w:rFonts w:ascii="Times New Roman" w:eastAsia="Times New Roman" w:hAnsi="Times New Roman" w:cs="Times New Roman"/>
          <w:b/>
          <w:bCs/>
          <w:color w:val="1A1A1E"/>
          <w:sz w:val="24"/>
          <w:szCs w:val="24"/>
          <w:lang w:eastAsia="tr-TR"/>
        </w:rPr>
        <w:br/>
        <w:t>BİNGÖL VALİLİĞİ</w:t>
      </w:r>
      <w:r w:rsidRPr="005277F8">
        <w:rPr>
          <w:rFonts w:ascii="Times New Roman" w:eastAsia="Times New Roman" w:hAnsi="Times New Roman" w:cs="Times New Roman"/>
          <w:b/>
          <w:bCs/>
          <w:color w:val="1A1A1E"/>
          <w:sz w:val="24"/>
          <w:szCs w:val="24"/>
          <w:lang w:eastAsia="tr-TR"/>
        </w:rPr>
        <w:br/>
        <w:t>ÇEVRE VE ŞEHİRCİLİK İL MÜDÜRLÜĞÜ</w:t>
      </w:r>
      <w:r w:rsidRPr="005277F8">
        <w:rPr>
          <w:rFonts w:ascii="Times New Roman" w:eastAsia="Times New Roman" w:hAnsi="Times New Roman" w:cs="Times New Roman"/>
          <w:b/>
          <w:bCs/>
          <w:color w:val="1A1A1E"/>
          <w:sz w:val="24"/>
          <w:szCs w:val="24"/>
          <w:lang w:eastAsia="tr-TR"/>
        </w:rPr>
        <w:br/>
        <w:t>MİLLİ EMLAK MÜDÜRLÜĞÜNDEN</w:t>
      </w:r>
    </w:p>
    <w:tbl>
      <w:tblPr>
        <w:tblStyle w:val="TabloKlavuzu"/>
        <w:tblpPr w:leftFromText="141" w:rightFromText="141" w:vertAnchor="text" w:horzAnchor="margin" w:tblpY="1281"/>
        <w:tblW w:w="14312" w:type="dxa"/>
        <w:tblLayout w:type="fixed"/>
        <w:tblLook w:val="04A0" w:firstRow="1" w:lastRow="0" w:firstColumn="1" w:lastColumn="0" w:noHBand="0" w:noVBand="1"/>
      </w:tblPr>
      <w:tblGrid>
        <w:gridCol w:w="605"/>
        <w:gridCol w:w="761"/>
        <w:gridCol w:w="897"/>
        <w:gridCol w:w="1463"/>
        <w:gridCol w:w="1136"/>
        <w:gridCol w:w="1229"/>
        <w:gridCol w:w="1134"/>
        <w:gridCol w:w="1559"/>
        <w:gridCol w:w="1134"/>
        <w:gridCol w:w="1276"/>
        <w:gridCol w:w="1417"/>
        <w:gridCol w:w="1701"/>
      </w:tblGrid>
      <w:tr w:rsidR="00B95459" w:rsidTr="0009060E">
        <w:trPr>
          <w:trHeight w:val="735"/>
        </w:trPr>
        <w:tc>
          <w:tcPr>
            <w:tcW w:w="605" w:type="dxa"/>
          </w:tcPr>
          <w:p w:rsidR="00B95459" w:rsidRPr="009F7DDE" w:rsidRDefault="00B95459" w:rsidP="00B95459">
            <w:pPr>
              <w:pStyle w:val="AralkYok"/>
              <w:rPr>
                <w:b/>
                <w:sz w:val="20"/>
                <w:lang w:eastAsia="tr-TR"/>
              </w:rPr>
            </w:pPr>
          </w:p>
          <w:p w:rsidR="00B95459" w:rsidRPr="009F7DDE" w:rsidRDefault="00B95459" w:rsidP="00B95459">
            <w:pPr>
              <w:pStyle w:val="AralkYok"/>
              <w:rPr>
                <w:b/>
                <w:sz w:val="20"/>
                <w:lang w:eastAsia="tr-TR"/>
              </w:rPr>
            </w:pPr>
            <w:proofErr w:type="spellStart"/>
            <w:r w:rsidRPr="009F7DDE">
              <w:rPr>
                <w:b/>
                <w:sz w:val="20"/>
                <w:lang w:eastAsia="tr-TR"/>
              </w:rPr>
              <w:t>S.No</w:t>
            </w:r>
            <w:proofErr w:type="spellEnd"/>
          </w:p>
        </w:tc>
        <w:tc>
          <w:tcPr>
            <w:tcW w:w="761" w:type="dxa"/>
          </w:tcPr>
          <w:p w:rsidR="00B95459" w:rsidRPr="009F7DDE" w:rsidRDefault="00B95459" w:rsidP="00B95459">
            <w:pPr>
              <w:pStyle w:val="AralkYok"/>
              <w:rPr>
                <w:b/>
                <w:sz w:val="20"/>
                <w:lang w:eastAsia="tr-TR"/>
              </w:rPr>
            </w:pPr>
          </w:p>
          <w:p w:rsidR="00B95459" w:rsidRPr="009F7DDE" w:rsidRDefault="00B95459" w:rsidP="00B95459">
            <w:pPr>
              <w:pStyle w:val="AralkYok"/>
              <w:rPr>
                <w:b/>
                <w:sz w:val="20"/>
                <w:lang w:eastAsia="tr-TR"/>
              </w:rPr>
            </w:pPr>
            <w:r w:rsidRPr="009F7DDE">
              <w:rPr>
                <w:b/>
                <w:sz w:val="20"/>
                <w:lang w:eastAsia="tr-TR"/>
              </w:rPr>
              <w:t>İli</w:t>
            </w:r>
          </w:p>
        </w:tc>
        <w:tc>
          <w:tcPr>
            <w:tcW w:w="897" w:type="dxa"/>
          </w:tcPr>
          <w:p w:rsidR="00B95459" w:rsidRPr="009F7DDE" w:rsidRDefault="00B95459" w:rsidP="00B95459">
            <w:pPr>
              <w:pStyle w:val="AralkYok"/>
              <w:rPr>
                <w:b/>
                <w:sz w:val="20"/>
                <w:lang w:eastAsia="tr-TR"/>
              </w:rPr>
            </w:pPr>
          </w:p>
          <w:p w:rsidR="00B95459" w:rsidRPr="009F7DDE" w:rsidRDefault="00B95459" w:rsidP="00B95459">
            <w:pPr>
              <w:pStyle w:val="AralkYok"/>
              <w:rPr>
                <w:b/>
                <w:sz w:val="20"/>
                <w:lang w:eastAsia="tr-TR"/>
              </w:rPr>
            </w:pPr>
            <w:r w:rsidRPr="009F7DDE">
              <w:rPr>
                <w:b/>
                <w:sz w:val="20"/>
                <w:lang w:eastAsia="tr-TR"/>
              </w:rPr>
              <w:t>İlçesi</w:t>
            </w:r>
          </w:p>
        </w:tc>
        <w:tc>
          <w:tcPr>
            <w:tcW w:w="1463" w:type="dxa"/>
          </w:tcPr>
          <w:p w:rsidR="00B95459" w:rsidRPr="009F7DDE" w:rsidRDefault="00B95459" w:rsidP="00B95459">
            <w:pPr>
              <w:pStyle w:val="AralkYok"/>
              <w:rPr>
                <w:b/>
                <w:sz w:val="20"/>
                <w:lang w:eastAsia="tr-TR"/>
              </w:rPr>
            </w:pPr>
          </w:p>
          <w:p w:rsidR="00B95459" w:rsidRPr="009F7DDE" w:rsidRDefault="00B95459" w:rsidP="00B95459">
            <w:pPr>
              <w:pStyle w:val="AralkYok"/>
              <w:rPr>
                <w:b/>
                <w:sz w:val="20"/>
                <w:lang w:eastAsia="tr-TR"/>
              </w:rPr>
            </w:pPr>
            <w:r w:rsidRPr="009F7DDE">
              <w:rPr>
                <w:b/>
                <w:sz w:val="20"/>
                <w:lang w:eastAsia="tr-TR"/>
              </w:rPr>
              <w:t>Mah./Köy</w:t>
            </w:r>
          </w:p>
        </w:tc>
        <w:tc>
          <w:tcPr>
            <w:tcW w:w="1136" w:type="dxa"/>
          </w:tcPr>
          <w:p w:rsidR="00B95459" w:rsidRPr="009F7DDE" w:rsidRDefault="00B95459" w:rsidP="00B95459">
            <w:pPr>
              <w:pStyle w:val="AralkYok"/>
              <w:rPr>
                <w:b/>
                <w:sz w:val="20"/>
                <w:lang w:eastAsia="tr-TR"/>
              </w:rPr>
            </w:pPr>
          </w:p>
          <w:p w:rsidR="00B95459" w:rsidRPr="009F7DDE" w:rsidRDefault="00B95459" w:rsidP="00B95459">
            <w:pPr>
              <w:pStyle w:val="AralkYok"/>
              <w:rPr>
                <w:b/>
                <w:sz w:val="20"/>
                <w:lang w:eastAsia="tr-TR"/>
              </w:rPr>
            </w:pPr>
            <w:r w:rsidRPr="009F7DDE">
              <w:rPr>
                <w:b/>
                <w:sz w:val="20"/>
                <w:lang w:eastAsia="tr-TR"/>
              </w:rPr>
              <w:t>Ada/Parsel</w:t>
            </w:r>
          </w:p>
        </w:tc>
        <w:tc>
          <w:tcPr>
            <w:tcW w:w="1229" w:type="dxa"/>
          </w:tcPr>
          <w:p w:rsidR="00B95459" w:rsidRPr="009F7DDE" w:rsidRDefault="00B95459" w:rsidP="00B95459">
            <w:pPr>
              <w:pStyle w:val="AralkYok"/>
              <w:rPr>
                <w:b/>
                <w:sz w:val="20"/>
                <w:lang w:eastAsia="tr-TR"/>
              </w:rPr>
            </w:pPr>
          </w:p>
          <w:p w:rsidR="00B95459" w:rsidRPr="009F7DDE" w:rsidRDefault="00B95459" w:rsidP="00B95459">
            <w:pPr>
              <w:pStyle w:val="AralkYok"/>
              <w:rPr>
                <w:b/>
                <w:sz w:val="20"/>
                <w:lang w:eastAsia="tr-TR"/>
              </w:rPr>
            </w:pPr>
            <w:r w:rsidRPr="009F7DDE">
              <w:rPr>
                <w:b/>
                <w:sz w:val="20"/>
                <w:lang w:eastAsia="tr-TR"/>
              </w:rPr>
              <w:t>Cinsi</w:t>
            </w:r>
          </w:p>
        </w:tc>
        <w:tc>
          <w:tcPr>
            <w:tcW w:w="1134" w:type="dxa"/>
          </w:tcPr>
          <w:p w:rsidR="00B95459" w:rsidRPr="009F7DDE" w:rsidRDefault="00B95459" w:rsidP="00B95459">
            <w:pPr>
              <w:pStyle w:val="AralkYok"/>
              <w:rPr>
                <w:b/>
                <w:sz w:val="20"/>
                <w:lang w:eastAsia="tr-TR"/>
              </w:rPr>
            </w:pPr>
          </w:p>
          <w:p w:rsidR="00B95459" w:rsidRPr="009F7DDE" w:rsidRDefault="00B95459" w:rsidP="00B95459">
            <w:pPr>
              <w:pStyle w:val="AralkYok"/>
              <w:jc w:val="center"/>
              <w:rPr>
                <w:b/>
                <w:sz w:val="20"/>
                <w:lang w:eastAsia="tr-TR"/>
              </w:rPr>
            </w:pPr>
            <w:r w:rsidRPr="009F7DDE">
              <w:rPr>
                <w:b/>
                <w:sz w:val="20"/>
                <w:lang w:eastAsia="tr-TR"/>
              </w:rPr>
              <w:t>Yüzölçümü</w:t>
            </w:r>
          </w:p>
          <w:p w:rsidR="00B95459" w:rsidRPr="009F7DDE" w:rsidRDefault="00B95459" w:rsidP="00B95459">
            <w:pPr>
              <w:pStyle w:val="AralkYok"/>
              <w:jc w:val="center"/>
              <w:rPr>
                <w:b/>
                <w:sz w:val="20"/>
                <w:lang w:eastAsia="tr-TR"/>
              </w:rPr>
            </w:pPr>
            <w:proofErr w:type="gramStart"/>
            <w:r w:rsidRPr="009F7DDE">
              <w:rPr>
                <w:b/>
                <w:sz w:val="20"/>
                <w:lang w:eastAsia="tr-TR"/>
              </w:rPr>
              <w:t>m</w:t>
            </w:r>
            <w:proofErr w:type="gramEnd"/>
            <w:r w:rsidRPr="009F7DDE">
              <w:rPr>
                <w:b/>
                <w:sz w:val="20"/>
                <w:lang w:eastAsia="tr-TR"/>
              </w:rPr>
              <w:t>²</w:t>
            </w:r>
          </w:p>
        </w:tc>
        <w:tc>
          <w:tcPr>
            <w:tcW w:w="1559" w:type="dxa"/>
          </w:tcPr>
          <w:p w:rsidR="00B95459" w:rsidRDefault="00B95459" w:rsidP="00B95459">
            <w:pPr>
              <w:pStyle w:val="AralkYok"/>
              <w:jc w:val="center"/>
              <w:rPr>
                <w:b/>
                <w:sz w:val="20"/>
                <w:lang w:eastAsia="tr-TR"/>
              </w:rPr>
            </w:pPr>
          </w:p>
          <w:p w:rsidR="00B95459" w:rsidRPr="009F7DDE" w:rsidRDefault="00B95459" w:rsidP="00B95459">
            <w:pPr>
              <w:pStyle w:val="AralkYok"/>
              <w:jc w:val="center"/>
              <w:rPr>
                <w:b/>
                <w:sz w:val="20"/>
                <w:lang w:eastAsia="tr-TR"/>
              </w:rPr>
            </w:pPr>
            <w:r w:rsidRPr="009F7DDE">
              <w:rPr>
                <w:b/>
                <w:sz w:val="20"/>
                <w:lang w:eastAsia="tr-TR"/>
              </w:rPr>
              <w:t>Yatırıma Konu Yüzölçümü m²</w:t>
            </w:r>
          </w:p>
        </w:tc>
        <w:tc>
          <w:tcPr>
            <w:tcW w:w="1134" w:type="dxa"/>
          </w:tcPr>
          <w:p w:rsidR="00B95459" w:rsidRPr="009F7DDE" w:rsidRDefault="00B95459" w:rsidP="00B95459">
            <w:pPr>
              <w:pStyle w:val="AralkYok"/>
              <w:rPr>
                <w:b/>
                <w:sz w:val="20"/>
                <w:lang w:eastAsia="tr-TR"/>
              </w:rPr>
            </w:pPr>
          </w:p>
          <w:p w:rsidR="00B95459" w:rsidRPr="009F7DDE" w:rsidRDefault="00B95459" w:rsidP="00B95459">
            <w:pPr>
              <w:pStyle w:val="AralkYok"/>
              <w:rPr>
                <w:b/>
                <w:sz w:val="20"/>
                <w:lang w:eastAsia="tr-TR"/>
              </w:rPr>
            </w:pPr>
            <w:r w:rsidRPr="009F7DDE">
              <w:rPr>
                <w:b/>
                <w:sz w:val="20"/>
                <w:lang w:eastAsia="tr-TR"/>
              </w:rPr>
              <w:t>İmar Durumu</w:t>
            </w:r>
          </w:p>
        </w:tc>
        <w:tc>
          <w:tcPr>
            <w:tcW w:w="1276" w:type="dxa"/>
          </w:tcPr>
          <w:p w:rsidR="00B95459" w:rsidRPr="009F7DDE" w:rsidRDefault="00B95459" w:rsidP="00B95459">
            <w:pPr>
              <w:pStyle w:val="AralkYok"/>
              <w:rPr>
                <w:b/>
                <w:sz w:val="20"/>
                <w:lang w:eastAsia="tr-TR"/>
              </w:rPr>
            </w:pPr>
            <w:r w:rsidRPr="009F7DDE">
              <w:rPr>
                <w:b/>
                <w:bCs/>
                <w:sz w:val="20"/>
                <w:lang w:eastAsia="tr-TR"/>
              </w:rPr>
              <w:t>Taşınmaz</w:t>
            </w:r>
            <w:r w:rsidRPr="009F7DDE">
              <w:rPr>
                <w:b/>
                <w:bCs/>
                <w:sz w:val="20"/>
                <w:lang w:eastAsia="tr-TR"/>
              </w:rPr>
              <w:br/>
              <w:t> m² Rayiç</w:t>
            </w:r>
            <w:r w:rsidRPr="009F7DDE">
              <w:rPr>
                <w:b/>
                <w:bCs/>
                <w:sz w:val="20"/>
                <w:lang w:eastAsia="tr-TR"/>
              </w:rPr>
              <w:br/>
              <w:t>Değeri (TL)</w:t>
            </w:r>
          </w:p>
        </w:tc>
        <w:tc>
          <w:tcPr>
            <w:tcW w:w="1417" w:type="dxa"/>
          </w:tcPr>
          <w:p w:rsidR="00B95459" w:rsidRPr="009F7DDE" w:rsidRDefault="00B95459" w:rsidP="00B95459">
            <w:pPr>
              <w:pStyle w:val="AralkYok"/>
              <w:rPr>
                <w:b/>
                <w:bCs/>
                <w:sz w:val="20"/>
                <w:lang w:eastAsia="tr-TR"/>
              </w:rPr>
            </w:pPr>
          </w:p>
          <w:p w:rsidR="00B95459" w:rsidRPr="009F7DDE" w:rsidRDefault="00B95459" w:rsidP="00B95459">
            <w:pPr>
              <w:pStyle w:val="AralkYok"/>
              <w:rPr>
                <w:b/>
                <w:sz w:val="20"/>
                <w:lang w:eastAsia="tr-TR"/>
              </w:rPr>
            </w:pPr>
            <w:r w:rsidRPr="009F7DDE">
              <w:rPr>
                <w:b/>
                <w:bCs/>
                <w:sz w:val="20"/>
                <w:lang w:eastAsia="tr-TR"/>
              </w:rPr>
              <w:t>Toplam</w:t>
            </w:r>
            <w:r w:rsidRPr="009F7DDE">
              <w:rPr>
                <w:b/>
                <w:bCs/>
                <w:sz w:val="20"/>
                <w:lang w:eastAsia="tr-TR"/>
              </w:rPr>
              <w:br/>
              <w:t xml:space="preserve">Değer </w:t>
            </w:r>
            <w:proofErr w:type="gramStart"/>
            <w:r w:rsidRPr="009F7DDE">
              <w:rPr>
                <w:b/>
                <w:bCs/>
                <w:sz w:val="20"/>
                <w:lang w:eastAsia="tr-TR"/>
              </w:rPr>
              <w:t>(</w:t>
            </w:r>
            <w:proofErr w:type="gramEnd"/>
            <w:r w:rsidRPr="009F7DDE">
              <w:rPr>
                <w:b/>
                <w:bCs/>
                <w:sz w:val="20"/>
                <w:lang w:eastAsia="tr-TR"/>
              </w:rPr>
              <w:t>TL</w:t>
            </w:r>
          </w:p>
        </w:tc>
        <w:tc>
          <w:tcPr>
            <w:tcW w:w="1701" w:type="dxa"/>
          </w:tcPr>
          <w:p w:rsidR="00B95459" w:rsidRPr="009F7DDE" w:rsidRDefault="00B95459" w:rsidP="00B95459">
            <w:pPr>
              <w:pStyle w:val="AralkYok"/>
              <w:jc w:val="center"/>
              <w:rPr>
                <w:b/>
                <w:sz w:val="20"/>
                <w:lang w:eastAsia="tr-TR"/>
              </w:rPr>
            </w:pPr>
            <w:r w:rsidRPr="009F7DDE">
              <w:rPr>
                <w:b/>
                <w:bCs/>
                <w:sz w:val="20"/>
                <w:lang w:eastAsia="tr-TR"/>
              </w:rPr>
              <w:t>Son</w:t>
            </w:r>
            <w:r w:rsidRPr="009F7DDE">
              <w:rPr>
                <w:b/>
                <w:bCs/>
                <w:sz w:val="20"/>
                <w:lang w:eastAsia="tr-TR"/>
              </w:rPr>
              <w:br/>
              <w:t>Müracaat</w:t>
            </w:r>
            <w:r w:rsidRPr="009F7DDE">
              <w:rPr>
                <w:b/>
                <w:bCs/>
                <w:sz w:val="20"/>
                <w:lang w:eastAsia="tr-TR"/>
              </w:rPr>
              <w:br/>
              <w:t>Tarihi ve Saati</w:t>
            </w:r>
          </w:p>
        </w:tc>
      </w:tr>
      <w:tr w:rsidR="00B95459" w:rsidTr="0009060E">
        <w:trPr>
          <w:trHeight w:val="765"/>
        </w:trPr>
        <w:tc>
          <w:tcPr>
            <w:tcW w:w="605" w:type="dxa"/>
          </w:tcPr>
          <w:p w:rsidR="00B95459" w:rsidRPr="00DF0849" w:rsidRDefault="00B95459" w:rsidP="00B95459">
            <w:pPr>
              <w:pStyle w:val="AralkYok"/>
              <w:rPr>
                <w:rFonts w:ascii="Times New Roman" w:hAnsi="Times New Roman" w:cs="Times New Roman"/>
                <w:sz w:val="20"/>
                <w:szCs w:val="20"/>
              </w:rPr>
            </w:pPr>
          </w:p>
          <w:p w:rsidR="00B95459" w:rsidRPr="00DF0849" w:rsidRDefault="00B95459" w:rsidP="00B95459">
            <w:pPr>
              <w:pStyle w:val="AralkYok"/>
              <w:rPr>
                <w:rFonts w:ascii="Times New Roman" w:hAnsi="Times New Roman" w:cs="Times New Roman"/>
                <w:sz w:val="20"/>
                <w:szCs w:val="20"/>
              </w:rPr>
            </w:pPr>
            <w:r w:rsidRPr="00DF0849">
              <w:rPr>
                <w:rFonts w:ascii="Times New Roman" w:hAnsi="Times New Roman" w:cs="Times New Roman"/>
                <w:sz w:val="20"/>
                <w:szCs w:val="20"/>
              </w:rPr>
              <w:t>1</w:t>
            </w:r>
          </w:p>
        </w:tc>
        <w:tc>
          <w:tcPr>
            <w:tcW w:w="761" w:type="dxa"/>
          </w:tcPr>
          <w:p w:rsidR="00B95459" w:rsidRPr="00DF0849" w:rsidRDefault="00B95459" w:rsidP="00B95459">
            <w:pPr>
              <w:pStyle w:val="AralkYok"/>
              <w:rPr>
                <w:rFonts w:ascii="Times New Roman" w:hAnsi="Times New Roman" w:cs="Times New Roman"/>
                <w:sz w:val="20"/>
                <w:szCs w:val="20"/>
              </w:rPr>
            </w:pPr>
          </w:p>
          <w:p w:rsidR="00B95459" w:rsidRPr="00DF0849" w:rsidRDefault="00B95459" w:rsidP="00B95459">
            <w:pPr>
              <w:pStyle w:val="AralkYok"/>
              <w:rPr>
                <w:rFonts w:ascii="Times New Roman" w:hAnsi="Times New Roman" w:cs="Times New Roman"/>
                <w:sz w:val="20"/>
                <w:szCs w:val="20"/>
              </w:rPr>
            </w:pPr>
            <w:r w:rsidRPr="00DF0849">
              <w:rPr>
                <w:rFonts w:ascii="Times New Roman" w:hAnsi="Times New Roman" w:cs="Times New Roman"/>
                <w:sz w:val="20"/>
                <w:szCs w:val="20"/>
              </w:rPr>
              <w:t xml:space="preserve">Bingöl </w:t>
            </w:r>
          </w:p>
        </w:tc>
        <w:tc>
          <w:tcPr>
            <w:tcW w:w="897" w:type="dxa"/>
          </w:tcPr>
          <w:p w:rsidR="00B95459" w:rsidRPr="00DF0849" w:rsidRDefault="00B95459" w:rsidP="00B95459">
            <w:pPr>
              <w:pStyle w:val="AralkYok"/>
              <w:rPr>
                <w:rFonts w:ascii="Times New Roman" w:hAnsi="Times New Roman" w:cs="Times New Roman"/>
                <w:sz w:val="20"/>
                <w:szCs w:val="20"/>
              </w:rPr>
            </w:pPr>
          </w:p>
          <w:p w:rsidR="00B95459" w:rsidRPr="00DF0849" w:rsidRDefault="00B95459" w:rsidP="00B95459">
            <w:pPr>
              <w:pStyle w:val="AralkYok"/>
              <w:rPr>
                <w:rFonts w:ascii="Times New Roman" w:hAnsi="Times New Roman" w:cs="Times New Roman"/>
                <w:sz w:val="20"/>
                <w:szCs w:val="20"/>
              </w:rPr>
            </w:pPr>
            <w:r w:rsidRPr="00DF0849">
              <w:rPr>
                <w:rFonts w:ascii="Times New Roman" w:hAnsi="Times New Roman" w:cs="Times New Roman"/>
                <w:sz w:val="20"/>
                <w:szCs w:val="20"/>
              </w:rPr>
              <w:t>Merkez</w:t>
            </w:r>
          </w:p>
        </w:tc>
        <w:tc>
          <w:tcPr>
            <w:tcW w:w="1463" w:type="dxa"/>
          </w:tcPr>
          <w:p w:rsidR="00B95459" w:rsidRPr="00DF0849" w:rsidRDefault="00B95459" w:rsidP="00B95459">
            <w:pPr>
              <w:pStyle w:val="AralkYok"/>
              <w:rPr>
                <w:rFonts w:ascii="Times New Roman" w:hAnsi="Times New Roman" w:cs="Times New Roman"/>
                <w:sz w:val="20"/>
                <w:szCs w:val="20"/>
              </w:rPr>
            </w:pPr>
          </w:p>
          <w:p w:rsidR="00B95459" w:rsidRPr="00DF0849" w:rsidRDefault="00B95459" w:rsidP="00B95459">
            <w:pPr>
              <w:pStyle w:val="AralkYok"/>
              <w:rPr>
                <w:rFonts w:ascii="Times New Roman" w:hAnsi="Times New Roman" w:cs="Times New Roman"/>
                <w:sz w:val="20"/>
                <w:szCs w:val="20"/>
              </w:rPr>
            </w:pPr>
            <w:proofErr w:type="spellStart"/>
            <w:r w:rsidRPr="00DF0849">
              <w:rPr>
                <w:rFonts w:ascii="Times New Roman" w:hAnsi="Times New Roman" w:cs="Times New Roman"/>
                <w:sz w:val="20"/>
                <w:szCs w:val="20"/>
              </w:rPr>
              <w:t>Ekinyolu</w:t>
            </w:r>
            <w:proofErr w:type="spellEnd"/>
            <w:r w:rsidRPr="00DF0849">
              <w:rPr>
                <w:rFonts w:ascii="Times New Roman" w:hAnsi="Times New Roman" w:cs="Times New Roman"/>
                <w:sz w:val="20"/>
                <w:szCs w:val="20"/>
              </w:rPr>
              <w:t xml:space="preserve"> Köyü</w:t>
            </w:r>
          </w:p>
        </w:tc>
        <w:tc>
          <w:tcPr>
            <w:tcW w:w="1136" w:type="dxa"/>
          </w:tcPr>
          <w:p w:rsidR="00B95459" w:rsidRPr="00DF0849" w:rsidRDefault="00B95459" w:rsidP="00B95459">
            <w:pPr>
              <w:pStyle w:val="AralkYok"/>
              <w:rPr>
                <w:rFonts w:ascii="Times New Roman" w:hAnsi="Times New Roman" w:cs="Times New Roman"/>
                <w:sz w:val="20"/>
                <w:szCs w:val="20"/>
              </w:rPr>
            </w:pPr>
          </w:p>
          <w:p w:rsidR="00B95459" w:rsidRPr="00DF0849" w:rsidRDefault="00B95459" w:rsidP="00B95459">
            <w:pPr>
              <w:pStyle w:val="AralkYok"/>
              <w:rPr>
                <w:rFonts w:ascii="Times New Roman" w:hAnsi="Times New Roman" w:cs="Times New Roman"/>
                <w:sz w:val="20"/>
                <w:szCs w:val="20"/>
              </w:rPr>
            </w:pPr>
            <w:r>
              <w:rPr>
                <w:rFonts w:ascii="Times New Roman" w:hAnsi="Times New Roman" w:cs="Times New Roman"/>
                <w:sz w:val="20"/>
                <w:szCs w:val="20"/>
              </w:rPr>
              <w:t>0/ 1842</w:t>
            </w:r>
          </w:p>
        </w:tc>
        <w:tc>
          <w:tcPr>
            <w:tcW w:w="1229" w:type="dxa"/>
          </w:tcPr>
          <w:p w:rsidR="0009060E" w:rsidRDefault="0009060E" w:rsidP="00B95459">
            <w:pPr>
              <w:pStyle w:val="AralkYok"/>
              <w:rPr>
                <w:rFonts w:ascii="Times New Roman" w:hAnsi="Times New Roman" w:cs="Times New Roman"/>
                <w:sz w:val="20"/>
                <w:szCs w:val="20"/>
              </w:rPr>
            </w:pPr>
          </w:p>
          <w:p w:rsidR="00B95459" w:rsidRPr="00DF0849" w:rsidRDefault="00B95459" w:rsidP="00B95459">
            <w:pPr>
              <w:pStyle w:val="AralkYok"/>
              <w:rPr>
                <w:rFonts w:ascii="Times New Roman" w:hAnsi="Times New Roman" w:cs="Times New Roman"/>
                <w:sz w:val="20"/>
                <w:szCs w:val="20"/>
              </w:rPr>
            </w:pPr>
            <w:r w:rsidRPr="00DF0849">
              <w:rPr>
                <w:rFonts w:ascii="Times New Roman" w:hAnsi="Times New Roman" w:cs="Times New Roman"/>
                <w:sz w:val="20"/>
                <w:szCs w:val="20"/>
              </w:rPr>
              <w:t>Ham toprak</w:t>
            </w:r>
          </w:p>
        </w:tc>
        <w:tc>
          <w:tcPr>
            <w:tcW w:w="1134" w:type="dxa"/>
          </w:tcPr>
          <w:p w:rsidR="00B95459" w:rsidRPr="00DF0849" w:rsidRDefault="00B95459" w:rsidP="00B95459">
            <w:pPr>
              <w:pStyle w:val="AralkYok"/>
              <w:rPr>
                <w:rFonts w:ascii="Times New Roman" w:hAnsi="Times New Roman" w:cs="Times New Roman"/>
                <w:sz w:val="20"/>
                <w:szCs w:val="20"/>
              </w:rPr>
            </w:pPr>
          </w:p>
          <w:p w:rsidR="00B95459" w:rsidRPr="00DF0849" w:rsidRDefault="00B95459" w:rsidP="0009060E">
            <w:pPr>
              <w:pStyle w:val="AralkYok"/>
              <w:jc w:val="center"/>
              <w:rPr>
                <w:rFonts w:ascii="Times New Roman" w:hAnsi="Times New Roman" w:cs="Times New Roman"/>
                <w:sz w:val="20"/>
                <w:szCs w:val="20"/>
              </w:rPr>
            </w:pPr>
            <w:r>
              <w:rPr>
                <w:rFonts w:ascii="Times New Roman" w:hAnsi="Times New Roman" w:cs="Times New Roman"/>
                <w:sz w:val="20"/>
                <w:szCs w:val="20"/>
              </w:rPr>
              <w:t>4.379,80</w:t>
            </w:r>
          </w:p>
        </w:tc>
        <w:tc>
          <w:tcPr>
            <w:tcW w:w="1559" w:type="dxa"/>
          </w:tcPr>
          <w:p w:rsidR="00B95459" w:rsidRPr="00DF0849" w:rsidRDefault="00B95459" w:rsidP="00B95459">
            <w:pPr>
              <w:pStyle w:val="AralkYok"/>
              <w:rPr>
                <w:rFonts w:ascii="Times New Roman" w:hAnsi="Times New Roman" w:cs="Times New Roman"/>
                <w:sz w:val="20"/>
                <w:szCs w:val="20"/>
              </w:rPr>
            </w:pPr>
          </w:p>
          <w:p w:rsidR="00B95459" w:rsidRPr="00DF0849" w:rsidRDefault="00B95459" w:rsidP="0009060E">
            <w:pPr>
              <w:pStyle w:val="AralkYok"/>
              <w:jc w:val="center"/>
              <w:rPr>
                <w:rFonts w:ascii="Times New Roman" w:hAnsi="Times New Roman" w:cs="Times New Roman"/>
                <w:sz w:val="20"/>
                <w:szCs w:val="20"/>
              </w:rPr>
            </w:pPr>
            <w:r>
              <w:rPr>
                <w:rFonts w:ascii="Times New Roman" w:hAnsi="Times New Roman" w:cs="Times New Roman"/>
                <w:sz w:val="20"/>
                <w:szCs w:val="20"/>
              </w:rPr>
              <w:t>4.379,80</w:t>
            </w:r>
          </w:p>
        </w:tc>
        <w:tc>
          <w:tcPr>
            <w:tcW w:w="1134" w:type="dxa"/>
          </w:tcPr>
          <w:p w:rsidR="00B95459" w:rsidRPr="00DF0849" w:rsidRDefault="00B95459" w:rsidP="00B95459">
            <w:pPr>
              <w:pStyle w:val="AralkYok"/>
              <w:rPr>
                <w:rFonts w:ascii="Times New Roman" w:hAnsi="Times New Roman" w:cs="Times New Roman"/>
                <w:sz w:val="20"/>
                <w:szCs w:val="20"/>
              </w:rPr>
            </w:pPr>
          </w:p>
          <w:p w:rsidR="00B95459" w:rsidRPr="00DF0849" w:rsidRDefault="00B95459" w:rsidP="00B95459">
            <w:pPr>
              <w:pStyle w:val="AralkYok"/>
              <w:rPr>
                <w:rFonts w:ascii="Times New Roman" w:hAnsi="Times New Roman" w:cs="Times New Roman"/>
                <w:sz w:val="20"/>
                <w:szCs w:val="20"/>
              </w:rPr>
            </w:pPr>
            <w:r w:rsidRPr="00DF0849">
              <w:rPr>
                <w:rFonts w:ascii="Times New Roman" w:hAnsi="Times New Roman" w:cs="Times New Roman"/>
                <w:sz w:val="20"/>
                <w:szCs w:val="20"/>
              </w:rPr>
              <w:t>İmarsız</w:t>
            </w:r>
          </w:p>
        </w:tc>
        <w:tc>
          <w:tcPr>
            <w:tcW w:w="1276" w:type="dxa"/>
          </w:tcPr>
          <w:p w:rsidR="00B95459" w:rsidRPr="00DF0849" w:rsidRDefault="00B95459" w:rsidP="00B95459">
            <w:pPr>
              <w:pStyle w:val="AralkYok"/>
              <w:rPr>
                <w:rFonts w:ascii="Times New Roman" w:hAnsi="Times New Roman" w:cs="Times New Roman"/>
                <w:sz w:val="20"/>
                <w:szCs w:val="20"/>
              </w:rPr>
            </w:pPr>
          </w:p>
          <w:p w:rsidR="00B95459" w:rsidRPr="00DF0849" w:rsidRDefault="00B95459" w:rsidP="00B95459">
            <w:pPr>
              <w:pStyle w:val="AralkYok"/>
              <w:rPr>
                <w:rFonts w:ascii="Times New Roman" w:hAnsi="Times New Roman" w:cs="Times New Roman"/>
                <w:sz w:val="20"/>
                <w:szCs w:val="20"/>
              </w:rPr>
            </w:pPr>
            <w:r>
              <w:rPr>
                <w:rFonts w:ascii="Times New Roman" w:hAnsi="Times New Roman" w:cs="Times New Roman"/>
                <w:sz w:val="20"/>
                <w:szCs w:val="20"/>
              </w:rPr>
              <w:t>1.400,00</w:t>
            </w:r>
          </w:p>
        </w:tc>
        <w:tc>
          <w:tcPr>
            <w:tcW w:w="1417" w:type="dxa"/>
          </w:tcPr>
          <w:p w:rsidR="00B95459" w:rsidRPr="00DF0849" w:rsidRDefault="00B95459" w:rsidP="00B95459">
            <w:pPr>
              <w:pStyle w:val="AralkYok"/>
              <w:rPr>
                <w:rFonts w:ascii="Times New Roman" w:hAnsi="Times New Roman" w:cs="Times New Roman"/>
                <w:sz w:val="20"/>
                <w:szCs w:val="20"/>
              </w:rPr>
            </w:pPr>
          </w:p>
          <w:p w:rsidR="00B95459" w:rsidRPr="00DF0849" w:rsidRDefault="00B95459" w:rsidP="00B95459">
            <w:pPr>
              <w:pStyle w:val="AralkYok"/>
              <w:rPr>
                <w:rFonts w:ascii="Times New Roman" w:hAnsi="Times New Roman" w:cs="Times New Roman"/>
                <w:sz w:val="20"/>
                <w:szCs w:val="20"/>
              </w:rPr>
            </w:pPr>
            <w:r>
              <w:rPr>
                <w:rFonts w:ascii="Times New Roman" w:hAnsi="Times New Roman" w:cs="Times New Roman"/>
                <w:sz w:val="20"/>
                <w:szCs w:val="20"/>
              </w:rPr>
              <w:t>6.131.790,00</w:t>
            </w:r>
          </w:p>
        </w:tc>
        <w:tc>
          <w:tcPr>
            <w:tcW w:w="1701" w:type="dxa"/>
          </w:tcPr>
          <w:p w:rsidR="00B95459" w:rsidRDefault="00B95459" w:rsidP="00B95459">
            <w:pPr>
              <w:pStyle w:val="AralkYok"/>
              <w:rPr>
                <w:rFonts w:ascii="Times New Roman" w:hAnsi="Times New Roman" w:cs="Times New Roman"/>
                <w:sz w:val="20"/>
                <w:szCs w:val="20"/>
              </w:rPr>
            </w:pPr>
          </w:p>
          <w:p w:rsidR="00B95459" w:rsidRDefault="00B95459" w:rsidP="00C90F97">
            <w:pPr>
              <w:pStyle w:val="AralkYok"/>
              <w:jc w:val="center"/>
              <w:rPr>
                <w:rFonts w:ascii="Times New Roman" w:hAnsi="Times New Roman" w:cs="Times New Roman"/>
                <w:sz w:val="20"/>
                <w:szCs w:val="20"/>
              </w:rPr>
            </w:pPr>
            <w:bookmarkStart w:id="0" w:name="_GoBack"/>
            <w:r>
              <w:rPr>
                <w:rFonts w:ascii="Times New Roman" w:hAnsi="Times New Roman" w:cs="Times New Roman"/>
                <w:sz w:val="20"/>
                <w:szCs w:val="20"/>
              </w:rPr>
              <w:t>0</w:t>
            </w:r>
            <w:r w:rsidR="00677211">
              <w:rPr>
                <w:rFonts w:ascii="Times New Roman" w:hAnsi="Times New Roman" w:cs="Times New Roman"/>
                <w:sz w:val="20"/>
                <w:szCs w:val="20"/>
              </w:rPr>
              <w:t>6</w:t>
            </w:r>
            <w:r>
              <w:rPr>
                <w:rFonts w:ascii="Times New Roman" w:hAnsi="Times New Roman" w:cs="Times New Roman"/>
                <w:sz w:val="20"/>
                <w:szCs w:val="20"/>
              </w:rPr>
              <w:t>.0</w:t>
            </w:r>
            <w:r w:rsidR="00677211">
              <w:rPr>
                <w:rFonts w:ascii="Times New Roman" w:hAnsi="Times New Roman" w:cs="Times New Roman"/>
                <w:sz w:val="20"/>
                <w:szCs w:val="20"/>
              </w:rPr>
              <w:t>9</w:t>
            </w:r>
            <w:r>
              <w:rPr>
                <w:rFonts w:ascii="Times New Roman" w:hAnsi="Times New Roman" w:cs="Times New Roman"/>
                <w:sz w:val="20"/>
                <w:szCs w:val="20"/>
              </w:rPr>
              <w:t>.2024</w:t>
            </w:r>
          </w:p>
          <w:bookmarkEnd w:id="0"/>
          <w:p w:rsidR="00B95459" w:rsidRPr="00DF0849" w:rsidRDefault="00B95459" w:rsidP="00C90F97">
            <w:pPr>
              <w:pStyle w:val="AralkYok"/>
              <w:jc w:val="center"/>
              <w:rPr>
                <w:rFonts w:ascii="Times New Roman" w:hAnsi="Times New Roman" w:cs="Times New Roman"/>
                <w:sz w:val="20"/>
                <w:szCs w:val="20"/>
              </w:rPr>
            </w:pPr>
            <w:proofErr w:type="gramStart"/>
            <w:r>
              <w:rPr>
                <w:rFonts w:ascii="Times New Roman" w:hAnsi="Times New Roman" w:cs="Times New Roman"/>
                <w:sz w:val="20"/>
                <w:szCs w:val="20"/>
              </w:rPr>
              <w:t>17:00</w:t>
            </w:r>
            <w:proofErr w:type="gramEnd"/>
          </w:p>
        </w:tc>
      </w:tr>
    </w:tbl>
    <w:p w:rsidR="005277F8" w:rsidRPr="003552A4" w:rsidRDefault="005277F8" w:rsidP="0009060E">
      <w:pPr>
        <w:shd w:val="clear" w:color="auto" w:fill="FFFFFF"/>
        <w:spacing w:after="345" w:line="300" w:lineRule="atLeast"/>
        <w:ind w:firstLine="708"/>
        <w:jc w:val="both"/>
        <w:rPr>
          <w:rFonts w:ascii="Times New Roman" w:eastAsia="Times New Roman" w:hAnsi="Times New Roman" w:cs="Times New Roman"/>
          <w:color w:val="1A1A1E"/>
          <w:lang w:eastAsia="tr-TR"/>
        </w:rPr>
      </w:pPr>
      <w:r w:rsidRPr="003552A4">
        <w:rPr>
          <w:rFonts w:ascii="Times New Roman" w:eastAsia="Times New Roman" w:hAnsi="Times New Roman" w:cs="Times New Roman"/>
          <w:color w:val="1A1A1E"/>
          <w:lang w:eastAsia="tr-TR"/>
        </w:rPr>
        <w:t xml:space="preserve">4706 sayılı Kanunun Ek-3’ncü maddesi ile </w:t>
      </w:r>
      <w:proofErr w:type="gramStart"/>
      <w:r w:rsidRPr="003552A4">
        <w:rPr>
          <w:rFonts w:ascii="Times New Roman" w:eastAsia="Times New Roman" w:hAnsi="Times New Roman" w:cs="Times New Roman"/>
          <w:color w:val="1A1A1E"/>
          <w:lang w:eastAsia="tr-TR"/>
        </w:rPr>
        <w:t>15/06/2012</w:t>
      </w:r>
      <w:proofErr w:type="gramEnd"/>
      <w:r w:rsidRPr="003552A4">
        <w:rPr>
          <w:rFonts w:ascii="Times New Roman" w:eastAsia="Times New Roman" w:hAnsi="Times New Roman" w:cs="Times New Roman"/>
          <w:color w:val="1A1A1E"/>
          <w:lang w:eastAsia="tr-TR"/>
        </w:rPr>
        <w:t xml:space="preserve"> tarihli ve 2012/3305 sayılı Bakanlar Kurulu kararıyla yürürlüğe konulan Yatırımlarda Devlet Yardımları Hakkında Karara dayanılarak yayımlanan Kamu Taşınmazlarının Yatırımlara Tahsisine İlişkin Usul ve Esaslara göre aşağıda yer alan mülkiyeti Hazineye ait taşınmazlar üzerinde gerçek ve tüzel kişiler lehine </w:t>
      </w:r>
      <w:r w:rsidRPr="003552A4">
        <w:rPr>
          <w:rFonts w:ascii="Times New Roman" w:eastAsia="Times New Roman" w:hAnsi="Times New Roman" w:cs="Times New Roman"/>
          <w:color w:val="1A1A1E"/>
          <w:highlight w:val="yellow"/>
          <w:lang w:eastAsia="tr-TR"/>
        </w:rPr>
        <w:t>49</w:t>
      </w:r>
      <w:r w:rsidRPr="003552A4">
        <w:rPr>
          <w:rFonts w:ascii="Times New Roman" w:eastAsia="Times New Roman" w:hAnsi="Times New Roman" w:cs="Times New Roman"/>
          <w:color w:val="1A1A1E"/>
          <w:lang w:eastAsia="tr-TR"/>
        </w:rPr>
        <w:t xml:space="preserve"> yıl süreli bağımsız ve sürekli nitelikli irtifak hakkı tesis edilecektir.</w:t>
      </w:r>
    </w:p>
    <w:p w:rsidR="00960243" w:rsidRDefault="005277F8" w:rsidP="00B95459">
      <w:pPr>
        <w:pStyle w:val="AralkYok"/>
        <w:jc w:val="both"/>
        <w:rPr>
          <w:rFonts w:ascii="Arial" w:eastAsia="Times New Roman" w:hAnsi="Arial" w:cs="Arial"/>
          <w:color w:val="1A1A1E"/>
          <w:sz w:val="21"/>
          <w:szCs w:val="21"/>
          <w:lang w:eastAsia="tr-TR"/>
        </w:rPr>
      </w:pPr>
      <w:r w:rsidRPr="005277F8">
        <w:rPr>
          <w:rFonts w:ascii="Arial" w:eastAsia="Times New Roman" w:hAnsi="Arial" w:cs="Arial"/>
          <w:color w:val="1A1A1E"/>
          <w:sz w:val="21"/>
          <w:szCs w:val="21"/>
          <w:lang w:eastAsia="tr-TR"/>
        </w:rPr>
        <w:t> </w:t>
      </w:r>
      <w:r w:rsidR="00D9368E">
        <w:rPr>
          <w:rFonts w:ascii="Arial" w:eastAsia="Times New Roman" w:hAnsi="Arial" w:cs="Arial"/>
          <w:color w:val="1A1A1E"/>
          <w:sz w:val="21"/>
          <w:szCs w:val="21"/>
          <w:lang w:eastAsia="tr-TR"/>
        </w:rPr>
        <w:tab/>
      </w:r>
    </w:p>
    <w:p w:rsidR="00B95459" w:rsidRPr="00B95459" w:rsidRDefault="005277F8" w:rsidP="00960243">
      <w:pPr>
        <w:pStyle w:val="AralkYok"/>
        <w:ind w:firstLine="708"/>
        <w:jc w:val="both"/>
        <w:rPr>
          <w:rFonts w:ascii="Times New Roman" w:hAnsi="Times New Roman" w:cs="Times New Roman"/>
          <w:b/>
          <w:sz w:val="20"/>
          <w:szCs w:val="20"/>
          <w:lang w:eastAsia="tr-TR"/>
        </w:rPr>
      </w:pPr>
      <w:r w:rsidRPr="00B95459">
        <w:rPr>
          <w:rFonts w:ascii="Times New Roman" w:hAnsi="Times New Roman" w:cs="Times New Roman"/>
          <w:b/>
          <w:sz w:val="20"/>
          <w:szCs w:val="20"/>
          <w:lang w:eastAsia="tr-TR"/>
        </w:rPr>
        <w:t xml:space="preserve">Teşvikten Yararlanma </w:t>
      </w:r>
      <w:proofErr w:type="gramStart"/>
      <w:r w:rsidRPr="00B95459">
        <w:rPr>
          <w:rFonts w:ascii="Times New Roman" w:hAnsi="Times New Roman" w:cs="Times New Roman"/>
          <w:b/>
          <w:sz w:val="20"/>
          <w:szCs w:val="20"/>
          <w:lang w:eastAsia="tr-TR"/>
        </w:rPr>
        <w:t>Şartları :</w:t>
      </w:r>
      <w:proofErr w:type="gramEnd"/>
    </w:p>
    <w:p w:rsidR="00283C52" w:rsidRPr="00B95459" w:rsidRDefault="005277F8" w:rsidP="00B95459">
      <w:pPr>
        <w:pStyle w:val="AralkYok"/>
        <w:ind w:firstLine="708"/>
        <w:jc w:val="both"/>
        <w:rPr>
          <w:rFonts w:ascii="Times New Roman" w:hAnsi="Times New Roman" w:cs="Times New Roman"/>
          <w:sz w:val="20"/>
          <w:szCs w:val="20"/>
          <w:lang w:eastAsia="tr-TR"/>
        </w:rPr>
      </w:pPr>
      <w:proofErr w:type="gramStart"/>
      <w:r w:rsidRPr="00B95459">
        <w:rPr>
          <w:rFonts w:ascii="Times New Roman" w:hAnsi="Times New Roman" w:cs="Times New Roman"/>
          <w:b/>
          <w:sz w:val="20"/>
          <w:szCs w:val="20"/>
          <w:lang w:eastAsia="tr-TR"/>
        </w:rPr>
        <w:t>1-</w:t>
      </w:r>
      <w:r w:rsidRPr="00B95459">
        <w:rPr>
          <w:rFonts w:ascii="Times New Roman" w:hAnsi="Times New Roman" w:cs="Times New Roman"/>
          <w:sz w:val="20"/>
          <w:szCs w:val="20"/>
          <w:lang w:eastAsia="tr-TR"/>
        </w:rPr>
        <w:t xml:space="preserve"> </w:t>
      </w:r>
      <w:r w:rsidR="007A50DD" w:rsidRPr="00B95459">
        <w:rPr>
          <w:rFonts w:ascii="Times New Roman" w:hAnsi="Times New Roman" w:cs="Times New Roman"/>
          <w:sz w:val="20"/>
          <w:szCs w:val="20"/>
          <w:lang w:eastAsia="tr-TR"/>
        </w:rPr>
        <w:t xml:space="preserve">Sanayi ve Teknoloji </w:t>
      </w:r>
      <w:r w:rsidRPr="00B95459">
        <w:rPr>
          <w:rFonts w:ascii="Times New Roman" w:hAnsi="Times New Roman" w:cs="Times New Roman"/>
          <w:sz w:val="20"/>
          <w:szCs w:val="20"/>
          <w:lang w:eastAsia="tr-TR"/>
        </w:rPr>
        <w:t>Bakanlığınca (Teşvik Uygulama ve Yabancı Sermaye Genel Müdürlüğü) verilmiş yatırım yeri tahsisi destek unsurunu içeren yatırım teşvik belgesi sahibi olan veya yatırım teşvik belgesine esas olmak üzere firma adı, yatırımın konusu, kapasitesi gibi yatırımın karakteristik değerlerini içerecek şekilde yatırım yeri tahsis edileceğine ilişkin yazı verilmiş olanlar.</w:t>
      </w:r>
      <w:proofErr w:type="gramEnd"/>
    </w:p>
    <w:p w:rsidR="005277F8" w:rsidRPr="00B95459" w:rsidRDefault="005277F8" w:rsidP="00B95459">
      <w:pPr>
        <w:pStyle w:val="AralkYok"/>
        <w:ind w:firstLine="708"/>
        <w:jc w:val="both"/>
        <w:rPr>
          <w:rFonts w:ascii="Times New Roman" w:hAnsi="Times New Roman" w:cs="Times New Roman"/>
          <w:sz w:val="20"/>
          <w:szCs w:val="20"/>
          <w:lang w:eastAsia="tr-TR"/>
        </w:rPr>
      </w:pPr>
      <w:proofErr w:type="gramStart"/>
      <w:r w:rsidRPr="00B95459">
        <w:rPr>
          <w:rFonts w:ascii="Times New Roman" w:hAnsi="Times New Roman" w:cs="Times New Roman"/>
          <w:b/>
          <w:sz w:val="20"/>
          <w:szCs w:val="20"/>
          <w:lang w:eastAsia="tr-TR"/>
        </w:rPr>
        <w:t>2 -</w:t>
      </w:r>
      <w:r w:rsidRPr="00B95459">
        <w:rPr>
          <w:rFonts w:ascii="Times New Roman" w:hAnsi="Times New Roman" w:cs="Times New Roman"/>
          <w:sz w:val="20"/>
          <w:szCs w:val="20"/>
          <w:lang w:eastAsia="tr-TR"/>
        </w:rPr>
        <w:t xml:space="preserve"> İrtifak hakkı veya kullanma iznine konu taşınmazlar üzerinde gerçekleştirilecek toplam yatırım tutarı  taşınmaz maliki idarelerce bu taşınmazlara takdir edilecek rayiç değerin,  tarım, hayvancılık ve eğitim yatırımları için bir, turizm yatırımları için iki, diğer yatırımlar için üç katından az olmayan; (ancak, toplam sabit yatırım tutarı I ve II </w:t>
      </w:r>
      <w:proofErr w:type="spellStart"/>
      <w:r w:rsidRPr="00B95459">
        <w:rPr>
          <w:rFonts w:ascii="Times New Roman" w:hAnsi="Times New Roman" w:cs="Times New Roman"/>
          <w:sz w:val="20"/>
          <w:szCs w:val="20"/>
          <w:lang w:eastAsia="tr-TR"/>
        </w:rPr>
        <w:t>nci</w:t>
      </w:r>
      <w:proofErr w:type="spellEnd"/>
      <w:r w:rsidRPr="00B95459">
        <w:rPr>
          <w:rFonts w:ascii="Times New Roman" w:hAnsi="Times New Roman" w:cs="Times New Roman"/>
          <w:sz w:val="20"/>
          <w:szCs w:val="20"/>
          <w:lang w:eastAsia="tr-TR"/>
        </w:rPr>
        <w:t xml:space="preserve"> bölgelerde </w:t>
      </w:r>
      <w:proofErr w:type="spellStart"/>
      <w:r w:rsidRPr="00B95459">
        <w:rPr>
          <w:rFonts w:ascii="Times New Roman" w:hAnsi="Times New Roman" w:cs="Times New Roman"/>
          <w:sz w:val="20"/>
          <w:szCs w:val="20"/>
          <w:lang w:eastAsia="tr-TR"/>
        </w:rPr>
        <w:t>birmilyon</w:t>
      </w:r>
      <w:proofErr w:type="spellEnd"/>
      <w:r w:rsidRPr="00B95459">
        <w:rPr>
          <w:rFonts w:ascii="Times New Roman" w:hAnsi="Times New Roman" w:cs="Times New Roman"/>
          <w:sz w:val="20"/>
          <w:szCs w:val="20"/>
          <w:lang w:eastAsia="tr-TR"/>
        </w:rPr>
        <w:t xml:space="preserve"> Türk Lirası, III, IV, V ve VI </w:t>
      </w:r>
      <w:proofErr w:type="spellStart"/>
      <w:r w:rsidRPr="00B95459">
        <w:rPr>
          <w:rFonts w:ascii="Times New Roman" w:hAnsi="Times New Roman" w:cs="Times New Roman"/>
          <w:sz w:val="20"/>
          <w:szCs w:val="20"/>
          <w:lang w:eastAsia="tr-TR"/>
        </w:rPr>
        <w:t>ncı</w:t>
      </w:r>
      <w:proofErr w:type="spellEnd"/>
      <w:r w:rsidRPr="00B95459">
        <w:rPr>
          <w:rFonts w:ascii="Times New Roman" w:hAnsi="Times New Roman" w:cs="Times New Roman"/>
          <w:sz w:val="20"/>
          <w:szCs w:val="20"/>
          <w:lang w:eastAsia="tr-TR"/>
        </w:rPr>
        <w:t xml:space="preserve"> bölgelerde ise </w:t>
      </w:r>
      <w:proofErr w:type="spellStart"/>
      <w:r w:rsidRPr="00B95459">
        <w:rPr>
          <w:rFonts w:ascii="Times New Roman" w:hAnsi="Times New Roman" w:cs="Times New Roman"/>
          <w:sz w:val="20"/>
          <w:szCs w:val="20"/>
          <w:lang w:eastAsia="tr-TR"/>
        </w:rPr>
        <w:t>beşyüzbin</w:t>
      </w:r>
      <w:proofErr w:type="spellEnd"/>
      <w:r w:rsidRPr="00B95459">
        <w:rPr>
          <w:rFonts w:ascii="Times New Roman" w:hAnsi="Times New Roman" w:cs="Times New Roman"/>
          <w:sz w:val="20"/>
          <w:szCs w:val="20"/>
          <w:lang w:eastAsia="tr-TR"/>
        </w:rPr>
        <w:t xml:space="preserve"> Türk Lirasından az olmayan)</w:t>
      </w:r>
      <w:proofErr w:type="gramEnd"/>
    </w:p>
    <w:p w:rsidR="00283C52" w:rsidRPr="00B95459" w:rsidRDefault="00283C52" w:rsidP="00B95459">
      <w:pPr>
        <w:pStyle w:val="AralkYok"/>
        <w:jc w:val="both"/>
        <w:rPr>
          <w:rFonts w:ascii="Times New Roman" w:hAnsi="Times New Roman" w:cs="Times New Roman"/>
          <w:sz w:val="20"/>
          <w:szCs w:val="20"/>
          <w:lang w:eastAsia="tr-TR"/>
        </w:rPr>
      </w:pPr>
    </w:p>
    <w:p w:rsidR="005277F8" w:rsidRPr="00B95459" w:rsidRDefault="005277F8" w:rsidP="00B95459">
      <w:pPr>
        <w:pStyle w:val="AralkYok"/>
        <w:ind w:firstLine="708"/>
        <w:jc w:val="both"/>
        <w:rPr>
          <w:rFonts w:ascii="Times New Roman" w:hAnsi="Times New Roman" w:cs="Times New Roman"/>
          <w:sz w:val="20"/>
          <w:szCs w:val="20"/>
          <w:lang w:eastAsia="tr-TR"/>
        </w:rPr>
      </w:pPr>
      <w:r w:rsidRPr="00B95459">
        <w:rPr>
          <w:rFonts w:ascii="Times New Roman" w:hAnsi="Times New Roman" w:cs="Times New Roman"/>
          <w:b/>
          <w:sz w:val="20"/>
          <w:szCs w:val="20"/>
          <w:lang w:eastAsia="tr-TR"/>
        </w:rPr>
        <w:t>3 -</w:t>
      </w:r>
      <w:r w:rsidRPr="00B95459">
        <w:rPr>
          <w:rFonts w:ascii="Times New Roman" w:hAnsi="Times New Roman" w:cs="Times New Roman"/>
          <w:sz w:val="20"/>
          <w:szCs w:val="20"/>
          <w:lang w:eastAsia="tr-TR"/>
        </w:rPr>
        <w:t xml:space="preserve">Taahhüt edilen yatırımın en az yüzde yirmisini (%20) karşılayacak miktarda taahhüt içermeyen </w:t>
      </w:r>
      <w:proofErr w:type="spellStart"/>
      <w:r w:rsidRPr="00B95459">
        <w:rPr>
          <w:rFonts w:ascii="Times New Roman" w:hAnsi="Times New Roman" w:cs="Times New Roman"/>
          <w:sz w:val="20"/>
          <w:szCs w:val="20"/>
          <w:lang w:eastAsia="tr-TR"/>
        </w:rPr>
        <w:t>özkaynağa</w:t>
      </w:r>
      <w:proofErr w:type="spellEnd"/>
      <w:r w:rsidRPr="00B95459">
        <w:rPr>
          <w:rFonts w:ascii="Times New Roman" w:hAnsi="Times New Roman" w:cs="Times New Roman"/>
          <w:sz w:val="20"/>
          <w:szCs w:val="20"/>
          <w:lang w:eastAsia="tr-TR"/>
        </w:rPr>
        <w:t xml:space="preserve"> sahip olan. </w:t>
      </w:r>
      <w:proofErr w:type="gramStart"/>
      <w:r w:rsidRPr="00B95459">
        <w:rPr>
          <w:rFonts w:ascii="Times New Roman" w:hAnsi="Times New Roman" w:cs="Times New Roman"/>
          <w:sz w:val="20"/>
          <w:szCs w:val="20"/>
          <w:lang w:eastAsia="tr-TR"/>
        </w:rPr>
        <w:t>(</w:t>
      </w:r>
      <w:proofErr w:type="gramEnd"/>
      <w:r w:rsidRPr="00B95459">
        <w:rPr>
          <w:rFonts w:ascii="Times New Roman" w:hAnsi="Times New Roman" w:cs="Times New Roman"/>
          <w:sz w:val="20"/>
          <w:szCs w:val="20"/>
          <w:lang w:eastAsia="tr-TR"/>
        </w:rPr>
        <w:t xml:space="preserve">- Yatırım teşvik belgesi / yatırım bilgi formunda </w:t>
      </w:r>
      <w:proofErr w:type="gramStart"/>
      <w:r w:rsidRPr="00B95459">
        <w:rPr>
          <w:rFonts w:ascii="Times New Roman" w:hAnsi="Times New Roman" w:cs="Times New Roman"/>
          <w:sz w:val="20"/>
          <w:szCs w:val="20"/>
          <w:lang w:eastAsia="tr-TR"/>
        </w:rPr>
        <w:t>yer</w:t>
      </w:r>
      <w:proofErr w:type="gramEnd"/>
      <w:r w:rsidRPr="00B95459">
        <w:rPr>
          <w:rFonts w:ascii="Times New Roman" w:hAnsi="Times New Roman" w:cs="Times New Roman"/>
          <w:sz w:val="20"/>
          <w:szCs w:val="20"/>
          <w:lang w:eastAsia="tr-TR"/>
        </w:rPr>
        <w:t xml:space="preserve"> alan sabit yatırım tutarının % 20 sini karşılayacak net </w:t>
      </w:r>
      <w:proofErr w:type="spellStart"/>
      <w:r w:rsidRPr="00B95459">
        <w:rPr>
          <w:rFonts w:ascii="Times New Roman" w:hAnsi="Times New Roman" w:cs="Times New Roman"/>
          <w:sz w:val="20"/>
          <w:szCs w:val="20"/>
          <w:lang w:eastAsia="tr-TR"/>
        </w:rPr>
        <w:t>özkaynak</w:t>
      </w:r>
      <w:proofErr w:type="spellEnd"/>
      <w:r w:rsidRPr="00B95459">
        <w:rPr>
          <w:rFonts w:ascii="Times New Roman" w:hAnsi="Times New Roman" w:cs="Times New Roman"/>
          <w:sz w:val="20"/>
          <w:szCs w:val="20"/>
          <w:lang w:eastAsia="tr-TR"/>
        </w:rPr>
        <w:t xml:space="preserve"> tutarının ödenerek muhasebeleştirilmesi halinde nakden ödenen tutarları için kasa kayıt belgesi ve/veya banka dekontlarının eklenmesi gerekmektedir. Herhangi bir taahhüt ve banka hesap blokesi kabul edilmeyecektir.</w:t>
      </w:r>
      <w:proofErr w:type="gramStart"/>
      <w:r w:rsidRPr="00B95459">
        <w:rPr>
          <w:rFonts w:ascii="Times New Roman" w:hAnsi="Times New Roman" w:cs="Times New Roman"/>
          <w:sz w:val="20"/>
          <w:szCs w:val="20"/>
          <w:lang w:eastAsia="tr-TR"/>
        </w:rPr>
        <w:t>)</w:t>
      </w:r>
      <w:proofErr w:type="gramEnd"/>
    </w:p>
    <w:p w:rsidR="00283C52" w:rsidRPr="00B95459" w:rsidRDefault="00283C52" w:rsidP="00B95459">
      <w:pPr>
        <w:pStyle w:val="AralkYok"/>
        <w:jc w:val="both"/>
        <w:rPr>
          <w:rFonts w:ascii="Times New Roman" w:hAnsi="Times New Roman" w:cs="Times New Roman"/>
          <w:sz w:val="20"/>
          <w:szCs w:val="20"/>
          <w:lang w:eastAsia="tr-TR"/>
        </w:rPr>
      </w:pPr>
    </w:p>
    <w:p w:rsidR="005277F8" w:rsidRPr="00B95459" w:rsidRDefault="005277F8" w:rsidP="00B95459">
      <w:pPr>
        <w:pStyle w:val="AralkYok"/>
        <w:ind w:firstLine="708"/>
        <w:jc w:val="both"/>
        <w:rPr>
          <w:rFonts w:ascii="Times New Roman" w:hAnsi="Times New Roman" w:cs="Times New Roman"/>
          <w:sz w:val="20"/>
          <w:szCs w:val="20"/>
          <w:lang w:eastAsia="tr-TR"/>
        </w:rPr>
      </w:pPr>
      <w:r w:rsidRPr="00B95459">
        <w:rPr>
          <w:rFonts w:ascii="Times New Roman" w:hAnsi="Times New Roman" w:cs="Times New Roman"/>
          <w:b/>
          <w:sz w:val="20"/>
          <w:szCs w:val="20"/>
          <w:lang w:eastAsia="tr-TR"/>
        </w:rPr>
        <w:t>4-</w:t>
      </w:r>
      <w:r w:rsidRPr="00B95459">
        <w:rPr>
          <w:rFonts w:ascii="Times New Roman" w:hAnsi="Times New Roman" w:cs="Times New Roman"/>
          <w:sz w:val="20"/>
          <w:szCs w:val="20"/>
          <w:lang w:eastAsia="tr-TR"/>
        </w:rPr>
        <w:t xml:space="preserve"> Talep edilen taşınmazın bulunduğu ilçenin mülki sınırları içinde organize sanayi veya </w:t>
      </w:r>
      <w:proofErr w:type="spellStart"/>
      <w:r w:rsidRPr="00B95459">
        <w:rPr>
          <w:rFonts w:ascii="Times New Roman" w:hAnsi="Times New Roman" w:cs="Times New Roman"/>
          <w:sz w:val="20"/>
          <w:szCs w:val="20"/>
          <w:lang w:eastAsia="tr-TR"/>
        </w:rPr>
        <w:t>endrüstri</w:t>
      </w:r>
      <w:proofErr w:type="spellEnd"/>
      <w:r w:rsidRPr="00B95459">
        <w:rPr>
          <w:rFonts w:ascii="Times New Roman" w:hAnsi="Times New Roman" w:cs="Times New Roman"/>
          <w:sz w:val="20"/>
          <w:szCs w:val="20"/>
          <w:lang w:eastAsia="tr-TR"/>
        </w:rPr>
        <w:t xml:space="preserve"> bölgesi bulunması halinde bu bölgelerde yer alabilecek yatırımlar için tahsis edilebilecek boş parsel bulunmaması veya bölgelerde yapılması uygun görülmeyen yatırımlardan olması şartlarını taşıyan,</w:t>
      </w:r>
    </w:p>
    <w:p w:rsidR="005277F8" w:rsidRPr="00B95459" w:rsidRDefault="005277F8" w:rsidP="00B95459">
      <w:pPr>
        <w:pStyle w:val="AralkYok"/>
        <w:ind w:firstLine="708"/>
        <w:jc w:val="both"/>
        <w:rPr>
          <w:rFonts w:ascii="Times New Roman" w:eastAsia="Times New Roman" w:hAnsi="Times New Roman" w:cs="Times New Roman"/>
          <w:color w:val="1A1A1E"/>
          <w:sz w:val="20"/>
          <w:szCs w:val="20"/>
          <w:lang w:eastAsia="tr-TR"/>
        </w:rPr>
      </w:pPr>
      <w:r w:rsidRPr="00B95459">
        <w:rPr>
          <w:rFonts w:ascii="Times New Roman" w:eastAsia="Times New Roman" w:hAnsi="Times New Roman" w:cs="Times New Roman"/>
          <w:b/>
          <w:color w:val="1A1A1E"/>
          <w:sz w:val="20"/>
          <w:szCs w:val="20"/>
          <w:lang w:eastAsia="tr-TR"/>
        </w:rPr>
        <w:t>5-</w:t>
      </w:r>
      <w:r w:rsidRPr="00B95459">
        <w:rPr>
          <w:rFonts w:ascii="Times New Roman" w:eastAsia="Times New Roman" w:hAnsi="Times New Roman" w:cs="Times New Roman"/>
          <w:color w:val="1A1A1E"/>
          <w:sz w:val="20"/>
          <w:szCs w:val="20"/>
          <w:lang w:eastAsia="tr-TR"/>
        </w:rPr>
        <w:t xml:space="preserve"> Taahhüt edilen yatırımın toplam tutarı elli milyon Türk Lirasını aşan yatırımlarda fizibilite raporu ve finansman tablosunu veren, Kamu Taşınmazlarının Yatırımlara Tahsisine İlişkin Usul ve Esaslarda belirtilen diğer şartları yerine getiren gerçek ve tüzel kişiler yatırım yeri teşvikinden yararlanabilecektir.</w:t>
      </w:r>
    </w:p>
    <w:p w:rsidR="005277F8" w:rsidRPr="00B95459" w:rsidRDefault="005277F8" w:rsidP="00B95459">
      <w:pPr>
        <w:pStyle w:val="AralkYok"/>
        <w:ind w:firstLine="708"/>
        <w:jc w:val="both"/>
        <w:rPr>
          <w:rFonts w:ascii="Times New Roman" w:hAnsi="Times New Roman" w:cs="Times New Roman"/>
          <w:sz w:val="20"/>
          <w:szCs w:val="20"/>
          <w:lang w:eastAsia="tr-TR"/>
        </w:rPr>
      </w:pPr>
      <w:r w:rsidRPr="00B95459">
        <w:rPr>
          <w:rFonts w:ascii="Times New Roman" w:hAnsi="Times New Roman" w:cs="Times New Roman"/>
          <w:b/>
          <w:sz w:val="20"/>
          <w:szCs w:val="20"/>
          <w:lang w:eastAsia="tr-TR"/>
        </w:rPr>
        <w:t>6-</w:t>
      </w:r>
      <w:r w:rsidRPr="00B95459">
        <w:rPr>
          <w:rFonts w:ascii="Times New Roman" w:hAnsi="Times New Roman" w:cs="Times New Roman"/>
          <w:sz w:val="20"/>
          <w:szCs w:val="20"/>
          <w:lang w:eastAsia="tr-TR"/>
        </w:rPr>
        <w:t xml:space="preserve"> Yatırımın ne şekilde finanse edileceğini beyan eden,</w:t>
      </w:r>
    </w:p>
    <w:p w:rsidR="00283C52" w:rsidRPr="00B95459" w:rsidRDefault="00283C52" w:rsidP="00B95459">
      <w:pPr>
        <w:pStyle w:val="AralkYok"/>
        <w:jc w:val="both"/>
        <w:rPr>
          <w:rFonts w:ascii="Times New Roman" w:hAnsi="Times New Roman" w:cs="Times New Roman"/>
          <w:sz w:val="20"/>
          <w:szCs w:val="20"/>
          <w:lang w:eastAsia="tr-TR"/>
        </w:rPr>
      </w:pPr>
    </w:p>
    <w:p w:rsidR="005277F8" w:rsidRPr="00B95459" w:rsidRDefault="005277F8" w:rsidP="00B95459">
      <w:pPr>
        <w:pStyle w:val="AralkYok"/>
        <w:ind w:firstLine="708"/>
        <w:jc w:val="both"/>
        <w:rPr>
          <w:rFonts w:ascii="Times New Roman" w:hAnsi="Times New Roman" w:cs="Times New Roman"/>
          <w:sz w:val="20"/>
          <w:szCs w:val="20"/>
          <w:lang w:eastAsia="tr-TR"/>
        </w:rPr>
      </w:pPr>
      <w:r w:rsidRPr="00B95459">
        <w:rPr>
          <w:rFonts w:ascii="Times New Roman" w:hAnsi="Times New Roman" w:cs="Times New Roman"/>
          <w:b/>
          <w:sz w:val="20"/>
          <w:szCs w:val="20"/>
          <w:lang w:eastAsia="tr-TR"/>
        </w:rPr>
        <w:t xml:space="preserve">7- </w:t>
      </w:r>
      <w:r w:rsidRPr="00B95459">
        <w:rPr>
          <w:rFonts w:ascii="Times New Roman" w:hAnsi="Times New Roman" w:cs="Times New Roman"/>
          <w:sz w:val="20"/>
          <w:szCs w:val="20"/>
          <w:lang w:eastAsia="tr-TR"/>
        </w:rPr>
        <w:t>Kamu Taşınmazlarının Yatırımlara Tahsisine İlişkin Usul ve Esaslarda belirtilen diğer şartları yerine getiren,</w:t>
      </w:r>
    </w:p>
    <w:p w:rsidR="00283C52" w:rsidRPr="00B95459" w:rsidRDefault="00283C52" w:rsidP="00B95459">
      <w:pPr>
        <w:pStyle w:val="AralkYok"/>
        <w:jc w:val="both"/>
        <w:rPr>
          <w:rFonts w:ascii="Times New Roman" w:hAnsi="Times New Roman" w:cs="Times New Roman"/>
          <w:sz w:val="20"/>
          <w:szCs w:val="20"/>
          <w:lang w:eastAsia="tr-TR"/>
        </w:rPr>
      </w:pPr>
    </w:p>
    <w:p w:rsidR="005277F8" w:rsidRPr="00B95459" w:rsidRDefault="005277F8" w:rsidP="00B95459">
      <w:pPr>
        <w:pStyle w:val="AralkYok"/>
        <w:ind w:firstLine="708"/>
        <w:jc w:val="both"/>
        <w:rPr>
          <w:rFonts w:ascii="Times New Roman" w:hAnsi="Times New Roman" w:cs="Times New Roman"/>
          <w:sz w:val="20"/>
          <w:szCs w:val="20"/>
          <w:lang w:eastAsia="tr-TR"/>
        </w:rPr>
      </w:pPr>
      <w:r w:rsidRPr="00B95459">
        <w:rPr>
          <w:rFonts w:ascii="Times New Roman" w:hAnsi="Times New Roman" w:cs="Times New Roman"/>
          <w:b/>
          <w:sz w:val="20"/>
          <w:szCs w:val="20"/>
          <w:lang w:eastAsia="tr-TR"/>
        </w:rPr>
        <w:t>8-</w:t>
      </w:r>
      <w:r w:rsidRPr="00B95459">
        <w:rPr>
          <w:rFonts w:ascii="Times New Roman" w:hAnsi="Times New Roman" w:cs="Times New Roman"/>
          <w:sz w:val="20"/>
          <w:szCs w:val="20"/>
          <w:lang w:eastAsia="tr-TR"/>
        </w:rPr>
        <w:t xml:space="preserve"> Yapılacak yatırımın, 2012 / 3305 sayılı Bakanlar Kurulu Kararının eki listede (EK-2) İlimiz için (V. Bölge) desteklenen sektörler arasında yer alması gerekmektedir.</w:t>
      </w:r>
    </w:p>
    <w:p w:rsidR="00283C52" w:rsidRPr="00B95459" w:rsidRDefault="00283C52" w:rsidP="00B95459">
      <w:pPr>
        <w:pStyle w:val="AralkYok"/>
        <w:jc w:val="both"/>
        <w:rPr>
          <w:rFonts w:ascii="Times New Roman" w:hAnsi="Times New Roman" w:cs="Times New Roman"/>
          <w:sz w:val="20"/>
          <w:szCs w:val="20"/>
          <w:lang w:eastAsia="tr-TR"/>
        </w:rPr>
      </w:pPr>
    </w:p>
    <w:p w:rsidR="005277F8" w:rsidRPr="00B95459" w:rsidRDefault="005277F8" w:rsidP="00B95459">
      <w:pPr>
        <w:pStyle w:val="AralkYok"/>
        <w:ind w:firstLine="708"/>
        <w:jc w:val="both"/>
        <w:rPr>
          <w:rFonts w:ascii="Times New Roman" w:eastAsia="Times New Roman" w:hAnsi="Times New Roman" w:cs="Times New Roman"/>
          <w:color w:val="1A1A1E"/>
          <w:sz w:val="20"/>
          <w:szCs w:val="20"/>
          <w:lang w:eastAsia="tr-TR"/>
        </w:rPr>
      </w:pPr>
      <w:r w:rsidRPr="00B95459">
        <w:rPr>
          <w:rFonts w:ascii="Times New Roman" w:eastAsia="Times New Roman" w:hAnsi="Times New Roman" w:cs="Times New Roman"/>
          <w:b/>
          <w:color w:val="1A1A1E"/>
          <w:sz w:val="20"/>
          <w:szCs w:val="20"/>
          <w:lang w:eastAsia="tr-TR"/>
        </w:rPr>
        <w:t>9-</w:t>
      </w:r>
      <w:r w:rsidRPr="00B95459">
        <w:rPr>
          <w:rFonts w:ascii="Times New Roman" w:eastAsia="Times New Roman" w:hAnsi="Times New Roman" w:cs="Times New Roman"/>
          <w:color w:val="1A1A1E"/>
          <w:sz w:val="20"/>
          <w:szCs w:val="20"/>
          <w:lang w:eastAsia="tr-TR"/>
        </w:rPr>
        <w:t xml:space="preserve"> Kamu Taşınmazlarının Yatırımlara Tahsisine İlişkin Usul ve Esaslarda belirtilen teşvikten; arazi, arsa, </w:t>
      </w:r>
      <w:proofErr w:type="spellStart"/>
      <w:r w:rsidRPr="00B95459">
        <w:rPr>
          <w:rFonts w:ascii="Times New Roman" w:eastAsia="Times New Roman" w:hAnsi="Times New Roman" w:cs="Times New Roman"/>
          <w:color w:val="1A1A1E"/>
          <w:sz w:val="20"/>
          <w:szCs w:val="20"/>
          <w:lang w:eastAsia="tr-TR"/>
        </w:rPr>
        <w:t>royalti</w:t>
      </w:r>
      <w:proofErr w:type="spellEnd"/>
      <w:r w:rsidRPr="00B95459">
        <w:rPr>
          <w:rFonts w:ascii="Times New Roman" w:eastAsia="Times New Roman" w:hAnsi="Times New Roman" w:cs="Times New Roman"/>
          <w:color w:val="1A1A1E"/>
          <w:sz w:val="20"/>
          <w:szCs w:val="20"/>
          <w:lang w:eastAsia="tr-TR"/>
        </w:rPr>
        <w:t xml:space="preserve">, yedek parça ve amortismana tâbi olmayan diğer harcamalar ile </w:t>
      </w:r>
      <w:proofErr w:type="gramStart"/>
      <w:r w:rsidRPr="00B95459">
        <w:rPr>
          <w:rFonts w:ascii="Times New Roman" w:eastAsia="Times New Roman" w:hAnsi="Times New Roman" w:cs="Times New Roman"/>
          <w:color w:val="1A1A1E"/>
          <w:sz w:val="20"/>
          <w:szCs w:val="20"/>
          <w:lang w:eastAsia="tr-TR"/>
        </w:rPr>
        <w:t>13/6/2006</w:t>
      </w:r>
      <w:proofErr w:type="gramEnd"/>
      <w:r w:rsidRPr="00B95459">
        <w:rPr>
          <w:rFonts w:ascii="Times New Roman" w:eastAsia="Times New Roman" w:hAnsi="Times New Roman" w:cs="Times New Roman"/>
          <w:color w:val="1A1A1E"/>
          <w:sz w:val="20"/>
          <w:szCs w:val="20"/>
          <w:lang w:eastAsia="tr-TR"/>
        </w:rPr>
        <w:t xml:space="preserve"> tarihli ve 5520 sayılı Kurumlar Vergisi Kanunu gereği finans ve sigortacılık konularında faaliyet gösteren kurumlar, iş ortaklıkları, 16/7/1997 tarihli ve 4283 sayılı Yap-İşlet Modeli ile Elektrik Enerjisi Üretim Tesislerinin Kurulması ve İşletilmesi ile Enerji Satışının Düzenlenmesi Hakkında Kanun ile 8/6/1994 tarihli ve 3996 sayılı Bazı Yatırım ve </w:t>
      </w:r>
      <w:r w:rsidRPr="00B95459">
        <w:rPr>
          <w:rFonts w:ascii="Times New Roman" w:eastAsia="Times New Roman" w:hAnsi="Times New Roman" w:cs="Times New Roman"/>
          <w:color w:val="1A1A1E"/>
          <w:sz w:val="20"/>
          <w:szCs w:val="20"/>
          <w:lang w:eastAsia="tr-TR"/>
        </w:rPr>
        <w:lastRenderedPageBreak/>
        <w:t xml:space="preserve">Hizmetlerin Yap-İşlet-Devret Modeli Çerçevesinde Yaptırılması Hakkında Kanun kapsamında gerçekleştirilen yatırımlar ve </w:t>
      </w:r>
      <w:proofErr w:type="spellStart"/>
      <w:r w:rsidRPr="00B95459">
        <w:rPr>
          <w:rFonts w:ascii="Times New Roman" w:eastAsia="Times New Roman" w:hAnsi="Times New Roman" w:cs="Times New Roman"/>
          <w:color w:val="1A1A1E"/>
          <w:sz w:val="20"/>
          <w:szCs w:val="20"/>
          <w:lang w:eastAsia="tr-TR"/>
        </w:rPr>
        <w:t>rödovans</w:t>
      </w:r>
      <w:proofErr w:type="spellEnd"/>
      <w:r w:rsidRPr="00B95459">
        <w:rPr>
          <w:rFonts w:ascii="Times New Roman" w:eastAsia="Times New Roman" w:hAnsi="Times New Roman" w:cs="Times New Roman"/>
          <w:color w:val="1A1A1E"/>
          <w:sz w:val="20"/>
          <w:szCs w:val="20"/>
          <w:lang w:eastAsia="tr-TR"/>
        </w:rPr>
        <w:t xml:space="preserve"> sözleşmesine bağlı olarak yapılan yatırımlar yararlanamaz.</w:t>
      </w:r>
    </w:p>
    <w:p w:rsidR="00283C52" w:rsidRPr="00B95459" w:rsidRDefault="00283C52" w:rsidP="00B95459">
      <w:pPr>
        <w:pStyle w:val="AralkYok"/>
        <w:jc w:val="both"/>
        <w:rPr>
          <w:rFonts w:ascii="Times New Roman" w:eastAsia="Times New Roman" w:hAnsi="Times New Roman" w:cs="Times New Roman"/>
          <w:color w:val="1A1A1E"/>
          <w:sz w:val="20"/>
          <w:szCs w:val="20"/>
          <w:lang w:eastAsia="tr-TR"/>
        </w:rPr>
      </w:pPr>
    </w:p>
    <w:p w:rsidR="005277F8" w:rsidRPr="00B95459" w:rsidRDefault="005277F8" w:rsidP="00B95459">
      <w:pPr>
        <w:pStyle w:val="AralkYok"/>
        <w:ind w:firstLine="708"/>
        <w:jc w:val="both"/>
        <w:rPr>
          <w:rFonts w:ascii="Times New Roman" w:hAnsi="Times New Roman" w:cs="Times New Roman"/>
          <w:b/>
          <w:sz w:val="20"/>
          <w:szCs w:val="20"/>
          <w:lang w:eastAsia="tr-TR"/>
        </w:rPr>
      </w:pPr>
      <w:r w:rsidRPr="00B95459">
        <w:rPr>
          <w:rFonts w:ascii="Times New Roman" w:hAnsi="Times New Roman" w:cs="Times New Roman"/>
          <w:b/>
          <w:sz w:val="20"/>
          <w:szCs w:val="20"/>
          <w:lang w:eastAsia="tr-TR"/>
        </w:rPr>
        <w:t>Başvuru Şekli ve Bilgiler:</w:t>
      </w:r>
    </w:p>
    <w:p w:rsidR="00935E8F" w:rsidRPr="00B95459" w:rsidRDefault="00935E8F" w:rsidP="00B95459">
      <w:pPr>
        <w:pStyle w:val="AralkYok"/>
        <w:jc w:val="both"/>
        <w:rPr>
          <w:rFonts w:ascii="Times New Roman" w:hAnsi="Times New Roman" w:cs="Times New Roman"/>
          <w:sz w:val="20"/>
          <w:szCs w:val="20"/>
          <w:lang w:eastAsia="tr-TR"/>
        </w:rPr>
      </w:pPr>
    </w:p>
    <w:p w:rsidR="005277F8" w:rsidRPr="00B95459" w:rsidRDefault="005277F8" w:rsidP="00B95459">
      <w:pPr>
        <w:pStyle w:val="AralkYok"/>
        <w:ind w:firstLine="708"/>
        <w:jc w:val="both"/>
        <w:rPr>
          <w:rFonts w:ascii="Times New Roman" w:hAnsi="Times New Roman" w:cs="Times New Roman"/>
          <w:sz w:val="20"/>
          <w:szCs w:val="20"/>
          <w:lang w:eastAsia="tr-TR"/>
        </w:rPr>
      </w:pPr>
      <w:r w:rsidRPr="00B95459">
        <w:rPr>
          <w:rFonts w:ascii="Times New Roman" w:hAnsi="Times New Roman" w:cs="Times New Roman"/>
          <w:b/>
          <w:sz w:val="20"/>
          <w:szCs w:val="20"/>
          <w:lang w:eastAsia="tr-TR"/>
        </w:rPr>
        <w:t>1-</w:t>
      </w:r>
      <w:r w:rsidRPr="00B95459">
        <w:rPr>
          <w:rFonts w:ascii="Times New Roman" w:hAnsi="Times New Roman" w:cs="Times New Roman"/>
          <w:sz w:val="20"/>
          <w:szCs w:val="20"/>
          <w:lang w:eastAsia="tr-TR"/>
        </w:rPr>
        <w:t xml:space="preserve"> Teşvikten yararlanma şartlarını taşıyan yatırımcının; Kamu Taşınmazlarının Yatırımlara Tahsisine İlişkin Usul ve Esasların Ek-1'de yer alan talep formunu doldurarak, Ek-2'de yer alan yatırımcılardan istenecek belgeler ve Ek-6'da yer alan yatırım bilgi formu ile birlikte oluşturulacak 3 takım (1 asıl, 2 kopya) dosyanın kapalı zarf içinde (herhangi bir kazıntı ve silinti bulunmaksızın) ve üzerinde adı, soyadı ve tebligata esas olarak gösterilen açık adresin yazılarak yukarıda belirtilen tarih ve saate </w:t>
      </w:r>
      <w:proofErr w:type="gramStart"/>
      <w:r w:rsidRPr="00B95459">
        <w:rPr>
          <w:rFonts w:ascii="Times New Roman" w:hAnsi="Times New Roman" w:cs="Times New Roman"/>
          <w:sz w:val="20"/>
          <w:szCs w:val="20"/>
          <w:lang w:eastAsia="tr-TR"/>
        </w:rPr>
        <w:t xml:space="preserve">kadar </w:t>
      </w:r>
      <w:r w:rsidR="00FB35F8" w:rsidRPr="00B95459">
        <w:rPr>
          <w:rFonts w:ascii="Times New Roman" w:hAnsi="Times New Roman" w:cs="Times New Roman"/>
          <w:sz w:val="20"/>
          <w:szCs w:val="20"/>
          <w:lang w:eastAsia="tr-TR"/>
        </w:rPr>
        <w:t xml:space="preserve"> </w:t>
      </w:r>
      <w:r w:rsidR="00A41B50" w:rsidRPr="00B95459">
        <w:rPr>
          <w:rFonts w:ascii="Times New Roman" w:hAnsi="Times New Roman" w:cs="Times New Roman"/>
          <w:sz w:val="20"/>
          <w:szCs w:val="20"/>
          <w:lang w:eastAsia="tr-TR"/>
        </w:rPr>
        <w:t>Bingöl</w:t>
      </w:r>
      <w:proofErr w:type="gramEnd"/>
      <w:r w:rsidRPr="00B95459">
        <w:rPr>
          <w:rFonts w:ascii="Times New Roman" w:hAnsi="Times New Roman" w:cs="Times New Roman"/>
          <w:sz w:val="20"/>
          <w:szCs w:val="20"/>
          <w:lang w:eastAsia="tr-TR"/>
        </w:rPr>
        <w:t xml:space="preserve"> Çevre ve Şehircilik İl Müdürlüğüne (Milli Emlak Müdürlüğü) tutanak düzenlenmek suretiyle teslim eder. Bilgi ve formlar www.milliemlak.gov.tr adresinden de temin edilebilir.</w:t>
      </w:r>
      <w:r w:rsidR="00A41B50" w:rsidRPr="00B95459">
        <w:rPr>
          <w:rFonts w:ascii="Times New Roman" w:hAnsi="Times New Roman" w:cs="Times New Roman"/>
          <w:sz w:val="20"/>
          <w:szCs w:val="20"/>
          <w:lang w:eastAsia="tr-TR"/>
        </w:rPr>
        <w:t xml:space="preserve"> </w:t>
      </w:r>
      <w:r w:rsidRPr="00B95459">
        <w:rPr>
          <w:rFonts w:ascii="Times New Roman" w:hAnsi="Times New Roman" w:cs="Times New Roman"/>
          <w:sz w:val="20"/>
          <w:szCs w:val="20"/>
          <w:lang w:eastAsia="tr-TR"/>
        </w:rPr>
        <w:t>Ek-2’deki belgelerden olan son üç yıla ait karşılaştırmalı bilançonun ilgili Vergi dairesince; geçmiş yıla ait kesin mizan ile cari yıla ait geçici mizanın Mali müşavirce onaylı olması gerekmektedir. - Vaziyet Planı; 1/200 veya 1/500 ölçekli parsel sınırı ve yapı yaklaşma sınırının belirtildiği varsa tüm imar koşullarının işlendiği taşınmazlar üzerine yapılacak bütün yapıların ve yatırım için gerekli açık sahaların ölçülerinin ve alanlarının belirtildiği Çevre ve Şehircilik Bakanlığının proje düzenleme esaslarına uygun olarak hazırlanmış olması gerekmektedir.</w:t>
      </w:r>
    </w:p>
    <w:p w:rsidR="00283C52" w:rsidRPr="00B95459" w:rsidRDefault="00283C52" w:rsidP="00B95459">
      <w:pPr>
        <w:pStyle w:val="AralkYok"/>
        <w:jc w:val="both"/>
        <w:rPr>
          <w:rFonts w:ascii="Times New Roman" w:hAnsi="Times New Roman" w:cs="Times New Roman"/>
          <w:sz w:val="20"/>
          <w:szCs w:val="20"/>
          <w:lang w:eastAsia="tr-TR"/>
        </w:rPr>
      </w:pPr>
    </w:p>
    <w:p w:rsidR="005277F8" w:rsidRPr="00B95459" w:rsidRDefault="005277F8" w:rsidP="00B95459">
      <w:pPr>
        <w:pStyle w:val="AralkYok"/>
        <w:ind w:firstLine="708"/>
        <w:jc w:val="both"/>
        <w:rPr>
          <w:rFonts w:ascii="Times New Roman" w:hAnsi="Times New Roman" w:cs="Times New Roman"/>
          <w:sz w:val="20"/>
          <w:szCs w:val="20"/>
          <w:lang w:eastAsia="tr-TR"/>
        </w:rPr>
      </w:pPr>
      <w:r w:rsidRPr="00B95459">
        <w:rPr>
          <w:rFonts w:ascii="Times New Roman" w:hAnsi="Times New Roman" w:cs="Times New Roman"/>
          <w:b/>
          <w:sz w:val="20"/>
          <w:szCs w:val="20"/>
          <w:lang w:eastAsia="tr-TR"/>
        </w:rPr>
        <w:t>2-</w:t>
      </w:r>
      <w:r w:rsidRPr="00B95459">
        <w:rPr>
          <w:rFonts w:ascii="Times New Roman" w:hAnsi="Times New Roman" w:cs="Times New Roman"/>
          <w:sz w:val="20"/>
          <w:szCs w:val="20"/>
          <w:lang w:eastAsia="tr-TR"/>
        </w:rPr>
        <w:t xml:space="preserve"> Yatırımcının vergi borcu olmadığına dair belgenin  ("Kamu İhale Kurumu mevzuatına göre vergi borcu bulunmamaktadır." yazısı kabul edilmemektedir.) yeni tarihli olması gerekmektedir.(Herhangi bir mevzuat içermeyecek şekilde olmalıdır.)</w:t>
      </w:r>
    </w:p>
    <w:p w:rsidR="00283C52" w:rsidRPr="00B95459" w:rsidRDefault="00283C52" w:rsidP="00B95459">
      <w:pPr>
        <w:pStyle w:val="AralkYok"/>
        <w:jc w:val="both"/>
        <w:rPr>
          <w:rFonts w:ascii="Times New Roman" w:hAnsi="Times New Roman" w:cs="Times New Roman"/>
          <w:sz w:val="20"/>
          <w:szCs w:val="20"/>
          <w:lang w:eastAsia="tr-TR"/>
        </w:rPr>
      </w:pPr>
    </w:p>
    <w:p w:rsidR="00DF3F54" w:rsidRPr="00B95459" w:rsidRDefault="005277F8" w:rsidP="00B95459">
      <w:pPr>
        <w:pStyle w:val="AralkYok"/>
        <w:ind w:firstLine="708"/>
        <w:jc w:val="both"/>
        <w:rPr>
          <w:rFonts w:ascii="Times New Roman" w:eastAsia="Times New Roman" w:hAnsi="Times New Roman" w:cs="Times New Roman"/>
          <w:color w:val="1A1A1E"/>
          <w:sz w:val="20"/>
          <w:szCs w:val="20"/>
          <w:lang w:eastAsia="tr-TR"/>
        </w:rPr>
      </w:pPr>
      <w:r w:rsidRPr="00B95459">
        <w:rPr>
          <w:rFonts w:ascii="Times New Roman" w:eastAsia="Times New Roman" w:hAnsi="Times New Roman" w:cs="Times New Roman"/>
          <w:b/>
          <w:color w:val="1A1A1E"/>
          <w:sz w:val="20"/>
          <w:szCs w:val="20"/>
          <w:lang w:eastAsia="tr-TR"/>
        </w:rPr>
        <w:t>3-</w:t>
      </w:r>
      <w:r w:rsidRPr="00B95459">
        <w:rPr>
          <w:rFonts w:ascii="Times New Roman" w:eastAsia="Times New Roman" w:hAnsi="Times New Roman" w:cs="Times New Roman"/>
          <w:color w:val="1A1A1E"/>
          <w:sz w:val="20"/>
          <w:szCs w:val="20"/>
          <w:lang w:eastAsia="tr-TR"/>
        </w:rPr>
        <w:t xml:space="preserve"> Başvuru sırasında yatırımcının, bütçeye gelir kaydedilmek üzere </w:t>
      </w:r>
      <w:r w:rsidR="000C4928" w:rsidRPr="00B95459">
        <w:rPr>
          <w:rFonts w:ascii="Times New Roman" w:eastAsia="Times New Roman" w:hAnsi="Times New Roman" w:cs="Times New Roman"/>
          <w:color w:val="1A1A1E"/>
          <w:sz w:val="20"/>
          <w:szCs w:val="20"/>
          <w:lang w:eastAsia="tr-TR"/>
        </w:rPr>
        <w:t xml:space="preserve">Bingöl </w:t>
      </w:r>
      <w:r w:rsidRPr="00B95459">
        <w:rPr>
          <w:rFonts w:ascii="Times New Roman" w:eastAsia="Times New Roman" w:hAnsi="Times New Roman" w:cs="Times New Roman"/>
          <w:color w:val="1A1A1E"/>
          <w:sz w:val="20"/>
          <w:szCs w:val="20"/>
          <w:lang w:eastAsia="tr-TR"/>
        </w:rPr>
        <w:t xml:space="preserve">Defterdarlığı Muhasebe Müdürlüğü hesabına </w:t>
      </w:r>
      <w:r w:rsidRPr="00B95459">
        <w:rPr>
          <w:rFonts w:ascii="Times New Roman" w:eastAsia="Times New Roman" w:hAnsi="Times New Roman" w:cs="Times New Roman"/>
          <w:color w:val="1A1A1E"/>
          <w:sz w:val="20"/>
          <w:szCs w:val="20"/>
          <w:highlight w:val="yellow"/>
          <w:lang w:eastAsia="tr-TR"/>
        </w:rPr>
        <w:t>1.000,00 (Bin</w:t>
      </w:r>
      <w:r w:rsidRPr="00B95459">
        <w:rPr>
          <w:rFonts w:ascii="Times New Roman" w:eastAsia="Times New Roman" w:hAnsi="Times New Roman" w:cs="Times New Roman"/>
          <w:color w:val="1A1A1E"/>
          <w:sz w:val="20"/>
          <w:szCs w:val="20"/>
          <w:lang w:eastAsia="tr-TR"/>
        </w:rPr>
        <w:t xml:space="preserve">) TL (BAŞVURU BEDELİ) yatırarak, alındı makbuzunun  </w:t>
      </w:r>
      <w:r w:rsidR="000C4928" w:rsidRPr="00B95459">
        <w:rPr>
          <w:rFonts w:ascii="Times New Roman" w:eastAsia="Times New Roman" w:hAnsi="Times New Roman" w:cs="Times New Roman"/>
          <w:color w:val="1A1A1E"/>
          <w:sz w:val="20"/>
          <w:szCs w:val="20"/>
          <w:lang w:eastAsia="tr-TR"/>
        </w:rPr>
        <w:t xml:space="preserve">Bingöl </w:t>
      </w:r>
      <w:r w:rsidRPr="00B95459">
        <w:rPr>
          <w:rFonts w:ascii="Times New Roman" w:eastAsia="Times New Roman" w:hAnsi="Times New Roman" w:cs="Times New Roman"/>
          <w:color w:val="1A1A1E"/>
          <w:sz w:val="20"/>
          <w:szCs w:val="20"/>
          <w:lang w:eastAsia="tr-TR"/>
        </w:rPr>
        <w:t>Çevre ve Şehircilik İl Müdürlüğüne (Milli Emlak Müdürlüğü) ibraz edildikten sonra diğer bilgi belgelerin kapalı zarf içerisinde verilmesi mecburidir. Bu bedelin yatırıldığına ilişkin makbuz olmaksızın yapılan başvurular kabul edilmeyecektir.</w:t>
      </w:r>
    </w:p>
    <w:p w:rsidR="00283C52" w:rsidRPr="00B95459" w:rsidRDefault="00283C52" w:rsidP="00B95459">
      <w:pPr>
        <w:pStyle w:val="AralkYok"/>
        <w:jc w:val="both"/>
        <w:rPr>
          <w:rFonts w:ascii="Times New Roman" w:eastAsia="Times New Roman" w:hAnsi="Times New Roman" w:cs="Times New Roman"/>
          <w:color w:val="1A1A1E"/>
          <w:sz w:val="20"/>
          <w:szCs w:val="20"/>
          <w:lang w:eastAsia="tr-TR"/>
        </w:rPr>
      </w:pPr>
    </w:p>
    <w:p w:rsidR="005277F8" w:rsidRPr="00B95459" w:rsidRDefault="005277F8" w:rsidP="00B95459">
      <w:pPr>
        <w:pStyle w:val="AralkYok"/>
        <w:ind w:firstLine="708"/>
        <w:jc w:val="both"/>
        <w:rPr>
          <w:rFonts w:ascii="Times New Roman" w:hAnsi="Times New Roman" w:cs="Times New Roman"/>
          <w:sz w:val="20"/>
          <w:szCs w:val="20"/>
          <w:lang w:eastAsia="tr-TR"/>
        </w:rPr>
      </w:pPr>
      <w:r w:rsidRPr="00B95459">
        <w:rPr>
          <w:rFonts w:ascii="Times New Roman" w:hAnsi="Times New Roman" w:cs="Times New Roman"/>
          <w:b/>
          <w:sz w:val="20"/>
          <w:szCs w:val="20"/>
          <w:lang w:eastAsia="tr-TR"/>
        </w:rPr>
        <w:t>4-</w:t>
      </w:r>
      <w:r w:rsidRPr="00B95459">
        <w:rPr>
          <w:rFonts w:ascii="Times New Roman" w:hAnsi="Times New Roman" w:cs="Times New Roman"/>
          <w:sz w:val="20"/>
          <w:szCs w:val="20"/>
          <w:lang w:eastAsia="tr-TR"/>
        </w:rPr>
        <w:t xml:space="preserve"> İrtifak hakkının tapuya tesciline ilişkin işlemler ile bu hakların devri ve terkini, yapı ve tesislerin inşası ve kullanımı için ödenmesi gereken her türlü vergi, resim, harç, prim ve benzeri mali yükümlülükler yatırımcı tarafından karşılanır.</w:t>
      </w:r>
    </w:p>
    <w:p w:rsidR="005277F8" w:rsidRPr="00B95459" w:rsidRDefault="005277F8" w:rsidP="00B95459">
      <w:pPr>
        <w:pStyle w:val="AralkYok"/>
        <w:jc w:val="both"/>
        <w:rPr>
          <w:rFonts w:ascii="Times New Roman" w:hAnsi="Times New Roman" w:cs="Times New Roman"/>
          <w:sz w:val="20"/>
          <w:szCs w:val="20"/>
          <w:lang w:eastAsia="tr-TR"/>
        </w:rPr>
      </w:pPr>
      <w:r w:rsidRPr="00B95459">
        <w:rPr>
          <w:rFonts w:ascii="Times New Roman" w:hAnsi="Times New Roman" w:cs="Times New Roman"/>
          <w:sz w:val="20"/>
          <w:szCs w:val="20"/>
          <w:lang w:eastAsia="tr-TR"/>
        </w:rPr>
        <w:t>5- Yatırımcılar müracaat sürelerini geçirmemek şartıyla bizzat başvurabilecekleri gibi taleplerini posta (PTT) aracılığıyla da yapabilirler. Ancak, postada doğabilecek gecikmeden dolayı idare ya da komisyon sorumlu tutulamaz.</w:t>
      </w:r>
    </w:p>
    <w:p w:rsidR="00283C52" w:rsidRPr="00B95459" w:rsidRDefault="00283C52" w:rsidP="00B95459">
      <w:pPr>
        <w:pStyle w:val="AralkYok"/>
        <w:jc w:val="both"/>
        <w:rPr>
          <w:rFonts w:ascii="Times New Roman" w:hAnsi="Times New Roman" w:cs="Times New Roman"/>
          <w:sz w:val="20"/>
          <w:szCs w:val="20"/>
          <w:lang w:eastAsia="tr-TR"/>
        </w:rPr>
      </w:pPr>
    </w:p>
    <w:p w:rsidR="005277F8" w:rsidRPr="00B95459" w:rsidRDefault="005277F8" w:rsidP="00B95459">
      <w:pPr>
        <w:pStyle w:val="AralkYok"/>
        <w:ind w:firstLine="708"/>
        <w:jc w:val="both"/>
        <w:rPr>
          <w:rFonts w:ascii="Times New Roman" w:hAnsi="Times New Roman" w:cs="Times New Roman"/>
          <w:sz w:val="20"/>
          <w:szCs w:val="20"/>
          <w:lang w:eastAsia="tr-TR"/>
        </w:rPr>
      </w:pPr>
      <w:r w:rsidRPr="00B95459">
        <w:rPr>
          <w:rFonts w:ascii="Times New Roman" w:hAnsi="Times New Roman" w:cs="Times New Roman"/>
          <w:b/>
          <w:sz w:val="20"/>
          <w:szCs w:val="20"/>
          <w:lang w:eastAsia="tr-TR"/>
        </w:rPr>
        <w:t>6 –</w:t>
      </w:r>
      <w:r w:rsidRPr="00B95459">
        <w:rPr>
          <w:rFonts w:ascii="Times New Roman" w:hAnsi="Times New Roman" w:cs="Times New Roman"/>
          <w:sz w:val="20"/>
          <w:szCs w:val="20"/>
          <w:lang w:eastAsia="tr-TR"/>
        </w:rPr>
        <w:t xml:space="preserve"> Taşınmaz için başvuruda bulunacak yatırımcılardan hangisi lehine irtifak hakkı tesis edileceğine ilişkin karar, Kamu Taşınmazlarının Yatırımlara Tahsisine İlişkin Usul ve Esasların 14’üncü maddesine göre kurulacak komisyonun aynı Usul ve Esasların 15'inci maddesine göre  yapacağı değerlendirme sonucunda verilecektir.</w:t>
      </w:r>
    </w:p>
    <w:p w:rsidR="00283C52" w:rsidRPr="00B95459" w:rsidRDefault="00283C52" w:rsidP="00B95459">
      <w:pPr>
        <w:pStyle w:val="AralkYok"/>
        <w:jc w:val="both"/>
        <w:rPr>
          <w:rFonts w:ascii="Times New Roman" w:hAnsi="Times New Roman" w:cs="Times New Roman"/>
          <w:sz w:val="20"/>
          <w:szCs w:val="20"/>
          <w:lang w:eastAsia="tr-TR"/>
        </w:rPr>
      </w:pPr>
    </w:p>
    <w:p w:rsidR="005277F8" w:rsidRPr="00B95459" w:rsidRDefault="005277F8" w:rsidP="00B95459">
      <w:pPr>
        <w:pStyle w:val="AralkYok"/>
        <w:ind w:firstLine="708"/>
        <w:jc w:val="both"/>
        <w:rPr>
          <w:rFonts w:ascii="Times New Roman" w:hAnsi="Times New Roman" w:cs="Times New Roman"/>
          <w:sz w:val="20"/>
          <w:szCs w:val="20"/>
          <w:lang w:eastAsia="tr-TR"/>
        </w:rPr>
      </w:pPr>
      <w:proofErr w:type="gramStart"/>
      <w:r w:rsidRPr="00B95459">
        <w:rPr>
          <w:rFonts w:ascii="Times New Roman" w:hAnsi="Times New Roman" w:cs="Times New Roman"/>
          <w:b/>
          <w:sz w:val="20"/>
          <w:szCs w:val="20"/>
          <w:lang w:eastAsia="tr-TR"/>
        </w:rPr>
        <w:t>7-</w:t>
      </w:r>
      <w:r w:rsidRPr="00B95459">
        <w:rPr>
          <w:rFonts w:ascii="Times New Roman" w:hAnsi="Times New Roman" w:cs="Times New Roman"/>
          <w:sz w:val="20"/>
          <w:szCs w:val="20"/>
          <w:lang w:eastAsia="tr-TR"/>
        </w:rPr>
        <w:t xml:space="preserve"> İrtifak hakkı tesis edilecek taşınmazda, yatırımcılar tarafından imar planlarıyla imar uygulamalarının ve yapılacak tesislere yönelik uygulama projelerinin yaptırılması gereken hallerde tescil, ifraz, tevhit, terk vb. işlemlerin yapılması amacıyla, fiili kullanım olmaksızın bir yıl süreyle ve bedelsiz olarak ön izin verilebilir ve bu süre ihtiyaç duyulması halinde bir yıl uzatılabilir.</w:t>
      </w:r>
      <w:r w:rsidR="00935E8F" w:rsidRPr="00B95459">
        <w:rPr>
          <w:rFonts w:ascii="Times New Roman" w:hAnsi="Times New Roman" w:cs="Times New Roman"/>
          <w:sz w:val="20"/>
          <w:szCs w:val="20"/>
          <w:lang w:eastAsia="tr-TR"/>
        </w:rPr>
        <w:t xml:space="preserve"> </w:t>
      </w:r>
      <w:proofErr w:type="gramEnd"/>
      <w:r w:rsidRPr="00B95459">
        <w:rPr>
          <w:rFonts w:ascii="Times New Roman" w:hAnsi="Times New Roman" w:cs="Times New Roman"/>
          <w:sz w:val="20"/>
          <w:szCs w:val="20"/>
          <w:lang w:eastAsia="tr-TR"/>
        </w:rPr>
        <w:t>Taşınmaz üzerinde kurulacak tesisler hakkında ilgili kurum ve kuruluşlardan alınması gereken uygunluk görüşlerinin temin edilmesi yatırımcıya aittir. </w:t>
      </w:r>
    </w:p>
    <w:p w:rsidR="00283C52" w:rsidRPr="00B95459" w:rsidRDefault="00283C52" w:rsidP="00B95459">
      <w:pPr>
        <w:pStyle w:val="AralkYok"/>
        <w:jc w:val="both"/>
        <w:rPr>
          <w:rFonts w:ascii="Times New Roman" w:hAnsi="Times New Roman" w:cs="Times New Roman"/>
          <w:sz w:val="20"/>
          <w:szCs w:val="20"/>
          <w:lang w:eastAsia="tr-TR"/>
        </w:rPr>
      </w:pPr>
    </w:p>
    <w:p w:rsidR="005277F8" w:rsidRPr="00B95459" w:rsidRDefault="005277F8" w:rsidP="00B95459">
      <w:pPr>
        <w:pStyle w:val="AralkYok"/>
        <w:ind w:firstLine="708"/>
        <w:jc w:val="both"/>
        <w:rPr>
          <w:rFonts w:ascii="Times New Roman" w:hAnsi="Times New Roman" w:cs="Times New Roman"/>
          <w:sz w:val="20"/>
          <w:szCs w:val="20"/>
          <w:lang w:eastAsia="tr-TR"/>
        </w:rPr>
      </w:pPr>
      <w:r w:rsidRPr="00B95459">
        <w:rPr>
          <w:rFonts w:ascii="Times New Roman" w:hAnsi="Times New Roman" w:cs="Times New Roman"/>
          <w:b/>
          <w:sz w:val="20"/>
          <w:szCs w:val="20"/>
          <w:lang w:eastAsia="tr-TR"/>
        </w:rPr>
        <w:t>8–</w:t>
      </w:r>
      <w:r w:rsidRPr="00B95459">
        <w:rPr>
          <w:rFonts w:ascii="Times New Roman" w:hAnsi="Times New Roman" w:cs="Times New Roman"/>
          <w:sz w:val="20"/>
          <w:szCs w:val="20"/>
          <w:lang w:eastAsia="tr-TR"/>
        </w:rPr>
        <w:t xml:space="preserve"> Taşınmazların hukuki ve diğer nedenlerden dolayı ilan sonrasında yatırımdan kaldırılması halinde başvuran yatırımcılar idareden herhangi bir hak ve tazminat talebinde bulunamazlar.</w:t>
      </w:r>
    </w:p>
    <w:p w:rsidR="00283C52" w:rsidRPr="00B95459" w:rsidRDefault="00283C52" w:rsidP="00B95459">
      <w:pPr>
        <w:pStyle w:val="AralkYok"/>
        <w:jc w:val="both"/>
        <w:rPr>
          <w:rFonts w:ascii="Times New Roman" w:hAnsi="Times New Roman" w:cs="Times New Roman"/>
          <w:sz w:val="20"/>
          <w:szCs w:val="20"/>
          <w:lang w:eastAsia="tr-TR"/>
        </w:rPr>
      </w:pPr>
    </w:p>
    <w:p w:rsidR="005277F8" w:rsidRPr="00B95459" w:rsidRDefault="005277F8" w:rsidP="00B95459">
      <w:pPr>
        <w:pStyle w:val="AralkYok"/>
        <w:ind w:firstLine="708"/>
        <w:jc w:val="both"/>
        <w:rPr>
          <w:rFonts w:ascii="Times New Roman" w:hAnsi="Times New Roman" w:cs="Times New Roman"/>
          <w:sz w:val="20"/>
          <w:szCs w:val="20"/>
          <w:lang w:eastAsia="tr-TR"/>
        </w:rPr>
      </w:pPr>
      <w:r w:rsidRPr="00B95459">
        <w:rPr>
          <w:rFonts w:ascii="Times New Roman" w:hAnsi="Times New Roman" w:cs="Times New Roman"/>
          <w:b/>
          <w:sz w:val="20"/>
          <w:szCs w:val="20"/>
          <w:lang w:eastAsia="tr-TR"/>
        </w:rPr>
        <w:t>9–</w:t>
      </w:r>
      <w:r w:rsidRPr="00B95459">
        <w:rPr>
          <w:rFonts w:ascii="Times New Roman" w:hAnsi="Times New Roman" w:cs="Times New Roman"/>
          <w:sz w:val="20"/>
          <w:szCs w:val="20"/>
          <w:lang w:eastAsia="tr-TR"/>
        </w:rPr>
        <w:t xml:space="preserve"> İrtifak hakkı tesisi işlemlerine ilişkin </w:t>
      </w:r>
      <w:r w:rsidR="00A41B50" w:rsidRPr="00B95459">
        <w:rPr>
          <w:rFonts w:ascii="Times New Roman" w:hAnsi="Times New Roman" w:cs="Times New Roman"/>
          <w:sz w:val="20"/>
          <w:szCs w:val="20"/>
          <w:lang w:eastAsia="tr-TR"/>
        </w:rPr>
        <w:t>Bingöl</w:t>
      </w:r>
      <w:r w:rsidRPr="00B95459">
        <w:rPr>
          <w:rFonts w:ascii="Times New Roman" w:hAnsi="Times New Roman" w:cs="Times New Roman"/>
          <w:sz w:val="20"/>
          <w:szCs w:val="20"/>
          <w:lang w:eastAsia="tr-TR"/>
        </w:rPr>
        <w:t xml:space="preserve">.csb.gov.tr ile www.milliemlak.gov.tr internet adreslerinden ve (0 </w:t>
      </w:r>
      <w:r w:rsidR="00880595" w:rsidRPr="00B95459">
        <w:rPr>
          <w:rFonts w:ascii="Times New Roman" w:hAnsi="Times New Roman" w:cs="Times New Roman"/>
          <w:sz w:val="20"/>
          <w:szCs w:val="20"/>
          <w:lang w:eastAsia="tr-TR"/>
        </w:rPr>
        <w:t>426 213 11 59</w:t>
      </w:r>
      <w:r w:rsidRPr="00B95459">
        <w:rPr>
          <w:rFonts w:ascii="Times New Roman" w:hAnsi="Times New Roman" w:cs="Times New Roman"/>
          <w:sz w:val="20"/>
          <w:szCs w:val="20"/>
          <w:lang w:eastAsia="tr-TR"/>
        </w:rPr>
        <w:t xml:space="preserve">) </w:t>
      </w:r>
      <w:proofErr w:type="spellStart"/>
      <w:r w:rsidRPr="00B95459">
        <w:rPr>
          <w:rFonts w:ascii="Times New Roman" w:hAnsi="Times New Roman" w:cs="Times New Roman"/>
          <w:sz w:val="20"/>
          <w:szCs w:val="20"/>
          <w:lang w:eastAsia="tr-TR"/>
        </w:rPr>
        <w:t>nolu</w:t>
      </w:r>
      <w:proofErr w:type="spellEnd"/>
      <w:r w:rsidRPr="00B95459">
        <w:rPr>
          <w:rFonts w:ascii="Times New Roman" w:hAnsi="Times New Roman" w:cs="Times New Roman"/>
          <w:sz w:val="20"/>
          <w:szCs w:val="20"/>
          <w:lang w:eastAsia="tr-TR"/>
        </w:rPr>
        <w:t xml:space="preserve"> telefondan bilgi alınabilir.</w:t>
      </w:r>
    </w:p>
    <w:p w:rsidR="005277F8" w:rsidRPr="00B95459" w:rsidRDefault="005277F8" w:rsidP="00B95459">
      <w:pPr>
        <w:pStyle w:val="AralkYok"/>
        <w:jc w:val="both"/>
        <w:rPr>
          <w:rFonts w:ascii="Times New Roman" w:eastAsia="Times New Roman" w:hAnsi="Times New Roman" w:cs="Times New Roman"/>
          <w:color w:val="1A1A1E"/>
          <w:sz w:val="20"/>
          <w:szCs w:val="20"/>
          <w:lang w:eastAsia="tr-TR"/>
        </w:rPr>
      </w:pPr>
      <w:r w:rsidRPr="00B95459">
        <w:rPr>
          <w:rFonts w:ascii="Times New Roman" w:eastAsia="Times New Roman" w:hAnsi="Times New Roman" w:cs="Times New Roman"/>
          <w:color w:val="1A1A1E"/>
          <w:sz w:val="20"/>
          <w:szCs w:val="20"/>
          <w:lang w:eastAsia="tr-TR"/>
        </w:rPr>
        <w:t>                                                                                                                                                                                                                                                                                                                                                                                </w:t>
      </w:r>
      <w:r w:rsidRPr="00B95459">
        <w:rPr>
          <w:rFonts w:ascii="Times New Roman" w:eastAsia="Times New Roman" w:hAnsi="Times New Roman" w:cs="Times New Roman"/>
          <w:bCs/>
          <w:color w:val="1A1A1E"/>
          <w:sz w:val="20"/>
          <w:szCs w:val="20"/>
          <w:lang w:eastAsia="tr-TR"/>
        </w:rPr>
        <w:t> İLAN OLUNUR</w:t>
      </w:r>
    </w:p>
    <w:p w:rsidR="005277F8" w:rsidRPr="00B95459" w:rsidRDefault="005277F8" w:rsidP="00B95459">
      <w:pPr>
        <w:pStyle w:val="AralkYok"/>
        <w:jc w:val="both"/>
        <w:rPr>
          <w:rFonts w:ascii="Times New Roman" w:eastAsia="Times New Roman" w:hAnsi="Times New Roman" w:cs="Times New Roman"/>
          <w:color w:val="1A1A1E"/>
          <w:sz w:val="20"/>
          <w:szCs w:val="20"/>
          <w:lang w:eastAsia="tr-TR"/>
        </w:rPr>
      </w:pPr>
      <w:r w:rsidRPr="00B95459">
        <w:rPr>
          <w:rFonts w:ascii="Times New Roman" w:eastAsia="Times New Roman" w:hAnsi="Times New Roman" w:cs="Times New Roman"/>
          <w:color w:val="1A1A1E"/>
          <w:sz w:val="20"/>
          <w:szCs w:val="20"/>
          <w:lang w:eastAsia="tr-TR"/>
        </w:rPr>
        <w:t> </w:t>
      </w:r>
    </w:p>
    <w:p w:rsidR="00314851" w:rsidRPr="00B95459" w:rsidRDefault="00314851" w:rsidP="00B95459">
      <w:pPr>
        <w:pStyle w:val="AralkYok"/>
        <w:jc w:val="both"/>
        <w:rPr>
          <w:rFonts w:ascii="Times New Roman" w:hAnsi="Times New Roman" w:cs="Times New Roman"/>
          <w:sz w:val="20"/>
          <w:szCs w:val="20"/>
        </w:rPr>
      </w:pPr>
    </w:p>
    <w:sectPr w:rsidR="00314851" w:rsidRPr="00B95459" w:rsidSect="0009060E">
      <w:pgSz w:w="16838" w:h="11906" w:orient="landscape"/>
      <w:pgMar w:top="567" w:right="962"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F8"/>
    <w:rsid w:val="00066B79"/>
    <w:rsid w:val="0009060E"/>
    <w:rsid w:val="000C4928"/>
    <w:rsid w:val="00146DFC"/>
    <w:rsid w:val="001966C7"/>
    <w:rsid w:val="00283C52"/>
    <w:rsid w:val="002D6040"/>
    <w:rsid w:val="00314851"/>
    <w:rsid w:val="003552A4"/>
    <w:rsid w:val="003B36C3"/>
    <w:rsid w:val="003B40E8"/>
    <w:rsid w:val="00470D44"/>
    <w:rsid w:val="005277F8"/>
    <w:rsid w:val="00550ED9"/>
    <w:rsid w:val="006232C6"/>
    <w:rsid w:val="00677211"/>
    <w:rsid w:val="00684AFA"/>
    <w:rsid w:val="006E2F6A"/>
    <w:rsid w:val="007A50DD"/>
    <w:rsid w:val="007A6002"/>
    <w:rsid w:val="00880595"/>
    <w:rsid w:val="008C427D"/>
    <w:rsid w:val="008E1120"/>
    <w:rsid w:val="00935E8F"/>
    <w:rsid w:val="009508D4"/>
    <w:rsid w:val="00960243"/>
    <w:rsid w:val="00977987"/>
    <w:rsid w:val="009A3025"/>
    <w:rsid w:val="009A3C79"/>
    <w:rsid w:val="009F7DDE"/>
    <w:rsid w:val="00A042A9"/>
    <w:rsid w:val="00A41B50"/>
    <w:rsid w:val="00A81AE6"/>
    <w:rsid w:val="00B51A79"/>
    <w:rsid w:val="00B61F70"/>
    <w:rsid w:val="00B95459"/>
    <w:rsid w:val="00C013E8"/>
    <w:rsid w:val="00C314A0"/>
    <w:rsid w:val="00C62378"/>
    <w:rsid w:val="00C90F97"/>
    <w:rsid w:val="00CF3F59"/>
    <w:rsid w:val="00D30EDB"/>
    <w:rsid w:val="00D9368E"/>
    <w:rsid w:val="00DF0849"/>
    <w:rsid w:val="00DF3F54"/>
    <w:rsid w:val="00E2530F"/>
    <w:rsid w:val="00E73316"/>
    <w:rsid w:val="00E9359A"/>
    <w:rsid w:val="00ED1667"/>
    <w:rsid w:val="00FB35F8"/>
    <w:rsid w:val="00FE58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3D23D-4195-44BF-8875-2AC4D265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277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277F8"/>
    <w:rPr>
      <w:b/>
      <w:bCs/>
    </w:rPr>
  </w:style>
  <w:style w:type="character" w:styleId="Kpr">
    <w:name w:val="Hyperlink"/>
    <w:basedOn w:val="VarsaylanParagrafYazTipi"/>
    <w:uiPriority w:val="99"/>
    <w:semiHidden/>
    <w:unhideWhenUsed/>
    <w:rsid w:val="005277F8"/>
    <w:rPr>
      <w:color w:val="0000FF"/>
      <w:u w:val="single"/>
    </w:rPr>
  </w:style>
  <w:style w:type="table" w:styleId="TabloKlavuzu">
    <w:name w:val="Table Grid"/>
    <w:basedOn w:val="NormalTablo"/>
    <w:uiPriority w:val="39"/>
    <w:rsid w:val="008E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8E1120"/>
    <w:pPr>
      <w:spacing w:after="0" w:line="240" w:lineRule="auto"/>
    </w:pPr>
  </w:style>
  <w:style w:type="paragraph" w:styleId="BalonMetni">
    <w:name w:val="Balloon Text"/>
    <w:basedOn w:val="Normal"/>
    <w:link w:val="BalonMetniChar"/>
    <w:uiPriority w:val="99"/>
    <w:semiHidden/>
    <w:unhideWhenUsed/>
    <w:rsid w:val="009A302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A30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71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1176</Words>
  <Characters>6706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M.Sait AYDIN</dc:creator>
  <cp:keywords/>
  <dc:description/>
  <cp:lastModifiedBy>M.Sait AYDIN</cp:lastModifiedBy>
  <cp:revision>18</cp:revision>
  <cp:lastPrinted>2024-07-31T06:15:00Z</cp:lastPrinted>
  <dcterms:created xsi:type="dcterms:W3CDTF">2024-07-30T09:20:00Z</dcterms:created>
  <dcterms:modified xsi:type="dcterms:W3CDTF">2024-07-31T07:57:00Z</dcterms:modified>
</cp:coreProperties>
</file>