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998BB87" w14:textId="77777777" w:rsidR="00DF3969" w:rsidRPr="002B099E" w:rsidRDefault="00DF3969" w:rsidP="00DF3969">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36A56092"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 xml:space="preserve">Gerçek Kişi (Şahıs Şirketleri) başvurularında Faaliyet Belgesinde inşaat faaliyetleri ile ilgili </w:t>
      </w:r>
      <w:proofErr w:type="spellStart"/>
      <w:r w:rsidR="00DF3969" w:rsidRPr="00B26E20">
        <w:rPr>
          <w:szCs w:val="24"/>
        </w:rPr>
        <w:t>Nace</w:t>
      </w:r>
      <w:proofErr w:type="spellEnd"/>
      <w:r w:rsidR="00DF3969" w:rsidRPr="00B26E20">
        <w:rPr>
          <w:szCs w:val="24"/>
        </w:rPr>
        <w:t xml:space="preserve"> kodu (412001-412002-412003-412004-421101-421301-421302-422202-429103-429901-429902-429904-439910-449915 NACE KODLARINDAN BİRİ MUTLAKA </w:t>
      </w:r>
      <w:proofErr w:type="gramStart"/>
      <w:r w:rsidR="00DF3969" w:rsidRPr="00B26E20">
        <w:rPr>
          <w:szCs w:val="24"/>
        </w:rPr>
        <w:t>OLMALIDIR )</w:t>
      </w:r>
      <w:proofErr w:type="gramEnd"/>
      <w:r w:rsidR="00DF3969" w:rsidRPr="00B26E20">
        <w:rPr>
          <w:szCs w:val="24"/>
        </w:rPr>
        <w:t xml:space="preserve">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3D74B0">
        <w:rPr>
          <w:szCs w:val="24"/>
        </w:rPr>
        <w:t>Ekap</w:t>
      </w:r>
      <w:proofErr w:type="spellEnd"/>
      <w:r w:rsidRPr="003D74B0">
        <w:rPr>
          <w:szCs w:val="24"/>
        </w:rPr>
        <w:t xml:space="preserve">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lastRenderedPageBreak/>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77777777" w:rsidR="00DF3969" w:rsidRPr="00B26E20" w:rsidRDefault="00DF3969" w:rsidP="00DF3969">
      <w:pPr>
        <w:pStyle w:val="ListeParagraf"/>
        <w:spacing w:line="288" w:lineRule="auto"/>
        <w:ind w:left="397"/>
        <w:rPr>
          <w:szCs w:val="24"/>
        </w:rPr>
      </w:pPr>
      <w:r w:rsidRPr="00B26E20">
        <w:rPr>
          <w:szCs w:val="24"/>
        </w:rPr>
        <w:t>* 31/12/2024 tarihine kadar, mesleki ve teknik deneyime ilişkin iş gücü yeterliği aranmaz. Ancak başvuru tarihinden önceki son üç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 xml:space="preserve">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w:t>
      </w:r>
      <w:r w:rsidRPr="00B26E20">
        <w:rPr>
          <w:szCs w:val="24"/>
        </w:rPr>
        <w:lastRenderedPageBreak/>
        <w:t xml:space="preserve">başvuru sahibinin iş hacmini gösteren toplam cirosu veya bu Yönetmelik kapsamındaki işlerle ilgili cirosunun başvurulan yetki belgesi grubunda sunulması gereken asgari iş deneyim tutarının E ve E1 grubu için </w:t>
      </w:r>
      <w:proofErr w:type="gramStart"/>
      <w:r w:rsidRPr="00B26E20">
        <w:rPr>
          <w:szCs w:val="24"/>
        </w:rPr>
        <w:t>% 10</w:t>
      </w:r>
      <w:proofErr w:type="gramEnd"/>
      <w:r w:rsidRPr="00B26E20">
        <w:rPr>
          <w:szCs w:val="24"/>
        </w:rPr>
        <w:t>’undan;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Mali durumunu göstermek üzere bankalardan temin edilecek standart formatta düzenlenen BANKA REFERANS MEKTUBU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779A695B"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başvuru sahibinden, ilgili kurum ve kuruluşlara başvurması suretiyle evrakta yer alan bilgilerin doğruluğunun teyit ettirilmesi ile ilgili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08ED4CAD" w:rsidR="00093506" w:rsidRPr="00B26E20" w:rsidRDefault="00093506" w:rsidP="00093506">
      <w:pPr>
        <w:shd w:val="clear" w:color="auto" w:fill="FFFFFF"/>
        <w:tabs>
          <w:tab w:val="left" w:pos="254"/>
        </w:tabs>
        <w:spacing w:line="312" w:lineRule="auto"/>
        <w:rPr>
          <w:szCs w:val="24"/>
        </w:rPr>
      </w:pPr>
      <w:r>
        <w:rPr>
          <w:szCs w:val="24"/>
        </w:rPr>
        <w:t>Başvuru Dosyaları</w:t>
      </w:r>
      <w:r w:rsidR="00CD6F4A">
        <w:rPr>
          <w:szCs w:val="24"/>
        </w:rPr>
        <w:t xml:space="preserve"> ve </w:t>
      </w:r>
      <w:r w:rsidRPr="00B26E20">
        <w:rPr>
          <w:szCs w:val="24"/>
        </w:rPr>
        <w:t xml:space="preserve"> dilekçe 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bookmarkEnd w:id="2"/>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proofErr w:type="gramStart"/>
      <w:r w:rsidRPr="00993D01">
        <w:rPr>
          <w:b/>
          <w:color w:val="FFFFFF"/>
        </w:rPr>
        <w:t>Adı -</w:t>
      </w:r>
      <w:proofErr w:type="gramEnd"/>
      <w:r w:rsidRPr="00993D01">
        <w:rPr>
          <w:b/>
          <w:color w:val="FFFFFF"/>
        </w:rPr>
        <w:t xml:space="preserve">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proofErr w:type="gramStart"/>
      <w:r>
        <w:t>e-mail</w:t>
      </w:r>
      <w:proofErr w:type="gramEnd"/>
      <w:r>
        <w:t xml:space="preserve">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proofErr w:type="gramStart"/>
      <w:r w:rsidR="00875B74">
        <w:tab/>
      </w:r>
      <w:r>
        <w:t>:  …</w:t>
      </w:r>
      <w:proofErr w:type="gramEnd"/>
      <w:r>
        <w:t xml:space="preserve">………………………….. @ </w:t>
      </w:r>
      <w:proofErr w:type="gramStart"/>
      <w:r>
        <w:t>............ .</w:t>
      </w:r>
      <w:proofErr w:type="gramEnd"/>
      <w:r>
        <w:t xml:space="preserve">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33A66649"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FAA4F06" w14:textId="77777777"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78DAB3AE"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EC57B"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2C546260"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2C1CA8"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37453F84"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C4ED4C4"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528B3FE7"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A27C66"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284600F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209F2EB0"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43F96632"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51D261A8"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0EF94D8A"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0D206301"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82D5DC"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04114564" w14:textId="77777777" w:rsidTr="00916907">
        <w:trPr>
          <w:trHeight w:val="220"/>
        </w:trPr>
        <w:tc>
          <w:tcPr>
            <w:tcW w:w="4652" w:type="dxa"/>
            <w:shd w:val="clear" w:color="auto" w:fill="auto"/>
            <w:vAlign w:val="center"/>
          </w:tcPr>
          <w:p w14:paraId="6C53311C" w14:textId="77777777"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E8FF75B" w14:textId="77777777" w:rsidR="00846E4C" w:rsidRPr="00772C02" w:rsidRDefault="00846E4C" w:rsidP="00916907">
            <w:pPr>
              <w:overflowPunct/>
              <w:autoSpaceDE/>
              <w:autoSpaceDN/>
              <w:adjustRightInd/>
              <w:textAlignment w:val="auto"/>
              <w:rPr>
                <w:rFonts w:eastAsia="Calibri"/>
                <w:sz w:val="22"/>
                <w:szCs w:val="22"/>
              </w:rPr>
            </w:pPr>
          </w:p>
        </w:tc>
      </w:tr>
      <w:tr w:rsidR="00846E4C" w:rsidRPr="00772C02" w14:paraId="0A696798" w14:textId="77777777" w:rsidTr="00916907">
        <w:trPr>
          <w:trHeight w:val="220"/>
        </w:trPr>
        <w:tc>
          <w:tcPr>
            <w:tcW w:w="4652" w:type="dxa"/>
            <w:shd w:val="clear" w:color="auto" w:fill="auto"/>
            <w:vAlign w:val="center"/>
          </w:tcPr>
          <w:p w14:paraId="259FACF3" w14:textId="77777777"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9BAB2C7" w14:textId="77777777" w:rsidR="00846E4C" w:rsidRPr="00772C02" w:rsidRDefault="00846E4C" w:rsidP="00916907">
            <w:pPr>
              <w:overflowPunct/>
              <w:autoSpaceDE/>
              <w:autoSpaceDN/>
              <w:adjustRightInd/>
              <w:textAlignment w:val="auto"/>
              <w:rPr>
                <w:rFonts w:eastAsia="Calibri"/>
                <w:sz w:val="22"/>
                <w:szCs w:val="22"/>
              </w:rPr>
            </w:pPr>
          </w:p>
        </w:tc>
      </w:tr>
    </w:tbl>
    <w:p w14:paraId="08B7E9E5" w14:textId="77777777" w:rsidR="00846E4C" w:rsidRDefault="00846E4C" w:rsidP="00846E4C">
      <w:pPr>
        <w:pStyle w:val="AltBilgi"/>
      </w:pPr>
    </w:p>
    <w:p w14:paraId="1294A819" w14:textId="77777777" w:rsidR="00846E4C" w:rsidRDefault="00846E4C" w:rsidP="00846E4C">
      <w:pPr>
        <w:pStyle w:val="AltBilgi"/>
      </w:pPr>
    </w:p>
    <w:p w14:paraId="6C017982"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23A4F58E" w14:textId="77777777" w:rsidTr="00916907">
        <w:trPr>
          <w:cantSplit/>
          <w:trHeight w:val="465"/>
        </w:trPr>
        <w:tc>
          <w:tcPr>
            <w:tcW w:w="1620" w:type="dxa"/>
            <w:vMerge w:val="restart"/>
            <w:tcBorders>
              <w:top w:val="single" w:sz="6" w:space="0" w:color="auto"/>
              <w:left w:val="single" w:sz="6" w:space="0" w:color="auto"/>
              <w:right w:val="single" w:sz="6" w:space="0" w:color="auto"/>
            </w:tcBorders>
          </w:tcPr>
          <w:p w14:paraId="0F9F536F" w14:textId="77777777"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6E508FAE" w14:textId="77777777" w:rsidR="00846E4C" w:rsidRPr="008508DA" w:rsidRDefault="00846E4C" w:rsidP="00916907">
            <w:pPr>
              <w:jc w:val="center"/>
              <w:rPr>
                <w:b/>
                <w:sz w:val="22"/>
                <w:szCs w:val="22"/>
              </w:rPr>
            </w:pPr>
            <w:r w:rsidRPr="008508DA">
              <w:rPr>
                <w:b/>
                <w:sz w:val="22"/>
                <w:szCs w:val="22"/>
              </w:rPr>
              <w:t>Krediler</w:t>
            </w:r>
          </w:p>
        </w:tc>
      </w:tr>
      <w:tr w:rsidR="00846E4C" w:rsidRPr="008508DA" w14:paraId="2D4181D5" w14:textId="77777777" w:rsidTr="00916907">
        <w:trPr>
          <w:cantSplit/>
          <w:trHeight w:val="465"/>
        </w:trPr>
        <w:tc>
          <w:tcPr>
            <w:tcW w:w="1620" w:type="dxa"/>
            <w:vMerge/>
            <w:tcBorders>
              <w:left w:val="single" w:sz="6" w:space="0" w:color="auto"/>
              <w:right w:val="single" w:sz="6" w:space="0" w:color="auto"/>
            </w:tcBorders>
          </w:tcPr>
          <w:p w14:paraId="0A6D1F6E" w14:textId="77777777"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75B8672" w14:textId="77777777" w:rsidR="00846E4C" w:rsidRPr="008508DA" w:rsidRDefault="00846E4C" w:rsidP="00916907">
            <w:pPr>
              <w:jc w:val="center"/>
              <w:rPr>
                <w:b/>
                <w:sz w:val="22"/>
                <w:szCs w:val="22"/>
              </w:rPr>
            </w:pPr>
            <w:r w:rsidRPr="008508DA">
              <w:rPr>
                <w:b/>
                <w:sz w:val="22"/>
                <w:szCs w:val="22"/>
              </w:rPr>
              <w:t xml:space="preserve">Kullanılmamış </w:t>
            </w:r>
          </w:p>
        </w:tc>
      </w:tr>
      <w:tr w:rsidR="00846E4C" w:rsidRPr="008508DA" w14:paraId="5FD6EEB6" w14:textId="77777777" w:rsidTr="00916907">
        <w:trPr>
          <w:cantSplit/>
          <w:trHeight w:val="465"/>
        </w:trPr>
        <w:tc>
          <w:tcPr>
            <w:tcW w:w="1620" w:type="dxa"/>
            <w:vMerge/>
            <w:tcBorders>
              <w:left w:val="single" w:sz="6" w:space="0" w:color="auto"/>
              <w:bottom w:val="single" w:sz="6" w:space="0" w:color="auto"/>
              <w:right w:val="single" w:sz="6" w:space="0" w:color="auto"/>
            </w:tcBorders>
          </w:tcPr>
          <w:p w14:paraId="451E879E" w14:textId="77777777"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14:paraId="3F459DED" w14:textId="77777777"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6CC86BA8" w14:textId="77777777" w:rsidR="00846E4C" w:rsidRPr="008508DA" w:rsidRDefault="00846E4C" w:rsidP="00916907">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14:paraId="7A124893" w14:textId="77777777" w:rsidTr="00916907">
        <w:trPr>
          <w:trHeight w:val="540"/>
        </w:trPr>
        <w:tc>
          <w:tcPr>
            <w:tcW w:w="1620" w:type="dxa"/>
            <w:tcBorders>
              <w:top w:val="nil"/>
              <w:left w:val="single" w:sz="6" w:space="0" w:color="auto"/>
              <w:bottom w:val="single" w:sz="6" w:space="0" w:color="auto"/>
              <w:right w:val="single" w:sz="6" w:space="0" w:color="auto"/>
            </w:tcBorders>
          </w:tcPr>
          <w:p w14:paraId="53909E7F" w14:textId="77777777" w:rsidR="00846E4C" w:rsidRPr="00772C02" w:rsidRDefault="00846E4C" w:rsidP="00916907"/>
        </w:tc>
        <w:tc>
          <w:tcPr>
            <w:tcW w:w="3600" w:type="dxa"/>
            <w:tcBorders>
              <w:top w:val="nil"/>
              <w:left w:val="nil"/>
              <w:bottom w:val="single" w:sz="6" w:space="0" w:color="auto"/>
              <w:right w:val="single" w:sz="6" w:space="0" w:color="auto"/>
            </w:tcBorders>
          </w:tcPr>
          <w:p w14:paraId="6E1D5AEE" w14:textId="77777777" w:rsidR="00846E4C" w:rsidRPr="00772C02" w:rsidRDefault="00846E4C" w:rsidP="00916907"/>
        </w:tc>
        <w:tc>
          <w:tcPr>
            <w:tcW w:w="3780" w:type="dxa"/>
            <w:tcBorders>
              <w:top w:val="nil"/>
              <w:left w:val="nil"/>
              <w:bottom w:val="single" w:sz="6" w:space="0" w:color="auto"/>
              <w:right w:val="single" w:sz="6" w:space="0" w:color="auto"/>
            </w:tcBorders>
          </w:tcPr>
          <w:p w14:paraId="773652C5" w14:textId="77777777" w:rsidR="00846E4C" w:rsidRPr="00772C02" w:rsidRDefault="00846E4C" w:rsidP="00916907"/>
        </w:tc>
      </w:tr>
      <w:tr w:rsidR="00846E4C" w:rsidRPr="00772C02" w14:paraId="6FC1A832" w14:textId="77777777" w:rsidTr="00916907">
        <w:trPr>
          <w:trHeight w:val="540"/>
        </w:trPr>
        <w:tc>
          <w:tcPr>
            <w:tcW w:w="1620" w:type="dxa"/>
            <w:tcBorders>
              <w:top w:val="nil"/>
              <w:left w:val="single" w:sz="6" w:space="0" w:color="auto"/>
              <w:bottom w:val="single" w:sz="6" w:space="0" w:color="auto"/>
              <w:right w:val="single" w:sz="6" w:space="0" w:color="auto"/>
            </w:tcBorders>
          </w:tcPr>
          <w:p w14:paraId="2A7716BB" w14:textId="77777777" w:rsidR="00846E4C" w:rsidRPr="00772C02" w:rsidRDefault="00846E4C" w:rsidP="00916907"/>
        </w:tc>
        <w:tc>
          <w:tcPr>
            <w:tcW w:w="3600" w:type="dxa"/>
            <w:tcBorders>
              <w:top w:val="nil"/>
              <w:left w:val="nil"/>
              <w:bottom w:val="single" w:sz="6" w:space="0" w:color="auto"/>
              <w:right w:val="single" w:sz="6" w:space="0" w:color="auto"/>
            </w:tcBorders>
          </w:tcPr>
          <w:p w14:paraId="35AFC9FE" w14:textId="77777777" w:rsidR="00846E4C" w:rsidRPr="00772C02" w:rsidRDefault="00846E4C" w:rsidP="00916907"/>
        </w:tc>
        <w:tc>
          <w:tcPr>
            <w:tcW w:w="3780" w:type="dxa"/>
            <w:tcBorders>
              <w:top w:val="nil"/>
              <w:left w:val="nil"/>
              <w:bottom w:val="single" w:sz="6" w:space="0" w:color="auto"/>
              <w:right w:val="single" w:sz="6" w:space="0" w:color="auto"/>
            </w:tcBorders>
          </w:tcPr>
          <w:p w14:paraId="33E4E8BF" w14:textId="77777777" w:rsidR="00846E4C" w:rsidRPr="00772C02" w:rsidRDefault="00846E4C" w:rsidP="00916907"/>
        </w:tc>
      </w:tr>
      <w:tr w:rsidR="00846E4C" w:rsidRPr="00772C02" w14:paraId="60AB47AD" w14:textId="77777777" w:rsidTr="00916907">
        <w:trPr>
          <w:trHeight w:val="540"/>
        </w:trPr>
        <w:tc>
          <w:tcPr>
            <w:tcW w:w="1620" w:type="dxa"/>
            <w:tcBorders>
              <w:top w:val="nil"/>
              <w:left w:val="single" w:sz="6" w:space="0" w:color="auto"/>
              <w:bottom w:val="single" w:sz="6" w:space="0" w:color="auto"/>
              <w:right w:val="single" w:sz="6" w:space="0" w:color="auto"/>
            </w:tcBorders>
          </w:tcPr>
          <w:p w14:paraId="735E8AEF" w14:textId="77777777" w:rsidR="00846E4C" w:rsidRPr="00772C02" w:rsidRDefault="00846E4C" w:rsidP="00916907"/>
        </w:tc>
        <w:tc>
          <w:tcPr>
            <w:tcW w:w="3600" w:type="dxa"/>
            <w:tcBorders>
              <w:top w:val="nil"/>
              <w:left w:val="nil"/>
              <w:bottom w:val="single" w:sz="6" w:space="0" w:color="auto"/>
              <w:right w:val="single" w:sz="6" w:space="0" w:color="auto"/>
            </w:tcBorders>
          </w:tcPr>
          <w:p w14:paraId="0D04EDEF" w14:textId="77777777" w:rsidR="00846E4C" w:rsidRPr="00772C02" w:rsidRDefault="00846E4C" w:rsidP="00916907"/>
        </w:tc>
        <w:tc>
          <w:tcPr>
            <w:tcW w:w="3780" w:type="dxa"/>
            <w:tcBorders>
              <w:top w:val="nil"/>
              <w:left w:val="nil"/>
              <w:bottom w:val="single" w:sz="6" w:space="0" w:color="auto"/>
              <w:right w:val="single" w:sz="6" w:space="0" w:color="auto"/>
            </w:tcBorders>
          </w:tcPr>
          <w:p w14:paraId="1128AE16" w14:textId="77777777" w:rsidR="00846E4C" w:rsidRPr="00772C02" w:rsidRDefault="00846E4C" w:rsidP="00916907"/>
        </w:tc>
      </w:tr>
      <w:tr w:rsidR="00846E4C" w:rsidRPr="00772C02" w14:paraId="644AAC55" w14:textId="77777777" w:rsidTr="00916907">
        <w:trPr>
          <w:trHeight w:val="540"/>
        </w:trPr>
        <w:tc>
          <w:tcPr>
            <w:tcW w:w="1620" w:type="dxa"/>
            <w:tcBorders>
              <w:top w:val="nil"/>
              <w:left w:val="single" w:sz="6" w:space="0" w:color="auto"/>
              <w:bottom w:val="single" w:sz="6" w:space="0" w:color="auto"/>
              <w:right w:val="single" w:sz="6" w:space="0" w:color="auto"/>
            </w:tcBorders>
          </w:tcPr>
          <w:p w14:paraId="25E98ED7" w14:textId="77777777" w:rsidR="00846E4C" w:rsidRPr="00772C02" w:rsidRDefault="00846E4C" w:rsidP="00916907"/>
        </w:tc>
        <w:tc>
          <w:tcPr>
            <w:tcW w:w="3600" w:type="dxa"/>
            <w:tcBorders>
              <w:top w:val="nil"/>
              <w:left w:val="nil"/>
              <w:bottom w:val="single" w:sz="6" w:space="0" w:color="auto"/>
              <w:right w:val="single" w:sz="6" w:space="0" w:color="auto"/>
            </w:tcBorders>
          </w:tcPr>
          <w:p w14:paraId="0C19A387" w14:textId="77777777" w:rsidR="00846E4C" w:rsidRPr="00772C02" w:rsidRDefault="00846E4C" w:rsidP="00916907"/>
        </w:tc>
        <w:tc>
          <w:tcPr>
            <w:tcW w:w="3780" w:type="dxa"/>
            <w:tcBorders>
              <w:top w:val="nil"/>
              <w:left w:val="nil"/>
              <w:bottom w:val="single" w:sz="6" w:space="0" w:color="auto"/>
              <w:right w:val="single" w:sz="6" w:space="0" w:color="auto"/>
            </w:tcBorders>
          </w:tcPr>
          <w:p w14:paraId="4EA32837" w14:textId="77777777" w:rsidR="00846E4C" w:rsidRPr="00772C02" w:rsidRDefault="00846E4C" w:rsidP="00916907"/>
        </w:tc>
      </w:tr>
      <w:tr w:rsidR="00846E4C" w:rsidRPr="00772C02" w14:paraId="6DBAC5D6" w14:textId="77777777" w:rsidTr="00916907">
        <w:trPr>
          <w:trHeight w:val="540"/>
        </w:trPr>
        <w:tc>
          <w:tcPr>
            <w:tcW w:w="1620" w:type="dxa"/>
            <w:tcBorders>
              <w:top w:val="nil"/>
              <w:left w:val="single" w:sz="6" w:space="0" w:color="auto"/>
              <w:bottom w:val="single" w:sz="6" w:space="0" w:color="auto"/>
              <w:right w:val="single" w:sz="6" w:space="0" w:color="auto"/>
            </w:tcBorders>
          </w:tcPr>
          <w:p w14:paraId="1FC2175E" w14:textId="77777777" w:rsidR="00846E4C" w:rsidRPr="00772C02" w:rsidRDefault="00846E4C" w:rsidP="00916907"/>
        </w:tc>
        <w:tc>
          <w:tcPr>
            <w:tcW w:w="3600" w:type="dxa"/>
            <w:tcBorders>
              <w:top w:val="nil"/>
              <w:left w:val="nil"/>
              <w:bottom w:val="single" w:sz="6" w:space="0" w:color="auto"/>
              <w:right w:val="single" w:sz="6" w:space="0" w:color="auto"/>
            </w:tcBorders>
          </w:tcPr>
          <w:p w14:paraId="7407267F" w14:textId="77777777" w:rsidR="00846E4C" w:rsidRPr="00772C02" w:rsidRDefault="00846E4C" w:rsidP="00916907"/>
        </w:tc>
        <w:tc>
          <w:tcPr>
            <w:tcW w:w="3780" w:type="dxa"/>
            <w:tcBorders>
              <w:top w:val="nil"/>
              <w:left w:val="nil"/>
              <w:bottom w:val="single" w:sz="6" w:space="0" w:color="auto"/>
              <w:right w:val="single" w:sz="6" w:space="0" w:color="auto"/>
            </w:tcBorders>
          </w:tcPr>
          <w:p w14:paraId="515CBC90" w14:textId="77777777" w:rsidR="00846E4C" w:rsidRPr="00772C02" w:rsidRDefault="00846E4C" w:rsidP="00916907"/>
        </w:tc>
      </w:tr>
      <w:tr w:rsidR="00846E4C" w:rsidRPr="00772C02" w14:paraId="3D9C0AE2" w14:textId="77777777" w:rsidTr="00916907">
        <w:trPr>
          <w:trHeight w:val="540"/>
        </w:trPr>
        <w:tc>
          <w:tcPr>
            <w:tcW w:w="1620" w:type="dxa"/>
            <w:tcBorders>
              <w:top w:val="nil"/>
              <w:left w:val="single" w:sz="6" w:space="0" w:color="auto"/>
              <w:bottom w:val="single" w:sz="6" w:space="0" w:color="auto"/>
              <w:right w:val="single" w:sz="6" w:space="0" w:color="auto"/>
            </w:tcBorders>
          </w:tcPr>
          <w:p w14:paraId="3144A7AB" w14:textId="77777777" w:rsidR="00846E4C" w:rsidRPr="00772C02" w:rsidRDefault="00846E4C" w:rsidP="00916907"/>
        </w:tc>
        <w:tc>
          <w:tcPr>
            <w:tcW w:w="3600" w:type="dxa"/>
            <w:tcBorders>
              <w:top w:val="nil"/>
              <w:left w:val="nil"/>
              <w:bottom w:val="single" w:sz="6" w:space="0" w:color="auto"/>
              <w:right w:val="single" w:sz="6" w:space="0" w:color="auto"/>
            </w:tcBorders>
          </w:tcPr>
          <w:p w14:paraId="31E10797" w14:textId="77777777" w:rsidR="00846E4C" w:rsidRPr="00772C02" w:rsidRDefault="00846E4C" w:rsidP="00916907"/>
        </w:tc>
        <w:tc>
          <w:tcPr>
            <w:tcW w:w="3780" w:type="dxa"/>
            <w:tcBorders>
              <w:top w:val="nil"/>
              <w:left w:val="nil"/>
              <w:bottom w:val="single" w:sz="6" w:space="0" w:color="auto"/>
              <w:right w:val="single" w:sz="6" w:space="0" w:color="auto"/>
            </w:tcBorders>
          </w:tcPr>
          <w:p w14:paraId="20ECF5BD" w14:textId="77777777" w:rsidR="00846E4C" w:rsidRPr="00772C02" w:rsidRDefault="00846E4C" w:rsidP="00916907"/>
        </w:tc>
      </w:tr>
      <w:tr w:rsidR="00846E4C" w:rsidRPr="00772C02" w14:paraId="3CDF47DF" w14:textId="77777777" w:rsidTr="00916907">
        <w:trPr>
          <w:trHeight w:val="540"/>
        </w:trPr>
        <w:tc>
          <w:tcPr>
            <w:tcW w:w="1620" w:type="dxa"/>
            <w:tcBorders>
              <w:top w:val="nil"/>
              <w:left w:val="single" w:sz="6" w:space="0" w:color="auto"/>
              <w:bottom w:val="single" w:sz="6" w:space="0" w:color="auto"/>
              <w:right w:val="single" w:sz="6" w:space="0" w:color="auto"/>
            </w:tcBorders>
          </w:tcPr>
          <w:p w14:paraId="265A54EC" w14:textId="77777777" w:rsidR="00846E4C" w:rsidRPr="00772C02" w:rsidRDefault="00846E4C" w:rsidP="00916907"/>
        </w:tc>
        <w:tc>
          <w:tcPr>
            <w:tcW w:w="3600" w:type="dxa"/>
            <w:tcBorders>
              <w:top w:val="nil"/>
              <w:left w:val="nil"/>
              <w:bottom w:val="single" w:sz="6" w:space="0" w:color="auto"/>
              <w:right w:val="single" w:sz="6" w:space="0" w:color="auto"/>
            </w:tcBorders>
          </w:tcPr>
          <w:p w14:paraId="7278ACE2" w14:textId="77777777" w:rsidR="00846E4C" w:rsidRPr="00772C02" w:rsidRDefault="00846E4C" w:rsidP="00916907"/>
        </w:tc>
        <w:tc>
          <w:tcPr>
            <w:tcW w:w="3780" w:type="dxa"/>
            <w:tcBorders>
              <w:top w:val="nil"/>
              <w:left w:val="nil"/>
              <w:bottom w:val="single" w:sz="6" w:space="0" w:color="auto"/>
              <w:right w:val="single" w:sz="6" w:space="0" w:color="auto"/>
            </w:tcBorders>
          </w:tcPr>
          <w:p w14:paraId="1A8D616D" w14:textId="77777777" w:rsidR="00846E4C" w:rsidRPr="00772C02" w:rsidRDefault="00846E4C" w:rsidP="00916907"/>
        </w:tc>
      </w:tr>
      <w:tr w:rsidR="00846E4C" w:rsidRPr="00772C02" w14:paraId="5AC25A10" w14:textId="77777777" w:rsidTr="00916907">
        <w:trPr>
          <w:trHeight w:val="540"/>
        </w:trPr>
        <w:tc>
          <w:tcPr>
            <w:tcW w:w="1620" w:type="dxa"/>
            <w:tcBorders>
              <w:top w:val="nil"/>
              <w:left w:val="single" w:sz="6" w:space="0" w:color="auto"/>
              <w:bottom w:val="single" w:sz="6" w:space="0" w:color="auto"/>
              <w:right w:val="single" w:sz="6" w:space="0" w:color="auto"/>
            </w:tcBorders>
          </w:tcPr>
          <w:p w14:paraId="5CD51578" w14:textId="77777777" w:rsidR="00846E4C" w:rsidRPr="00772C02" w:rsidRDefault="00846E4C" w:rsidP="00916907"/>
        </w:tc>
        <w:tc>
          <w:tcPr>
            <w:tcW w:w="3600" w:type="dxa"/>
            <w:tcBorders>
              <w:top w:val="nil"/>
              <w:left w:val="nil"/>
              <w:bottom w:val="single" w:sz="6" w:space="0" w:color="auto"/>
              <w:right w:val="single" w:sz="6" w:space="0" w:color="auto"/>
            </w:tcBorders>
          </w:tcPr>
          <w:p w14:paraId="75A5862A" w14:textId="77777777" w:rsidR="00846E4C" w:rsidRPr="00772C02" w:rsidRDefault="00846E4C" w:rsidP="00916907"/>
        </w:tc>
        <w:tc>
          <w:tcPr>
            <w:tcW w:w="3780" w:type="dxa"/>
            <w:tcBorders>
              <w:top w:val="nil"/>
              <w:left w:val="nil"/>
              <w:bottom w:val="single" w:sz="6" w:space="0" w:color="auto"/>
              <w:right w:val="single" w:sz="6" w:space="0" w:color="auto"/>
            </w:tcBorders>
          </w:tcPr>
          <w:p w14:paraId="6A18F6D6" w14:textId="77777777" w:rsidR="00846E4C" w:rsidRPr="00772C02" w:rsidRDefault="00846E4C" w:rsidP="00916907"/>
        </w:tc>
      </w:tr>
      <w:tr w:rsidR="00846E4C" w:rsidRPr="00772C02" w14:paraId="0BE94965" w14:textId="77777777" w:rsidTr="00916907">
        <w:trPr>
          <w:trHeight w:val="540"/>
        </w:trPr>
        <w:tc>
          <w:tcPr>
            <w:tcW w:w="1620" w:type="dxa"/>
            <w:tcBorders>
              <w:top w:val="nil"/>
              <w:left w:val="single" w:sz="6" w:space="0" w:color="auto"/>
              <w:bottom w:val="single" w:sz="6" w:space="0" w:color="auto"/>
              <w:right w:val="single" w:sz="6" w:space="0" w:color="auto"/>
            </w:tcBorders>
          </w:tcPr>
          <w:p w14:paraId="6D060E59" w14:textId="77777777" w:rsidR="00846E4C" w:rsidRPr="00772C02" w:rsidRDefault="00846E4C" w:rsidP="00916907"/>
        </w:tc>
        <w:tc>
          <w:tcPr>
            <w:tcW w:w="3600" w:type="dxa"/>
            <w:tcBorders>
              <w:top w:val="nil"/>
              <w:left w:val="nil"/>
              <w:bottom w:val="single" w:sz="6" w:space="0" w:color="auto"/>
              <w:right w:val="single" w:sz="6" w:space="0" w:color="auto"/>
            </w:tcBorders>
          </w:tcPr>
          <w:p w14:paraId="1C6153CF" w14:textId="77777777" w:rsidR="00846E4C" w:rsidRPr="00772C02" w:rsidRDefault="00846E4C" w:rsidP="00916907"/>
        </w:tc>
        <w:tc>
          <w:tcPr>
            <w:tcW w:w="3780" w:type="dxa"/>
            <w:tcBorders>
              <w:top w:val="nil"/>
              <w:left w:val="nil"/>
              <w:bottom w:val="single" w:sz="6" w:space="0" w:color="auto"/>
              <w:right w:val="single" w:sz="6" w:space="0" w:color="auto"/>
            </w:tcBorders>
          </w:tcPr>
          <w:p w14:paraId="5CD90031" w14:textId="77777777" w:rsidR="00846E4C" w:rsidRPr="00772C02" w:rsidRDefault="00846E4C" w:rsidP="00916907"/>
        </w:tc>
      </w:tr>
    </w:tbl>
    <w:p w14:paraId="0FB16942" w14:textId="77777777" w:rsidR="00846E4C" w:rsidRPr="00772C02" w:rsidRDefault="00846E4C" w:rsidP="00846E4C"/>
    <w:p w14:paraId="241FB9FB"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702EA414" w14:textId="77777777" w:rsidR="00846E4C" w:rsidRPr="008508DA" w:rsidRDefault="00846E4C" w:rsidP="00846E4C">
      <w:pPr>
        <w:rPr>
          <w:sz w:val="22"/>
          <w:szCs w:val="22"/>
        </w:rPr>
      </w:pPr>
    </w:p>
    <w:p w14:paraId="4859818F" w14:textId="77777777" w:rsidR="00846E4C" w:rsidRPr="008508DA" w:rsidRDefault="00846E4C" w:rsidP="00846E4C">
      <w:pPr>
        <w:rPr>
          <w:sz w:val="22"/>
          <w:szCs w:val="22"/>
        </w:rPr>
      </w:pPr>
    </w:p>
    <w:p w14:paraId="2CCC332D" w14:textId="77777777" w:rsidR="00846E4C" w:rsidRPr="008508DA" w:rsidRDefault="00846E4C" w:rsidP="00846E4C">
      <w:pPr>
        <w:rPr>
          <w:sz w:val="22"/>
          <w:szCs w:val="22"/>
        </w:rPr>
      </w:pPr>
    </w:p>
    <w:p w14:paraId="30D4123A" w14:textId="77777777" w:rsidR="00846E4C" w:rsidRPr="008508DA" w:rsidRDefault="00846E4C" w:rsidP="00846E4C">
      <w:pPr>
        <w:ind w:left="4500"/>
        <w:jc w:val="center"/>
        <w:rPr>
          <w:sz w:val="22"/>
          <w:szCs w:val="22"/>
        </w:rPr>
      </w:pPr>
      <w:r w:rsidRPr="008508DA">
        <w:rPr>
          <w:sz w:val="22"/>
          <w:szCs w:val="22"/>
        </w:rPr>
        <w:t>_ _/_ _/ _ _ _ _</w:t>
      </w:r>
    </w:p>
    <w:p w14:paraId="52CBFC7B" w14:textId="77777777" w:rsidR="00846E4C" w:rsidRPr="008508DA" w:rsidRDefault="00846E4C" w:rsidP="00846E4C">
      <w:pPr>
        <w:ind w:left="4500"/>
        <w:jc w:val="center"/>
        <w:rPr>
          <w:i/>
          <w:sz w:val="22"/>
          <w:szCs w:val="22"/>
        </w:rPr>
      </w:pPr>
      <w:r w:rsidRPr="008508DA">
        <w:rPr>
          <w:i/>
          <w:sz w:val="22"/>
          <w:szCs w:val="22"/>
        </w:rPr>
        <w:t>[</w:t>
      </w:r>
      <w:proofErr w:type="gramStart"/>
      <w:r w:rsidRPr="008508DA">
        <w:rPr>
          <w:i/>
          <w:sz w:val="22"/>
          <w:szCs w:val="22"/>
        </w:rPr>
        <w:t>banka</w:t>
      </w:r>
      <w:proofErr w:type="gramEnd"/>
      <w:r w:rsidRPr="008508DA">
        <w:rPr>
          <w:i/>
          <w:sz w:val="22"/>
          <w:szCs w:val="22"/>
        </w:rPr>
        <w:t xml:space="preserve"> adı]</w:t>
      </w:r>
    </w:p>
    <w:p w14:paraId="76A1EA79" w14:textId="77777777" w:rsidR="00846E4C" w:rsidRDefault="00846E4C" w:rsidP="00846E4C">
      <w:pPr>
        <w:ind w:left="4500"/>
        <w:jc w:val="center"/>
        <w:rPr>
          <w:sz w:val="22"/>
          <w:szCs w:val="22"/>
        </w:rPr>
      </w:pPr>
      <w:r w:rsidRPr="008508DA">
        <w:rPr>
          <w:sz w:val="22"/>
          <w:szCs w:val="22"/>
        </w:rPr>
        <w:t>Yetkililerin isim, unvan ve imzaları</w:t>
      </w:r>
    </w:p>
    <w:p w14:paraId="3CAD2476" w14:textId="77777777" w:rsidR="00846E4C" w:rsidRDefault="00846E4C" w:rsidP="00846E4C">
      <w:pPr>
        <w:ind w:left="4500"/>
        <w:jc w:val="both"/>
        <w:rPr>
          <w:sz w:val="22"/>
          <w:szCs w:val="22"/>
        </w:rPr>
      </w:pPr>
    </w:p>
    <w:p w14:paraId="595C8A1F" w14:textId="77777777" w:rsidR="00846E4C" w:rsidRDefault="00846E4C" w:rsidP="00846E4C">
      <w:pPr>
        <w:ind w:left="4500"/>
        <w:jc w:val="both"/>
        <w:rPr>
          <w:sz w:val="22"/>
          <w:szCs w:val="22"/>
        </w:rPr>
      </w:pPr>
    </w:p>
    <w:p w14:paraId="4E2BBD7F" w14:textId="77777777" w:rsidR="00846E4C" w:rsidRDefault="00846E4C" w:rsidP="00846E4C">
      <w:pPr>
        <w:ind w:left="4500"/>
        <w:jc w:val="both"/>
        <w:rPr>
          <w:sz w:val="22"/>
          <w:szCs w:val="22"/>
        </w:rPr>
      </w:pPr>
    </w:p>
    <w:p w14:paraId="7F11A319" w14:textId="77777777" w:rsidR="00846E4C" w:rsidRDefault="00846E4C" w:rsidP="00846E4C">
      <w:pPr>
        <w:ind w:left="4500"/>
        <w:jc w:val="both"/>
        <w:rPr>
          <w:sz w:val="22"/>
          <w:szCs w:val="22"/>
        </w:rPr>
      </w:pPr>
    </w:p>
    <w:p w14:paraId="62AB00D9" w14:textId="77777777" w:rsidR="00846E4C" w:rsidRPr="008508DA" w:rsidRDefault="00846E4C" w:rsidP="00846E4C">
      <w:pPr>
        <w:ind w:left="4500"/>
        <w:jc w:val="both"/>
        <w:rPr>
          <w:sz w:val="22"/>
          <w:szCs w:val="22"/>
        </w:rPr>
      </w:pPr>
    </w:p>
    <w:p w14:paraId="554C6DF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702323C5"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203F9F"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3355E66"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734C45"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0F41A50C" w14:textId="77777777"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46576C1" w14:textId="77777777" w:rsidR="00F75597" w:rsidRPr="009E2D81" w:rsidRDefault="00F75597" w:rsidP="00F75597">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9E2D81">
        <w:rPr>
          <w:rFonts w:ascii="Times New Roman" w:hAnsi="Times New Roman" w:cs="Times New Roman"/>
          <w:smallCaps/>
          <w:color w:val="000000"/>
          <w:sz w:val="22"/>
          <w:szCs w:val="22"/>
          <w:shd w:val="clear" w:color="auto" w:fill="FFFFFF"/>
        </w:rPr>
        <w:t>EK-2</w:t>
      </w:r>
    </w:p>
    <w:p w14:paraId="2389A933" w14:textId="77777777" w:rsidR="00F75597"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732CD042" w14:textId="77777777" w:rsidR="00F75597" w:rsidRPr="009E2D81"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p>
    <w:p w14:paraId="193E5FCD" w14:textId="77777777" w:rsidR="00F75597" w:rsidRPr="0030678A" w:rsidRDefault="00F75597" w:rsidP="00F75597">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14:paraId="08EDFDA3" w14:textId="77777777" w:rsidR="00F75597" w:rsidRPr="00772C02" w:rsidRDefault="00F75597" w:rsidP="00F75597">
      <w:pPr>
        <w:pStyle w:val="Tabloyazs0"/>
        <w:shd w:val="clear" w:color="auto" w:fill="auto"/>
        <w:spacing w:line="240" w:lineRule="auto"/>
        <w:jc w:val="center"/>
        <w:rPr>
          <w:sz w:val="28"/>
          <w:szCs w:val="28"/>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F75597" w:rsidRPr="0030678A" w14:paraId="42372617" w14:textId="77777777" w:rsidTr="00F75597">
        <w:trPr>
          <w:trHeight w:val="234"/>
        </w:trPr>
        <w:tc>
          <w:tcPr>
            <w:tcW w:w="4731" w:type="dxa"/>
            <w:shd w:val="clear" w:color="auto" w:fill="auto"/>
            <w:vAlign w:val="center"/>
          </w:tcPr>
          <w:p w14:paraId="2D28189A"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7644A33C" w14:textId="77777777" w:rsidR="00F75597" w:rsidRPr="0030678A" w:rsidRDefault="00F75597" w:rsidP="00DF4B23">
            <w:pPr>
              <w:overflowPunct/>
              <w:autoSpaceDE/>
              <w:autoSpaceDN/>
              <w:adjustRightInd/>
              <w:textAlignment w:val="auto"/>
              <w:rPr>
                <w:rFonts w:asciiTheme="minorHAnsi" w:eastAsia="Calibri" w:hAnsiTheme="minorHAnsi" w:cstheme="minorHAnsi"/>
                <w:sz w:val="22"/>
                <w:szCs w:val="22"/>
              </w:rPr>
            </w:pPr>
          </w:p>
        </w:tc>
      </w:tr>
      <w:tr w:rsidR="00F75597" w:rsidRPr="009E2D81" w14:paraId="6156EC3F" w14:textId="77777777" w:rsidTr="00F75597">
        <w:trPr>
          <w:trHeight w:val="234"/>
        </w:trPr>
        <w:tc>
          <w:tcPr>
            <w:tcW w:w="4731" w:type="dxa"/>
            <w:shd w:val="clear" w:color="auto" w:fill="auto"/>
            <w:vAlign w:val="center"/>
          </w:tcPr>
          <w:p w14:paraId="58BD0C6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6791D9A1"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r w:rsidR="00F75597" w:rsidRPr="009E2D81" w14:paraId="5A25D682" w14:textId="77777777" w:rsidTr="00F75597">
        <w:trPr>
          <w:trHeight w:val="234"/>
        </w:trPr>
        <w:tc>
          <w:tcPr>
            <w:tcW w:w="4731" w:type="dxa"/>
            <w:shd w:val="clear" w:color="auto" w:fill="auto"/>
            <w:vAlign w:val="center"/>
          </w:tcPr>
          <w:p w14:paraId="5EB22944"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3E6039F"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bl>
    <w:p w14:paraId="78A31ADB" w14:textId="77777777" w:rsidR="00F75597" w:rsidRPr="009E2D81" w:rsidRDefault="00F75597" w:rsidP="00F75597">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F75597" w:rsidRPr="009E2D81" w14:paraId="0506E67F" w14:textId="77777777" w:rsidTr="00F75597">
        <w:trPr>
          <w:trHeight w:val="134"/>
        </w:trPr>
        <w:tc>
          <w:tcPr>
            <w:tcW w:w="3509" w:type="dxa"/>
            <w:shd w:val="clear" w:color="auto" w:fill="auto"/>
          </w:tcPr>
          <w:p w14:paraId="244A3766"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E3C170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724B37C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4AA708B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F75597" w:rsidRPr="009E2D81" w14:paraId="6FF9E0FD" w14:textId="77777777" w:rsidTr="00F75597">
        <w:trPr>
          <w:trHeight w:val="134"/>
        </w:trPr>
        <w:tc>
          <w:tcPr>
            <w:tcW w:w="3509" w:type="dxa"/>
            <w:shd w:val="clear" w:color="auto" w:fill="auto"/>
          </w:tcPr>
          <w:p w14:paraId="74C55393"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51242C8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3CC45A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E99DE8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31A213F3" w14:textId="77777777" w:rsidTr="00F75597">
        <w:trPr>
          <w:trHeight w:val="134"/>
        </w:trPr>
        <w:tc>
          <w:tcPr>
            <w:tcW w:w="3509" w:type="dxa"/>
            <w:shd w:val="clear" w:color="auto" w:fill="auto"/>
          </w:tcPr>
          <w:p w14:paraId="603939E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E702838"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FC3AE2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10FC1443"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7665EDB" w14:textId="77777777" w:rsidTr="00F75597">
        <w:trPr>
          <w:trHeight w:val="134"/>
        </w:trPr>
        <w:tc>
          <w:tcPr>
            <w:tcW w:w="3509" w:type="dxa"/>
            <w:shd w:val="clear" w:color="auto" w:fill="auto"/>
          </w:tcPr>
          <w:p w14:paraId="31E4214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17DE60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295DC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2FE789F"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5FE63D3" w14:textId="77777777" w:rsidTr="00F75597">
        <w:trPr>
          <w:trHeight w:val="134"/>
        </w:trPr>
        <w:tc>
          <w:tcPr>
            <w:tcW w:w="3509" w:type="dxa"/>
            <w:shd w:val="clear" w:color="auto" w:fill="auto"/>
          </w:tcPr>
          <w:p w14:paraId="7D51A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11B49F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EF07C17"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AD55A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1A6F614A" w14:textId="77777777" w:rsidTr="00F75597">
        <w:trPr>
          <w:trHeight w:val="134"/>
        </w:trPr>
        <w:tc>
          <w:tcPr>
            <w:tcW w:w="3509" w:type="dxa"/>
            <w:shd w:val="clear" w:color="auto" w:fill="auto"/>
          </w:tcPr>
          <w:p w14:paraId="6B4888D1"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58B59ABB"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FDEBD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D4DBD9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1CD8DE3" w14:textId="77777777" w:rsidTr="00F75597">
        <w:trPr>
          <w:trHeight w:val="134"/>
        </w:trPr>
        <w:tc>
          <w:tcPr>
            <w:tcW w:w="3509" w:type="dxa"/>
            <w:shd w:val="clear" w:color="auto" w:fill="auto"/>
          </w:tcPr>
          <w:p w14:paraId="3DF40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5657FF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8FB84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4209A55"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1AAAFE6" w14:textId="77777777" w:rsidTr="00F75597">
        <w:trPr>
          <w:trHeight w:val="134"/>
        </w:trPr>
        <w:tc>
          <w:tcPr>
            <w:tcW w:w="3509" w:type="dxa"/>
            <w:shd w:val="clear" w:color="auto" w:fill="auto"/>
          </w:tcPr>
          <w:p w14:paraId="25C9239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306747CD"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53A453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7D016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0C2AACE0" w14:textId="77777777" w:rsidR="00F75597"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5C36C832" w14:textId="77777777" w:rsidR="00F75597" w:rsidRPr="0030678A"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F75597" w:rsidRPr="0030678A" w14:paraId="09751EFA" w14:textId="77777777" w:rsidTr="00F75597">
        <w:trPr>
          <w:trHeight w:val="220"/>
        </w:trPr>
        <w:tc>
          <w:tcPr>
            <w:tcW w:w="5638" w:type="dxa"/>
            <w:shd w:val="clear" w:color="auto" w:fill="auto"/>
            <w:vAlign w:val="center"/>
          </w:tcPr>
          <w:p w14:paraId="3CAB0730"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083F8F9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3829AFE6" w14:textId="77777777" w:rsidTr="00F75597">
        <w:trPr>
          <w:trHeight w:val="220"/>
        </w:trPr>
        <w:tc>
          <w:tcPr>
            <w:tcW w:w="5638" w:type="dxa"/>
            <w:shd w:val="clear" w:color="auto" w:fill="auto"/>
            <w:vAlign w:val="center"/>
          </w:tcPr>
          <w:p w14:paraId="6D322559"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7CFC0F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13E09C48" w14:textId="77777777" w:rsidTr="00F75597">
        <w:trPr>
          <w:trHeight w:val="220"/>
        </w:trPr>
        <w:tc>
          <w:tcPr>
            <w:tcW w:w="5638" w:type="dxa"/>
            <w:shd w:val="clear" w:color="auto" w:fill="auto"/>
            <w:vAlign w:val="center"/>
          </w:tcPr>
          <w:p w14:paraId="324DD5EF"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6F15015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2AD82271" w14:textId="77777777" w:rsidR="00F75597" w:rsidRPr="0030678A" w:rsidRDefault="00F75597" w:rsidP="00F75597">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40AE09F0"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Pr>
          <w:rFonts w:asciiTheme="minorHAnsi" w:hAnsiTheme="minorHAnsi" w:cstheme="minorHAnsi"/>
          <w:color w:val="000000"/>
          <w:sz w:val="22"/>
          <w:szCs w:val="22"/>
        </w:rPr>
        <w:t>Aşağıdaki tablolardan yalnızca biri doldurulacaktır)</w:t>
      </w:r>
    </w:p>
    <w:p w14:paraId="6FC02190" w14:textId="77777777" w:rsidR="00F75597" w:rsidRPr="0030678A" w:rsidRDefault="00F75597" w:rsidP="00F75597">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F75597" w:rsidRPr="0030678A" w14:paraId="71BFC3B1" w14:textId="77777777" w:rsidTr="003D74B0">
        <w:trPr>
          <w:trHeight w:val="218"/>
        </w:trPr>
        <w:tc>
          <w:tcPr>
            <w:tcW w:w="2263" w:type="dxa"/>
            <w:tcBorders>
              <w:bottom w:val="single" w:sz="4" w:space="0" w:color="auto"/>
            </w:tcBorders>
            <w:shd w:val="clear" w:color="auto" w:fill="auto"/>
            <w:vAlign w:val="center"/>
          </w:tcPr>
          <w:p w14:paraId="38D4884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4C7DB68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0DD060F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0E24AA3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2FA3BD1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79976B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56C2B2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F75597" w:rsidRPr="0030678A" w14:paraId="27A47021" w14:textId="77777777" w:rsidTr="003D74B0">
        <w:trPr>
          <w:trHeight w:val="218"/>
        </w:trPr>
        <w:tc>
          <w:tcPr>
            <w:tcW w:w="2263" w:type="dxa"/>
            <w:tcBorders>
              <w:bottom w:val="single" w:sz="4" w:space="0" w:color="auto"/>
            </w:tcBorders>
            <w:shd w:val="clear" w:color="auto" w:fill="auto"/>
            <w:vAlign w:val="center"/>
          </w:tcPr>
          <w:p w14:paraId="64C33F4E"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316083A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5EA7823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5B3B956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17DF825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7496EE2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3A7B9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177D733" w14:textId="77777777" w:rsidTr="003D74B0">
        <w:trPr>
          <w:trHeight w:val="218"/>
        </w:trPr>
        <w:tc>
          <w:tcPr>
            <w:tcW w:w="2263" w:type="dxa"/>
            <w:tcBorders>
              <w:top w:val="single" w:sz="4" w:space="0" w:color="auto"/>
              <w:left w:val="nil"/>
              <w:bottom w:val="single" w:sz="4" w:space="0" w:color="auto"/>
              <w:right w:val="nil"/>
            </w:tcBorders>
            <w:shd w:val="clear" w:color="auto" w:fill="auto"/>
            <w:vAlign w:val="center"/>
          </w:tcPr>
          <w:p w14:paraId="6A6E69C4"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28DC84D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EE19A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1FF7C5E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7F6EF2D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5E674B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3BD47AC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4B63C41E" w14:textId="77777777" w:rsidTr="003D74B0">
        <w:trPr>
          <w:trHeight w:val="218"/>
        </w:trPr>
        <w:tc>
          <w:tcPr>
            <w:tcW w:w="2263" w:type="dxa"/>
            <w:tcBorders>
              <w:top w:val="single" w:sz="4" w:space="0" w:color="auto"/>
            </w:tcBorders>
            <w:shd w:val="clear" w:color="auto" w:fill="auto"/>
            <w:vAlign w:val="center"/>
          </w:tcPr>
          <w:p w14:paraId="4D87995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6137C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14A85D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1A1EAA7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257D567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469F90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0083626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F560FD8" w14:textId="77777777" w:rsidTr="003D74B0">
        <w:trPr>
          <w:trHeight w:val="218"/>
        </w:trPr>
        <w:tc>
          <w:tcPr>
            <w:tcW w:w="2263" w:type="dxa"/>
            <w:shd w:val="clear" w:color="auto" w:fill="auto"/>
            <w:vAlign w:val="center"/>
          </w:tcPr>
          <w:p w14:paraId="4D67888B"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17EE130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35D389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4A516135"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F0B125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6CC20A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700E4AB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53AAD3EB" w14:textId="77777777" w:rsidR="00F75597" w:rsidRPr="00457E3B" w:rsidRDefault="00F75597" w:rsidP="00F75597">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14:paraId="5B90C15A"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p>
    <w:p w14:paraId="5B567183"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14:paraId="1E4D83F0"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ECB3D65" w14:textId="77777777" w:rsidR="00F75597" w:rsidRPr="009E2D81" w:rsidRDefault="00F75597" w:rsidP="00F75597">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75FF0FCC" w14:textId="77777777" w:rsidR="00F75597" w:rsidRPr="009E2D81" w:rsidRDefault="00F75597" w:rsidP="00F75597">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YMM/SMMM</w:t>
      </w:r>
    </w:p>
    <w:p w14:paraId="550E099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1692785E"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İmza</w:t>
      </w:r>
    </w:p>
    <w:p w14:paraId="0C205C7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5087B1B8" w14:textId="77777777" w:rsidR="00F75597" w:rsidRPr="00A74139" w:rsidRDefault="00F75597" w:rsidP="00F75597">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14:paraId="00B9C90C" w14:textId="77777777" w:rsidR="00F75597" w:rsidRPr="0030678A" w:rsidRDefault="00F75597" w:rsidP="00F75597">
      <w:pPr>
        <w:widowControl w:val="0"/>
        <w:overflowPunct/>
        <w:autoSpaceDE/>
        <w:autoSpaceDN/>
        <w:adjustRightInd/>
        <w:ind w:left="7513"/>
        <w:jc w:val="center"/>
        <w:textAlignment w:val="auto"/>
        <w:rPr>
          <w:rFonts w:asciiTheme="minorHAnsi" w:hAnsiTheme="minorHAnsi" w:cstheme="minorHAnsi"/>
          <w:color w:val="000000"/>
          <w:sz w:val="22"/>
          <w:szCs w:val="22"/>
        </w:rPr>
      </w:pPr>
    </w:p>
    <w:p w14:paraId="726285BB"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48B155DD" w14:textId="77777777" w:rsidR="00F75597" w:rsidRPr="0030678A" w:rsidRDefault="00F75597" w:rsidP="00F7559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5637D920"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791724C"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61DAA6FF" w14:textId="77777777" w:rsidR="00F75597" w:rsidRPr="0030678A" w:rsidRDefault="00F75597" w:rsidP="00F75597">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14:paraId="1C45793A" w14:textId="77777777" w:rsidR="00F75597" w:rsidRPr="0030678A" w:rsidRDefault="00F75597" w:rsidP="00F75597">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6-04/01/1961</w:t>
      </w:r>
      <w:r w:rsidRPr="0030678A">
        <w:rPr>
          <w:rFonts w:asciiTheme="minorHAnsi" w:hAnsiTheme="minorHAnsi" w:cstheme="minorHAnsi"/>
          <w:color w:val="000000"/>
          <w:spacing w:val="10"/>
          <w:sz w:val="18"/>
          <w:szCs w:val="18"/>
        </w:rPr>
        <w:tab/>
        <w:t xml:space="preserve">tarihli ve 213 sayılı Vergi Usul Kanununun </w:t>
      </w:r>
      <w:proofErr w:type="gramStart"/>
      <w:r w:rsidRPr="0030678A">
        <w:rPr>
          <w:rFonts w:asciiTheme="minorHAnsi" w:hAnsiTheme="minorHAnsi" w:cstheme="minorHAnsi"/>
          <w:color w:val="000000"/>
          <w:spacing w:val="10"/>
          <w:sz w:val="18"/>
          <w:szCs w:val="18"/>
        </w:rPr>
        <w:t>174 üncü</w:t>
      </w:r>
      <w:proofErr w:type="gramEnd"/>
      <w:r w:rsidRPr="0030678A">
        <w:rPr>
          <w:rFonts w:asciiTheme="minorHAnsi" w:hAnsiTheme="minorHAnsi" w:cstheme="minorHAnsi"/>
          <w:color w:val="000000"/>
          <w:spacing w:val="10"/>
          <w:sz w:val="18"/>
          <w:szCs w:val="18"/>
        </w:rPr>
        <w:t xml:space="preserve"> maddesine göre takvim yılından farklı hesap dönemi belirlenen mükellefin bilançoları için bu hesap dönemi esas alınır.</w:t>
      </w:r>
    </w:p>
    <w:p w14:paraId="304871D3" w14:textId="77777777" w:rsidR="00F75597" w:rsidRPr="0030678A"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664377A1" w14:textId="77777777" w:rsidR="00F75597" w:rsidRPr="00727919"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5513C5F" w14:textId="77777777"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5885DD08" w14:textId="77777777"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27D518D"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3CAE594D"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7A4B8F7"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55894FA"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2580BF8"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6CFF811"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7B4B94DD" w14:textId="77777777" w:rsidTr="00916907">
        <w:trPr>
          <w:trHeight w:val="220"/>
        </w:trPr>
        <w:tc>
          <w:tcPr>
            <w:tcW w:w="4965" w:type="dxa"/>
            <w:shd w:val="clear" w:color="auto" w:fill="auto"/>
            <w:vAlign w:val="center"/>
          </w:tcPr>
          <w:p w14:paraId="336C8F40" w14:textId="77777777"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66C05361"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5BF56AEE" w14:textId="77777777" w:rsidTr="00916907">
        <w:trPr>
          <w:trHeight w:val="220"/>
        </w:trPr>
        <w:tc>
          <w:tcPr>
            <w:tcW w:w="4965" w:type="dxa"/>
            <w:shd w:val="clear" w:color="auto" w:fill="auto"/>
            <w:vAlign w:val="center"/>
          </w:tcPr>
          <w:p w14:paraId="1D9AE05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599C4AFB"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0BB5892F" w14:textId="77777777" w:rsidTr="00916907">
        <w:trPr>
          <w:trHeight w:val="220"/>
        </w:trPr>
        <w:tc>
          <w:tcPr>
            <w:tcW w:w="4965" w:type="dxa"/>
            <w:shd w:val="clear" w:color="auto" w:fill="auto"/>
            <w:vAlign w:val="center"/>
          </w:tcPr>
          <w:p w14:paraId="71140DF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967BC74" w14:textId="77777777" w:rsidR="00472AED" w:rsidRPr="00772C02" w:rsidRDefault="00472AED" w:rsidP="00916907">
            <w:pPr>
              <w:overflowPunct/>
              <w:autoSpaceDE/>
              <w:autoSpaceDN/>
              <w:adjustRightInd/>
              <w:textAlignment w:val="auto"/>
              <w:rPr>
                <w:rFonts w:eastAsia="Calibri"/>
                <w:sz w:val="22"/>
                <w:szCs w:val="22"/>
              </w:rPr>
            </w:pPr>
          </w:p>
        </w:tc>
      </w:tr>
    </w:tbl>
    <w:p w14:paraId="4E5C77C9" w14:textId="77777777" w:rsidR="00472AED" w:rsidRDefault="00472AED" w:rsidP="00472AED">
      <w:pPr>
        <w:overflowPunct/>
        <w:autoSpaceDE/>
        <w:autoSpaceDN/>
        <w:adjustRightInd/>
        <w:spacing w:after="60"/>
        <w:textAlignment w:val="auto"/>
        <w:rPr>
          <w:rFonts w:eastAsia="Calibri"/>
          <w:sz w:val="22"/>
          <w:szCs w:val="22"/>
        </w:rPr>
      </w:pPr>
    </w:p>
    <w:p w14:paraId="4C6C3E33"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2A4EBE40" w14:textId="77777777" w:rsidTr="00916907">
        <w:trPr>
          <w:trHeight w:val="114"/>
        </w:trPr>
        <w:tc>
          <w:tcPr>
            <w:tcW w:w="3364" w:type="dxa"/>
            <w:gridSpan w:val="2"/>
            <w:shd w:val="clear" w:color="auto" w:fill="auto"/>
          </w:tcPr>
          <w:p w14:paraId="6F9AFEBF"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282BC58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32455AF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29BF221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48C02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03462C65" w14:textId="77777777" w:rsidTr="00916907">
        <w:trPr>
          <w:trHeight w:val="126"/>
        </w:trPr>
        <w:tc>
          <w:tcPr>
            <w:tcW w:w="1873" w:type="dxa"/>
            <w:vMerge w:val="restart"/>
            <w:shd w:val="clear" w:color="auto" w:fill="auto"/>
          </w:tcPr>
          <w:p w14:paraId="29E56136"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FCF24CA"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8C340DC"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59C0BD7"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E7F21B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E3DC89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79547B9C" w14:textId="77777777" w:rsidTr="00916907">
        <w:trPr>
          <w:trHeight w:val="126"/>
        </w:trPr>
        <w:tc>
          <w:tcPr>
            <w:tcW w:w="1873" w:type="dxa"/>
            <w:vMerge/>
            <w:shd w:val="clear" w:color="auto" w:fill="auto"/>
          </w:tcPr>
          <w:p w14:paraId="3621CDB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49DEF4ED"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0966FF1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F54EAC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7BF8A7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5A2FDD95"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406058FB" w14:textId="77777777" w:rsidTr="00916907">
        <w:trPr>
          <w:trHeight w:val="126"/>
        </w:trPr>
        <w:tc>
          <w:tcPr>
            <w:tcW w:w="1873" w:type="dxa"/>
            <w:vMerge w:val="restart"/>
            <w:shd w:val="clear" w:color="auto" w:fill="auto"/>
          </w:tcPr>
          <w:p w14:paraId="391711C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4510B2D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CA8BB0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1B600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5406CCD"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39AB00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7AF5E6A" w14:textId="77777777" w:rsidTr="00916907">
        <w:trPr>
          <w:trHeight w:val="126"/>
        </w:trPr>
        <w:tc>
          <w:tcPr>
            <w:tcW w:w="1873" w:type="dxa"/>
            <w:vMerge/>
            <w:shd w:val="clear" w:color="auto" w:fill="auto"/>
          </w:tcPr>
          <w:p w14:paraId="4B427DDC"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50E3313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36E50CF0"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C2E1ED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62EF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E90E509"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14:paraId="0DC5E1AD"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7B6F632A"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B3C40BC"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518C5D83"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0EC561D" w14:textId="77777777" w:rsidR="00472AED" w:rsidRDefault="00472AED" w:rsidP="00472AED">
      <w:pPr>
        <w:widowControl w:val="0"/>
        <w:overflowPunct/>
        <w:autoSpaceDE/>
        <w:autoSpaceDN/>
        <w:adjustRightInd/>
        <w:ind w:left="426"/>
        <w:jc w:val="both"/>
        <w:textAlignment w:val="auto"/>
        <w:rPr>
          <w:color w:val="000000"/>
          <w:sz w:val="22"/>
          <w:szCs w:val="22"/>
        </w:rPr>
      </w:pPr>
    </w:p>
    <w:p w14:paraId="55B0631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AD71B6F" w14:textId="77777777" w:rsidR="00472AED" w:rsidRDefault="00472AED" w:rsidP="00472AED">
      <w:pPr>
        <w:widowControl w:val="0"/>
        <w:overflowPunct/>
        <w:autoSpaceDE/>
        <w:autoSpaceDN/>
        <w:adjustRightInd/>
        <w:ind w:left="-567"/>
        <w:jc w:val="both"/>
        <w:textAlignment w:val="auto"/>
        <w:rPr>
          <w:color w:val="000000"/>
          <w:szCs w:val="24"/>
        </w:rPr>
      </w:pPr>
    </w:p>
    <w:p w14:paraId="5944719A" w14:textId="77777777" w:rsidR="00472AED" w:rsidRDefault="00472AED" w:rsidP="00472AED">
      <w:pPr>
        <w:widowControl w:val="0"/>
        <w:overflowPunct/>
        <w:autoSpaceDE/>
        <w:autoSpaceDN/>
        <w:adjustRightInd/>
        <w:ind w:left="-567"/>
        <w:jc w:val="both"/>
        <w:textAlignment w:val="auto"/>
        <w:rPr>
          <w:color w:val="000000"/>
          <w:szCs w:val="24"/>
        </w:rPr>
      </w:pPr>
    </w:p>
    <w:p w14:paraId="31C6F99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961C4C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6C63B70"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2DE3264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7E4075E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9F78E96"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925D38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B31B7DE"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D678BF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872B95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43DE4DA" w14:textId="77777777" w:rsidR="00472AED" w:rsidRDefault="00472AED" w:rsidP="00472AED">
      <w:pPr>
        <w:widowControl w:val="0"/>
        <w:overflowPunct/>
        <w:autoSpaceDE/>
        <w:autoSpaceDN/>
        <w:adjustRightInd/>
        <w:ind w:left="-426"/>
        <w:jc w:val="both"/>
        <w:textAlignment w:val="auto"/>
        <w:rPr>
          <w:b/>
          <w:color w:val="000000"/>
          <w:sz w:val="18"/>
          <w:szCs w:val="18"/>
        </w:rPr>
      </w:pPr>
    </w:p>
    <w:p w14:paraId="45813E49"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A3F4E1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9A46EF9"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4422863"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proofErr w:type="gramStart"/>
      <w:r>
        <w:rPr>
          <w:color w:val="000000"/>
          <w:spacing w:val="10"/>
          <w:sz w:val="18"/>
          <w:szCs w:val="18"/>
        </w:rPr>
        <w:t>13 ü</w:t>
      </w:r>
      <w:r w:rsidRPr="00772C02">
        <w:rPr>
          <w:color w:val="000000"/>
          <w:spacing w:val="10"/>
          <w:sz w:val="18"/>
          <w:szCs w:val="18"/>
        </w:rPr>
        <w:t>nc</w:t>
      </w:r>
      <w:r>
        <w:rPr>
          <w:color w:val="000000"/>
          <w:spacing w:val="10"/>
          <w:sz w:val="18"/>
          <w:szCs w:val="18"/>
        </w:rPr>
        <w:t>ü</w:t>
      </w:r>
      <w:proofErr w:type="gramEnd"/>
      <w:r w:rsidRPr="00772C02">
        <w:rPr>
          <w:color w:val="000000"/>
          <w:spacing w:val="10"/>
          <w:sz w:val="18"/>
          <w:szCs w:val="18"/>
        </w:rPr>
        <w:t xml:space="preserve"> maddesi hükümleri esas alınarak düzenlenecektir.</w:t>
      </w:r>
    </w:p>
    <w:p w14:paraId="29144751"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0A00B0E4"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78ED2B9"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1D36F061"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5FB085AA"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204AF17"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58BDC126"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02A7A6B3" w14:textId="77777777"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D1AD" w14:textId="77777777" w:rsidR="008562E7" w:rsidRDefault="008562E7" w:rsidP="000A6C94">
      <w:r>
        <w:separator/>
      </w:r>
    </w:p>
  </w:endnote>
  <w:endnote w:type="continuationSeparator" w:id="0">
    <w:p w14:paraId="6C02E062" w14:textId="77777777" w:rsidR="008562E7" w:rsidRDefault="008562E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D53E" w14:textId="77777777" w:rsidR="008562E7" w:rsidRDefault="008562E7" w:rsidP="000A6C94">
      <w:r>
        <w:separator/>
      </w:r>
    </w:p>
  </w:footnote>
  <w:footnote w:type="continuationSeparator" w:id="0">
    <w:p w14:paraId="558A7826" w14:textId="77777777" w:rsidR="008562E7" w:rsidRDefault="008562E7"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61059"/>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562E7"/>
    <w:rsid w:val="00875B74"/>
    <w:rsid w:val="00884E8D"/>
    <w:rsid w:val="008A6F2A"/>
    <w:rsid w:val="008B0A74"/>
    <w:rsid w:val="008C0067"/>
    <w:rsid w:val="008C1C20"/>
    <w:rsid w:val="008C3199"/>
    <w:rsid w:val="008D7775"/>
    <w:rsid w:val="008E7871"/>
    <w:rsid w:val="008F15AD"/>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D6F4A"/>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919FC"/>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8C82-CD6B-45C7-BE54-3E2B9848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3216</Words>
  <Characters>18336</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Hakan Cuhadar</cp:lastModifiedBy>
  <cp:revision>2</cp:revision>
  <cp:lastPrinted>2022-01-26T10:55:00Z</cp:lastPrinted>
  <dcterms:created xsi:type="dcterms:W3CDTF">2024-07-18T13:07:00Z</dcterms:created>
  <dcterms:modified xsi:type="dcterms:W3CDTF">2024-07-18T13:07:00Z</dcterms:modified>
</cp:coreProperties>
</file>