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AB" w:rsidRPr="00D35055" w:rsidRDefault="00A97BAB" w:rsidP="00035B97">
      <w:pPr>
        <w:jc w:val="both"/>
        <w:rPr>
          <w:b/>
        </w:rPr>
      </w:pPr>
    </w:p>
    <w:p w:rsidR="00A97BAB" w:rsidRPr="00D35055" w:rsidRDefault="00A97BAB" w:rsidP="00035B97">
      <w:pPr>
        <w:jc w:val="both"/>
        <w:rPr>
          <w:b/>
        </w:rPr>
      </w:pPr>
    </w:p>
    <w:p w:rsidR="00781C85" w:rsidRPr="00D35055" w:rsidRDefault="00725BFF" w:rsidP="00781C85">
      <w:pPr>
        <w:spacing w:line="276" w:lineRule="auto"/>
        <w:jc w:val="center"/>
        <w:rPr>
          <w:b/>
          <w:noProof/>
        </w:rPr>
      </w:pPr>
      <w:r w:rsidRPr="00725BFF">
        <w:rPr>
          <w:b/>
          <w:noProof/>
        </w:rPr>
        <w:drawing>
          <wp:inline distT="0" distB="0" distL="0" distR="0">
            <wp:extent cx="1409700" cy="1406375"/>
            <wp:effectExtent l="0" t="0" r="0" b="3810"/>
            <wp:docPr id="2" name="Resim 2" descr="C:\Users\simsek.tugba\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ek.tugba\Download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554" cy="1411218"/>
                    </a:xfrm>
                    <a:prstGeom prst="rect">
                      <a:avLst/>
                    </a:prstGeom>
                    <a:noFill/>
                    <a:ln>
                      <a:noFill/>
                    </a:ln>
                  </pic:spPr>
                </pic:pic>
              </a:graphicData>
            </a:graphic>
          </wp:inline>
        </w:drawing>
      </w:r>
    </w:p>
    <w:p w:rsidR="00781C85" w:rsidRPr="00D35055" w:rsidRDefault="00781C85" w:rsidP="00781C85">
      <w:pPr>
        <w:spacing w:line="276" w:lineRule="auto"/>
        <w:jc w:val="center"/>
        <w:rPr>
          <w:b/>
          <w:noProof/>
        </w:rPr>
      </w:pPr>
    </w:p>
    <w:p w:rsidR="00781C85" w:rsidRPr="00D35055" w:rsidRDefault="00A9702E" w:rsidP="00781C85">
      <w:pPr>
        <w:spacing w:line="276" w:lineRule="auto"/>
        <w:jc w:val="center"/>
        <w:rPr>
          <w:b/>
          <w:color w:val="000000" w:themeColor="text1"/>
          <w:sz w:val="32"/>
        </w:rPr>
      </w:pPr>
      <w:r>
        <w:rPr>
          <w:b/>
          <w:color w:val="000000" w:themeColor="text1"/>
          <w:sz w:val="32"/>
        </w:rPr>
        <w:t xml:space="preserve">T.C. ÇEVRE, </w:t>
      </w:r>
      <w:r w:rsidR="00781C85" w:rsidRPr="00D35055">
        <w:rPr>
          <w:b/>
          <w:color w:val="000000" w:themeColor="text1"/>
          <w:sz w:val="32"/>
        </w:rPr>
        <w:t>ŞEHİRCİLİK</w:t>
      </w:r>
      <w:r>
        <w:rPr>
          <w:b/>
          <w:color w:val="000000" w:themeColor="text1"/>
          <w:sz w:val="32"/>
        </w:rPr>
        <w:t xml:space="preserve"> VE İKLİM DEĞİŞİKLİĞİ</w:t>
      </w:r>
      <w:r w:rsidR="00781C85" w:rsidRPr="00D35055">
        <w:rPr>
          <w:b/>
          <w:color w:val="000000" w:themeColor="text1"/>
          <w:sz w:val="32"/>
        </w:rPr>
        <w:t xml:space="preserve"> BAKANLIĞI</w:t>
      </w:r>
    </w:p>
    <w:p w:rsidR="00781C85" w:rsidRPr="00D35055" w:rsidRDefault="00781C85" w:rsidP="00781C85">
      <w:pPr>
        <w:spacing w:line="276" w:lineRule="auto"/>
        <w:jc w:val="center"/>
        <w:rPr>
          <w:b/>
          <w:color w:val="000000" w:themeColor="text1"/>
          <w:sz w:val="32"/>
        </w:rPr>
      </w:pPr>
      <w:r w:rsidRPr="00D35055">
        <w:rPr>
          <w:b/>
          <w:color w:val="000000" w:themeColor="text1"/>
          <w:sz w:val="32"/>
        </w:rPr>
        <w:t>MEKÂNSAL PLANLAMA GENEL MÜDÜRLÜĞÜ</w:t>
      </w:r>
    </w:p>
    <w:p w:rsidR="00A97BAB" w:rsidRPr="00D35055" w:rsidRDefault="00A97BAB" w:rsidP="00035B97">
      <w:pPr>
        <w:jc w:val="both"/>
        <w:rPr>
          <w:b/>
          <w:sz w:val="32"/>
        </w:rPr>
      </w:pPr>
    </w:p>
    <w:p w:rsidR="00A97BAB" w:rsidRPr="00D35055" w:rsidRDefault="00A97BAB" w:rsidP="00035B97">
      <w:pPr>
        <w:jc w:val="both"/>
        <w:rPr>
          <w:b/>
          <w:sz w:val="32"/>
        </w:rPr>
      </w:pPr>
    </w:p>
    <w:p w:rsidR="00B24B71" w:rsidRPr="00D35055" w:rsidRDefault="00B24B71" w:rsidP="00035B97">
      <w:pPr>
        <w:jc w:val="both"/>
        <w:rPr>
          <w:b/>
          <w:sz w:val="32"/>
        </w:rPr>
      </w:pPr>
    </w:p>
    <w:p w:rsidR="00A97BAB" w:rsidRPr="00D35055" w:rsidRDefault="00A97BAB" w:rsidP="00035B97">
      <w:pPr>
        <w:jc w:val="both"/>
        <w:rPr>
          <w:b/>
          <w:sz w:val="32"/>
        </w:rPr>
      </w:pPr>
    </w:p>
    <w:p w:rsidR="00A97BAB" w:rsidRPr="00D35055" w:rsidRDefault="00A97BAB" w:rsidP="00035B97">
      <w:pPr>
        <w:jc w:val="both"/>
        <w:rPr>
          <w:b/>
          <w:sz w:val="32"/>
        </w:rPr>
      </w:pPr>
    </w:p>
    <w:p w:rsidR="00A97BAB" w:rsidRPr="00D35055" w:rsidRDefault="00A97BAB" w:rsidP="00035B97">
      <w:pPr>
        <w:jc w:val="both"/>
        <w:rPr>
          <w:b/>
          <w:sz w:val="32"/>
        </w:rPr>
      </w:pPr>
    </w:p>
    <w:p w:rsidR="009D4821" w:rsidRPr="00D35055" w:rsidRDefault="00241C05" w:rsidP="005F08D6">
      <w:pPr>
        <w:jc w:val="center"/>
        <w:rPr>
          <w:b/>
          <w:sz w:val="32"/>
        </w:rPr>
      </w:pPr>
      <w:r>
        <w:rPr>
          <w:b/>
          <w:sz w:val="32"/>
        </w:rPr>
        <w:t>BALIKESİR - ÇANAKKALE</w:t>
      </w:r>
    </w:p>
    <w:p w:rsidR="009D4821" w:rsidRPr="00D35055" w:rsidRDefault="00C23EB9" w:rsidP="005F08D6">
      <w:pPr>
        <w:jc w:val="center"/>
        <w:rPr>
          <w:b/>
          <w:sz w:val="32"/>
        </w:rPr>
      </w:pPr>
      <w:r w:rsidRPr="00D35055">
        <w:rPr>
          <w:b/>
          <w:sz w:val="32"/>
        </w:rPr>
        <w:t xml:space="preserve">PLANLAMA BÖLGESİ </w:t>
      </w:r>
      <w:r w:rsidR="000535D3" w:rsidRPr="00D35055">
        <w:rPr>
          <w:b/>
          <w:sz w:val="32"/>
        </w:rPr>
        <w:t>1/</w:t>
      </w:r>
      <w:r w:rsidR="00971697" w:rsidRPr="00D35055">
        <w:rPr>
          <w:b/>
          <w:sz w:val="32"/>
        </w:rPr>
        <w:t>100</w:t>
      </w:r>
      <w:r w:rsidR="000535D3" w:rsidRPr="00D35055">
        <w:rPr>
          <w:b/>
          <w:sz w:val="32"/>
        </w:rPr>
        <w:t>.000 ÖLÇEKLİ</w:t>
      </w:r>
    </w:p>
    <w:p w:rsidR="005F08D6" w:rsidRPr="00D35055" w:rsidRDefault="000535D3" w:rsidP="005F08D6">
      <w:pPr>
        <w:jc w:val="center"/>
        <w:rPr>
          <w:b/>
          <w:sz w:val="32"/>
        </w:rPr>
      </w:pPr>
      <w:r w:rsidRPr="00D35055">
        <w:rPr>
          <w:b/>
          <w:sz w:val="32"/>
        </w:rPr>
        <w:t>ÇEVRE DÜZENİ PLANI</w:t>
      </w:r>
      <w:r w:rsidR="005F08D6" w:rsidRPr="00D35055">
        <w:rPr>
          <w:b/>
          <w:sz w:val="32"/>
        </w:rPr>
        <w:t xml:space="preserve"> </w:t>
      </w:r>
    </w:p>
    <w:p w:rsidR="00AF16EC" w:rsidRPr="00D35055" w:rsidRDefault="00AF16EC" w:rsidP="005F08D6">
      <w:pPr>
        <w:jc w:val="center"/>
        <w:rPr>
          <w:b/>
          <w:sz w:val="32"/>
        </w:rPr>
      </w:pPr>
    </w:p>
    <w:p w:rsidR="005A242A" w:rsidRPr="00D35055" w:rsidRDefault="005A242A" w:rsidP="005F08D6">
      <w:pPr>
        <w:jc w:val="center"/>
        <w:rPr>
          <w:b/>
          <w:sz w:val="32"/>
        </w:rPr>
      </w:pPr>
    </w:p>
    <w:p w:rsidR="009E37A3" w:rsidRPr="00D35055" w:rsidRDefault="00231788" w:rsidP="005F08D6">
      <w:pPr>
        <w:jc w:val="center"/>
        <w:rPr>
          <w:b/>
          <w:sz w:val="32"/>
        </w:rPr>
      </w:pPr>
      <w:r w:rsidRPr="00D35055">
        <w:rPr>
          <w:b/>
          <w:sz w:val="32"/>
        </w:rPr>
        <w:t xml:space="preserve">PLAN </w:t>
      </w:r>
      <w:r w:rsidR="00CA28A2" w:rsidRPr="00D35055">
        <w:rPr>
          <w:b/>
          <w:sz w:val="32"/>
        </w:rPr>
        <w:t>DEĞİŞİKLİĞİ</w:t>
      </w:r>
      <w:r w:rsidR="00BA101E">
        <w:rPr>
          <w:b/>
          <w:sz w:val="32"/>
        </w:rPr>
        <w:t xml:space="preserve"> GEREKÇE</w:t>
      </w:r>
      <w:r w:rsidR="00CA28A2" w:rsidRPr="00D35055">
        <w:rPr>
          <w:b/>
          <w:sz w:val="32"/>
        </w:rPr>
        <w:t xml:space="preserve"> </w:t>
      </w:r>
      <w:r w:rsidR="009950DD" w:rsidRPr="00D35055">
        <w:rPr>
          <w:b/>
          <w:sz w:val="32"/>
        </w:rPr>
        <w:t>RAPORU</w:t>
      </w:r>
    </w:p>
    <w:p w:rsidR="005A242A" w:rsidRPr="00EA4321" w:rsidRDefault="005A242A" w:rsidP="00241C05">
      <w:pPr>
        <w:jc w:val="center"/>
        <w:rPr>
          <w:b/>
          <w:sz w:val="28"/>
        </w:rPr>
      </w:pPr>
      <w:r w:rsidRPr="00EA4321">
        <w:rPr>
          <w:b/>
          <w:sz w:val="28"/>
        </w:rPr>
        <w:t>(</w:t>
      </w:r>
      <w:r w:rsidR="00241C05" w:rsidRPr="00241C05">
        <w:rPr>
          <w:b/>
          <w:sz w:val="28"/>
          <w:szCs w:val="28"/>
        </w:rPr>
        <w:t xml:space="preserve">8.36.7 </w:t>
      </w:r>
      <w:proofErr w:type="spellStart"/>
      <w:r w:rsidR="00241C05" w:rsidRPr="00241C05">
        <w:rPr>
          <w:b/>
          <w:sz w:val="28"/>
          <w:szCs w:val="28"/>
        </w:rPr>
        <w:t>No’lu</w:t>
      </w:r>
      <w:proofErr w:type="spellEnd"/>
      <w:r w:rsidR="00241C05" w:rsidRPr="00241C05">
        <w:rPr>
          <w:b/>
          <w:sz w:val="28"/>
          <w:szCs w:val="28"/>
        </w:rPr>
        <w:t xml:space="preserve"> Plan Hükmü Değişikliği, 8.37 </w:t>
      </w:r>
      <w:proofErr w:type="spellStart"/>
      <w:r w:rsidR="00683EC2">
        <w:rPr>
          <w:b/>
          <w:sz w:val="28"/>
          <w:szCs w:val="28"/>
        </w:rPr>
        <w:t>Nolu</w:t>
      </w:r>
      <w:proofErr w:type="spellEnd"/>
      <w:r w:rsidR="00683EC2">
        <w:rPr>
          <w:b/>
          <w:sz w:val="28"/>
          <w:szCs w:val="28"/>
        </w:rPr>
        <w:t xml:space="preserve"> Plan Hükmü </w:t>
      </w:r>
      <w:r w:rsidR="005C604B">
        <w:rPr>
          <w:b/>
          <w:sz w:val="28"/>
          <w:szCs w:val="28"/>
        </w:rPr>
        <w:t>Değişikliği</w:t>
      </w:r>
      <w:r w:rsidR="00241C05" w:rsidRPr="00241C05">
        <w:rPr>
          <w:b/>
          <w:sz w:val="28"/>
          <w:szCs w:val="28"/>
        </w:rPr>
        <w:t>, Plan Değişikliği Gerekçe Raporu</w:t>
      </w:r>
      <w:r w:rsidRPr="00EA4321">
        <w:rPr>
          <w:b/>
          <w:sz w:val="28"/>
        </w:rPr>
        <w:t>)</w:t>
      </w:r>
    </w:p>
    <w:p w:rsidR="005A242A" w:rsidRPr="00D35055" w:rsidRDefault="005A242A" w:rsidP="005F08D6">
      <w:pPr>
        <w:jc w:val="center"/>
        <w:rPr>
          <w:b/>
        </w:rPr>
      </w:pPr>
    </w:p>
    <w:p w:rsidR="005D28D2" w:rsidRPr="00D35055" w:rsidRDefault="005D28D2" w:rsidP="00035B97">
      <w:pPr>
        <w:jc w:val="both"/>
        <w:rPr>
          <w:b/>
        </w:rPr>
      </w:pPr>
    </w:p>
    <w:p w:rsidR="0010135B" w:rsidRPr="00D35055" w:rsidRDefault="0010135B" w:rsidP="00035B97">
      <w:pPr>
        <w:jc w:val="both"/>
        <w:rPr>
          <w:b/>
        </w:rPr>
      </w:pPr>
      <w:bookmarkStart w:id="0" w:name="_GoBack"/>
      <w:bookmarkEnd w:id="0"/>
    </w:p>
    <w:p w:rsidR="0010135B" w:rsidRPr="00D35055" w:rsidRDefault="0010135B" w:rsidP="00035B97">
      <w:pPr>
        <w:jc w:val="both"/>
        <w:rPr>
          <w:b/>
        </w:rPr>
      </w:pPr>
    </w:p>
    <w:p w:rsidR="0010135B" w:rsidRPr="00D35055" w:rsidRDefault="0010135B" w:rsidP="00035B97">
      <w:pPr>
        <w:jc w:val="both"/>
        <w:rPr>
          <w:b/>
        </w:rPr>
      </w:pPr>
    </w:p>
    <w:p w:rsidR="0010135B" w:rsidRPr="00D35055" w:rsidRDefault="0010135B" w:rsidP="00035B97">
      <w:pPr>
        <w:jc w:val="both"/>
        <w:rPr>
          <w:b/>
        </w:rPr>
      </w:pPr>
    </w:p>
    <w:p w:rsidR="0010135B" w:rsidRPr="00D35055" w:rsidRDefault="0010135B" w:rsidP="00035B97">
      <w:pPr>
        <w:jc w:val="both"/>
        <w:rPr>
          <w:b/>
        </w:rPr>
      </w:pPr>
    </w:p>
    <w:p w:rsidR="0010135B" w:rsidRDefault="0010135B" w:rsidP="00035B97">
      <w:pPr>
        <w:jc w:val="both"/>
        <w:rPr>
          <w:b/>
        </w:rPr>
      </w:pPr>
    </w:p>
    <w:p w:rsidR="00D35055" w:rsidRDefault="00D35055" w:rsidP="00035B97">
      <w:pPr>
        <w:jc w:val="both"/>
        <w:rPr>
          <w:b/>
        </w:rPr>
      </w:pPr>
    </w:p>
    <w:p w:rsidR="00D35055" w:rsidRDefault="00D35055" w:rsidP="00035B97">
      <w:pPr>
        <w:jc w:val="both"/>
        <w:rPr>
          <w:b/>
        </w:rPr>
      </w:pPr>
    </w:p>
    <w:p w:rsidR="00D35055" w:rsidRDefault="00D35055" w:rsidP="00035B97">
      <w:pPr>
        <w:jc w:val="both"/>
        <w:rPr>
          <w:b/>
        </w:rPr>
      </w:pPr>
    </w:p>
    <w:p w:rsidR="00D35055" w:rsidRDefault="00D35055" w:rsidP="00035B97">
      <w:pPr>
        <w:jc w:val="both"/>
        <w:rPr>
          <w:b/>
        </w:rPr>
      </w:pPr>
    </w:p>
    <w:p w:rsidR="00D35055" w:rsidRDefault="00D35055" w:rsidP="00035B97">
      <w:pPr>
        <w:jc w:val="both"/>
        <w:rPr>
          <w:b/>
        </w:rPr>
      </w:pPr>
    </w:p>
    <w:p w:rsidR="00D35055" w:rsidRDefault="00D35055" w:rsidP="00035B97">
      <w:pPr>
        <w:jc w:val="both"/>
        <w:rPr>
          <w:b/>
        </w:rPr>
      </w:pPr>
    </w:p>
    <w:p w:rsidR="00D35055" w:rsidRPr="00D35055" w:rsidRDefault="00D35055" w:rsidP="00035B97">
      <w:pPr>
        <w:jc w:val="both"/>
        <w:rPr>
          <w:b/>
        </w:rPr>
      </w:pPr>
    </w:p>
    <w:p w:rsidR="0010135B" w:rsidRPr="00D35055" w:rsidRDefault="0010135B" w:rsidP="00035B97">
      <w:pPr>
        <w:jc w:val="both"/>
        <w:rPr>
          <w:b/>
        </w:rPr>
      </w:pPr>
    </w:p>
    <w:p w:rsidR="0010135B" w:rsidRPr="00D35055" w:rsidRDefault="0010135B" w:rsidP="00035B97">
      <w:pPr>
        <w:jc w:val="both"/>
        <w:rPr>
          <w:b/>
        </w:rPr>
      </w:pPr>
    </w:p>
    <w:p w:rsidR="0010135B" w:rsidRPr="00D35055" w:rsidRDefault="0010135B" w:rsidP="00035B97">
      <w:pPr>
        <w:jc w:val="both"/>
        <w:rPr>
          <w:b/>
        </w:rPr>
      </w:pPr>
    </w:p>
    <w:p w:rsidR="005609D2" w:rsidRDefault="00B24B71" w:rsidP="00B50C6E">
      <w:pPr>
        <w:jc w:val="center"/>
        <w:rPr>
          <w:b/>
        </w:rPr>
      </w:pPr>
      <w:r w:rsidRPr="00D35055">
        <w:rPr>
          <w:b/>
          <w:noProof/>
        </w:rPr>
        <mc:AlternateContent>
          <mc:Choice Requires="wps">
            <w:drawing>
              <wp:anchor distT="0" distB="0" distL="114300" distR="114300" simplePos="0" relativeHeight="251659264" behindDoc="0" locked="0" layoutInCell="1" allowOverlap="1" wp14:anchorId="69921DC9" wp14:editId="258D8455">
                <wp:simplePos x="0" y="0"/>
                <wp:positionH relativeFrom="column">
                  <wp:posOffset>5443855</wp:posOffset>
                </wp:positionH>
                <wp:positionV relativeFrom="paragraph">
                  <wp:posOffset>487680</wp:posOffset>
                </wp:positionV>
                <wp:extent cx="476250" cy="361950"/>
                <wp:effectExtent l="0" t="0" r="0" b="0"/>
                <wp:wrapNone/>
                <wp:docPr id="1" name="Oval 1"/>
                <wp:cNvGraphicFramePr/>
                <a:graphic xmlns:a="http://schemas.openxmlformats.org/drawingml/2006/main">
                  <a:graphicData uri="http://schemas.microsoft.com/office/word/2010/wordprocessingShape">
                    <wps:wsp>
                      <wps:cNvSpPr/>
                      <wps:spPr>
                        <a:xfrm>
                          <a:off x="0" y="0"/>
                          <a:ext cx="476250" cy="361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E964A9" id="Oval 1" o:spid="_x0000_s1026" style="position:absolute;margin-left:428.65pt;margin-top:38.4pt;width:3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" fillcolor="white [3212]" stroked="f" strokeweight="2pt"/>
            </w:pict>
          </mc:Fallback>
        </mc:AlternateContent>
      </w:r>
      <w:r w:rsidRPr="00D35055">
        <w:rPr>
          <w:b/>
        </w:rPr>
        <w:t>20</w:t>
      </w:r>
      <w:r w:rsidR="005A242A" w:rsidRPr="00D35055">
        <w:rPr>
          <w:b/>
        </w:rPr>
        <w:t>2</w:t>
      </w:r>
      <w:bookmarkStart w:id="1" w:name="_Toc186367594"/>
      <w:r w:rsidR="00241C05">
        <w:rPr>
          <w:b/>
        </w:rPr>
        <w:t>4</w:t>
      </w:r>
    </w:p>
    <w:p w:rsidR="00B50C6E" w:rsidRPr="00B50C6E" w:rsidRDefault="00B50C6E" w:rsidP="00B50C6E">
      <w:pPr>
        <w:ind w:left="-567" w:right="-850" w:firstLine="567"/>
        <w:jc w:val="both"/>
        <w:rPr>
          <w:b/>
          <w:u w:val="single"/>
        </w:rPr>
      </w:pPr>
      <w:r>
        <w:lastRenderedPageBreak/>
        <w:t xml:space="preserve">Bakanlığımız </w:t>
      </w:r>
      <w:r w:rsidRPr="00B50C6E">
        <w:t xml:space="preserve">Hukuk Hizmetleri Genel Müdürlüğü’nün </w:t>
      </w:r>
      <w:r w:rsidR="00241C05" w:rsidRPr="00241C05">
        <w:t xml:space="preserve">29.07.2024 tarihli ve 10069446 </w:t>
      </w:r>
      <w:r w:rsidRPr="00B50C6E">
        <w:t xml:space="preserve">sayılı yazısı ile TEMA tarafından </w:t>
      </w:r>
      <w:r w:rsidR="00241C05" w:rsidRPr="00241C05">
        <w:t>05/06/2015 tarihinde Bakanlığımızca onaylanan 1/100.000 ölçekli Balıkesir-</w:t>
      </w:r>
      <w:r w:rsidR="00241C05">
        <w:t>Çanakkale Çevre Düzeni Planının</w:t>
      </w:r>
      <w:r w:rsidR="00241C05" w:rsidRPr="00241C05">
        <w:t xml:space="preserve"> Plan Açıklama Raporunun </w:t>
      </w:r>
      <w:r w:rsidR="00241C05" w:rsidRPr="00241C05">
        <w:rPr>
          <w:b/>
        </w:rPr>
        <w:t>“</w:t>
      </w:r>
      <w:r w:rsidR="00241C05" w:rsidRPr="006B30D1">
        <w:rPr>
          <w:i/>
        </w:rPr>
        <w:t xml:space="preserve">3.1.4.3 ve 3.2.4 sayılı bölümlerinin, "Enerji Üretim Alanları" başlıklı 9.4.2.1 sayılı bölümü ile birlikte Plan Uygulama Hükümlerinin, bu alanlara ilişkin düzenleme yapan 8.36.2. ve 8.36.7.sayılı maddelerinin, Plan Uygulama Hükümlerinin 7.45, 8.7.4 ve 8.37 sayılı maddelerindeki "bu planda değişiklik yapılmaksızın" ibarelerinin, 4.18, 7.8, 7.12, 7.34, 7.35, 8.14.7, 8.20.1.10, 8.21, 8.23.4 sayılı maddelerinin ve 8.20.1.7 sayılı maddesindeki "mutlak tarım arazisi" ibaresinin, G17 sayılı paftasında Çanakkale ili, </w:t>
      </w:r>
      <w:proofErr w:type="spellStart"/>
      <w:r w:rsidR="00241C05" w:rsidRPr="006B30D1">
        <w:rPr>
          <w:i/>
        </w:rPr>
        <w:t>Kocaçeşme</w:t>
      </w:r>
      <w:proofErr w:type="spellEnd"/>
      <w:r w:rsidR="00241C05" w:rsidRPr="006B30D1">
        <w:rPr>
          <w:i/>
        </w:rPr>
        <w:t xml:space="preserve"> ilçesinin batısında belirlenen "tercihli kullanım alanları ile turizm tesis alanı" kullanımlarının, Gelibolu ilçesinin </w:t>
      </w:r>
      <w:proofErr w:type="spellStart"/>
      <w:r w:rsidR="00241C05" w:rsidRPr="006B30D1">
        <w:rPr>
          <w:i/>
        </w:rPr>
        <w:t>Kavakköy</w:t>
      </w:r>
      <w:proofErr w:type="spellEnd"/>
      <w:r w:rsidR="00241C05" w:rsidRPr="006B30D1">
        <w:rPr>
          <w:i/>
        </w:rPr>
        <w:t xml:space="preserve"> Beldesinin batısında belirlenen "gelişme alanı kullanımının, </w:t>
      </w:r>
      <w:proofErr w:type="spellStart"/>
      <w:r w:rsidR="00241C05" w:rsidRPr="006B30D1">
        <w:rPr>
          <w:i/>
        </w:rPr>
        <w:t>Kocaçeşme</w:t>
      </w:r>
      <w:proofErr w:type="spellEnd"/>
      <w:r w:rsidR="00241C05" w:rsidRPr="006B30D1">
        <w:rPr>
          <w:i/>
        </w:rPr>
        <w:t xml:space="preserve"> ile </w:t>
      </w:r>
      <w:proofErr w:type="spellStart"/>
      <w:r w:rsidR="00241C05" w:rsidRPr="006B30D1">
        <w:rPr>
          <w:i/>
        </w:rPr>
        <w:t>Kavakköy</w:t>
      </w:r>
      <w:proofErr w:type="spellEnd"/>
      <w:r w:rsidR="00241C05" w:rsidRPr="006B30D1">
        <w:rPr>
          <w:i/>
        </w:rPr>
        <w:t xml:space="preserve"> arasındaki sulak alan sınırı içerisinde belirlenen "gelişme alanı" kullanımının, Çanakkale ili, Gelibolu ilçesi, </w:t>
      </w:r>
      <w:proofErr w:type="spellStart"/>
      <w:r w:rsidR="00241C05" w:rsidRPr="006B30D1">
        <w:rPr>
          <w:i/>
        </w:rPr>
        <w:t>Evreşe</w:t>
      </w:r>
      <w:proofErr w:type="spellEnd"/>
      <w:r w:rsidR="00241C05" w:rsidRPr="006B30D1">
        <w:rPr>
          <w:i/>
        </w:rPr>
        <w:t xml:space="preserve"> Beldesinde belirlenen "gelişme alanı ile sanayi ve depolama bölgesi" kullanımlarının ve Çanakkale ili, Gelibolu ilçesi, </w:t>
      </w:r>
      <w:proofErr w:type="spellStart"/>
      <w:r w:rsidR="00241C05" w:rsidRPr="006B30D1">
        <w:rPr>
          <w:i/>
        </w:rPr>
        <w:t>Koruköy</w:t>
      </w:r>
      <w:proofErr w:type="spellEnd"/>
      <w:r w:rsidR="00241C05" w:rsidRPr="006B30D1">
        <w:rPr>
          <w:i/>
        </w:rPr>
        <w:t xml:space="preserve"> batısında belirlenen "turizm tesis alanı" kullanımının, H17 sayılı paftasında Çanakkale Boğazı köprü geçişinin, Çanakkale ili, Çan ilçesi, </w:t>
      </w:r>
      <w:proofErr w:type="spellStart"/>
      <w:r w:rsidR="00241C05" w:rsidRPr="006B30D1">
        <w:rPr>
          <w:i/>
        </w:rPr>
        <w:t>Karakadılar</w:t>
      </w:r>
      <w:proofErr w:type="spellEnd"/>
      <w:r w:rsidR="00241C05" w:rsidRPr="006B30D1">
        <w:rPr>
          <w:i/>
        </w:rPr>
        <w:t xml:space="preserve"> Köyü ile </w:t>
      </w:r>
      <w:proofErr w:type="spellStart"/>
      <w:r w:rsidR="00241C05" w:rsidRPr="006B30D1">
        <w:rPr>
          <w:i/>
        </w:rPr>
        <w:t>Durali</w:t>
      </w:r>
      <w:proofErr w:type="spellEnd"/>
      <w:r w:rsidR="00241C05" w:rsidRPr="006B30D1">
        <w:rPr>
          <w:i/>
        </w:rPr>
        <w:t xml:space="preserve"> arasında belirlenen "sanayi alanı" kullanımın, H18 sayılı paftasında Çanakkale ili, Biga ilçesi, </w:t>
      </w:r>
      <w:proofErr w:type="spellStart"/>
      <w:r w:rsidR="00241C05" w:rsidRPr="006B30D1">
        <w:rPr>
          <w:i/>
        </w:rPr>
        <w:t>Karabiga</w:t>
      </w:r>
      <w:proofErr w:type="spellEnd"/>
      <w:r w:rsidR="00241C05" w:rsidRPr="006B30D1">
        <w:rPr>
          <w:i/>
        </w:rPr>
        <w:t xml:space="preserve"> beldesinde belirlenen "sanayi alanı" kullanımının, H19 sayılı paftasında Balıkesir ili, Bandırma ilçesi, </w:t>
      </w:r>
      <w:proofErr w:type="spellStart"/>
      <w:r w:rsidR="00241C05" w:rsidRPr="006B30D1">
        <w:rPr>
          <w:i/>
        </w:rPr>
        <w:t>Şirinçavuş</w:t>
      </w:r>
      <w:proofErr w:type="spellEnd"/>
      <w:r w:rsidR="00241C05" w:rsidRPr="006B30D1">
        <w:rPr>
          <w:i/>
        </w:rPr>
        <w:t xml:space="preserve"> ve </w:t>
      </w:r>
      <w:proofErr w:type="spellStart"/>
      <w:r w:rsidR="00241C05" w:rsidRPr="006B30D1">
        <w:rPr>
          <w:i/>
        </w:rPr>
        <w:t>Hıdırköy</w:t>
      </w:r>
      <w:proofErr w:type="spellEnd"/>
      <w:r w:rsidR="00241C05" w:rsidRPr="006B30D1">
        <w:rPr>
          <w:i/>
        </w:rPr>
        <w:t xml:space="preserve"> Beldeleri arasında belirlenen "sanayi alanı" kullanımının, I17 sayılı paftasında Balıkesir ili, Burhaniye ilçesinde </w:t>
      </w:r>
      <w:proofErr w:type="spellStart"/>
      <w:r w:rsidR="00241C05" w:rsidRPr="006B30D1">
        <w:rPr>
          <w:i/>
        </w:rPr>
        <w:t>belirlenen"gelişme</w:t>
      </w:r>
      <w:proofErr w:type="spellEnd"/>
      <w:r w:rsidR="00241C05" w:rsidRPr="006B30D1">
        <w:rPr>
          <w:i/>
        </w:rPr>
        <w:t xml:space="preserve"> alanı" kullanımının, I18 sayılı paftasında Çanakkale ili, Çan ilçesi, </w:t>
      </w:r>
      <w:proofErr w:type="spellStart"/>
      <w:r w:rsidR="00241C05" w:rsidRPr="006B30D1">
        <w:rPr>
          <w:i/>
        </w:rPr>
        <w:t>Terzialan</w:t>
      </w:r>
      <w:proofErr w:type="spellEnd"/>
      <w:r w:rsidR="00241C05" w:rsidRPr="006B30D1">
        <w:rPr>
          <w:i/>
        </w:rPr>
        <w:t xml:space="preserve"> Beldesinde belirlenen "gelişme alanı" ile Gönen Barajı Koruma Kuşakları içinde kalan Yenice ilçesi, </w:t>
      </w:r>
      <w:proofErr w:type="spellStart"/>
      <w:r w:rsidR="00241C05" w:rsidRPr="006B30D1">
        <w:rPr>
          <w:i/>
        </w:rPr>
        <w:t>Pazarköy</w:t>
      </w:r>
      <w:proofErr w:type="spellEnd"/>
      <w:r w:rsidR="00241C05" w:rsidRPr="006B30D1">
        <w:rPr>
          <w:i/>
        </w:rPr>
        <w:t xml:space="preserve"> beldesinde belirlenen "gelişme alanı" kullanımının, I20 sayılı paftasında Balıkesir ili, Susurluk Barajı Koruma Kuşağında kalan </w:t>
      </w:r>
      <w:proofErr w:type="spellStart"/>
      <w:r w:rsidR="00241C05" w:rsidRPr="006B30D1">
        <w:rPr>
          <w:i/>
        </w:rPr>
        <w:t>Kepsut</w:t>
      </w:r>
      <w:proofErr w:type="spellEnd"/>
      <w:r w:rsidR="00241C05" w:rsidRPr="006B30D1">
        <w:rPr>
          <w:i/>
        </w:rPr>
        <w:t xml:space="preserve"> ilçesinde belirlenen "gelişme alanı" kullanımının, J20 sayılı paftasında Balıkesir ili, Bigadiç ilçesi batısında belirlenen "sanayi alanı" ile "turizm alanı" kullanımlarının, J17 sayılı paftasında doğal sit alanı sınırları içinde kalan Balıkesir ili, Ayvalık ilçesi, </w:t>
      </w:r>
      <w:proofErr w:type="spellStart"/>
      <w:r w:rsidR="00241C05" w:rsidRPr="006B30D1">
        <w:rPr>
          <w:i/>
        </w:rPr>
        <w:t>Küçükköy</w:t>
      </w:r>
      <w:proofErr w:type="spellEnd"/>
      <w:r w:rsidR="00241C05" w:rsidRPr="006B30D1">
        <w:rPr>
          <w:i/>
        </w:rPr>
        <w:t xml:space="preserve"> Beldesinde belirlenen "gelişme alanı" ile Gömeç ilçesinde belirlenen "gelişme alanı" kullanımının iptali talebiyle Danıştay 6. Dairesi’nde Bakanlığımız aleyhine açılan davada, 01/07/2024 tarih ve E.2024/567 K.2024/4390 sayısı ile  “...Çevre, Şehircilik ve İklim Değişikliği Bakanlığı tarafından 05/06/2015 tarihinde onaylanan Balıkesir–Çanakkale Planlama Bölgesi 1/100.000 ölçekli Çevre Düzeni Planının "8.36.7" ve "8.37" sayılı plan notlarına ilişkin kısmının İPTALİNE, 2. Anılan planın 7.8 sayılı plan notu yönünden DAVANIN REDDİNE, 3. 8.20.1.7" sayılı plan notu yönünden konusuz kalan dava hakkında KARAR VERİLMESİNE YER OLMADIĞINA..</w:t>
      </w:r>
      <w:r w:rsidR="00241C05" w:rsidRPr="00241C05">
        <w:t>.</w:t>
      </w:r>
      <w:r w:rsidR="00241C05" w:rsidRPr="00241C05">
        <w:rPr>
          <w:b/>
        </w:rPr>
        <w:t>”</w:t>
      </w:r>
      <w:r w:rsidR="00241C05" w:rsidRPr="00241C05">
        <w:t xml:space="preserve"> karar </w:t>
      </w:r>
      <w:proofErr w:type="spellStart"/>
      <w:r w:rsidR="00241C05" w:rsidRPr="00241C05">
        <w:t>veridiği</w:t>
      </w:r>
      <w:proofErr w:type="spellEnd"/>
      <w:r w:rsidRPr="00B50C6E">
        <w:t xml:space="preserve"> ifade edilerek, karar icaplarına göre işlem yapılması talep edilmektedir.</w:t>
      </w:r>
    </w:p>
    <w:p w:rsidR="002C4514" w:rsidRPr="002C4514" w:rsidRDefault="00B50C6E" w:rsidP="002C4514">
      <w:pPr>
        <w:ind w:left="-567" w:right="-850" w:firstLine="567"/>
        <w:jc w:val="both"/>
      </w:pPr>
      <w:proofErr w:type="gramStart"/>
      <w:r w:rsidRPr="002C4514">
        <w:t>Danıştay 6. Daire’nin</w:t>
      </w:r>
      <w:r w:rsidRPr="00B50C6E">
        <w:rPr>
          <w:b/>
        </w:rPr>
        <w:t xml:space="preserve"> </w:t>
      </w:r>
      <w:r w:rsidR="002C4514" w:rsidRPr="002C4514">
        <w:rPr>
          <w:b/>
        </w:rPr>
        <w:t xml:space="preserve">2024/567 </w:t>
      </w:r>
      <w:r w:rsidR="002C4514" w:rsidRPr="002C4514">
        <w:t xml:space="preserve">esaslı davasında alınan 01.07.2024 tarihli “Çevre, Şehircilik ve İklim Değişikliği Bakanlığı tarafından 05/06/2015 tarihinde onaylanan Balıkesir–Çanakkale Planlama Bölgesi 1/100.000 ölçekli Çevre Düzeni Planının "8.36.7" ve "8.37" sayılı plan notlarına ilişkin kısmının İPTALİ” kararı ile planlama bölgesi bütününde uygulamaları ve alt ölçekli planları yönlendiren ilgili plan hükümlerine verilmiş olan “İPTAL” kararları dikkate alınarak Çanakkale-Balıkesir Planlama Bölgesi 1/100.000 ölçekli Çevre Düzeni Planında "8.36.7" ve "8.37" sayılı plan notları için; planlama bölgesinde uygulamalarda yaşanan aksaklıkların giderilmesi ve bölgedeki uygulamaların plan hükümleri doğrultusunda sağlıklı bir şekilde yürütülebilmesi amacıyla,  anılan yargı kararlarındaki gerekçeler ile 14.06.2014 tarih ve 29030 sayılı Resmi </w:t>
      </w:r>
      <w:proofErr w:type="spellStart"/>
      <w:r w:rsidR="002C4514" w:rsidRPr="002C4514">
        <w:t>Gazete’de</w:t>
      </w:r>
      <w:proofErr w:type="spellEnd"/>
      <w:r w:rsidR="002C4514" w:rsidRPr="002C4514">
        <w:t xml:space="preserve"> yayımlanarak yürürlüğe giren Mekânsal Planlar Yapım Yönetmeliği ve “Balıkesir-Çanakkale Planlama Bölgesi 1/100.000 ölçekli </w:t>
      </w:r>
      <w:proofErr w:type="spellStart"/>
      <w:r w:rsidR="002C4514" w:rsidRPr="002C4514">
        <w:t>ÇDP”nin</w:t>
      </w:r>
      <w:proofErr w:type="spellEnd"/>
      <w:r w:rsidR="002C4514" w:rsidRPr="002C4514">
        <w:t xml:space="preserve"> amaç, ilke ve stratejileri çerçevesinde, aşağıda yer alan düzenlemeler yapılmıştır.</w:t>
      </w:r>
      <w:proofErr w:type="gramEnd"/>
    </w:p>
    <w:p w:rsidR="002C4514" w:rsidRPr="002C4514" w:rsidRDefault="002C4514" w:rsidP="002C4514">
      <w:pPr>
        <w:ind w:left="-567" w:right="-850" w:firstLine="567"/>
        <w:jc w:val="both"/>
      </w:pPr>
    </w:p>
    <w:p w:rsidR="002C4514" w:rsidRPr="002C4514" w:rsidRDefault="002C4514" w:rsidP="002C4514">
      <w:pPr>
        <w:ind w:left="-567" w:right="-850" w:firstLine="567"/>
        <w:jc w:val="both"/>
      </w:pPr>
      <w:r w:rsidRPr="002C4514">
        <w:t xml:space="preserve">Danıştay 6.Dairesi’nin E. 2024/567 esas numaralı davaya ilişkin 2024/4390 sayılı kararı </w:t>
      </w:r>
      <w:proofErr w:type="gramStart"/>
      <w:r w:rsidRPr="002C4514">
        <w:t>ile;</w:t>
      </w:r>
      <w:proofErr w:type="gramEnd"/>
    </w:p>
    <w:p w:rsidR="00B50C6E" w:rsidRPr="00B50C6E" w:rsidRDefault="00B50C6E" w:rsidP="002C4514">
      <w:pPr>
        <w:ind w:left="-567" w:right="-850" w:firstLine="567"/>
        <w:jc w:val="both"/>
      </w:pPr>
      <w:r w:rsidRPr="00B50C6E">
        <w:t xml:space="preserve">1/100.000 ölçekli </w:t>
      </w:r>
      <w:proofErr w:type="spellStart"/>
      <w:r w:rsidRPr="00B50C6E">
        <w:t>ÇDP’nin</w:t>
      </w:r>
      <w:proofErr w:type="spellEnd"/>
      <w:r w:rsidRPr="00B50C6E">
        <w:t xml:space="preserve"> </w:t>
      </w:r>
      <w:r w:rsidRPr="00B50C6E">
        <w:rPr>
          <w:b/>
        </w:rPr>
        <w:t>“</w:t>
      </w:r>
      <w:r w:rsidR="002C4514">
        <w:rPr>
          <w:b/>
        </w:rPr>
        <w:t>8</w:t>
      </w:r>
      <w:r w:rsidRPr="00B50C6E">
        <w:rPr>
          <w:b/>
        </w:rPr>
        <w:t>.</w:t>
      </w:r>
      <w:r w:rsidR="002C4514">
        <w:rPr>
          <w:b/>
        </w:rPr>
        <w:t xml:space="preserve">ÖZEL </w:t>
      </w:r>
      <w:r w:rsidRPr="00B50C6E">
        <w:rPr>
          <w:b/>
        </w:rPr>
        <w:t>HÜKÜMLER”</w:t>
      </w:r>
      <w:r w:rsidRPr="00B50C6E">
        <w:t xml:space="preserve"> başlığı altında yer alan</w:t>
      </w:r>
      <w:r w:rsidR="002C4514">
        <w:t xml:space="preserve"> </w:t>
      </w:r>
      <w:r w:rsidR="002C4514" w:rsidRPr="002C4514">
        <w:rPr>
          <w:b/>
        </w:rPr>
        <w:t>“8.36.7” ve “8.37”</w:t>
      </w:r>
      <w:r w:rsidR="002C4514">
        <w:t xml:space="preserve"> sayılı plan notları yönünden</w:t>
      </w:r>
      <w:r w:rsidRPr="00B50C6E">
        <w:t>;</w:t>
      </w:r>
    </w:p>
    <w:p w:rsidR="002C4514" w:rsidRDefault="002C4514" w:rsidP="002C4514">
      <w:pPr>
        <w:ind w:left="-567" w:right="-850" w:firstLine="567"/>
        <w:jc w:val="both"/>
      </w:pPr>
      <w:proofErr w:type="gramStart"/>
      <w:r w:rsidRPr="002C4514">
        <w:rPr>
          <w:b/>
        </w:rPr>
        <w:t>“</w:t>
      </w:r>
      <w:r>
        <w:t>Ölçeği gereği leke plan niteliğinde bulunan dava konusu Balıkesir – Çanakkale Planlama Bölgesi 1/100.000 ölçekli Çevre Düzeni Planı, koruma-kullanma dengesinin sağlanması için alt ölçekli plan kararlarına esas olacak yapılaşma şartlarını ortaya koyan, genel arazi kullanım kararlarının üretildiği bir plan olmakla beraber, bölgesel ya da ülke düzeyinde etkileri olan enerji üretim alanlarının üst ölçekli çevre düzeni planı kapsamında değerlendirilmesi ve planda bu hususlara yönelik alt ölçekli planları yönlendirecek temel ilke ve politikaları içeren hükümlerin bulunması gerektiği açıktır.</w:t>
      </w:r>
      <w:proofErr w:type="gramEnd"/>
    </w:p>
    <w:p w:rsidR="002C4514" w:rsidRDefault="002C4514" w:rsidP="002C4514">
      <w:pPr>
        <w:ind w:left="-567" w:right="-850" w:firstLine="567"/>
        <w:jc w:val="both"/>
      </w:pPr>
      <w:r>
        <w:lastRenderedPageBreak/>
        <w:t>Plan Açıklama Raporunun "9.4.2.1" sayılı "Enerji Üretim Alanları" başlıklı maddesinde, "Planlama bölgesinde enerji üretim alanları yenilenebilir enerji üretim kaynakları ve diğer enerji üretim kaynaklarına dayalı olmaları üzerinden değerlendirilmiştir.</w:t>
      </w:r>
    </w:p>
    <w:p w:rsidR="002C4514" w:rsidRDefault="002C4514" w:rsidP="002C4514">
      <w:pPr>
        <w:ind w:left="-567" w:right="-850" w:firstLine="567"/>
        <w:jc w:val="both"/>
      </w:pPr>
      <w:r>
        <w:t xml:space="preserve">Bu kapsamda yenilenebilir enerji tesislerine ilişkin olarak Enerji Piyasası Düzenleme Kurumundan alınan işletmede, </w:t>
      </w:r>
      <w:proofErr w:type="spellStart"/>
      <w:r>
        <w:t>inşaa</w:t>
      </w:r>
      <w:proofErr w:type="spellEnd"/>
      <w:r>
        <w:t xml:space="preserve"> halinde ve proje halinde olan Enerji Alanlarına yönelik bilgiler veri tabanına eklenmiş ve yenilenebilir enerji kaynaklı enerji üretim tesislerinin alınacak izinler ve ilgili kurum-kuruluş görüşleri kapsamında alt ölçekli planlarda değerlendirilmesine yönelik plan kararları oluşturulmuştur.</w:t>
      </w:r>
    </w:p>
    <w:p w:rsidR="002C4514" w:rsidRDefault="002C4514" w:rsidP="002C4514">
      <w:pPr>
        <w:ind w:left="-567" w:right="-850" w:firstLine="567"/>
        <w:jc w:val="both"/>
      </w:pPr>
      <w:r>
        <w:t>Diğer taraftan yürürlükteki planlar ile belirlenen ve tamamına yakını yapılaşmasını tamamlamış Enerji Üretim Alanları plan üzerine aktarılmıştır.</w:t>
      </w:r>
    </w:p>
    <w:p w:rsidR="002C4514" w:rsidRDefault="002C4514" w:rsidP="002C4514">
      <w:pPr>
        <w:ind w:left="-567" w:right="-850" w:firstLine="567"/>
        <w:jc w:val="both"/>
      </w:pPr>
      <w:proofErr w:type="gramStart"/>
      <w:r>
        <w:t xml:space="preserve">Bununla birlikte planlama dönemi içerisinde bölgenin sunduğu olanak, potansiyeller ve koruma alanları gibi sınırlandırıcı nitelikler, yerelde alınmış Mahalli Çevre Kurulu Kararları göz önünde bulundurularak, ithal kömüre dayalı termik santrallerin planlama bölgesi bütününde 03.12.2013 tarihli ve 03 sayılı Mahalli Çevre Kurulu Kararı ile belirlenmiş olan </w:t>
      </w:r>
      <w:proofErr w:type="spellStart"/>
      <w:r>
        <w:t>Şevketiye</w:t>
      </w:r>
      <w:proofErr w:type="spellEnd"/>
      <w:r>
        <w:t xml:space="preserve"> Yerleşimi ile Çanakkale İl Sınırı arasındaki alanlarda ilgili kurum-kuruluş görüşleri, gerekli izinler alınarak yer seçiminin yapılabileceği ancak hiçbir suretle ÇED sürecine tabi tutulmadan uygulamaya geçilemeyeceği öngörülmüştür.</w:t>
      </w:r>
      <w:proofErr w:type="gramEnd"/>
    </w:p>
    <w:p w:rsidR="002C4514" w:rsidRDefault="002C4514" w:rsidP="002C4514">
      <w:pPr>
        <w:ind w:left="-567" w:right="-850" w:firstLine="567"/>
        <w:jc w:val="both"/>
      </w:pPr>
      <w:proofErr w:type="gramStart"/>
      <w:r>
        <w:t>Planlama bölgesinde, yerli kömüre dayalı termik santrallerin ise yerli kömür rezervinin bulunmasına ve bu rezervin 40 milyon ton olmasına bağlı olarak ilgili kurum ve kuruluşların görüşleri ve gerekli izinler alınmak kaydı ile yer seçiminin yapılabileceği öngörülmüştür." seklinde açıklamalara yer verildiği, dolayısıyla planda, enerji üretim alanlarının ikiye ayrılarak, yenilenebilir enerji üretim kaynakları ve diğer enerji üretim kaynaklarına dayalı olmaları üzerinden değerlendirildiği, yenilenebilir enerji tesislerine ilişkin olarak alınacak izinler ve ilgili kurum-kuruluş görüşleri kapsamında alt ölçekli planlarda değerlendirilmesine yönelik plan kararı getirildiği, termik santraller açısından ise, yerli ve ithal kömüre dayalı olmasına yönelik yer seçimleri açısından iki farklı değerlendirme yapıldığı anlaşılmaktadır.</w:t>
      </w:r>
      <w:proofErr w:type="gramEnd"/>
    </w:p>
    <w:p w:rsidR="002C4514" w:rsidRDefault="002C4514" w:rsidP="002C4514">
      <w:pPr>
        <w:ind w:left="-567" w:right="-850" w:firstLine="567"/>
        <w:jc w:val="both"/>
      </w:pPr>
      <w:r>
        <w:t xml:space="preserve">Anılan plan açıklama raporu doğrultusunda, Plan Uygulama Hükümlerinde, enerji üretim tesislerine bağlı yan tesisler, kıyı yapıları ve depolama alanları ile bunların üretiminden kaynaklanan atıkların hammadde olarak kullanıldığı </w:t>
      </w:r>
      <w:proofErr w:type="gramStart"/>
      <w:r>
        <w:t>entegre</w:t>
      </w:r>
      <w:proofErr w:type="gramEnd"/>
      <w:r>
        <w:t xml:space="preserve"> sanayi faaliyetlerinin yer alabileceği "Enerji Üretim Alanları" baslığı altında düzenlenen uyuşmazlık konusu "8.36.7" sayılı maddede de, "Bu alanlara ilişkin alt ölçekli planlar bu planda değişikliğe gerek kalmaksızın ilgili kurum ve kuruluş görüşleri doğrultusunda yürütülecektir. Bu alanlarda yer alacak kullanımların büyüklük ve yapılaşma koşulları alt ölçekli planlarda belirlenir. Ancak bu alanlarda uygulamaya geçilebilmesi için çevresel etki değerlendirmesi (ÇED) olumlu kararı aranır." hükmüne yer verilmiştir.</w:t>
      </w:r>
    </w:p>
    <w:p w:rsidR="002C4514" w:rsidRDefault="002C4514" w:rsidP="002C4514">
      <w:pPr>
        <w:ind w:left="-567" w:right="-850" w:firstLine="567"/>
        <w:jc w:val="both"/>
      </w:pPr>
      <w:proofErr w:type="gramStart"/>
      <w:r>
        <w:t xml:space="preserve">Diğer yandan, yine Plan Uygulama Hükümlerinin "Yenilenebilir Enerji Üretim Alanları" başlıklı "8.37" sayılı maddesinde, "Yenilebilir enerji üretim alanlarında, ilgili kurum ve kuruluşlardan alınan izinler ve Enerji Piyasası Düzenleme ve Denetleme kurulunca verilecek lisans kapsamında, Çevre ve Şehircilik Bakanlığı’nın uygun görüsü alınması koşuluyla, bu planda değişikliğe gerek kalmaksızın, ilgili kurum ve kuruluş görüşleri doğrultusunda hazırlanan imar planlarının ilgili idaresince onaylanmasını müteakip uygulamaya geçilir. </w:t>
      </w:r>
      <w:proofErr w:type="gramEnd"/>
      <w:r>
        <w:t xml:space="preserve">Sayısal ortamda bilgi için bakanlığa gönderilir. </w:t>
      </w:r>
    </w:p>
    <w:p w:rsidR="002C4514" w:rsidRDefault="002C4514" w:rsidP="002C4514">
      <w:pPr>
        <w:ind w:left="-567" w:right="-850" w:firstLine="567"/>
        <w:jc w:val="both"/>
      </w:pPr>
      <w:r>
        <w:t xml:space="preserve">Kurulmuş/kurulacak tesislerde, ilgili mevzuat çerçevesinde çevresel tüm önlemlerin alınması zorunludur." hükmüne yer verilmiştir. </w:t>
      </w:r>
    </w:p>
    <w:p w:rsidR="002C4514" w:rsidRDefault="002C4514" w:rsidP="002C4514">
      <w:pPr>
        <w:ind w:left="-567" w:right="-850" w:firstLine="567"/>
        <w:jc w:val="both"/>
      </w:pPr>
      <w:proofErr w:type="gramStart"/>
      <w:r>
        <w:t>Ölçeği gereği leke plan niteliğinde bulunan dava konusu Balıkesir-Çanakkale Planlama Bölgesi 1/100.000 ölçekli Çevre Düzeni Planı, koruma-kullanma dengesinin sağlanması için alt ölçekli plan kararlarına esas olacak yapılaşma şartlarını ortaya koyan, genel arazi kullanım kararlarının üretildiği bir plan olup, bilirkişi raporundaki tespitler de göz önünde bulundurulduğunda, bölgesel ya da bazı durumlarda ülke düzeyinde etkileri olan enerji üretim alanlarının üst ölçekli çevre düzeni planı kapsamında değerlendirilmesi ve planda bu hususlara yönelik alt ölçekli planları yönlendirecek temel ilke ve politikaları içeren hükümlerin bulunması gerektiği açıktır.</w:t>
      </w:r>
      <w:proofErr w:type="gramEnd"/>
    </w:p>
    <w:p w:rsidR="002C4514" w:rsidRDefault="002C4514" w:rsidP="002C4514">
      <w:pPr>
        <w:ind w:left="-567" w:right="-850" w:firstLine="567"/>
        <w:jc w:val="both"/>
      </w:pPr>
      <w:proofErr w:type="gramStart"/>
      <w:r>
        <w:t>Uyuşmazlık konusu plan hükümlerinde ise, yenilenebilir enerji üretim alanlarının dava konusu çevre düzeni planı kapsamı dışında bırakılarak, bu kullanımların, ilgili kurum ve kuruluşlardan alınan izinler ve/veya Enerji Piyasası Düzenleme Kurumunca verilecek lisans kapsamında, Bakanlığın uygun görüsünün alınması kaydı ile alt ölçekli planlar ile belirlenmesi ve bu doğrultuda uygulamaya geçilmesi öngörülmüştür.</w:t>
      </w:r>
      <w:proofErr w:type="gramEnd"/>
    </w:p>
    <w:p w:rsidR="002C4514" w:rsidRDefault="002C4514" w:rsidP="002C4514">
      <w:pPr>
        <w:ind w:left="-567" w:right="-850" w:firstLine="567"/>
        <w:jc w:val="both"/>
      </w:pPr>
      <w:proofErr w:type="gramStart"/>
      <w:r>
        <w:t xml:space="preserve">Bu durumda, bölgesel, hatta ülkesel düzeyde etkileri olan enerji üretim alanlarına ilişkin kararların, koruma-kullanma dengesinin sağlanması amacıyla korunması gereken alanlara ilişkin politika ve stratejileri belirleyen üst ölçekli plan niteliğindeki çevre düzeni planı kapsamında değerlendirilmeksizin, alt ölçekli </w:t>
      </w:r>
      <w:r>
        <w:lastRenderedPageBreak/>
        <w:t>planlara bırakılmasını öngören dava konusu plan hükümlerinde, şehircilik ilkeleri ve planlama esaslarına uyarlık bulunmamaktadır.</w:t>
      </w:r>
      <w:proofErr w:type="gramEnd"/>
    </w:p>
    <w:p w:rsidR="002C4514" w:rsidRDefault="002C4514" w:rsidP="002C4514">
      <w:pPr>
        <w:ind w:left="-567" w:right="-850" w:firstLine="567"/>
        <w:jc w:val="both"/>
        <w:rPr>
          <w:b/>
        </w:rPr>
      </w:pPr>
      <w:r>
        <w:t xml:space="preserve">Kaldı ki, Danıştay İdari Dava Daireleri Kurulunun 10/03/2021 tarih ve E:2020/2062, K:2021/449 sayılı kararı da bu yöndedir.” gerekçesiyle </w:t>
      </w:r>
      <w:r w:rsidRPr="002C4514">
        <w:rPr>
          <w:b/>
        </w:rPr>
        <w:t xml:space="preserve">"8.36.7" ve "8.37" sayılı plan hükümlerine ilişkin İPTAL Kararı alınmış olup </w:t>
      </w:r>
      <w:r w:rsidRPr="00165944">
        <w:rPr>
          <w:b/>
        </w:rPr>
        <w:t>anılan karar uyarınca;</w:t>
      </w:r>
    </w:p>
    <w:p w:rsidR="002C4514" w:rsidRPr="002C4514" w:rsidRDefault="002C4514" w:rsidP="002C4514">
      <w:pPr>
        <w:ind w:left="-567" w:right="-850" w:firstLine="567"/>
        <w:jc w:val="both"/>
        <w:rPr>
          <w:b/>
        </w:rPr>
      </w:pPr>
    </w:p>
    <w:p w:rsidR="002C4514" w:rsidRDefault="002C4514" w:rsidP="002C4514">
      <w:pPr>
        <w:ind w:left="-567" w:right="-850" w:firstLine="567"/>
        <w:jc w:val="both"/>
      </w:pPr>
    </w:p>
    <w:p w:rsidR="002C4514" w:rsidRDefault="002C4514" w:rsidP="002C4514">
      <w:pPr>
        <w:ind w:left="-567" w:right="-850" w:firstLine="567"/>
        <w:jc w:val="both"/>
      </w:pPr>
    </w:p>
    <w:p w:rsidR="002C4514" w:rsidRPr="002C4514" w:rsidRDefault="002C4514" w:rsidP="002C4514">
      <w:pPr>
        <w:ind w:left="-567" w:right="-850" w:firstLine="567"/>
        <w:jc w:val="both"/>
        <w:rPr>
          <w:b/>
        </w:rPr>
      </w:pPr>
      <w:r w:rsidRPr="002C4514">
        <w:rPr>
          <w:b/>
        </w:rPr>
        <w:t xml:space="preserve">1/100.000 ölçekli </w:t>
      </w:r>
      <w:proofErr w:type="spellStart"/>
      <w:r w:rsidRPr="002C4514">
        <w:rPr>
          <w:b/>
        </w:rPr>
        <w:t>ÇDP’nin</w:t>
      </w:r>
      <w:proofErr w:type="spellEnd"/>
      <w:r w:rsidRPr="002C4514">
        <w:rPr>
          <w:b/>
        </w:rPr>
        <w:t xml:space="preserve"> “8.ÖZEL HÜKÜMLER” başlığı altında yer alan;</w:t>
      </w:r>
    </w:p>
    <w:p w:rsidR="002C4514" w:rsidRPr="002C4514" w:rsidRDefault="002C4514" w:rsidP="002C4514">
      <w:pPr>
        <w:ind w:left="-567" w:right="-850" w:firstLine="567"/>
        <w:jc w:val="both"/>
        <w:rPr>
          <w:b/>
        </w:rPr>
      </w:pPr>
    </w:p>
    <w:p w:rsidR="002C4514" w:rsidRPr="002C4514" w:rsidRDefault="002C4514" w:rsidP="002C4514">
      <w:pPr>
        <w:ind w:left="-567" w:right="-850" w:firstLine="567"/>
        <w:jc w:val="both"/>
      </w:pPr>
      <w:r w:rsidRPr="002C4514">
        <w:rPr>
          <w:b/>
        </w:rPr>
        <w:t>1.“</w:t>
      </w:r>
      <w:r w:rsidRPr="002C4514">
        <w:t xml:space="preserve">8.36.7. BU ALANLARA İLİŞKİN ALT ÖLÇEKLİ PLANLAR BU PLANDA DEĞİŞİKLİĞE GEREK KALMAKSIZIN İLGİLİ KURUM VE KURULUŞ GÖRÜŞLERİ DOĞRULTUSUNDA YÜRÜTÜLECEKTİR. BU ALANLARDA YER ALACAK KULLANIMLARIN BÜYÜKLÜK VE YAPILAŞMA KOŞULLARI ALT ÖLÇEKLİ PLANLARDA BELİRLENİR. ANCAK BU ALANLARDA UYGULAMAYA GEÇİLEBİLMESİ İÇİN ÇEVRESEL ETKİ DEĞERLENDİRMESİ (ÇED) OLUMLU KARARI ARANIR.” hükmü, </w:t>
      </w:r>
    </w:p>
    <w:p w:rsidR="002C4514" w:rsidRPr="002C4514" w:rsidRDefault="002C4514" w:rsidP="002C4514">
      <w:pPr>
        <w:ind w:left="-567" w:right="-850" w:firstLine="567"/>
        <w:jc w:val="both"/>
      </w:pPr>
      <w:r w:rsidRPr="002C4514">
        <w:t>“8.36.7. BU ALANLARDA YER ALACAK KULLANIMLARIN BÜYÜKLÜK VE YAPILAŞMA KOŞULLARI ALT ÖLÇEKLİ PLANLARDA BELİRLENİR. ANCAK BU ALANLARDA UYGULAMAYA GEÇİLEBİLMESİ İÇİN ÇEVRESEL ETKİ DEĞERLENDİRMESİ (ÇED) OLUMLU KARARI ARANIR. BU KAPSAMDAKİ ALANLARA İLİŞKİN 20 HEKTARDAN BÜYÜK ALANLAR İÇİN BU PLANDA GEREKLİ DEĞİŞİKLİK YAPILIR.” şeklinde düzenlenmiştir.</w:t>
      </w:r>
    </w:p>
    <w:p w:rsidR="002C4514" w:rsidRPr="002C4514" w:rsidRDefault="002C4514" w:rsidP="002C4514">
      <w:pPr>
        <w:ind w:left="-567" w:right="-850" w:firstLine="567"/>
        <w:jc w:val="both"/>
      </w:pPr>
      <w:proofErr w:type="gramStart"/>
      <w:r w:rsidRPr="002C4514">
        <w:rPr>
          <w:b/>
        </w:rPr>
        <w:t>2.</w:t>
      </w:r>
      <w:r w:rsidRPr="002C4514">
        <w:t xml:space="preserve"> “8.37. YENİLENEBİLİR ENERJİ ÜRETİM ALANLARI YENİLEBİLİR ENERJİ ÜRETİM ALANLARINDA, İLGİLİ KURUM VE KURULUŞLARDAN ALINAN İZİNLER VE ENERJİ PİYASASI DÜZENLEME VE DENETLEME KURULUNCA VERİLECEK LİSANS KAPSAMINDA, ÇEVRE VE ŞEHİRCİLİK BAKANLIĞI’NIN UYGUN GÖRÜŞÜ ALINMASI KOŞULUYLA, BU PLANDA DEĞİŞİKLİĞE GEREK KALMAKSIZIN, İLGİLİ KURUM VE KURULUŞ GÖRÜŞLERİ DOĞRULTUSUNDA HAZIRLANAN İMAR PLANLARININ İLGİLİ İDARESİNCE ONAYLANMASINI MÜTEAKİP UYGULAMAYA GEÇİLİR. </w:t>
      </w:r>
      <w:proofErr w:type="gramEnd"/>
      <w:r w:rsidRPr="002C4514">
        <w:t xml:space="preserve">SAYISAL ORTAMDA BİLGİ İÇİN BAKANLIĞA GÖNDERİLİR. KURULMUŞ/KURULACAK TESİSLERDE, İLGİLİ MEVZUAT ÇERÇEVESİNDE ÇEVRESEL TÜM ÖNLEMLERİN ALINMASI ZORUNLUDUR.” hükmü, </w:t>
      </w:r>
    </w:p>
    <w:p w:rsidR="002C4514" w:rsidRPr="002C4514" w:rsidRDefault="002C4514" w:rsidP="002C4514">
      <w:pPr>
        <w:ind w:left="-567" w:right="-850" w:firstLine="567"/>
        <w:jc w:val="both"/>
      </w:pPr>
    </w:p>
    <w:p w:rsidR="002C4514" w:rsidRDefault="00767B30" w:rsidP="002C4514">
      <w:pPr>
        <w:ind w:left="-567" w:right="-850" w:firstLine="567"/>
        <w:jc w:val="both"/>
      </w:pPr>
      <w:r>
        <w:t xml:space="preserve"> </w:t>
      </w:r>
      <w:r w:rsidR="002C4514" w:rsidRPr="002C4514">
        <w:t>“8.37. YENİLENEBİLİR ENERJİ ÜRETİM ALANLARI”</w:t>
      </w:r>
    </w:p>
    <w:p w:rsidR="002C4514" w:rsidRPr="002C4514" w:rsidRDefault="002C4514" w:rsidP="002C4514">
      <w:pPr>
        <w:ind w:left="-567" w:right="-850" w:firstLine="567"/>
        <w:jc w:val="both"/>
      </w:pPr>
    </w:p>
    <w:p w:rsidR="002C4514" w:rsidRPr="002C4514" w:rsidRDefault="002C4514" w:rsidP="002C4514">
      <w:pPr>
        <w:ind w:left="-567" w:right="-850" w:firstLine="567"/>
        <w:jc w:val="both"/>
      </w:pPr>
      <w:proofErr w:type="gramStart"/>
      <w:r w:rsidRPr="002C4514">
        <w:t>“8.37.1.YENİLENEBİLİR ENERJİ ÜRETİM ALANLARINDA, AŞAĞIDA DÜZENLENEN YER SEÇİMİ KRİTERLERİNE UYULMASI VE BAKANLIĞIN GÖRÜŞÜNÜN ALINMASI KOŞULUYLA İLGİLİ KURUM VE KURULUŞLARDAN ALINAN İZİNLER VE ENERJİ PİYASASI DÜZENLEME KURUMUNCA VERİLECEK LİSANS KAPSAMINDA, İLGİLİ KURUM VE KURULUŞ GÖRÜŞLERİ DOĞRULTUSUNDA HAZIRLANAN NAZIM VE UYGULAMA İMAR PLANLARI, İLGİLİ İDARESİNCE ONAYLANIR VE VERİ TABANINA İŞLENMEK ÜZERE BAKANLIĞA GÖNDERİLİR:</w:t>
      </w:r>
      <w:proofErr w:type="gramEnd"/>
    </w:p>
    <w:p w:rsidR="002C4514" w:rsidRPr="002C4514" w:rsidRDefault="002C4514" w:rsidP="002C4514">
      <w:pPr>
        <w:ind w:left="-567" w:right="-850" w:firstLine="567"/>
        <w:jc w:val="both"/>
      </w:pPr>
      <w:r w:rsidRPr="002C4514">
        <w:t>BU ALANLARIN YER SEÇİMİNDE AŞAĞIDA BELİRTİLEN KRİTERLERE UYULACAKTIR.</w:t>
      </w:r>
    </w:p>
    <w:p w:rsidR="002C4514" w:rsidRPr="002C4514" w:rsidRDefault="002C4514" w:rsidP="002C4514">
      <w:pPr>
        <w:ind w:left="-567" w:right="-850" w:firstLine="567"/>
        <w:jc w:val="both"/>
      </w:pPr>
      <w:r w:rsidRPr="002C4514">
        <w:t>6831 SAYILI “ORMAN KANUNU” KAPSAMINDA KALAN ALANLARDAKİ YATIRIMLARIN GEREKLİ İZİNLER ALINARAK ÖNCELİKLİ OLARAK ORMAN NİTELİĞİNİ KAYBETMİŞ ALANLARDA GERÇEKLEŞTİRİLMESİ ESASTIR.</w:t>
      </w:r>
    </w:p>
    <w:p w:rsidR="002C4514" w:rsidRPr="002C4514" w:rsidRDefault="002C4514" w:rsidP="002C4514">
      <w:pPr>
        <w:ind w:left="-567" w:right="-850" w:firstLine="567"/>
        <w:jc w:val="both"/>
      </w:pPr>
      <w:r w:rsidRPr="002C4514">
        <w:t>• TARIMSAL ÜRETİM AMAÇLI KORUNMASI ESAS OLAN 5403 SAYILI TOPRAK KORUMA VE ARAZİ KULLANIMI KANUNU KAPSAMINDA KALAN TARIM ARAZİLERİNDE YAPILACAK OLAN YATIRIMLARDA 5403 SAYILI KANUN HÜKÜMLERİ KAPSAMINDA “TARIM DIŞI AMAÇLA KULLANIM İZNİ” NİN ALINMASI ZORUNLUDUR.</w:t>
      </w:r>
    </w:p>
    <w:p w:rsidR="002C4514" w:rsidRPr="002C4514" w:rsidRDefault="002C4514" w:rsidP="002C4514">
      <w:pPr>
        <w:ind w:left="-567" w:right="-850" w:firstLine="567"/>
        <w:jc w:val="both"/>
      </w:pPr>
      <w:r w:rsidRPr="002C4514">
        <w:t xml:space="preserve">• ÇDP’DE DOĞAL KARAKTERİ KORUNCAK ALANLAR VE DİĞER KORUMA ALANLARI İLE İÇME VE KULLANMA SUYU KORUMA KUŞAKLARINDA KALAN ALANLARDA YAPILACAK UYGULAMALARDA İMAR PLANLARININ HAZIRLANMASI AŞAMASINDA, ÜNİVERSİTELERİN İLGİLİ BÖLÜMLERİNCE FAALİYETİN ÇEVREYE OLABİLECEK OLASI ETKİLERİNİN VE ALINACAK ÖNLEMLERİN AÇIKLANDIĞI EKOSİSTEM DEĞERLENDİRME RAPORU </w:t>
      </w:r>
      <w:r w:rsidRPr="002C4514">
        <w:lastRenderedPageBreak/>
        <w:t>HAZIRLANMASI ZORUNLUDUR. BU ALANLARDA İLGİLİ MEVZUAT HÜKÜMLERİ VE EKOSİSTEM DEĞERLENDİRME RAPORU DOĞRULTUSUNDA UYGULAMA YAPILACAKTIR.</w:t>
      </w:r>
    </w:p>
    <w:p w:rsidR="002C4514" w:rsidRPr="002C4514" w:rsidRDefault="002C4514" w:rsidP="002C4514">
      <w:pPr>
        <w:ind w:left="-567" w:right="-850" w:firstLine="567"/>
        <w:jc w:val="both"/>
      </w:pPr>
      <w:r w:rsidRPr="002C4514">
        <w:t>• İMAR PLANI AŞAMASINDA, JEOLOJİK ETÜT RAPORUNA UYULACAKTIR.</w:t>
      </w:r>
    </w:p>
    <w:p w:rsidR="002C4514" w:rsidRPr="002C4514" w:rsidRDefault="002C4514" w:rsidP="002C4514">
      <w:pPr>
        <w:ind w:left="-567" w:right="-850" w:firstLine="567"/>
        <w:jc w:val="both"/>
      </w:pPr>
      <w:r w:rsidRPr="002C4514">
        <w:t>• PLAN SINIRI İÇERİSİNDE BULUNAN KÜLTÜR VE TURİZM KORUMA VE GELİŞİM BÖLGELERİ, ÖZEL ÇEVRE KORUMA ALANLARI, MİLLİ PARK, TABİAT PARKI, TABİATI KORUMA ALANI, YABAN HAYATI KORUMA GELİŞTİRME SAHASI GİBİ ÖZEL KANUNLARA TABİ ALANLARDA İLGİLİ KANUN HÜKÜMLERİ ÇERÇEVESİNDE İLGİLİ KURUMLARDAN UYGUN GÖRÜŞ ALINACAKTIR.</w:t>
      </w:r>
    </w:p>
    <w:p w:rsidR="00B50C6E" w:rsidRDefault="00767B30" w:rsidP="002C4514">
      <w:pPr>
        <w:ind w:left="-567" w:right="-850" w:firstLine="567"/>
        <w:jc w:val="both"/>
        <w:rPr>
          <w:b/>
        </w:rPr>
      </w:pPr>
      <w:r w:rsidRPr="002C4514">
        <w:t xml:space="preserve">• </w:t>
      </w:r>
      <w:r w:rsidR="002C4514" w:rsidRPr="002C4514">
        <w:t>KURULMUŞ/KURULACAK TESİSLERDE, İLGİLİ MEVZUAT ÇERÇEVESİNDE ÇEVRESEL TÜM ÖNLEMLERİN ALINMASI ZORUNLUDUR.”</w:t>
      </w:r>
      <w:r w:rsidR="002C4514" w:rsidRPr="002C4514">
        <w:rPr>
          <w:b/>
        </w:rPr>
        <w:t xml:space="preserve"> şeklinde düzenlenmiştir.</w:t>
      </w:r>
    </w:p>
    <w:p w:rsidR="002C4514" w:rsidRPr="00B50C6E" w:rsidRDefault="002C4514" w:rsidP="002C4514">
      <w:pPr>
        <w:ind w:left="-567" w:right="-850" w:firstLine="567"/>
        <w:jc w:val="both"/>
      </w:pPr>
    </w:p>
    <w:p w:rsidR="00B50C6E" w:rsidRPr="00B50C6E" w:rsidRDefault="00B50C6E" w:rsidP="00B50C6E">
      <w:pPr>
        <w:ind w:left="-567" w:right="-850" w:firstLine="567"/>
        <w:jc w:val="both"/>
      </w:pPr>
      <w:proofErr w:type="gramStart"/>
      <w:r w:rsidRPr="00B50C6E">
        <w:t xml:space="preserve">Bu kapsamda; Danıştay 6. Daire’nin </w:t>
      </w:r>
      <w:r w:rsidR="002C4514" w:rsidRPr="002C4514">
        <w:t xml:space="preserve">2024/567 Esaslı 2024/4390 Karar Numaralı davasında alınan 01.07.2024 tarihli “İPTAL” Kararı (1/100.000 ölçekli </w:t>
      </w:r>
      <w:proofErr w:type="spellStart"/>
      <w:r w:rsidR="002C4514" w:rsidRPr="002C4514">
        <w:t>ÇDP’nin</w:t>
      </w:r>
      <w:proofErr w:type="spellEnd"/>
      <w:r w:rsidR="002C4514" w:rsidRPr="002C4514">
        <w:t xml:space="preserve"> Plan Hükümlerine ilişkin kısımları) doğrultusunda hazırlanan “Balıkesir-Çanakkale Planlama Bölgesi 1/100.000 ölçekli Çevre Düzeni Planı </w:t>
      </w:r>
      <w:proofErr w:type="spellStart"/>
      <w:r w:rsidR="002C4514" w:rsidRPr="002C4514">
        <w:t>Değişikliği’nin</w:t>
      </w:r>
      <w:proofErr w:type="spellEnd"/>
      <w:r w:rsidR="002C4514" w:rsidRPr="002C4514">
        <w:t xml:space="preserve"> (</w:t>
      </w:r>
      <w:r w:rsidR="00767B30" w:rsidRPr="00767B30">
        <w:t xml:space="preserve">8.36.7 </w:t>
      </w:r>
      <w:proofErr w:type="spellStart"/>
      <w:r w:rsidR="00767B30" w:rsidRPr="00767B30">
        <w:t>no’lu</w:t>
      </w:r>
      <w:proofErr w:type="spellEnd"/>
      <w:r w:rsidR="00767B30" w:rsidRPr="00767B30">
        <w:t xml:space="preserve"> plan hükmü değişikliği, 8.37 </w:t>
      </w:r>
      <w:proofErr w:type="spellStart"/>
      <w:r w:rsidR="00767B30" w:rsidRPr="00767B30">
        <w:t>nolu</w:t>
      </w:r>
      <w:proofErr w:type="spellEnd"/>
      <w:r w:rsidR="00767B30" w:rsidRPr="00767B30">
        <w:t xml:space="preserve"> plan hükmü değişikliği, P</w:t>
      </w:r>
      <w:r w:rsidR="00767B30">
        <w:t>lan Değişikliği Gerekçe Raporu)</w:t>
      </w:r>
      <w:r>
        <w:t>yapılmıştır.</w:t>
      </w:r>
      <w:proofErr w:type="gramEnd"/>
    </w:p>
    <w:bookmarkEnd w:id="1"/>
    <w:p w:rsidR="00B50C6E" w:rsidRPr="00B50C6E" w:rsidRDefault="00B50C6E" w:rsidP="00B50C6E">
      <w:pPr>
        <w:ind w:left="-567" w:right="-850" w:firstLine="567"/>
        <w:jc w:val="center"/>
        <w:rPr>
          <w:b/>
        </w:rPr>
      </w:pPr>
    </w:p>
    <w:sectPr w:rsidR="00B50C6E" w:rsidRPr="00B50C6E" w:rsidSect="00B50C6E">
      <w:footerReference w:type="default" r:id="rId8"/>
      <w:pgSz w:w="11906" w:h="16838"/>
      <w:pgMar w:top="1134" w:right="1416" w:bottom="993" w:left="1417" w:header="708" w:footer="2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51" w:rsidRDefault="00AE4951" w:rsidP="00397B9D">
      <w:r>
        <w:separator/>
      </w:r>
    </w:p>
  </w:endnote>
  <w:endnote w:type="continuationSeparator" w:id="0">
    <w:p w:rsidR="00AE4951" w:rsidRDefault="00AE4951" w:rsidP="0039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2" w:rsidRDefault="00996E12">
    <w:pPr>
      <w:pStyle w:val="AltBilgi"/>
      <w:jc w:val="right"/>
    </w:pPr>
    <w:r>
      <w:fldChar w:fldCharType="begin"/>
    </w:r>
    <w:r>
      <w:instrText>PAGE   \* MERGEFORMAT</w:instrText>
    </w:r>
    <w:r>
      <w:fldChar w:fldCharType="separate"/>
    </w:r>
    <w:r w:rsidR="005C604B">
      <w:rPr>
        <w:noProof/>
      </w:rPr>
      <w:t>4</w:t>
    </w:r>
    <w:r>
      <w:fldChar w:fldCharType="end"/>
    </w:r>
  </w:p>
  <w:p w:rsidR="00996E12" w:rsidRDefault="00996E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51" w:rsidRDefault="00AE4951" w:rsidP="00397B9D">
      <w:r>
        <w:separator/>
      </w:r>
    </w:p>
  </w:footnote>
  <w:footnote w:type="continuationSeparator" w:id="0">
    <w:p w:rsidR="00AE4951" w:rsidRDefault="00AE4951" w:rsidP="00397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0A5"/>
    <w:multiLevelType w:val="multilevel"/>
    <w:tmpl w:val="2006F54C"/>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F95104"/>
    <w:multiLevelType w:val="multilevel"/>
    <w:tmpl w:val="4C48C802"/>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strike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B728FF"/>
    <w:multiLevelType w:val="hybridMultilevel"/>
    <w:tmpl w:val="84BCC056"/>
    <w:lvl w:ilvl="0" w:tplc="46688FF8">
      <w:start w:val="2"/>
      <w:numFmt w:val="decimal"/>
      <w:lvlText w:val="%1."/>
      <w:lvlJc w:val="left"/>
      <w:pPr>
        <w:ind w:left="720" w:hanging="360"/>
      </w:pPr>
      <w:rPr>
        <w:rFonts w:asciiTheme="majorHAnsi" w:hAnsiTheme="majorHAnsi" w:cs="Arial"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BA7276"/>
    <w:multiLevelType w:val="multilevel"/>
    <w:tmpl w:val="6CB2706A"/>
    <w:lvl w:ilvl="0">
      <w:start w:val="4"/>
      <w:numFmt w:val="decimal"/>
      <w:lvlText w:val="%1."/>
      <w:lvlJc w:val="left"/>
      <w:pPr>
        <w:tabs>
          <w:tab w:val="num" w:pos="360"/>
        </w:tabs>
        <w:ind w:left="360" w:hanging="360"/>
      </w:pPr>
      <w:rPr>
        <w:rFonts w:hint="default"/>
        <w:b/>
      </w:rPr>
    </w:lvl>
    <w:lvl w:ilvl="1">
      <w:start w:val="14"/>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15:restartNumberingAfterBreak="0">
    <w:nsid w:val="258924A7"/>
    <w:multiLevelType w:val="hybridMultilevel"/>
    <w:tmpl w:val="EAB49264"/>
    <w:lvl w:ilvl="0" w:tplc="B176831A">
      <w:start w:val="2"/>
      <w:numFmt w:val="bullet"/>
      <w:lvlText w:val="-"/>
      <w:lvlJc w:val="left"/>
      <w:pPr>
        <w:ind w:left="1068" w:hanging="360"/>
      </w:pPr>
      <w:rPr>
        <w:rFonts w:ascii="Times New Roman" w:eastAsia="Times New Roman" w:hAnsi="Times New Roman" w:cs="Times New Roman" w:hint="default"/>
        <w:sz w:val="23"/>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7482B26"/>
    <w:multiLevelType w:val="hybridMultilevel"/>
    <w:tmpl w:val="5DB08C1A"/>
    <w:lvl w:ilvl="0" w:tplc="00621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73F4A"/>
    <w:multiLevelType w:val="multilevel"/>
    <w:tmpl w:val="0F7ECA92"/>
    <w:lvl w:ilvl="0">
      <w:start w:val="1"/>
      <w:numFmt w:val="decimal"/>
      <w:lvlText w:val="%1."/>
      <w:lvlJc w:val="left"/>
      <w:pPr>
        <w:ind w:left="720" w:hanging="360"/>
      </w:pPr>
      <w:rPr>
        <w:rFonts w:ascii="Times New Roman" w:hAnsi="Times New Roman" w:hint="default"/>
        <w:b/>
      </w:rPr>
    </w:lvl>
    <w:lvl w:ilvl="1">
      <w:start w:val="1"/>
      <w:numFmt w:val="decimal"/>
      <w:isLgl/>
      <w:lvlText w:val="%1.%2"/>
      <w:lvlJc w:val="left"/>
      <w:pPr>
        <w:ind w:left="1666" w:hanging="390"/>
      </w:pPr>
      <w:rPr>
        <w:rFonts w:asciiTheme="majorHAnsi" w:hAnsiTheme="majorHAnsi" w:cs="Arial" w:hint="default"/>
        <w:sz w:val="28"/>
      </w:rPr>
    </w:lvl>
    <w:lvl w:ilvl="2">
      <w:start w:val="1"/>
      <w:numFmt w:val="decimal"/>
      <w:isLgl/>
      <w:lvlText w:val="%1.%2.%3"/>
      <w:lvlJc w:val="left"/>
      <w:pPr>
        <w:ind w:left="1080" w:hanging="720"/>
      </w:pPr>
      <w:rPr>
        <w:rFonts w:asciiTheme="majorHAnsi" w:hAnsiTheme="majorHAnsi" w:cs="Arial" w:hint="default"/>
        <w:sz w:val="28"/>
      </w:rPr>
    </w:lvl>
    <w:lvl w:ilvl="3">
      <w:start w:val="1"/>
      <w:numFmt w:val="decimal"/>
      <w:isLgl/>
      <w:lvlText w:val="%1.%2.%3.%4"/>
      <w:lvlJc w:val="left"/>
      <w:pPr>
        <w:ind w:left="1080" w:hanging="720"/>
      </w:pPr>
      <w:rPr>
        <w:rFonts w:asciiTheme="majorHAnsi" w:hAnsiTheme="majorHAnsi" w:cs="Arial" w:hint="default"/>
        <w:sz w:val="28"/>
      </w:rPr>
    </w:lvl>
    <w:lvl w:ilvl="4">
      <w:start w:val="1"/>
      <w:numFmt w:val="decimal"/>
      <w:isLgl/>
      <w:lvlText w:val="%1.%2.%3.%4.%5"/>
      <w:lvlJc w:val="left"/>
      <w:pPr>
        <w:ind w:left="1440" w:hanging="1080"/>
      </w:pPr>
      <w:rPr>
        <w:rFonts w:asciiTheme="majorHAnsi" w:hAnsiTheme="majorHAnsi" w:cs="Arial" w:hint="default"/>
        <w:sz w:val="28"/>
      </w:rPr>
    </w:lvl>
    <w:lvl w:ilvl="5">
      <w:start w:val="1"/>
      <w:numFmt w:val="decimal"/>
      <w:isLgl/>
      <w:lvlText w:val="%1.%2.%3.%4.%5.%6"/>
      <w:lvlJc w:val="left"/>
      <w:pPr>
        <w:ind w:left="1440" w:hanging="1080"/>
      </w:pPr>
      <w:rPr>
        <w:rFonts w:asciiTheme="majorHAnsi" w:hAnsiTheme="majorHAnsi" w:cs="Arial" w:hint="default"/>
        <w:sz w:val="28"/>
      </w:rPr>
    </w:lvl>
    <w:lvl w:ilvl="6">
      <w:start w:val="1"/>
      <w:numFmt w:val="decimal"/>
      <w:isLgl/>
      <w:lvlText w:val="%1.%2.%3.%4.%5.%6.%7"/>
      <w:lvlJc w:val="left"/>
      <w:pPr>
        <w:ind w:left="1800" w:hanging="1440"/>
      </w:pPr>
      <w:rPr>
        <w:rFonts w:asciiTheme="majorHAnsi" w:hAnsiTheme="majorHAnsi" w:cs="Arial" w:hint="default"/>
        <w:sz w:val="28"/>
      </w:rPr>
    </w:lvl>
    <w:lvl w:ilvl="7">
      <w:start w:val="1"/>
      <w:numFmt w:val="decimal"/>
      <w:isLgl/>
      <w:lvlText w:val="%1.%2.%3.%4.%5.%6.%7.%8"/>
      <w:lvlJc w:val="left"/>
      <w:pPr>
        <w:ind w:left="1800" w:hanging="1440"/>
      </w:pPr>
      <w:rPr>
        <w:rFonts w:asciiTheme="majorHAnsi" w:hAnsiTheme="majorHAnsi" w:cs="Arial" w:hint="default"/>
        <w:sz w:val="28"/>
      </w:rPr>
    </w:lvl>
    <w:lvl w:ilvl="8">
      <w:start w:val="1"/>
      <w:numFmt w:val="decimal"/>
      <w:isLgl/>
      <w:lvlText w:val="%1.%2.%3.%4.%5.%6.%7.%8.%9"/>
      <w:lvlJc w:val="left"/>
      <w:pPr>
        <w:ind w:left="2160" w:hanging="1800"/>
      </w:pPr>
      <w:rPr>
        <w:rFonts w:asciiTheme="majorHAnsi" w:hAnsiTheme="majorHAnsi" w:cs="Arial" w:hint="default"/>
        <w:sz w:val="28"/>
      </w:rPr>
    </w:lvl>
  </w:abstractNum>
  <w:abstractNum w:abstractNumId="7" w15:restartNumberingAfterBreak="0">
    <w:nsid w:val="33266C60"/>
    <w:multiLevelType w:val="hybridMultilevel"/>
    <w:tmpl w:val="54F804F6"/>
    <w:lvl w:ilvl="0" w:tplc="82E06B72">
      <w:start w:val="3"/>
      <w:numFmt w:val="bullet"/>
      <w:lvlText w:val="-"/>
      <w:lvlJc w:val="left"/>
      <w:pPr>
        <w:ind w:left="360" w:hanging="360"/>
      </w:pPr>
      <w:rPr>
        <w:rFonts w:ascii="Cambria" w:eastAsia="Times New Roman" w:hAnsi="Cambria"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5106044"/>
    <w:multiLevelType w:val="multilevel"/>
    <w:tmpl w:val="618837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8.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787FAB"/>
    <w:multiLevelType w:val="hybridMultilevel"/>
    <w:tmpl w:val="7584CDFE"/>
    <w:lvl w:ilvl="0" w:tplc="3FBC5A9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6C55C1B"/>
    <w:multiLevelType w:val="hybridMultilevel"/>
    <w:tmpl w:val="2B48F5B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1" w15:restartNumberingAfterBreak="0">
    <w:nsid w:val="440F3AE6"/>
    <w:multiLevelType w:val="multilevel"/>
    <w:tmpl w:val="B6DCBDD2"/>
    <w:lvl w:ilvl="0">
      <w:start w:val="4"/>
      <w:numFmt w:val="decimal"/>
      <w:lvlText w:val="%1."/>
      <w:lvlJc w:val="left"/>
      <w:pPr>
        <w:ind w:left="480" w:hanging="480"/>
      </w:pPr>
      <w:rPr>
        <w:rFonts w:hint="default"/>
        <w:color w:val="auto"/>
      </w:rPr>
    </w:lvl>
    <w:lvl w:ilvl="1">
      <w:start w:val="2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45F4354"/>
    <w:multiLevelType w:val="hybridMultilevel"/>
    <w:tmpl w:val="03E84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664519"/>
    <w:multiLevelType w:val="multilevel"/>
    <w:tmpl w:val="172EB06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D62674"/>
    <w:multiLevelType w:val="hybridMultilevel"/>
    <w:tmpl w:val="A3CA2D0C"/>
    <w:lvl w:ilvl="0" w:tplc="6CDEEBA0">
      <w:numFmt w:val="bullet"/>
      <w:lvlText w:val="-"/>
      <w:lvlJc w:val="left"/>
      <w:pPr>
        <w:ind w:left="76" w:hanging="360"/>
      </w:pPr>
      <w:rPr>
        <w:rFonts w:ascii="Verdana" w:eastAsia="Times New Roman" w:hAnsi="Verdana" w:cs="Tahoma"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15" w15:restartNumberingAfterBreak="0">
    <w:nsid w:val="50797FB0"/>
    <w:multiLevelType w:val="hybridMultilevel"/>
    <w:tmpl w:val="7644778E"/>
    <w:lvl w:ilvl="0" w:tplc="10D2BCE2">
      <w:start w:val="1"/>
      <w:numFmt w:val="decimal"/>
      <w:lvlText w:val="%1-"/>
      <w:lvlJc w:val="left"/>
      <w:pPr>
        <w:ind w:left="502" w:hanging="360"/>
      </w:pPr>
      <w:rPr>
        <w:rFonts w:ascii="Cambria" w:eastAsia="Times New Roman" w:hAnsi="Cambria" w:cs="Times New Roman"/>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BB1102"/>
    <w:multiLevelType w:val="hybridMultilevel"/>
    <w:tmpl w:val="7392219E"/>
    <w:lvl w:ilvl="0" w:tplc="2EDADDB4">
      <w:numFmt w:val="bullet"/>
      <w:lvlText w:val="-"/>
      <w:lvlJc w:val="left"/>
      <w:pPr>
        <w:ind w:left="360" w:hanging="360"/>
      </w:pPr>
      <w:rPr>
        <w:rFonts w:ascii="Times New Roman" w:eastAsia="Times New Roman" w:hAnsi="Times New Roman" w:cs="Times New Roman" w:hint="default"/>
        <w:b/>
        <w:i/>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42477B3"/>
    <w:multiLevelType w:val="multilevel"/>
    <w:tmpl w:val="3454EFCE"/>
    <w:lvl w:ilvl="0">
      <w:start w:val="4"/>
      <w:numFmt w:val="decimal"/>
      <w:lvlText w:val="%1."/>
      <w:lvlJc w:val="left"/>
      <w:pPr>
        <w:ind w:left="480" w:hanging="480"/>
      </w:pPr>
      <w:rPr>
        <w:rFonts w:hint="default"/>
        <w:color w:val="auto"/>
      </w:rPr>
    </w:lvl>
    <w:lvl w:ilvl="1">
      <w:start w:val="20"/>
      <w:numFmt w:val="decimal"/>
      <w:lvlText w:val="%1.%2."/>
      <w:lvlJc w:val="left"/>
      <w:pPr>
        <w:ind w:left="960" w:hanging="480"/>
      </w:pPr>
      <w:rPr>
        <w:rFonts w:hint="default"/>
        <w:b/>
        <w:color w:val="auto"/>
      </w:rPr>
    </w:lvl>
    <w:lvl w:ilvl="2">
      <w:start w:val="1"/>
      <w:numFmt w:val="decimal"/>
      <w:lvlText w:val="%1.%2.%3."/>
      <w:lvlJc w:val="left"/>
      <w:pPr>
        <w:ind w:left="1680" w:hanging="720"/>
      </w:pPr>
      <w:rPr>
        <w:rFonts w:hint="default"/>
        <w:color w:val="auto"/>
      </w:rPr>
    </w:lvl>
    <w:lvl w:ilvl="3">
      <w:start w:val="1"/>
      <w:numFmt w:val="decimal"/>
      <w:lvlText w:val="%1.%2.%3.%4."/>
      <w:lvlJc w:val="left"/>
      <w:pPr>
        <w:ind w:left="2160" w:hanging="72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18" w15:restartNumberingAfterBreak="0">
    <w:nsid w:val="6CF77BF8"/>
    <w:multiLevelType w:val="hybridMultilevel"/>
    <w:tmpl w:val="4B52FE7E"/>
    <w:lvl w:ilvl="0" w:tplc="3120EB06">
      <w:start w:val="1"/>
      <w:numFmt w:val="lowerLetter"/>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10179A8"/>
    <w:multiLevelType w:val="hybridMultilevel"/>
    <w:tmpl w:val="FFCCE6FC"/>
    <w:lvl w:ilvl="0" w:tplc="A2DE8FD2">
      <w:start w:val="2"/>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741527E0"/>
    <w:multiLevelType w:val="hybridMultilevel"/>
    <w:tmpl w:val="9D5EAFA2"/>
    <w:lvl w:ilvl="0" w:tplc="740ED24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2C063B"/>
    <w:multiLevelType w:val="multilevel"/>
    <w:tmpl w:val="A7E81A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E138DE"/>
    <w:multiLevelType w:val="multilevel"/>
    <w:tmpl w:val="2A6E3802"/>
    <w:lvl w:ilvl="0">
      <w:start w:val="6"/>
      <w:numFmt w:val="decimal"/>
      <w:lvlText w:val="%1."/>
      <w:lvlJc w:val="left"/>
      <w:pPr>
        <w:ind w:left="480" w:hanging="480"/>
      </w:pPr>
      <w:rPr>
        <w:rFonts w:hint="default"/>
      </w:rPr>
    </w:lvl>
    <w:lvl w:ilvl="1">
      <w:start w:val="2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043CA"/>
    <w:multiLevelType w:val="hybridMultilevel"/>
    <w:tmpl w:val="CFE8B4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7D2F415E"/>
    <w:multiLevelType w:val="hybridMultilevel"/>
    <w:tmpl w:val="E8FEF3CE"/>
    <w:lvl w:ilvl="0" w:tplc="77CE8F5A">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4154A3"/>
    <w:multiLevelType w:val="hybridMultilevel"/>
    <w:tmpl w:val="2A823F86"/>
    <w:lvl w:ilvl="0" w:tplc="2EDADDB4">
      <w:numFmt w:val="bullet"/>
      <w:lvlText w:val="-"/>
      <w:lvlJc w:val="left"/>
      <w:pPr>
        <w:ind w:left="720" w:hanging="360"/>
      </w:pPr>
      <w:rPr>
        <w:rFonts w:ascii="Times New Roman" w:eastAsia="Times New Roman" w:hAnsi="Times New Roman" w:cs="Times New Roman" w:hint="default"/>
        <w:b/>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4"/>
  </w:num>
  <w:num w:numId="5">
    <w:abstractNumId w:val="21"/>
  </w:num>
  <w:num w:numId="6">
    <w:abstractNumId w:val="11"/>
  </w:num>
  <w:num w:numId="7">
    <w:abstractNumId w:val="17"/>
  </w:num>
  <w:num w:numId="8">
    <w:abstractNumId w:val="8"/>
  </w:num>
  <w:num w:numId="9">
    <w:abstractNumId w:val="0"/>
  </w:num>
  <w:num w:numId="10">
    <w:abstractNumId w:val="9"/>
  </w:num>
  <w:num w:numId="11">
    <w:abstractNumId w:val="5"/>
  </w:num>
  <w:num w:numId="12">
    <w:abstractNumId w:val="24"/>
  </w:num>
  <w:num w:numId="13">
    <w:abstractNumId w:val="13"/>
  </w:num>
  <w:num w:numId="14">
    <w:abstractNumId w:val="22"/>
  </w:num>
  <w:num w:numId="15">
    <w:abstractNumId w:val="20"/>
  </w:num>
  <w:num w:numId="16">
    <w:abstractNumId w:val="18"/>
  </w:num>
  <w:num w:numId="17">
    <w:abstractNumId w:val="6"/>
  </w:num>
  <w:num w:numId="18">
    <w:abstractNumId w:val="14"/>
  </w:num>
  <w:num w:numId="19">
    <w:abstractNumId w:val="7"/>
  </w:num>
  <w:num w:numId="20">
    <w:abstractNumId w:val="25"/>
  </w:num>
  <w:num w:numId="21">
    <w:abstractNumId w:val="16"/>
  </w:num>
  <w:num w:numId="22">
    <w:abstractNumId w:val="15"/>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0A"/>
    <w:rsid w:val="00007F49"/>
    <w:rsid w:val="00016C70"/>
    <w:rsid w:val="00023569"/>
    <w:rsid w:val="00030479"/>
    <w:rsid w:val="000328F7"/>
    <w:rsid w:val="00035B97"/>
    <w:rsid w:val="000407B5"/>
    <w:rsid w:val="00045EC5"/>
    <w:rsid w:val="000535D3"/>
    <w:rsid w:val="0005386D"/>
    <w:rsid w:val="00056C47"/>
    <w:rsid w:val="00066D64"/>
    <w:rsid w:val="00080992"/>
    <w:rsid w:val="00087430"/>
    <w:rsid w:val="0008764B"/>
    <w:rsid w:val="000919EC"/>
    <w:rsid w:val="000A1B74"/>
    <w:rsid w:val="000B6A5C"/>
    <w:rsid w:val="000C1396"/>
    <w:rsid w:val="000F3650"/>
    <w:rsid w:val="000F49A5"/>
    <w:rsid w:val="000F593E"/>
    <w:rsid w:val="000F619A"/>
    <w:rsid w:val="0010135B"/>
    <w:rsid w:val="0010135C"/>
    <w:rsid w:val="0010141B"/>
    <w:rsid w:val="00106CB5"/>
    <w:rsid w:val="00125D17"/>
    <w:rsid w:val="00131333"/>
    <w:rsid w:val="00161CFE"/>
    <w:rsid w:val="00162339"/>
    <w:rsid w:val="00163FA5"/>
    <w:rsid w:val="00165A2E"/>
    <w:rsid w:val="00165C98"/>
    <w:rsid w:val="00167BA8"/>
    <w:rsid w:val="001715A4"/>
    <w:rsid w:val="00175D7B"/>
    <w:rsid w:val="0018687F"/>
    <w:rsid w:val="0019117B"/>
    <w:rsid w:val="00194DA5"/>
    <w:rsid w:val="00196F12"/>
    <w:rsid w:val="001A168E"/>
    <w:rsid w:val="001A3673"/>
    <w:rsid w:val="001A5453"/>
    <w:rsid w:val="001A66A7"/>
    <w:rsid w:val="001A6869"/>
    <w:rsid w:val="001B3C2F"/>
    <w:rsid w:val="001D24E3"/>
    <w:rsid w:val="001D6F0F"/>
    <w:rsid w:val="001E1E34"/>
    <w:rsid w:val="001E79D3"/>
    <w:rsid w:val="001F37A4"/>
    <w:rsid w:val="001F3C82"/>
    <w:rsid w:val="001F7686"/>
    <w:rsid w:val="0020034C"/>
    <w:rsid w:val="002019AD"/>
    <w:rsid w:val="0020300A"/>
    <w:rsid w:val="00214335"/>
    <w:rsid w:val="00221CE6"/>
    <w:rsid w:val="00224C8A"/>
    <w:rsid w:val="00227857"/>
    <w:rsid w:val="00230E4F"/>
    <w:rsid w:val="00231788"/>
    <w:rsid w:val="00233D42"/>
    <w:rsid w:val="00241C05"/>
    <w:rsid w:val="00243C5F"/>
    <w:rsid w:val="002446E9"/>
    <w:rsid w:val="00245AFB"/>
    <w:rsid w:val="00256E59"/>
    <w:rsid w:val="002643BF"/>
    <w:rsid w:val="00266959"/>
    <w:rsid w:val="00282A40"/>
    <w:rsid w:val="00282AF9"/>
    <w:rsid w:val="00287B4B"/>
    <w:rsid w:val="002A5287"/>
    <w:rsid w:val="002A765E"/>
    <w:rsid w:val="002B24BB"/>
    <w:rsid w:val="002C2BEF"/>
    <w:rsid w:val="002C4514"/>
    <w:rsid w:val="002D46B5"/>
    <w:rsid w:val="002D7CDA"/>
    <w:rsid w:val="002E20CB"/>
    <w:rsid w:val="002F37A1"/>
    <w:rsid w:val="002F5CF5"/>
    <w:rsid w:val="00300FAE"/>
    <w:rsid w:val="00302DC6"/>
    <w:rsid w:val="00303280"/>
    <w:rsid w:val="003077F1"/>
    <w:rsid w:val="00322A24"/>
    <w:rsid w:val="00333A18"/>
    <w:rsid w:val="00341867"/>
    <w:rsid w:val="00355EAF"/>
    <w:rsid w:val="00365841"/>
    <w:rsid w:val="00367966"/>
    <w:rsid w:val="003773A3"/>
    <w:rsid w:val="003778FF"/>
    <w:rsid w:val="003826AB"/>
    <w:rsid w:val="00383701"/>
    <w:rsid w:val="003923DD"/>
    <w:rsid w:val="00397B9D"/>
    <w:rsid w:val="003A405E"/>
    <w:rsid w:val="003C2794"/>
    <w:rsid w:val="003C3B0F"/>
    <w:rsid w:val="003C7289"/>
    <w:rsid w:val="003D0748"/>
    <w:rsid w:val="003E3982"/>
    <w:rsid w:val="003E6DDC"/>
    <w:rsid w:val="003F0E73"/>
    <w:rsid w:val="003F54B2"/>
    <w:rsid w:val="004077D2"/>
    <w:rsid w:val="00413BD5"/>
    <w:rsid w:val="0041478E"/>
    <w:rsid w:val="0042243B"/>
    <w:rsid w:val="00423C2F"/>
    <w:rsid w:val="00444AD3"/>
    <w:rsid w:val="004514F4"/>
    <w:rsid w:val="004559F5"/>
    <w:rsid w:val="00455E87"/>
    <w:rsid w:val="0046001C"/>
    <w:rsid w:val="0046120F"/>
    <w:rsid w:val="00473F8B"/>
    <w:rsid w:val="004A0BD0"/>
    <w:rsid w:val="004B1F9B"/>
    <w:rsid w:val="004B4B44"/>
    <w:rsid w:val="004B684A"/>
    <w:rsid w:val="004C2541"/>
    <w:rsid w:val="004C2D1B"/>
    <w:rsid w:val="004F12A1"/>
    <w:rsid w:val="004F6FAF"/>
    <w:rsid w:val="0050534E"/>
    <w:rsid w:val="00507787"/>
    <w:rsid w:val="00515374"/>
    <w:rsid w:val="005171B9"/>
    <w:rsid w:val="005445D7"/>
    <w:rsid w:val="00552602"/>
    <w:rsid w:val="005609D2"/>
    <w:rsid w:val="005612B3"/>
    <w:rsid w:val="00565425"/>
    <w:rsid w:val="00572A75"/>
    <w:rsid w:val="00575066"/>
    <w:rsid w:val="005A242A"/>
    <w:rsid w:val="005C01D0"/>
    <w:rsid w:val="005C604B"/>
    <w:rsid w:val="005C6715"/>
    <w:rsid w:val="005D28D2"/>
    <w:rsid w:val="005D3F61"/>
    <w:rsid w:val="005D7F21"/>
    <w:rsid w:val="005F08D6"/>
    <w:rsid w:val="005F0AA4"/>
    <w:rsid w:val="005F2F59"/>
    <w:rsid w:val="005F7789"/>
    <w:rsid w:val="00601E99"/>
    <w:rsid w:val="00607C65"/>
    <w:rsid w:val="006130F6"/>
    <w:rsid w:val="00614D8F"/>
    <w:rsid w:val="00615520"/>
    <w:rsid w:val="006200C3"/>
    <w:rsid w:val="00626029"/>
    <w:rsid w:val="006362A6"/>
    <w:rsid w:val="00656D5B"/>
    <w:rsid w:val="006731A3"/>
    <w:rsid w:val="00681A32"/>
    <w:rsid w:val="00683EC2"/>
    <w:rsid w:val="00692161"/>
    <w:rsid w:val="00696BFC"/>
    <w:rsid w:val="006A7F79"/>
    <w:rsid w:val="006B30D1"/>
    <w:rsid w:val="006B6D24"/>
    <w:rsid w:val="006D531A"/>
    <w:rsid w:val="006F53FA"/>
    <w:rsid w:val="007060BB"/>
    <w:rsid w:val="0070733C"/>
    <w:rsid w:val="00712F7E"/>
    <w:rsid w:val="007206A2"/>
    <w:rsid w:val="00721AC9"/>
    <w:rsid w:val="00725BFF"/>
    <w:rsid w:val="007339EE"/>
    <w:rsid w:val="00740C3E"/>
    <w:rsid w:val="00744C26"/>
    <w:rsid w:val="00747ABD"/>
    <w:rsid w:val="00751860"/>
    <w:rsid w:val="007575CB"/>
    <w:rsid w:val="00767B30"/>
    <w:rsid w:val="007722F8"/>
    <w:rsid w:val="007736FD"/>
    <w:rsid w:val="007745C5"/>
    <w:rsid w:val="00775B2C"/>
    <w:rsid w:val="00781C85"/>
    <w:rsid w:val="00784314"/>
    <w:rsid w:val="00787A54"/>
    <w:rsid w:val="00793D49"/>
    <w:rsid w:val="007956D1"/>
    <w:rsid w:val="007A19D7"/>
    <w:rsid w:val="007B158F"/>
    <w:rsid w:val="007B258F"/>
    <w:rsid w:val="007B6CC3"/>
    <w:rsid w:val="007C2879"/>
    <w:rsid w:val="007C3752"/>
    <w:rsid w:val="007C62B7"/>
    <w:rsid w:val="007C6EFC"/>
    <w:rsid w:val="007D4A4E"/>
    <w:rsid w:val="007E1E0A"/>
    <w:rsid w:val="007E2516"/>
    <w:rsid w:val="007E2873"/>
    <w:rsid w:val="007F0840"/>
    <w:rsid w:val="007F4D05"/>
    <w:rsid w:val="0081126E"/>
    <w:rsid w:val="008150AC"/>
    <w:rsid w:val="0081539F"/>
    <w:rsid w:val="00815CC7"/>
    <w:rsid w:val="00824394"/>
    <w:rsid w:val="00827703"/>
    <w:rsid w:val="00827E4B"/>
    <w:rsid w:val="00831082"/>
    <w:rsid w:val="0083178B"/>
    <w:rsid w:val="00833C50"/>
    <w:rsid w:val="00834ED0"/>
    <w:rsid w:val="00843B00"/>
    <w:rsid w:val="00853426"/>
    <w:rsid w:val="008562D8"/>
    <w:rsid w:val="00872206"/>
    <w:rsid w:val="00873EB2"/>
    <w:rsid w:val="00896DA8"/>
    <w:rsid w:val="008972C4"/>
    <w:rsid w:val="008A0609"/>
    <w:rsid w:val="008A4CBD"/>
    <w:rsid w:val="008A6755"/>
    <w:rsid w:val="008B38DC"/>
    <w:rsid w:val="008C399E"/>
    <w:rsid w:val="008D3091"/>
    <w:rsid w:val="008D3C1F"/>
    <w:rsid w:val="008D4453"/>
    <w:rsid w:val="008D6FCA"/>
    <w:rsid w:val="008E3CFC"/>
    <w:rsid w:val="008E523D"/>
    <w:rsid w:val="008E5C52"/>
    <w:rsid w:val="008E7EE8"/>
    <w:rsid w:val="008F1EAF"/>
    <w:rsid w:val="008F3505"/>
    <w:rsid w:val="008F4170"/>
    <w:rsid w:val="00904B75"/>
    <w:rsid w:val="00905F65"/>
    <w:rsid w:val="00913F5E"/>
    <w:rsid w:val="00921B70"/>
    <w:rsid w:val="009231FE"/>
    <w:rsid w:val="00933816"/>
    <w:rsid w:val="00945978"/>
    <w:rsid w:val="00946BFC"/>
    <w:rsid w:val="00965FF0"/>
    <w:rsid w:val="00966635"/>
    <w:rsid w:val="00971697"/>
    <w:rsid w:val="009756A3"/>
    <w:rsid w:val="00975EE0"/>
    <w:rsid w:val="00982C5E"/>
    <w:rsid w:val="009950DD"/>
    <w:rsid w:val="00996E12"/>
    <w:rsid w:val="009C3C88"/>
    <w:rsid w:val="009C78F7"/>
    <w:rsid w:val="009C7FBC"/>
    <w:rsid w:val="009D476B"/>
    <w:rsid w:val="009D47C5"/>
    <w:rsid w:val="009D4821"/>
    <w:rsid w:val="009E173E"/>
    <w:rsid w:val="009E28A1"/>
    <w:rsid w:val="009E2A48"/>
    <w:rsid w:val="009E37A3"/>
    <w:rsid w:val="009E7FF1"/>
    <w:rsid w:val="009F0A86"/>
    <w:rsid w:val="009F17BB"/>
    <w:rsid w:val="00A07048"/>
    <w:rsid w:val="00A21B08"/>
    <w:rsid w:val="00A33A6A"/>
    <w:rsid w:val="00A34977"/>
    <w:rsid w:val="00A34B6B"/>
    <w:rsid w:val="00A34C4F"/>
    <w:rsid w:val="00A357DC"/>
    <w:rsid w:val="00A36488"/>
    <w:rsid w:val="00A454C1"/>
    <w:rsid w:val="00A458B0"/>
    <w:rsid w:val="00A46F30"/>
    <w:rsid w:val="00A60920"/>
    <w:rsid w:val="00A65E10"/>
    <w:rsid w:val="00A92A5C"/>
    <w:rsid w:val="00A9702E"/>
    <w:rsid w:val="00A97BAB"/>
    <w:rsid w:val="00AA5156"/>
    <w:rsid w:val="00AC5AAE"/>
    <w:rsid w:val="00AC7539"/>
    <w:rsid w:val="00AD1CF8"/>
    <w:rsid w:val="00AD2292"/>
    <w:rsid w:val="00AD396C"/>
    <w:rsid w:val="00AE4951"/>
    <w:rsid w:val="00AE6242"/>
    <w:rsid w:val="00AF0222"/>
    <w:rsid w:val="00AF16EC"/>
    <w:rsid w:val="00AF312C"/>
    <w:rsid w:val="00B24B71"/>
    <w:rsid w:val="00B25DE9"/>
    <w:rsid w:val="00B30CA5"/>
    <w:rsid w:val="00B32E0C"/>
    <w:rsid w:val="00B37A3F"/>
    <w:rsid w:val="00B37CB5"/>
    <w:rsid w:val="00B40F77"/>
    <w:rsid w:val="00B44DE7"/>
    <w:rsid w:val="00B50C6E"/>
    <w:rsid w:val="00B80188"/>
    <w:rsid w:val="00B83581"/>
    <w:rsid w:val="00B925FA"/>
    <w:rsid w:val="00BA0663"/>
    <w:rsid w:val="00BA101E"/>
    <w:rsid w:val="00BA1C64"/>
    <w:rsid w:val="00BA701A"/>
    <w:rsid w:val="00BA73E6"/>
    <w:rsid w:val="00BC5846"/>
    <w:rsid w:val="00BC66F3"/>
    <w:rsid w:val="00BD208D"/>
    <w:rsid w:val="00BE11E9"/>
    <w:rsid w:val="00C02199"/>
    <w:rsid w:val="00C06A82"/>
    <w:rsid w:val="00C06AAB"/>
    <w:rsid w:val="00C13CB0"/>
    <w:rsid w:val="00C203E9"/>
    <w:rsid w:val="00C23EB9"/>
    <w:rsid w:val="00C2577B"/>
    <w:rsid w:val="00C2669B"/>
    <w:rsid w:val="00C304FF"/>
    <w:rsid w:val="00C37A36"/>
    <w:rsid w:val="00C40B43"/>
    <w:rsid w:val="00C451E1"/>
    <w:rsid w:val="00C50B35"/>
    <w:rsid w:val="00C640FE"/>
    <w:rsid w:val="00C66A64"/>
    <w:rsid w:val="00C80B17"/>
    <w:rsid w:val="00C85A84"/>
    <w:rsid w:val="00C9173A"/>
    <w:rsid w:val="00C91F23"/>
    <w:rsid w:val="00CA28A2"/>
    <w:rsid w:val="00CB6072"/>
    <w:rsid w:val="00CB79E4"/>
    <w:rsid w:val="00CC2C5D"/>
    <w:rsid w:val="00CC4F70"/>
    <w:rsid w:val="00CD346C"/>
    <w:rsid w:val="00CE6B09"/>
    <w:rsid w:val="00CE7001"/>
    <w:rsid w:val="00D03774"/>
    <w:rsid w:val="00D061B8"/>
    <w:rsid w:val="00D1023E"/>
    <w:rsid w:val="00D13EEA"/>
    <w:rsid w:val="00D35055"/>
    <w:rsid w:val="00D4004F"/>
    <w:rsid w:val="00D51206"/>
    <w:rsid w:val="00D56401"/>
    <w:rsid w:val="00D608FD"/>
    <w:rsid w:val="00D63935"/>
    <w:rsid w:val="00D80ACC"/>
    <w:rsid w:val="00D91632"/>
    <w:rsid w:val="00D91B4F"/>
    <w:rsid w:val="00DA0206"/>
    <w:rsid w:val="00DA0325"/>
    <w:rsid w:val="00DA4234"/>
    <w:rsid w:val="00DA6A71"/>
    <w:rsid w:val="00DB1557"/>
    <w:rsid w:val="00DB39C8"/>
    <w:rsid w:val="00DC0B37"/>
    <w:rsid w:val="00DD2904"/>
    <w:rsid w:val="00DE2D42"/>
    <w:rsid w:val="00DF54F5"/>
    <w:rsid w:val="00DF656F"/>
    <w:rsid w:val="00E00A8A"/>
    <w:rsid w:val="00E032A4"/>
    <w:rsid w:val="00E07325"/>
    <w:rsid w:val="00E1606D"/>
    <w:rsid w:val="00E24C32"/>
    <w:rsid w:val="00E27C8B"/>
    <w:rsid w:val="00E328B2"/>
    <w:rsid w:val="00E41F1B"/>
    <w:rsid w:val="00E45CB0"/>
    <w:rsid w:val="00E47776"/>
    <w:rsid w:val="00E555FB"/>
    <w:rsid w:val="00E6023D"/>
    <w:rsid w:val="00E62FBB"/>
    <w:rsid w:val="00E671A4"/>
    <w:rsid w:val="00E71501"/>
    <w:rsid w:val="00E761AC"/>
    <w:rsid w:val="00E7624B"/>
    <w:rsid w:val="00E7651B"/>
    <w:rsid w:val="00E770FD"/>
    <w:rsid w:val="00E82885"/>
    <w:rsid w:val="00E91D73"/>
    <w:rsid w:val="00EA4321"/>
    <w:rsid w:val="00EA5115"/>
    <w:rsid w:val="00EB16A2"/>
    <w:rsid w:val="00EB1C4F"/>
    <w:rsid w:val="00EC17E4"/>
    <w:rsid w:val="00EC4C51"/>
    <w:rsid w:val="00ED774C"/>
    <w:rsid w:val="00EE4F14"/>
    <w:rsid w:val="00EF5F6F"/>
    <w:rsid w:val="00F02A26"/>
    <w:rsid w:val="00F05AE7"/>
    <w:rsid w:val="00F1030F"/>
    <w:rsid w:val="00F10F6E"/>
    <w:rsid w:val="00F1684F"/>
    <w:rsid w:val="00F21FD8"/>
    <w:rsid w:val="00F322B0"/>
    <w:rsid w:val="00F3376D"/>
    <w:rsid w:val="00F40386"/>
    <w:rsid w:val="00F44AB5"/>
    <w:rsid w:val="00F57BF9"/>
    <w:rsid w:val="00F70BA4"/>
    <w:rsid w:val="00F7788E"/>
    <w:rsid w:val="00F90065"/>
    <w:rsid w:val="00F92C91"/>
    <w:rsid w:val="00F94D9C"/>
    <w:rsid w:val="00F977F4"/>
    <w:rsid w:val="00FB1E5A"/>
    <w:rsid w:val="00FC7A9C"/>
    <w:rsid w:val="00FD1A75"/>
    <w:rsid w:val="00FE22F3"/>
    <w:rsid w:val="00FE3B95"/>
    <w:rsid w:val="00FE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436A4"/>
  <w15:docId w15:val="{CDB4AA12-5D1B-4924-8EB8-DFC2EED1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0A"/>
    <w:rPr>
      <w:rFonts w:ascii="Times New Roman" w:eastAsia="Times New Roman" w:hAnsi="Times New Roman"/>
      <w:sz w:val="24"/>
      <w:szCs w:val="24"/>
    </w:rPr>
  </w:style>
  <w:style w:type="paragraph" w:styleId="Balk1">
    <w:name w:val="heading 1"/>
    <w:basedOn w:val="Normal"/>
    <w:next w:val="Normal"/>
    <w:link w:val="Balk1Char"/>
    <w:uiPriority w:val="9"/>
    <w:qFormat/>
    <w:rsid w:val="00266959"/>
    <w:pPr>
      <w:keepNext/>
      <w:keepLines/>
      <w:spacing w:before="240" w:line="259" w:lineRule="auto"/>
      <w:outlineLvl w:val="0"/>
    </w:pPr>
    <w:rPr>
      <w:rFonts w:ascii="Cambria" w:eastAsiaTheme="majorEastAsia" w:hAnsi="Cambria" w:cstheme="majorBidi"/>
      <w:b/>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spacebeforeafter">
    <w:name w:val="Normal_space_before_after"/>
    <w:rsid w:val="009E37A3"/>
    <w:pPr>
      <w:spacing w:after="200" w:line="276" w:lineRule="auto"/>
    </w:pPr>
    <w:rPr>
      <w:rFonts w:eastAsia="Times New Roman"/>
      <w:sz w:val="22"/>
      <w:szCs w:val="22"/>
    </w:rPr>
  </w:style>
  <w:style w:type="character" w:customStyle="1" w:styleId="apple-converted-space">
    <w:name w:val="apple-converted-space"/>
    <w:rsid w:val="009E37A3"/>
  </w:style>
  <w:style w:type="paragraph" w:styleId="GvdeMetni">
    <w:name w:val="Body Text"/>
    <w:basedOn w:val="Normal"/>
    <w:link w:val="GvdeMetniChar"/>
    <w:rsid w:val="00C06A82"/>
    <w:pPr>
      <w:spacing w:after="120"/>
    </w:pPr>
    <w:rPr>
      <w:noProof/>
    </w:rPr>
  </w:style>
  <w:style w:type="character" w:customStyle="1" w:styleId="GvdeMetniChar">
    <w:name w:val="Gövde Metni Char"/>
    <w:link w:val="GvdeMetni"/>
    <w:rsid w:val="00C06A82"/>
    <w:rPr>
      <w:rFonts w:ascii="Times New Roman" w:eastAsia="Times New Roman" w:hAnsi="Times New Roman"/>
      <w:noProof/>
      <w:sz w:val="24"/>
      <w:szCs w:val="24"/>
    </w:rPr>
  </w:style>
  <w:style w:type="paragraph" w:styleId="stBilgi">
    <w:name w:val="header"/>
    <w:basedOn w:val="Normal"/>
    <w:link w:val="stBilgiChar"/>
    <w:uiPriority w:val="99"/>
    <w:unhideWhenUsed/>
    <w:rsid w:val="00397B9D"/>
    <w:pPr>
      <w:tabs>
        <w:tab w:val="center" w:pos="4536"/>
        <w:tab w:val="right" w:pos="9072"/>
      </w:tabs>
    </w:pPr>
  </w:style>
  <w:style w:type="character" w:customStyle="1" w:styleId="stBilgiChar">
    <w:name w:val="Üst Bilgi Char"/>
    <w:link w:val="stBilgi"/>
    <w:uiPriority w:val="99"/>
    <w:rsid w:val="00397B9D"/>
    <w:rPr>
      <w:rFonts w:ascii="Times New Roman" w:eastAsia="Times New Roman" w:hAnsi="Times New Roman"/>
      <w:sz w:val="24"/>
      <w:szCs w:val="24"/>
    </w:rPr>
  </w:style>
  <w:style w:type="paragraph" w:styleId="AltBilgi">
    <w:name w:val="footer"/>
    <w:basedOn w:val="Normal"/>
    <w:link w:val="AltBilgiChar"/>
    <w:uiPriority w:val="99"/>
    <w:unhideWhenUsed/>
    <w:rsid w:val="00397B9D"/>
    <w:pPr>
      <w:tabs>
        <w:tab w:val="center" w:pos="4536"/>
        <w:tab w:val="right" w:pos="9072"/>
      </w:tabs>
    </w:pPr>
  </w:style>
  <w:style w:type="character" w:customStyle="1" w:styleId="AltBilgiChar">
    <w:name w:val="Alt Bilgi Char"/>
    <w:link w:val="AltBilgi"/>
    <w:uiPriority w:val="99"/>
    <w:rsid w:val="00397B9D"/>
    <w:rPr>
      <w:rFonts w:ascii="Times New Roman" w:eastAsia="Times New Roman" w:hAnsi="Times New Roman"/>
      <w:sz w:val="24"/>
      <w:szCs w:val="24"/>
    </w:rPr>
  </w:style>
  <w:style w:type="paragraph" w:customStyle="1" w:styleId="Default">
    <w:name w:val="Default"/>
    <w:rsid w:val="00DD2904"/>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AF312C"/>
    <w:rPr>
      <w:rFonts w:ascii="Tahoma" w:hAnsi="Tahoma" w:cs="Tahoma"/>
      <w:sz w:val="16"/>
      <w:szCs w:val="16"/>
    </w:rPr>
  </w:style>
  <w:style w:type="character" w:customStyle="1" w:styleId="BalonMetniChar">
    <w:name w:val="Balon Metni Char"/>
    <w:link w:val="BalonMetni"/>
    <w:uiPriority w:val="99"/>
    <w:semiHidden/>
    <w:rsid w:val="00AF312C"/>
    <w:rPr>
      <w:rFonts w:ascii="Tahoma" w:eastAsia="Times New Roman" w:hAnsi="Tahoma" w:cs="Tahoma"/>
      <w:sz w:val="16"/>
      <w:szCs w:val="16"/>
    </w:rPr>
  </w:style>
  <w:style w:type="paragraph" w:styleId="ListeParagraf">
    <w:name w:val="List Paragraph"/>
    <w:basedOn w:val="Normal"/>
    <w:link w:val="ListeParagrafChar"/>
    <w:uiPriority w:val="34"/>
    <w:qFormat/>
    <w:rsid w:val="008E3CFC"/>
    <w:pPr>
      <w:ind w:left="720"/>
      <w:contextualSpacing/>
    </w:pPr>
  </w:style>
  <w:style w:type="paragraph" w:customStyle="1" w:styleId="baslk2">
    <w:name w:val="baslık2"/>
    <w:basedOn w:val="Normal"/>
    <w:rsid w:val="00175D7B"/>
    <w:pPr>
      <w:jc w:val="both"/>
    </w:pPr>
    <w:rPr>
      <w:rFonts w:ascii="Arial" w:hAnsi="Arial" w:cs="Arial"/>
    </w:rPr>
  </w:style>
  <w:style w:type="paragraph" w:customStyle="1" w:styleId="baslk3">
    <w:name w:val="baslık3"/>
    <w:basedOn w:val="Normal"/>
    <w:link w:val="baslk3Char"/>
    <w:rsid w:val="00175D7B"/>
    <w:pPr>
      <w:jc w:val="both"/>
    </w:pPr>
    <w:rPr>
      <w:rFonts w:ascii="Arial" w:hAnsi="Arial" w:cs="Arial"/>
    </w:rPr>
  </w:style>
  <w:style w:type="character" w:customStyle="1" w:styleId="baslk3Char">
    <w:name w:val="baslık3 Char"/>
    <w:basedOn w:val="VarsaylanParagrafYazTipi"/>
    <w:link w:val="baslk3"/>
    <w:rsid w:val="00175D7B"/>
    <w:rPr>
      <w:rFonts w:ascii="Arial" w:eastAsia="Times New Roman" w:hAnsi="Arial" w:cs="Arial"/>
      <w:sz w:val="24"/>
      <w:szCs w:val="24"/>
    </w:rPr>
  </w:style>
  <w:style w:type="paragraph" w:customStyle="1" w:styleId="Tablo">
    <w:name w:val="Tablo"/>
    <w:basedOn w:val="Normal"/>
    <w:link w:val="TabloChar"/>
    <w:rsid w:val="00175D7B"/>
    <w:pPr>
      <w:spacing w:line="288" w:lineRule="auto"/>
      <w:jc w:val="both"/>
    </w:pPr>
    <w:rPr>
      <w:rFonts w:ascii="Arial" w:hAnsi="Arial" w:cs="Arial"/>
    </w:rPr>
  </w:style>
  <w:style w:type="character" w:customStyle="1" w:styleId="TabloChar">
    <w:name w:val="Tablo Char"/>
    <w:basedOn w:val="VarsaylanParagrafYazTipi"/>
    <w:link w:val="Tablo"/>
    <w:rsid w:val="00175D7B"/>
    <w:rPr>
      <w:rFonts w:ascii="Arial" w:eastAsia="Times New Roman" w:hAnsi="Arial" w:cs="Arial"/>
      <w:sz w:val="24"/>
      <w:szCs w:val="24"/>
    </w:rPr>
  </w:style>
  <w:style w:type="character" w:customStyle="1" w:styleId="Balk1Char">
    <w:name w:val="Başlık 1 Char"/>
    <w:basedOn w:val="VarsaylanParagrafYazTipi"/>
    <w:link w:val="Balk1"/>
    <w:uiPriority w:val="9"/>
    <w:rsid w:val="00266959"/>
    <w:rPr>
      <w:rFonts w:ascii="Cambria" w:eastAsiaTheme="majorEastAsia" w:hAnsi="Cambria" w:cstheme="majorBidi"/>
      <w:b/>
      <w:sz w:val="24"/>
      <w:szCs w:val="32"/>
      <w:lang w:eastAsia="en-US"/>
    </w:rPr>
  </w:style>
  <w:style w:type="table" w:styleId="TabloKlavuzu">
    <w:name w:val="Table Grid"/>
    <w:basedOn w:val="NormalTablo"/>
    <w:rsid w:val="00163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D35055"/>
    <w:rPr>
      <w:rFonts w:ascii="Times New Roman" w:eastAsia="Times New Roman" w:hAnsi="Times New Roman"/>
      <w:sz w:val="24"/>
      <w:szCs w:val="24"/>
    </w:rPr>
  </w:style>
  <w:style w:type="paragraph" w:styleId="ResimYazs">
    <w:name w:val="caption"/>
    <w:basedOn w:val="Normal"/>
    <w:next w:val="Normal"/>
    <w:uiPriority w:val="35"/>
    <w:unhideWhenUsed/>
    <w:qFormat/>
    <w:rsid w:val="00E555FB"/>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8270">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2176</Words>
  <Characters>12406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eyduran</dc:creator>
  <cp:lastModifiedBy>Yunus Tekin</cp:lastModifiedBy>
  <cp:revision>45</cp:revision>
  <cp:lastPrinted>2023-04-24T08:57:00Z</cp:lastPrinted>
  <dcterms:created xsi:type="dcterms:W3CDTF">2020-07-16T11:52:00Z</dcterms:created>
  <dcterms:modified xsi:type="dcterms:W3CDTF">2024-08-13T08:38:00Z</dcterms:modified>
</cp:coreProperties>
</file>