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24" w:rsidRDefault="00B65E24" w:rsidP="00F87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540B62" w:rsidRPr="002D297F" w:rsidRDefault="00540B62" w:rsidP="00F87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2D297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İLAN</w:t>
      </w:r>
    </w:p>
    <w:p w:rsidR="00540B62" w:rsidRDefault="00540B62" w:rsidP="00F87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KUŞADASI KAYMAKAMLIĞI</w:t>
      </w:r>
    </w:p>
    <w:p w:rsidR="00540B62" w:rsidRDefault="00540B62" w:rsidP="0054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MİLLİ EMLAK ŞEFLİĞİNDEN</w:t>
      </w:r>
    </w:p>
    <w:tbl>
      <w:tblPr>
        <w:tblStyle w:val="TabloKlavuzu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276"/>
        <w:gridCol w:w="992"/>
        <w:gridCol w:w="1134"/>
        <w:gridCol w:w="1418"/>
        <w:gridCol w:w="1560"/>
        <w:gridCol w:w="1417"/>
        <w:gridCol w:w="1417"/>
        <w:gridCol w:w="851"/>
        <w:gridCol w:w="3118"/>
      </w:tblGrid>
      <w:tr w:rsidR="00C91E94" w:rsidRPr="008F7E4B" w:rsidTr="00C91E94">
        <w:tc>
          <w:tcPr>
            <w:tcW w:w="15309" w:type="dxa"/>
            <w:gridSpan w:val="11"/>
          </w:tcPr>
          <w:p w:rsidR="00C91E94" w:rsidRPr="00242789" w:rsidRDefault="00620612" w:rsidP="00620612">
            <w:pPr>
              <w:tabs>
                <w:tab w:val="left" w:pos="125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Satışı Yapılacak</w:t>
            </w:r>
            <w:r w:rsidR="00C91E94" w:rsidRPr="00242789">
              <w:rPr>
                <w:b/>
                <w:sz w:val="24"/>
                <w:szCs w:val="24"/>
              </w:rPr>
              <w:t xml:space="preserve"> Taşınmaz Mal</w:t>
            </w:r>
          </w:p>
        </w:tc>
      </w:tr>
      <w:tr w:rsidR="00C91E94" w:rsidRPr="008F7E4B" w:rsidTr="00583032">
        <w:tc>
          <w:tcPr>
            <w:tcW w:w="567" w:type="dxa"/>
          </w:tcPr>
          <w:p w:rsidR="00C91E94" w:rsidRPr="00101573" w:rsidRDefault="00C91E94" w:rsidP="00F87CA1">
            <w:pPr>
              <w:tabs>
                <w:tab w:val="left" w:pos="12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91E94" w:rsidRPr="00101573" w:rsidRDefault="00C91E94" w:rsidP="00F87CA1">
            <w:pPr>
              <w:tabs>
                <w:tab w:val="left" w:pos="12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73">
              <w:rPr>
                <w:rFonts w:ascii="Times New Roman" w:hAnsi="Times New Roman" w:cs="Times New Roman"/>
                <w:b/>
                <w:sz w:val="24"/>
                <w:szCs w:val="24"/>
              </w:rPr>
              <w:t>Dosya No</w:t>
            </w:r>
          </w:p>
        </w:tc>
        <w:tc>
          <w:tcPr>
            <w:tcW w:w="1276" w:type="dxa"/>
          </w:tcPr>
          <w:p w:rsidR="00C91E94" w:rsidRPr="00101573" w:rsidRDefault="00C91E94" w:rsidP="00F87CA1">
            <w:pPr>
              <w:tabs>
                <w:tab w:val="left" w:pos="12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73">
              <w:rPr>
                <w:rFonts w:ascii="Times New Roman" w:hAnsi="Times New Roman" w:cs="Times New Roman"/>
                <w:b/>
                <w:sz w:val="24"/>
                <w:szCs w:val="24"/>
              </w:rPr>
              <w:t>Mahallesi</w:t>
            </w:r>
          </w:p>
        </w:tc>
        <w:tc>
          <w:tcPr>
            <w:tcW w:w="992" w:type="dxa"/>
          </w:tcPr>
          <w:p w:rsidR="00C91E94" w:rsidRPr="00101573" w:rsidRDefault="00C91E94" w:rsidP="00F87CA1">
            <w:pPr>
              <w:tabs>
                <w:tab w:val="left" w:pos="12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:rsidR="00C91E94" w:rsidRPr="00101573" w:rsidRDefault="00C91E94" w:rsidP="00F87CA1">
            <w:pPr>
              <w:tabs>
                <w:tab w:val="left" w:pos="12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73">
              <w:rPr>
                <w:rFonts w:ascii="Times New Roman" w:hAnsi="Times New Roman" w:cs="Times New Roman"/>
                <w:b/>
                <w:sz w:val="24"/>
                <w:szCs w:val="24"/>
              </w:rPr>
              <w:t>Parsel</w:t>
            </w:r>
          </w:p>
        </w:tc>
        <w:tc>
          <w:tcPr>
            <w:tcW w:w="1418" w:type="dxa"/>
          </w:tcPr>
          <w:p w:rsidR="00C91E94" w:rsidRPr="00101573" w:rsidRDefault="00C91E94" w:rsidP="00F87CA1">
            <w:pPr>
              <w:tabs>
                <w:tab w:val="left" w:pos="12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73">
              <w:rPr>
                <w:rFonts w:ascii="Times New Roman" w:hAnsi="Times New Roman" w:cs="Times New Roman"/>
                <w:b/>
                <w:sz w:val="24"/>
                <w:szCs w:val="24"/>
              </w:rPr>
              <w:t>Yüzölçümü (m</w:t>
            </w:r>
            <w:r w:rsidRPr="001015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1015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91E94" w:rsidRPr="00101573" w:rsidRDefault="00583032" w:rsidP="00F87CA1">
            <w:pPr>
              <w:tabs>
                <w:tab w:val="left" w:pos="12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Tahmini Satış </w:t>
            </w:r>
            <w:r w:rsidR="00C91E94" w:rsidRPr="00101573">
              <w:rPr>
                <w:rFonts w:ascii="Times New Roman" w:hAnsi="Times New Roman" w:cs="Times New Roman"/>
                <w:b/>
                <w:sz w:val="24"/>
                <w:szCs w:val="24"/>
              </w:rPr>
              <w:t>Bedeli (TL)</w:t>
            </w:r>
          </w:p>
        </w:tc>
        <w:tc>
          <w:tcPr>
            <w:tcW w:w="1417" w:type="dxa"/>
          </w:tcPr>
          <w:p w:rsidR="00C91E94" w:rsidRPr="00101573" w:rsidRDefault="00C91E94" w:rsidP="00F87CA1">
            <w:pPr>
              <w:tabs>
                <w:tab w:val="left" w:pos="12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73">
              <w:rPr>
                <w:rFonts w:ascii="Times New Roman" w:hAnsi="Times New Roman" w:cs="Times New Roman"/>
                <w:b/>
                <w:sz w:val="24"/>
                <w:szCs w:val="24"/>
              </w:rPr>
              <w:t>Geçici Teminat (TL)</w:t>
            </w:r>
          </w:p>
        </w:tc>
        <w:tc>
          <w:tcPr>
            <w:tcW w:w="1417" w:type="dxa"/>
          </w:tcPr>
          <w:p w:rsidR="00C91E94" w:rsidRPr="00101573" w:rsidRDefault="00C91E94" w:rsidP="00F87CA1">
            <w:pPr>
              <w:tabs>
                <w:tab w:val="left" w:pos="12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73">
              <w:rPr>
                <w:rFonts w:ascii="Times New Roman" w:hAnsi="Times New Roman" w:cs="Times New Roman"/>
                <w:b/>
                <w:sz w:val="24"/>
                <w:szCs w:val="24"/>
              </w:rPr>
              <w:t>İhale Tarihi</w:t>
            </w:r>
          </w:p>
        </w:tc>
        <w:tc>
          <w:tcPr>
            <w:tcW w:w="851" w:type="dxa"/>
          </w:tcPr>
          <w:p w:rsidR="00C91E94" w:rsidRPr="00101573" w:rsidRDefault="00C91E94" w:rsidP="00F87CA1">
            <w:pPr>
              <w:tabs>
                <w:tab w:val="left" w:pos="12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73">
              <w:rPr>
                <w:rFonts w:ascii="Times New Roman" w:hAnsi="Times New Roman" w:cs="Times New Roman"/>
                <w:b/>
                <w:sz w:val="24"/>
                <w:szCs w:val="24"/>
              </w:rPr>
              <w:t>İhale Saati</w:t>
            </w:r>
          </w:p>
        </w:tc>
        <w:tc>
          <w:tcPr>
            <w:tcW w:w="3118" w:type="dxa"/>
          </w:tcPr>
          <w:p w:rsidR="00C91E94" w:rsidRPr="00101573" w:rsidRDefault="00C91E94" w:rsidP="00F87CA1">
            <w:pPr>
              <w:tabs>
                <w:tab w:val="left" w:pos="12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73">
              <w:rPr>
                <w:rFonts w:ascii="Times New Roman" w:hAnsi="Times New Roman" w:cs="Times New Roman"/>
                <w:b/>
                <w:sz w:val="24"/>
                <w:szCs w:val="24"/>
              </w:rPr>
              <w:t>Fiili ve İmar Durumu</w:t>
            </w:r>
          </w:p>
        </w:tc>
      </w:tr>
      <w:tr w:rsidR="00C91E94" w:rsidRPr="008F7E4B" w:rsidTr="00583032">
        <w:tc>
          <w:tcPr>
            <w:tcW w:w="567" w:type="dxa"/>
          </w:tcPr>
          <w:p w:rsidR="00C91E94" w:rsidRPr="00EF25F2" w:rsidRDefault="00C91E94" w:rsidP="00F87CA1">
            <w:pPr>
              <w:tabs>
                <w:tab w:val="left" w:pos="12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1E94" w:rsidRPr="00101573" w:rsidRDefault="00C91E94" w:rsidP="00F87CA1">
            <w:pPr>
              <w:tabs>
                <w:tab w:val="left" w:pos="12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09110100629</w:t>
            </w:r>
            <w:proofErr w:type="gramEnd"/>
          </w:p>
        </w:tc>
        <w:tc>
          <w:tcPr>
            <w:tcW w:w="1276" w:type="dxa"/>
          </w:tcPr>
          <w:p w:rsidR="00C91E94" w:rsidRPr="00101573" w:rsidRDefault="00C91E94" w:rsidP="00F87CA1">
            <w:pPr>
              <w:tabs>
                <w:tab w:val="left" w:pos="12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Davutlar</w:t>
            </w:r>
          </w:p>
        </w:tc>
        <w:tc>
          <w:tcPr>
            <w:tcW w:w="992" w:type="dxa"/>
          </w:tcPr>
          <w:p w:rsidR="00C91E94" w:rsidRPr="00101573" w:rsidRDefault="000B2D48" w:rsidP="00F87CA1">
            <w:pPr>
              <w:tabs>
                <w:tab w:val="left" w:pos="12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34" w:type="dxa"/>
          </w:tcPr>
          <w:p w:rsidR="00C91E94" w:rsidRPr="00101573" w:rsidRDefault="000B2D48" w:rsidP="00F87CA1">
            <w:pPr>
              <w:tabs>
                <w:tab w:val="left" w:pos="12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91E94" w:rsidRPr="00101573" w:rsidRDefault="000B2D48" w:rsidP="00F87CA1">
            <w:pPr>
              <w:tabs>
                <w:tab w:val="left" w:pos="12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965,73</w:t>
            </w:r>
          </w:p>
        </w:tc>
        <w:tc>
          <w:tcPr>
            <w:tcW w:w="1560" w:type="dxa"/>
          </w:tcPr>
          <w:p w:rsidR="00C91E94" w:rsidRPr="00101573" w:rsidRDefault="00583032" w:rsidP="00F87CA1">
            <w:pPr>
              <w:tabs>
                <w:tab w:val="left" w:pos="12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821.000,00</w:t>
            </w:r>
          </w:p>
        </w:tc>
        <w:tc>
          <w:tcPr>
            <w:tcW w:w="1417" w:type="dxa"/>
          </w:tcPr>
          <w:p w:rsidR="00C91E94" w:rsidRPr="00101573" w:rsidRDefault="000B2D48" w:rsidP="00F87CA1">
            <w:pPr>
              <w:tabs>
                <w:tab w:val="left" w:pos="12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246.300,00</w:t>
            </w:r>
          </w:p>
        </w:tc>
        <w:tc>
          <w:tcPr>
            <w:tcW w:w="1417" w:type="dxa"/>
          </w:tcPr>
          <w:p w:rsidR="00C91E94" w:rsidRPr="00101573" w:rsidRDefault="00AB1AA6" w:rsidP="00F87CA1">
            <w:pPr>
              <w:tabs>
                <w:tab w:val="left" w:pos="12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A09EE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851" w:type="dxa"/>
          </w:tcPr>
          <w:p w:rsidR="00C91E94" w:rsidRPr="00101573" w:rsidRDefault="000B2D48" w:rsidP="00F87CA1">
            <w:pPr>
              <w:tabs>
                <w:tab w:val="left" w:pos="12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1E94" w:rsidRPr="001015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3118" w:type="dxa"/>
          </w:tcPr>
          <w:p w:rsidR="00C91E94" w:rsidRPr="00101573" w:rsidRDefault="000B2D48" w:rsidP="000B2D48">
            <w:pPr>
              <w:tabs>
                <w:tab w:val="left" w:pos="12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Kısmen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C91E94">
              <w:rPr>
                <w:rFonts w:ascii="Times New Roman" w:hAnsi="Times New Roman" w:cs="Times New Roman"/>
                <w:sz w:val="24"/>
                <w:szCs w:val="24"/>
              </w:rPr>
              <w:t>şgalli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yol</w:t>
            </w:r>
            <w:r w:rsidR="00425FF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91E94" w:rsidRPr="00101573">
              <w:rPr>
                <w:rFonts w:ascii="Times New Roman" w:hAnsi="Times New Roman" w:cs="Times New Roman"/>
                <w:sz w:val="24"/>
                <w:szCs w:val="24"/>
              </w:rPr>
              <w:t xml:space="preserve">1/1000 Ölçekli İmar Planında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kısmen yol, kısmen Tercihli Kullanım Alanı (TK)</w:t>
            </w:r>
          </w:p>
        </w:tc>
      </w:tr>
    </w:tbl>
    <w:p w:rsidR="00C91E94" w:rsidRPr="008106BB" w:rsidRDefault="00C91E94" w:rsidP="00C91E94">
      <w:pPr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15977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7"/>
      </w:tblGrid>
      <w:tr w:rsidR="00620612" w:rsidRPr="00D37353" w:rsidTr="00620612">
        <w:trPr>
          <w:trHeight w:val="290"/>
        </w:trPr>
        <w:tc>
          <w:tcPr>
            <w:tcW w:w="15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612" w:rsidRDefault="00620612" w:rsidP="00F87CA1">
            <w:pPr>
              <w:spacing w:after="0" w:line="240" w:lineRule="auto"/>
              <w:ind w:righ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20612" w:rsidRPr="00D37353" w:rsidRDefault="00620612" w:rsidP="00A76588">
            <w:pPr>
              <w:spacing w:after="0" w:line="240" w:lineRule="auto"/>
              <w:ind w:righ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1) </w:t>
            </w:r>
            <w:r w:rsidR="00540B62"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Yukarıda</w:t>
            </w:r>
            <w:r w:rsidR="00A765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</w:t>
            </w:r>
            <w:r w:rsidR="00540B62"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540B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tabloda</w:t>
            </w:r>
            <w:r w:rsidR="00A765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yer alan</w:t>
            </w:r>
            <w:r w:rsidR="00540B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taşınmaz malın satış ihalesi </w:t>
            </w:r>
            <w:r w:rsidR="00540B62"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karşı</w:t>
            </w:r>
            <w:r w:rsidR="00A765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  <w:r w:rsidR="00540B62"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ında belirtilen t</w:t>
            </w:r>
            <w:r w:rsidR="00A765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arih ve saatte, belirtilen tahmini bedel</w:t>
            </w:r>
            <w:r w:rsidR="00540B62"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üzerinden 2886 sayılı Devlet İhale Kanununun 45. maddesine göre </w:t>
            </w:r>
            <w:r w:rsidR="00540B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AÇIK TEKLİF USULÜ</w:t>
            </w:r>
            <w:r w:rsidR="00540B62"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ile</w:t>
            </w:r>
            <w:r w:rsidR="00540B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Maliye Hizmet Binası 3. Katta bulunan </w:t>
            </w:r>
            <w:r w:rsidR="00540B62"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Kuşadası </w:t>
            </w:r>
            <w:r w:rsidR="00540B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Milli Emlak Şefliğinde </w:t>
            </w:r>
            <w:r w:rsidR="00540B62"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oluşturulacak komisyon huzurunda yapılacaktır.</w:t>
            </w:r>
          </w:p>
        </w:tc>
      </w:tr>
      <w:tr w:rsidR="00620612" w:rsidRPr="00D37353" w:rsidTr="00620612">
        <w:trPr>
          <w:trHeight w:val="230"/>
        </w:trPr>
        <w:tc>
          <w:tcPr>
            <w:tcW w:w="15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612" w:rsidRPr="00D37353" w:rsidRDefault="00620612" w:rsidP="00F87CA1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0612" w:rsidRPr="00D37353" w:rsidTr="00620612">
        <w:trPr>
          <w:trHeight w:val="290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2" w:rsidRPr="00D37353" w:rsidRDefault="00620612" w:rsidP="00F87CA1">
            <w:pPr>
              <w:spacing w:after="0" w:line="240" w:lineRule="auto"/>
              <w:ind w:righ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2) </w:t>
            </w:r>
            <w:r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İhale veya ihalelere katılmak isteyen isteklilerin ihale saatine kadar; </w:t>
            </w:r>
          </w:p>
        </w:tc>
      </w:tr>
      <w:tr w:rsidR="00620612" w:rsidRPr="00D37353" w:rsidTr="00620612">
        <w:trPr>
          <w:trHeight w:val="290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2" w:rsidRPr="00D37353" w:rsidRDefault="00F84CEC" w:rsidP="00F87CA1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a) Kuşadası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Malmüdürlüğü</w:t>
            </w:r>
            <w:proofErr w:type="spellEnd"/>
            <w:r w:rsidR="00620612"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Veznesine yatıracakları geçici teminat makbuzu veya 2886 sayılı Kanuna göre düzenlenmiş teminat mektubu</w:t>
            </w:r>
            <w:r w:rsidR="005B04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</w:tc>
      </w:tr>
      <w:tr w:rsidR="00620612" w:rsidRPr="00D37353" w:rsidTr="00620612">
        <w:trPr>
          <w:trHeight w:val="290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612" w:rsidRPr="00D37353" w:rsidRDefault="00620612" w:rsidP="00F87CA1">
            <w:pPr>
              <w:spacing w:after="0" w:line="240" w:lineRule="auto"/>
              <w:ind w:righ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 İkametgâh Belgesi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(İdaremizden de temin edilebilir)</w:t>
            </w:r>
            <w:r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Nüfus Cüzdanı Örneği (TC Kimlik Numarasını belirtir),</w:t>
            </w:r>
          </w:p>
        </w:tc>
      </w:tr>
      <w:tr w:rsidR="00620612" w:rsidRPr="00D37353" w:rsidTr="00620612">
        <w:trPr>
          <w:trHeight w:val="290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612" w:rsidRPr="00D37353" w:rsidRDefault="00620612" w:rsidP="00F87CA1">
            <w:pPr>
              <w:spacing w:after="0" w:line="240" w:lineRule="auto"/>
              <w:ind w:righ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c) Özel Kişiler adına </w:t>
            </w:r>
            <w:proofErr w:type="gramStart"/>
            <w:r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vekaleten</w:t>
            </w:r>
            <w:proofErr w:type="gramEnd"/>
            <w:r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ihaleye giren kişilerden noterden onaylı vekaletname,</w:t>
            </w:r>
          </w:p>
        </w:tc>
      </w:tr>
      <w:tr w:rsidR="00620612" w:rsidRPr="00D37353" w:rsidTr="00620612">
        <w:trPr>
          <w:trHeight w:val="290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612" w:rsidRPr="00D37353" w:rsidRDefault="00620612" w:rsidP="00F87CA1">
            <w:pPr>
              <w:spacing w:after="0" w:line="240" w:lineRule="auto"/>
              <w:ind w:righ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d) Tüzel kişilerden vergi kimlik numarasını gösterir belge,</w:t>
            </w:r>
          </w:p>
        </w:tc>
      </w:tr>
      <w:tr w:rsidR="00620612" w:rsidRPr="00D37353" w:rsidTr="00620612">
        <w:trPr>
          <w:trHeight w:val="890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612" w:rsidRPr="00D37353" w:rsidRDefault="00620612" w:rsidP="00F87CA1">
            <w:pPr>
              <w:spacing w:after="0" w:line="240" w:lineRule="auto"/>
              <w:ind w:righ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e) Özel hukuk tüzel kişilerinin yukarıda belirtilen şartlardan ayrı olarak idare merkezlerinin bulunduğu yer mahkemesinden veya siciline kayıtlı bulunduğu Ticaret ve Sanayi Odasından </w:t>
            </w:r>
            <w:r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veya benzeri mesleki kuruluştan, ihalenin yapıldığı yıl</w:t>
            </w:r>
            <w:r w:rsidR="004B14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içinde alınmış sicil kayıt belgesi ile tüzel kişilik adına ihaleye katılacak veya teklifte bulunacak kişile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rin tüzel kişiliği temsile tam </w:t>
            </w:r>
            <w:r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yetkili olduklarını gösterir noterlikçe tasdik edilmiş imza sirküleri veya vekâle</w:t>
            </w:r>
            <w:bookmarkStart w:id="0" w:name="_GoBack"/>
            <w:bookmarkEnd w:id="0"/>
            <w:r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tnameyi, </w:t>
            </w:r>
            <w:proofErr w:type="gramEnd"/>
          </w:p>
        </w:tc>
      </w:tr>
      <w:tr w:rsidR="00620612" w:rsidRPr="00D37353" w:rsidTr="00620612">
        <w:trPr>
          <w:trHeight w:val="290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612" w:rsidRPr="00D37353" w:rsidRDefault="00620612" w:rsidP="00F87CA1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hale komisyon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una vermeleri ve i</w:t>
            </w:r>
            <w:r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hale saatinde Komisyon huzurunda hazır bulunmaları gerekmektedir. </w:t>
            </w:r>
          </w:p>
        </w:tc>
      </w:tr>
      <w:tr w:rsidR="00620612" w:rsidRPr="00D37353" w:rsidTr="00620612">
        <w:trPr>
          <w:trHeight w:val="290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612" w:rsidRPr="00D37353" w:rsidRDefault="00A76588" w:rsidP="00F87CA1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3357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 </w:t>
            </w:r>
            <w:r w:rsidR="00620612"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Ortak girişim olarak ihaleye teklif verilemez.</w:t>
            </w:r>
          </w:p>
        </w:tc>
      </w:tr>
      <w:tr w:rsidR="00620612" w:rsidRPr="00D37353" w:rsidTr="00620612">
        <w:trPr>
          <w:trHeight w:val="290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7A" w:rsidRPr="00D37353" w:rsidRDefault="00A76588" w:rsidP="007B1EF3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  <w:r w:rsidR="00FC24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Taşınmaz malın satış işlemleri ve bu işlemler sırasında düzenlenen belgeler vergi, resim ve h</w:t>
            </w:r>
            <w:r w:rsidR="007B1E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arçtan müstesnadır. Taşınmaz mal, satış tarihini takip eden yıldan itibaren 5 yıl süreyle emlak vergisine tabi değildir.</w:t>
            </w:r>
          </w:p>
        </w:tc>
      </w:tr>
      <w:tr w:rsidR="00620612" w:rsidRPr="00D37353" w:rsidTr="00620612">
        <w:trPr>
          <w:trHeight w:val="290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2" w:rsidRPr="00D37353" w:rsidRDefault="00A76588" w:rsidP="004B1431">
            <w:pPr>
              <w:spacing w:after="0" w:line="240" w:lineRule="auto"/>
              <w:ind w:righ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="003357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 </w:t>
            </w:r>
            <w:r w:rsidR="00620612"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İhalelere ilişkin şartname ve ekleri mesai saatleri içerisinde </w:t>
            </w:r>
            <w:r w:rsidR="004B14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Kuşadası</w:t>
            </w:r>
            <w:r w:rsidR="00620612"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Milli Emlak </w:t>
            </w:r>
            <w:r w:rsidR="004B14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Şefliğinde</w:t>
            </w:r>
            <w:r w:rsidR="00620612"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ücretsiz olarak görülebilir.</w:t>
            </w:r>
          </w:p>
        </w:tc>
      </w:tr>
      <w:tr w:rsidR="00620612" w:rsidRPr="00D37353" w:rsidTr="00620612">
        <w:trPr>
          <w:trHeight w:val="290"/>
        </w:trPr>
        <w:tc>
          <w:tcPr>
            <w:tcW w:w="15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612" w:rsidRPr="00D37353" w:rsidRDefault="00A76588" w:rsidP="00F87CA1">
            <w:pPr>
              <w:spacing w:after="0" w:line="240" w:lineRule="auto"/>
              <w:ind w:righ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 w:rsidR="003357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 </w:t>
            </w:r>
            <w:r w:rsidR="00620612"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İstekliler, 2886 sayılı Devlet İhale Kanununun 37. maddesine uygun olarak hazırlanacak tekliflerini ilanda belirtilen ihale saatine kadar İhale Komisyon Başkanlığına ulaşması şartıyla </w:t>
            </w:r>
            <w:r w:rsidR="00620612"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iadeli taahhütlü bir mektupla da gönderebilirler. Postada meydana gelebilecek gecikmelerden dolayı İdare veya komisyon herhangi bir sorumluluk kabul etmez.</w:t>
            </w:r>
          </w:p>
          <w:p w:rsidR="00620612" w:rsidRPr="00D37353" w:rsidRDefault="00A76588" w:rsidP="00F87CA1">
            <w:pPr>
              <w:spacing w:after="0" w:line="240" w:lineRule="auto"/>
              <w:ind w:righ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357B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20612" w:rsidRPr="00D37353">
              <w:rPr>
                <w:rFonts w:ascii="Times New Roman" w:hAnsi="Times New Roman" w:cs="Times New Roman"/>
                <w:sz w:val="20"/>
                <w:szCs w:val="20"/>
              </w:rPr>
              <w:t>İhale Komisyonu ihaleyi yapıp yapmamakta serbesttir.</w:t>
            </w:r>
          </w:p>
        </w:tc>
      </w:tr>
      <w:tr w:rsidR="00620612" w:rsidRPr="00D37353" w:rsidTr="00620612">
        <w:trPr>
          <w:trHeight w:val="290"/>
        </w:trPr>
        <w:tc>
          <w:tcPr>
            <w:tcW w:w="15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612" w:rsidRPr="00D37353" w:rsidRDefault="00620612" w:rsidP="00F87CA1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0612" w:rsidRPr="00D37353" w:rsidTr="00620612">
        <w:trPr>
          <w:trHeight w:val="290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2" w:rsidRPr="00D37353" w:rsidRDefault="00A76588" w:rsidP="00F87CA1">
            <w:pPr>
              <w:tabs>
                <w:tab w:val="left" w:pos="12525"/>
              </w:tabs>
              <w:ind w:right="49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="003357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 </w:t>
            </w:r>
            <w:r w:rsidR="00620612"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Bu ihaleye ilişkin </w:t>
            </w:r>
            <w:r w:rsidR="00620612" w:rsidRPr="00917C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bilgiler </w:t>
            </w:r>
            <w:hyperlink r:id="rId6" w:history="1">
              <w:r w:rsidR="00620612" w:rsidRPr="00917C9F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www.milliemlak.gov.tr</w:t>
              </w:r>
            </w:hyperlink>
            <w:r w:rsidR="00620612" w:rsidRPr="00917C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hyperlink r:id="rId7" w:history="1">
              <w:r w:rsidR="002B0897" w:rsidRPr="00560B71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https://aydin.csb.gov.tr</w:t>
              </w:r>
            </w:hyperlink>
            <w:r w:rsidR="00620612" w:rsidRPr="00917C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web sayfalarından da </w:t>
            </w:r>
            <w:r w:rsidR="00620612"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görülebilir. Tel: 0 256 614 10 13 Belgegeçer (faks): 0 256 614 47 08                                       </w:t>
            </w:r>
          </w:p>
          <w:p w:rsidR="00620612" w:rsidRPr="00D37353" w:rsidRDefault="00620612" w:rsidP="00F87CA1">
            <w:pPr>
              <w:spacing w:after="0" w:line="240" w:lineRule="auto"/>
              <w:ind w:right="4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Pr="00D37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İLAN OLUNUR                 </w:t>
            </w:r>
          </w:p>
        </w:tc>
      </w:tr>
    </w:tbl>
    <w:p w:rsidR="008106BB" w:rsidRPr="008106BB" w:rsidRDefault="008106BB" w:rsidP="00B65E24">
      <w:pPr>
        <w:rPr>
          <w:rFonts w:ascii="Times New Roman" w:hAnsi="Times New Roman" w:cs="Times New Roman"/>
          <w:sz w:val="24"/>
          <w:szCs w:val="24"/>
        </w:rPr>
      </w:pPr>
    </w:p>
    <w:sectPr w:rsidR="008106BB" w:rsidRPr="008106BB" w:rsidSect="00A76588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72A4"/>
    <w:multiLevelType w:val="hybridMultilevel"/>
    <w:tmpl w:val="223CBE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B18A6"/>
    <w:multiLevelType w:val="hybridMultilevel"/>
    <w:tmpl w:val="001C8CF8"/>
    <w:lvl w:ilvl="0" w:tplc="3236D1B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E4CF1"/>
    <w:multiLevelType w:val="hybridMultilevel"/>
    <w:tmpl w:val="EE5AA4C2"/>
    <w:lvl w:ilvl="0" w:tplc="EA8CBB4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BC"/>
    <w:rsid w:val="00005E40"/>
    <w:rsid w:val="0001644F"/>
    <w:rsid w:val="0004640C"/>
    <w:rsid w:val="000B2D48"/>
    <w:rsid w:val="00174B6C"/>
    <w:rsid w:val="00196EEF"/>
    <w:rsid w:val="00204022"/>
    <w:rsid w:val="002614BC"/>
    <w:rsid w:val="002963AD"/>
    <w:rsid w:val="00297FEB"/>
    <w:rsid w:val="002B0897"/>
    <w:rsid w:val="002F09D4"/>
    <w:rsid w:val="003357B4"/>
    <w:rsid w:val="00377C76"/>
    <w:rsid w:val="003A09EE"/>
    <w:rsid w:val="003B5FAA"/>
    <w:rsid w:val="004100D1"/>
    <w:rsid w:val="00425FF9"/>
    <w:rsid w:val="00444526"/>
    <w:rsid w:val="00454C29"/>
    <w:rsid w:val="004608A1"/>
    <w:rsid w:val="004B1431"/>
    <w:rsid w:val="004F74DA"/>
    <w:rsid w:val="0050143A"/>
    <w:rsid w:val="00505D5B"/>
    <w:rsid w:val="00511CE1"/>
    <w:rsid w:val="00540B62"/>
    <w:rsid w:val="00580F83"/>
    <w:rsid w:val="00583032"/>
    <w:rsid w:val="005A22A4"/>
    <w:rsid w:val="005B0471"/>
    <w:rsid w:val="005D5B48"/>
    <w:rsid w:val="00620612"/>
    <w:rsid w:val="006242E8"/>
    <w:rsid w:val="006302CE"/>
    <w:rsid w:val="0063562F"/>
    <w:rsid w:val="006511F0"/>
    <w:rsid w:val="00677027"/>
    <w:rsid w:val="006B0384"/>
    <w:rsid w:val="006E3980"/>
    <w:rsid w:val="006F11AB"/>
    <w:rsid w:val="006F6FBF"/>
    <w:rsid w:val="00711D95"/>
    <w:rsid w:val="00713851"/>
    <w:rsid w:val="0074463B"/>
    <w:rsid w:val="007934BF"/>
    <w:rsid w:val="007B1EF3"/>
    <w:rsid w:val="008106BB"/>
    <w:rsid w:val="00866AF9"/>
    <w:rsid w:val="0088626A"/>
    <w:rsid w:val="0095162F"/>
    <w:rsid w:val="0096215C"/>
    <w:rsid w:val="009826F4"/>
    <w:rsid w:val="009E258C"/>
    <w:rsid w:val="00A04DDB"/>
    <w:rsid w:val="00A270BD"/>
    <w:rsid w:val="00A41169"/>
    <w:rsid w:val="00A46865"/>
    <w:rsid w:val="00A6146D"/>
    <w:rsid w:val="00A76588"/>
    <w:rsid w:val="00AA3C3A"/>
    <w:rsid w:val="00AB1AA6"/>
    <w:rsid w:val="00B142FA"/>
    <w:rsid w:val="00B65E24"/>
    <w:rsid w:val="00BA7501"/>
    <w:rsid w:val="00BA7F64"/>
    <w:rsid w:val="00C00403"/>
    <w:rsid w:val="00C324D5"/>
    <w:rsid w:val="00C331E5"/>
    <w:rsid w:val="00C46F11"/>
    <w:rsid w:val="00C6480B"/>
    <w:rsid w:val="00C65FE8"/>
    <w:rsid w:val="00C81373"/>
    <w:rsid w:val="00C91E94"/>
    <w:rsid w:val="00CC39B6"/>
    <w:rsid w:val="00CE556D"/>
    <w:rsid w:val="00CF13CF"/>
    <w:rsid w:val="00CF232C"/>
    <w:rsid w:val="00D2772F"/>
    <w:rsid w:val="00D979D2"/>
    <w:rsid w:val="00DD303B"/>
    <w:rsid w:val="00F70768"/>
    <w:rsid w:val="00F84CEC"/>
    <w:rsid w:val="00FB7AFD"/>
    <w:rsid w:val="00F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685A5-AC71-4EC9-B089-19BFDE87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63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46F11"/>
    <w:pPr>
      <w:ind w:left="720"/>
      <w:contextualSpacing/>
    </w:pPr>
  </w:style>
  <w:style w:type="table" w:styleId="TabloKlavuzu">
    <w:name w:val="Table Grid"/>
    <w:basedOn w:val="NormalTablo"/>
    <w:uiPriority w:val="39"/>
    <w:rsid w:val="00C9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20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ydin.cs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liemlak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086A-4248-4395-A060-18A49E26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YURTSEVER</dc:creator>
  <cp:keywords/>
  <dc:description/>
  <cp:lastModifiedBy>Seyfi AKSU</cp:lastModifiedBy>
  <cp:revision>2</cp:revision>
  <cp:lastPrinted>2019-10-15T07:53:00Z</cp:lastPrinted>
  <dcterms:created xsi:type="dcterms:W3CDTF">2019-10-15T08:07:00Z</dcterms:created>
  <dcterms:modified xsi:type="dcterms:W3CDTF">2019-10-15T08:07:00Z</dcterms:modified>
</cp:coreProperties>
</file>