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F91" w:rsidRPr="00C77DA7" w:rsidRDefault="00D80F91" w:rsidP="00D80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C77DA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İLAN</w:t>
      </w:r>
    </w:p>
    <w:p w:rsidR="00D80F91" w:rsidRPr="00C77DA7" w:rsidRDefault="00D80F91" w:rsidP="00D80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C77DA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AYDIN </w:t>
      </w:r>
      <w:r w:rsidR="00CB66D3" w:rsidRPr="00C77DA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ÇEVRE VE ŞEHİRCİLİK İL MÜDÜRLÜĞÜ</w:t>
      </w:r>
    </w:p>
    <w:p w:rsidR="00EC42E6" w:rsidRPr="00C77DA7" w:rsidRDefault="00D80F91" w:rsidP="00050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C77DA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KARACASU</w:t>
      </w:r>
      <w:r w:rsidR="00EC42E6" w:rsidRPr="00C77DA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KAYMAKAMLIĞI</w:t>
      </w:r>
    </w:p>
    <w:p w:rsidR="00D80F91" w:rsidRPr="00C77DA7" w:rsidRDefault="00D80F91" w:rsidP="00050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C77DA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CB66D3" w:rsidRPr="00C77DA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MİLLİ EMLAK ŞEFLİĞİNDEN</w:t>
      </w:r>
    </w:p>
    <w:tbl>
      <w:tblPr>
        <w:tblW w:w="15977" w:type="dxa"/>
        <w:tblInd w:w="-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77"/>
      </w:tblGrid>
      <w:tr w:rsidR="00D80F91" w:rsidRPr="00C77DA7" w:rsidTr="00597DE8">
        <w:trPr>
          <w:trHeight w:val="290"/>
        </w:trPr>
        <w:tc>
          <w:tcPr>
            <w:tcW w:w="1597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0886" w:rsidRPr="00597DE8" w:rsidRDefault="00050886" w:rsidP="00597DE8">
            <w:pPr>
              <w:spacing w:after="0" w:line="240" w:lineRule="auto"/>
              <w:ind w:right="10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tbl>
            <w:tblPr>
              <w:tblW w:w="1504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72"/>
              <w:gridCol w:w="1701"/>
              <w:gridCol w:w="1276"/>
              <w:gridCol w:w="992"/>
              <w:gridCol w:w="709"/>
              <w:gridCol w:w="1134"/>
              <w:gridCol w:w="1417"/>
              <w:gridCol w:w="1134"/>
              <w:gridCol w:w="1276"/>
              <w:gridCol w:w="1559"/>
              <w:gridCol w:w="1418"/>
              <w:gridCol w:w="1559"/>
            </w:tblGrid>
            <w:tr w:rsidR="00050886" w:rsidRPr="00597DE8" w:rsidTr="00C77DA7">
              <w:trPr>
                <w:trHeight w:val="420"/>
              </w:trPr>
              <w:tc>
                <w:tcPr>
                  <w:tcW w:w="87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50886" w:rsidRPr="00597DE8" w:rsidRDefault="00050886" w:rsidP="00597D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</w:pPr>
                  <w:r w:rsidRPr="00597DE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>Sıra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50886" w:rsidRPr="00597DE8" w:rsidRDefault="00050886" w:rsidP="00597D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</w:pPr>
                  <w:r w:rsidRPr="00597DE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>Dosya No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50886" w:rsidRPr="00597DE8" w:rsidRDefault="00050886" w:rsidP="00597D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</w:pPr>
                  <w:r w:rsidRPr="00597DE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>Mahallesi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50886" w:rsidRPr="00597DE8" w:rsidRDefault="00050886" w:rsidP="00597D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</w:pPr>
                  <w:r w:rsidRPr="00597DE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>Mevkii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50886" w:rsidRPr="00597DE8" w:rsidRDefault="00050886" w:rsidP="00597D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</w:pPr>
                  <w:r w:rsidRPr="00597DE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>Cinsi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50886" w:rsidRPr="00597DE8" w:rsidRDefault="00050886" w:rsidP="00597D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</w:pPr>
                  <w:r w:rsidRPr="00597DE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>Ada /Parsel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50886" w:rsidRPr="00597DE8" w:rsidRDefault="00050886" w:rsidP="00597D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</w:pPr>
                  <w:r w:rsidRPr="00597DE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>Yüzölçümü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50886" w:rsidRPr="00597DE8" w:rsidRDefault="00050886" w:rsidP="00597D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</w:pPr>
                  <w:r w:rsidRPr="00597DE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>Hazine Hissesi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50886" w:rsidRPr="00597DE8" w:rsidRDefault="00050886" w:rsidP="00597D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</w:pPr>
                  <w:r w:rsidRPr="00597DE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>Tahmini Bedel (TL)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50886" w:rsidRPr="00597DE8" w:rsidRDefault="00050886" w:rsidP="00597D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</w:pPr>
                  <w:r w:rsidRPr="00597DE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>Geçici Teminat (TL)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50886" w:rsidRPr="00597DE8" w:rsidRDefault="00050886" w:rsidP="00597D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</w:pPr>
                  <w:r w:rsidRPr="00597DE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>İhale Tarihi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50886" w:rsidRPr="00597DE8" w:rsidRDefault="00050886" w:rsidP="00597D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</w:pPr>
                  <w:r w:rsidRPr="00597DE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>İhale Saati</w:t>
                  </w:r>
                </w:p>
              </w:tc>
            </w:tr>
            <w:tr w:rsidR="00050886" w:rsidRPr="00597DE8" w:rsidTr="00C77DA7">
              <w:trPr>
                <w:trHeight w:val="60"/>
              </w:trPr>
              <w:tc>
                <w:tcPr>
                  <w:tcW w:w="87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50886" w:rsidRPr="00597DE8" w:rsidRDefault="00050886" w:rsidP="00597D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50886" w:rsidRPr="00597DE8" w:rsidRDefault="00050886" w:rsidP="00597D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50886" w:rsidRPr="00597DE8" w:rsidRDefault="00050886" w:rsidP="00597D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50886" w:rsidRPr="00597DE8" w:rsidRDefault="00050886" w:rsidP="00597D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50886" w:rsidRPr="00597DE8" w:rsidRDefault="00050886" w:rsidP="00597D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50886" w:rsidRPr="00597DE8" w:rsidRDefault="00050886" w:rsidP="00597D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50886" w:rsidRPr="00597DE8" w:rsidRDefault="00050886" w:rsidP="00597D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</w:pPr>
                  <w:r w:rsidRPr="00597DE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>(m</w:t>
                  </w:r>
                  <w:r w:rsidRPr="00597DE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vertAlign w:val="superscript"/>
                      <w:lang w:eastAsia="tr-TR"/>
                    </w:rPr>
                    <w:t>2</w:t>
                  </w:r>
                  <w:r w:rsidRPr="00597DE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>)</w:t>
                  </w:r>
                </w:p>
              </w:tc>
              <w:tc>
                <w:tcPr>
                  <w:tcW w:w="113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50886" w:rsidRPr="00597DE8" w:rsidRDefault="00050886" w:rsidP="00597D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50886" w:rsidRPr="00597DE8" w:rsidRDefault="00050886" w:rsidP="00597D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50886" w:rsidRPr="00597DE8" w:rsidRDefault="00050886" w:rsidP="00597D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50886" w:rsidRPr="00597DE8" w:rsidRDefault="00050886" w:rsidP="00597D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50886" w:rsidRPr="00597DE8" w:rsidRDefault="00050886" w:rsidP="00597D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050886" w:rsidRPr="00597DE8" w:rsidTr="00C77DA7">
              <w:trPr>
                <w:trHeight w:val="165"/>
              </w:trPr>
              <w:tc>
                <w:tcPr>
                  <w:tcW w:w="87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50886" w:rsidRPr="00597DE8" w:rsidRDefault="00050886" w:rsidP="00597D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</w:pPr>
                  <w:r w:rsidRPr="00597DE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50886" w:rsidRPr="00597DE8" w:rsidRDefault="00C77DA7" w:rsidP="00597D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597D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9070101320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50886" w:rsidRPr="00597DE8" w:rsidRDefault="00C77DA7" w:rsidP="00597D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597D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Karacaören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50886" w:rsidRPr="00597DE8" w:rsidRDefault="00C77DA7" w:rsidP="00597D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597D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Elekçam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50886" w:rsidRPr="00597DE8" w:rsidRDefault="00050886" w:rsidP="00597D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597D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Tarla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50886" w:rsidRPr="00597DE8" w:rsidRDefault="00C77DA7" w:rsidP="00597D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597D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101/687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50886" w:rsidRPr="00597DE8" w:rsidRDefault="00C77DA7" w:rsidP="00597D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597D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27.073,25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50886" w:rsidRPr="00597DE8" w:rsidRDefault="00050886" w:rsidP="00597D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597D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Tam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50886" w:rsidRPr="00597DE8" w:rsidRDefault="00C77DA7" w:rsidP="00597D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597D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136.000,00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50886" w:rsidRPr="00597DE8" w:rsidRDefault="00C77DA7" w:rsidP="00597D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597D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34.000,00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50886" w:rsidRPr="00597DE8" w:rsidRDefault="00C77DA7" w:rsidP="00597D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597D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30.10.2019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50886" w:rsidRPr="00597DE8" w:rsidRDefault="00C77DA7" w:rsidP="00597D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597D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14</w:t>
                  </w:r>
                  <w:r w:rsidR="00050886" w:rsidRPr="00597D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:00</w:t>
                  </w:r>
                </w:p>
              </w:tc>
            </w:tr>
          </w:tbl>
          <w:p w:rsidR="00597DE8" w:rsidRPr="00597DE8" w:rsidRDefault="00597DE8" w:rsidP="00597DE8">
            <w:pPr>
              <w:spacing w:after="0" w:line="240" w:lineRule="auto"/>
              <w:ind w:right="10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D80F91" w:rsidRPr="00597DE8" w:rsidRDefault="00D80F91" w:rsidP="00597DE8">
            <w:pPr>
              <w:spacing w:after="0" w:line="240" w:lineRule="auto"/>
              <w:ind w:right="10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97DE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1) Yukarıdaki tabloda yer alan taşınmaz malın satış ihalesi karşında belirtilen tarih ve saatte, tahmini bedel üzerinden 2886 sayılı Devlet İhale Kanununun 45. maddesine gör</w:t>
            </w:r>
            <w:r w:rsidR="0089319F" w:rsidRPr="00597DE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 AÇIK TEKLİF USULÜ ile Karacasu </w:t>
            </w:r>
            <w:r w:rsidR="0091643E" w:rsidRPr="00597DE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Milli Emlak Şefliğinde </w:t>
            </w:r>
            <w:r w:rsidRPr="00597DE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oluşturulacak komisyon huzurunda yapılacaktır.</w:t>
            </w:r>
          </w:p>
        </w:tc>
      </w:tr>
      <w:tr w:rsidR="00D80F91" w:rsidRPr="00C77DA7" w:rsidTr="00597DE8">
        <w:trPr>
          <w:trHeight w:val="321"/>
        </w:trPr>
        <w:tc>
          <w:tcPr>
            <w:tcW w:w="159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0F91" w:rsidRPr="00597DE8" w:rsidRDefault="00D80F91" w:rsidP="00597DE8">
            <w:pPr>
              <w:spacing w:after="0" w:line="240" w:lineRule="auto"/>
              <w:ind w:right="10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80F91" w:rsidRPr="00C77DA7" w:rsidTr="00597DE8">
        <w:trPr>
          <w:trHeight w:val="199"/>
        </w:trPr>
        <w:tc>
          <w:tcPr>
            <w:tcW w:w="15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F91" w:rsidRPr="00597DE8" w:rsidRDefault="00D80F91" w:rsidP="00597DE8">
            <w:pPr>
              <w:spacing w:after="0" w:line="240" w:lineRule="auto"/>
              <w:ind w:right="10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97DE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2) İhaleye katılmak isteyen isteklilerin ihale saatine kadar;</w:t>
            </w:r>
          </w:p>
        </w:tc>
      </w:tr>
      <w:tr w:rsidR="00D80F91" w:rsidRPr="00C77DA7" w:rsidTr="00597DE8">
        <w:trPr>
          <w:trHeight w:val="189"/>
        </w:trPr>
        <w:tc>
          <w:tcPr>
            <w:tcW w:w="15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F91" w:rsidRPr="00597DE8" w:rsidRDefault="00D80F91" w:rsidP="00597DE8">
            <w:pPr>
              <w:spacing w:after="0" w:line="240" w:lineRule="auto"/>
              <w:ind w:right="10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97DE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a) Müdürlüğümüz Veznesine yatıracakları geçici teminat makbuzu veya 2886 sayılı Kanuna göre düzenlenmiş teminat mektubu,</w:t>
            </w:r>
          </w:p>
        </w:tc>
      </w:tr>
      <w:tr w:rsidR="00D80F91" w:rsidRPr="00C77DA7" w:rsidTr="00597DE8">
        <w:trPr>
          <w:trHeight w:val="249"/>
        </w:trPr>
        <w:tc>
          <w:tcPr>
            <w:tcW w:w="15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0F91" w:rsidRPr="00597DE8" w:rsidRDefault="00D80F91" w:rsidP="00597DE8">
            <w:pPr>
              <w:spacing w:after="0" w:line="240" w:lineRule="auto"/>
              <w:ind w:right="10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97DE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b) İkametgâh Belgesi(İdaremizden de temin edilebilir) ve TC Kimlik Numarasını içeren nüfus cüzdanı sureti(fotokopi)(Aslı ihale sırasında ibraz edilecektir),</w:t>
            </w:r>
          </w:p>
        </w:tc>
      </w:tr>
      <w:tr w:rsidR="00D80F91" w:rsidRPr="00C77DA7" w:rsidTr="00597DE8">
        <w:trPr>
          <w:trHeight w:val="97"/>
        </w:trPr>
        <w:tc>
          <w:tcPr>
            <w:tcW w:w="15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0F91" w:rsidRPr="00597DE8" w:rsidRDefault="00D80F91" w:rsidP="00597DE8">
            <w:pPr>
              <w:spacing w:after="0" w:line="240" w:lineRule="auto"/>
              <w:ind w:right="10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97DE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c) Özel Kişiler adına vekaleten ihaleye giren kişiler</w:t>
            </w:r>
            <w:r w:rsidR="00E20222" w:rsidRPr="00597DE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den noterden onaylı vekaletname</w:t>
            </w:r>
          </w:p>
        </w:tc>
      </w:tr>
      <w:tr w:rsidR="00D80F91" w:rsidRPr="00C77DA7" w:rsidTr="00597DE8">
        <w:trPr>
          <w:trHeight w:val="87"/>
        </w:trPr>
        <w:tc>
          <w:tcPr>
            <w:tcW w:w="15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F91" w:rsidRPr="00597DE8" w:rsidRDefault="00D80F91" w:rsidP="00597DE8">
            <w:pPr>
              <w:spacing w:after="0" w:line="240" w:lineRule="auto"/>
              <w:ind w:right="10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97DE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d) Tüzel kişilerden vergi kimlik numarasını gösterir belge,</w:t>
            </w:r>
          </w:p>
        </w:tc>
      </w:tr>
      <w:tr w:rsidR="00D80F91" w:rsidRPr="00C77DA7" w:rsidTr="00597DE8">
        <w:trPr>
          <w:trHeight w:val="658"/>
        </w:trPr>
        <w:tc>
          <w:tcPr>
            <w:tcW w:w="15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0F91" w:rsidRPr="00597DE8" w:rsidRDefault="00D80F91" w:rsidP="00597DE8">
            <w:pPr>
              <w:spacing w:after="0" w:line="240" w:lineRule="auto"/>
              <w:ind w:right="1064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97DE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e) Özel hukuk tüzel kişilerinin yukarıda belirtilen şartlardan ayrı olarak idare merkezlerinin bulunduğu yer mahkemesinden veya siciline kayıtlı bulund</w:t>
            </w:r>
            <w:r w:rsidR="00597DE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uğu Ticaret ve Sanayi Odasından</w:t>
            </w:r>
            <w:r w:rsidRPr="00597DE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veya benzeri mesleki kuruluştan, ihalenin yapıldığı yıl içinde alınmış sicil kayıt belgesi ile tüzel kişilik adına ihaleye katılacak veya teklifte bulunacak k</w:t>
            </w:r>
            <w:r w:rsidR="00597DE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işilerin tüzel kişiliği temsile </w:t>
            </w:r>
            <w:r w:rsidRPr="00597DE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tam </w:t>
            </w:r>
            <w:r w:rsidRPr="00597DE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yetkili olduklarını gösterir noterlikçe tasdik edilmiş imza sirküleri veya vekâletnameyi,</w:t>
            </w:r>
          </w:p>
        </w:tc>
      </w:tr>
      <w:tr w:rsidR="00D80F91" w:rsidRPr="00C77DA7" w:rsidTr="00597DE8">
        <w:trPr>
          <w:trHeight w:val="290"/>
        </w:trPr>
        <w:tc>
          <w:tcPr>
            <w:tcW w:w="15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0F91" w:rsidRPr="00597DE8" w:rsidRDefault="00D80F91" w:rsidP="00597DE8">
            <w:pPr>
              <w:spacing w:after="0" w:line="240" w:lineRule="auto"/>
              <w:ind w:right="1064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97DE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İhale komisyonuna vermeleri ve ihale saatinde Komisyon huzurunda hazır bulunmaları gerekmektedir.</w:t>
            </w:r>
          </w:p>
        </w:tc>
      </w:tr>
      <w:tr w:rsidR="00D80F91" w:rsidRPr="00C77DA7" w:rsidTr="00597DE8">
        <w:trPr>
          <w:trHeight w:val="290"/>
        </w:trPr>
        <w:tc>
          <w:tcPr>
            <w:tcW w:w="15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0F91" w:rsidRPr="00597DE8" w:rsidRDefault="00C77DA7" w:rsidP="00597DE8">
            <w:pPr>
              <w:spacing w:after="0" w:line="240" w:lineRule="auto"/>
              <w:ind w:right="10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97DE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  <w:r w:rsidR="00D80F91" w:rsidRPr="00597DE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) </w:t>
            </w:r>
            <w:r w:rsidR="00D80F91" w:rsidRPr="00597DE8">
              <w:rPr>
                <w:rFonts w:ascii="Times New Roman" w:hAnsi="Times New Roman" w:cs="Times New Roman"/>
                <w:sz w:val="24"/>
                <w:szCs w:val="24"/>
              </w:rPr>
              <w:t>4706 Sayılı Kanun gereğince, Hazine tarafından yapılan taşınmaz mal satış işlemleri ve bu işlemler sırasında düzenlenen belgeler vergi, resim ve harçtan (KDV, Karar Pulu ve Tapu harcı) muaftır</w:t>
            </w:r>
            <w:r w:rsidR="00D80F91" w:rsidRPr="00597DE8">
              <w:rPr>
                <w:sz w:val="24"/>
                <w:szCs w:val="24"/>
              </w:rPr>
              <w:t>.</w:t>
            </w:r>
          </w:p>
        </w:tc>
      </w:tr>
      <w:tr w:rsidR="00D80F91" w:rsidRPr="00C77DA7" w:rsidTr="00597DE8">
        <w:trPr>
          <w:trHeight w:val="187"/>
        </w:trPr>
        <w:tc>
          <w:tcPr>
            <w:tcW w:w="15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F91" w:rsidRPr="00597DE8" w:rsidRDefault="00C77DA7" w:rsidP="00597DE8">
            <w:pPr>
              <w:spacing w:after="0" w:line="240" w:lineRule="auto"/>
              <w:ind w:right="10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97DE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  <w:r w:rsidR="00D80F91" w:rsidRPr="00597DE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 İhaleye ilişkin şartname ve ekleri me</w:t>
            </w:r>
            <w:r w:rsidR="00D77E88" w:rsidRPr="00597DE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</w:t>
            </w:r>
            <w:r w:rsidRPr="00597DE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ai saatleri içerisinde Karacasu</w:t>
            </w:r>
            <w:r w:rsidR="00D80F91" w:rsidRPr="00597DE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91643E" w:rsidRPr="00597DE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Milli Emlak Şefliğinde</w:t>
            </w:r>
            <w:r w:rsidR="00D80F91" w:rsidRPr="00597DE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ücretsiz olarak görülebilir.</w:t>
            </w:r>
          </w:p>
        </w:tc>
      </w:tr>
      <w:tr w:rsidR="00D80F91" w:rsidRPr="00C77DA7" w:rsidTr="00597DE8">
        <w:trPr>
          <w:trHeight w:val="290"/>
        </w:trPr>
        <w:tc>
          <w:tcPr>
            <w:tcW w:w="1597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0F91" w:rsidRPr="00597DE8" w:rsidRDefault="00C77DA7" w:rsidP="00597DE8">
            <w:pPr>
              <w:spacing w:after="0" w:line="240" w:lineRule="auto"/>
              <w:ind w:right="1064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97DE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5)</w:t>
            </w:r>
            <w:r w:rsidR="00D80F91" w:rsidRPr="00597DE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İstekliler, 2886 sayılı Devlet İhale Kanununun 37. maddesine uygun olarak hazırlanacak tekliflerini ilanda belirtilen ihale saatine ka</w:t>
            </w:r>
            <w:r w:rsidRPr="00597DE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dar İhale Komisyon    </w:t>
            </w:r>
            <w:r w:rsidR="00597DE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Başkanlığına ulaşması </w:t>
            </w:r>
            <w:r w:rsidR="00D80F91" w:rsidRPr="00597DE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şartıyla </w:t>
            </w:r>
            <w:r w:rsidR="00D80F91" w:rsidRPr="00597DE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iadeli taahhütlü bir mektupla da gönderebilirler. Postada meydana gelebilecek gecikmelerden dolayı İdare veya komisyon herhangi bir sorumluluk kabul etmez.</w:t>
            </w:r>
          </w:p>
          <w:p w:rsidR="00D80F91" w:rsidRPr="00597DE8" w:rsidRDefault="00C77DA7" w:rsidP="00597DE8">
            <w:pPr>
              <w:spacing w:after="0" w:line="240" w:lineRule="auto"/>
              <w:ind w:right="10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97D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80F91" w:rsidRPr="00597DE8">
              <w:rPr>
                <w:rFonts w:ascii="Times New Roman" w:hAnsi="Times New Roman" w:cs="Times New Roman"/>
                <w:sz w:val="24"/>
                <w:szCs w:val="24"/>
              </w:rPr>
              <w:t>) İhale Komisyonu ihaleyi yapıp yapmamakta serbesttir.</w:t>
            </w:r>
          </w:p>
        </w:tc>
      </w:tr>
      <w:tr w:rsidR="00D80F91" w:rsidRPr="00C77DA7" w:rsidTr="00597DE8">
        <w:trPr>
          <w:trHeight w:val="290"/>
        </w:trPr>
        <w:tc>
          <w:tcPr>
            <w:tcW w:w="159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0F91" w:rsidRPr="00C77DA7" w:rsidRDefault="00D80F91" w:rsidP="00D437DA">
            <w:pPr>
              <w:spacing w:after="0" w:line="240" w:lineRule="auto"/>
              <w:ind w:right="1064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80F91" w:rsidRPr="00C77DA7" w:rsidTr="00597DE8">
        <w:trPr>
          <w:trHeight w:val="290"/>
        </w:trPr>
        <w:tc>
          <w:tcPr>
            <w:tcW w:w="15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F91" w:rsidRPr="00C77DA7" w:rsidRDefault="00D80F91" w:rsidP="0091643E">
            <w:pPr>
              <w:tabs>
                <w:tab w:val="left" w:pos="12525"/>
              </w:tabs>
              <w:spacing w:after="0"/>
              <w:ind w:right="1064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D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  <w:p w:rsidR="00D80F91" w:rsidRPr="00C77DA7" w:rsidRDefault="00D80F91" w:rsidP="00D80F91">
            <w:pPr>
              <w:spacing w:after="0" w:line="240" w:lineRule="auto"/>
              <w:ind w:right="1064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bookmarkStart w:id="0" w:name="_GoBack"/>
            <w:bookmarkEnd w:id="0"/>
          </w:p>
        </w:tc>
      </w:tr>
      <w:tr w:rsidR="00D341E6" w:rsidRPr="00C77DA7" w:rsidTr="00597DE8">
        <w:trPr>
          <w:trHeight w:val="290"/>
        </w:trPr>
        <w:tc>
          <w:tcPr>
            <w:tcW w:w="15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1E6" w:rsidRPr="00C77DA7" w:rsidRDefault="0091643E" w:rsidP="00EC42E6">
            <w:pPr>
              <w:tabs>
                <w:tab w:val="left" w:pos="12525"/>
              </w:tabs>
              <w:spacing w:after="0"/>
              <w:ind w:right="10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İ L A N  O L U NU</w:t>
            </w:r>
            <w:r w:rsidRPr="00C77D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C77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R</w:t>
            </w:r>
          </w:p>
        </w:tc>
      </w:tr>
      <w:tr w:rsidR="00D341E6" w:rsidRPr="00C77DA7" w:rsidTr="00597DE8">
        <w:trPr>
          <w:trHeight w:val="290"/>
        </w:trPr>
        <w:tc>
          <w:tcPr>
            <w:tcW w:w="15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1E6" w:rsidRPr="00C77DA7" w:rsidRDefault="00D341E6" w:rsidP="00D437DA">
            <w:pPr>
              <w:tabs>
                <w:tab w:val="left" w:pos="12525"/>
              </w:tabs>
              <w:spacing w:after="0"/>
              <w:ind w:right="1064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8C546C" w:rsidRPr="00294B63" w:rsidRDefault="008C546C" w:rsidP="0091643E">
      <w:pPr>
        <w:tabs>
          <w:tab w:val="left" w:pos="1740"/>
        </w:tabs>
      </w:pPr>
    </w:p>
    <w:sectPr w:rsidR="008C546C" w:rsidRPr="00294B63" w:rsidSect="00D341E6">
      <w:pgSz w:w="16838" w:h="11906" w:orient="landscape"/>
      <w:pgMar w:top="1417" w:right="1417" w:bottom="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46B" w:rsidRDefault="0041646B" w:rsidP="00891FB7">
      <w:pPr>
        <w:spacing w:after="0" w:line="240" w:lineRule="auto"/>
      </w:pPr>
      <w:r>
        <w:separator/>
      </w:r>
    </w:p>
  </w:endnote>
  <w:endnote w:type="continuationSeparator" w:id="0">
    <w:p w:rsidR="0041646B" w:rsidRDefault="0041646B" w:rsidP="00891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46B" w:rsidRDefault="0041646B" w:rsidP="00891FB7">
      <w:pPr>
        <w:spacing w:after="0" w:line="240" w:lineRule="auto"/>
      </w:pPr>
      <w:r>
        <w:separator/>
      </w:r>
    </w:p>
  </w:footnote>
  <w:footnote w:type="continuationSeparator" w:id="0">
    <w:p w:rsidR="0041646B" w:rsidRDefault="0041646B" w:rsidP="00891F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F91"/>
    <w:rsid w:val="00050886"/>
    <w:rsid w:val="00055846"/>
    <w:rsid w:val="001E1B18"/>
    <w:rsid w:val="00256FF8"/>
    <w:rsid w:val="00294B63"/>
    <w:rsid w:val="002A2455"/>
    <w:rsid w:val="003705B2"/>
    <w:rsid w:val="003F3C12"/>
    <w:rsid w:val="0041646B"/>
    <w:rsid w:val="004433A9"/>
    <w:rsid w:val="004A0602"/>
    <w:rsid w:val="00597DE8"/>
    <w:rsid w:val="005C2A96"/>
    <w:rsid w:val="005F39B1"/>
    <w:rsid w:val="006C3196"/>
    <w:rsid w:val="006F1E01"/>
    <w:rsid w:val="00891FB7"/>
    <w:rsid w:val="0089319F"/>
    <w:rsid w:val="008C546C"/>
    <w:rsid w:val="0091643E"/>
    <w:rsid w:val="00946A8F"/>
    <w:rsid w:val="009B0FBF"/>
    <w:rsid w:val="00AB4ACB"/>
    <w:rsid w:val="00B50DCC"/>
    <w:rsid w:val="00B75FA4"/>
    <w:rsid w:val="00BC04D3"/>
    <w:rsid w:val="00C77DA7"/>
    <w:rsid w:val="00CB66D3"/>
    <w:rsid w:val="00D16637"/>
    <w:rsid w:val="00D341E6"/>
    <w:rsid w:val="00D77E88"/>
    <w:rsid w:val="00D80F91"/>
    <w:rsid w:val="00DD282C"/>
    <w:rsid w:val="00DF55D1"/>
    <w:rsid w:val="00E11B9D"/>
    <w:rsid w:val="00E20222"/>
    <w:rsid w:val="00EC42E6"/>
    <w:rsid w:val="00FE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432FF8-AFF4-411A-BC8D-13CC1CFEC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F9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80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D80F91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891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91FB7"/>
  </w:style>
  <w:style w:type="paragraph" w:styleId="Altbilgi">
    <w:name w:val="footer"/>
    <w:basedOn w:val="Normal"/>
    <w:link w:val="AltbilgiChar"/>
    <w:uiPriority w:val="99"/>
    <w:unhideWhenUsed/>
    <w:rsid w:val="00891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91FB7"/>
  </w:style>
  <w:style w:type="paragraph" w:styleId="BalonMetni">
    <w:name w:val="Balloon Text"/>
    <w:basedOn w:val="Normal"/>
    <w:link w:val="BalonMetniChar"/>
    <w:uiPriority w:val="99"/>
    <w:semiHidden/>
    <w:unhideWhenUsed/>
    <w:rsid w:val="00D34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41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890CD-1778-42B4-B51B-03ACDAEC4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GUMUS</dc:creator>
  <cp:keywords/>
  <dc:description/>
  <cp:lastModifiedBy>Hulya BOGAN</cp:lastModifiedBy>
  <cp:revision>2</cp:revision>
  <cp:lastPrinted>2018-10-09T11:20:00Z</cp:lastPrinted>
  <dcterms:created xsi:type="dcterms:W3CDTF">2019-10-01T12:13:00Z</dcterms:created>
  <dcterms:modified xsi:type="dcterms:W3CDTF">2019-10-01T12:13:00Z</dcterms:modified>
</cp:coreProperties>
</file>