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53694947"/>
        <w:docPartObj>
          <w:docPartGallery w:val="Cover Pages"/>
          <w:docPartUnique/>
        </w:docPartObj>
      </w:sdtPr>
      <w:sdtEndPr>
        <w:rPr>
          <w:rFonts w:ascii="Times New Roman" w:hAnsi="Times New Roman"/>
          <w:noProof/>
          <w:sz w:val="24"/>
          <w:szCs w:val="24"/>
          <w:lang w:eastAsia="tr-TR"/>
        </w:rPr>
      </w:sdtEndPr>
      <w:sdtContent>
        <w:p w:rsidR="008D127C" w:rsidRDefault="004E26B9">
          <w:r w:rsidRPr="00706D94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0</wp:posOffset>
                </wp:positionV>
                <wp:extent cx="923925" cy="923925"/>
                <wp:effectExtent l="0" t="0" r="9525" b="9525"/>
                <wp:wrapTight wrapText="bothSides">
                  <wp:wrapPolygon edited="0">
                    <wp:start x="6680" y="0"/>
                    <wp:lineTo x="4008" y="1336"/>
                    <wp:lineTo x="0" y="5344"/>
                    <wp:lineTo x="0" y="16033"/>
                    <wp:lineTo x="5344" y="21377"/>
                    <wp:lineTo x="7126" y="21377"/>
                    <wp:lineTo x="14252" y="21377"/>
                    <wp:lineTo x="16033" y="21377"/>
                    <wp:lineTo x="21377" y="16033"/>
                    <wp:lineTo x="21377" y="5344"/>
                    <wp:lineTo x="17369" y="1336"/>
                    <wp:lineTo x="14697" y="0"/>
                    <wp:lineTo x="6680" y="0"/>
                  </wp:wrapPolygon>
                </wp:wrapTight>
                <wp:docPr id="490" name="Resim 490" descr="çevre ve şehircil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58" descr="çevre ve şehircil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06D94">
            <w:rPr>
              <w:rFonts w:ascii="Times New Roman" w:hAnsi="Times New Roman"/>
              <w:b/>
              <w:noProof/>
              <w:color w:val="1F497D"/>
              <w:sz w:val="24"/>
              <w:szCs w:val="24"/>
              <w:lang w:eastAsia="tr-T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8044180</wp:posOffset>
                </wp:positionH>
                <wp:positionV relativeFrom="paragraph">
                  <wp:posOffset>0</wp:posOffset>
                </wp:positionV>
                <wp:extent cx="1009650" cy="1009650"/>
                <wp:effectExtent l="0" t="0" r="0" b="0"/>
                <wp:wrapTopAndBottom/>
                <wp:docPr id="489" name="Resim 489" descr="antalya valilik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56" descr="antalya valili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D127C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Dikdörtgen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Dikdörtgen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alias w:val="Yazar"/>
                                    <w:tag w:val=""/>
                                    <w:id w:val="88414185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D127C" w:rsidRPr="008D127C" w:rsidRDefault="000926C3">
                                      <w:pPr>
                                        <w:pStyle w:val="AralkYok"/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p w:rsidR="008D127C" w:rsidRDefault="000926C3">
                                  <w:pPr>
                                    <w:pStyle w:val="AralkYok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alias w:val="Şirket"/>
                                      <w:tag w:val=""/>
                                      <w:id w:val="922067218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D127C" w:rsidRPr="008D127C">
                                        <w:rPr>
                                          <w:caps/>
                                          <w:color w:val="FFFFFF" w:themeColor="background1"/>
                                          <w:sz w:val="40"/>
                                          <w:szCs w:val="40"/>
                                        </w:rPr>
                                        <w:t>Antalya Çevre ve Şehircilik İl Müdürlüğü</w:t>
                                      </w:r>
                                    </w:sdtContent>
                                  </w:sdt>
                                  <w:r w:rsidR="008D127C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Metin Kutusu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D127C" w:rsidRPr="008D127C" w:rsidRDefault="008D127C">
                                      <w:pPr>
                                        <w:pStyle w:val="AralkYok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 w:rsidRPr="008D127C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ANTALYA İLİ TEMİZ HAVA EYLEM PLANI                     (2020-2024)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55F51" w:themeColor="text2"/>
                                      <w:sz w:val="40"/>
                                      <w:szCs w:val="40"/>
                                    </w:rPr>
                                    <w:alias w:val="Altyazı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8D127C" w:rsidRPr="008D127C" w:rsidRDefault="008D127C">
                                      <w:pPr>
                                        <w:pStyle w:val="AralkYok"/>
                                        <w:spacing w:before="240"/>
                                        <w:rPr>
                                          <w:caps/>
                                          <w:color w:val="455F51" w:themeColor="text2"/>
                                          <w:sz w:val="40"/>
                                          <w:szCs w:val="40"/>
                                        </w:rPr>
                                      </w:pPr>
                                      <w:r w:rsidRPr="008D127C">
                                        <w:rPr>
                                          <w:caps/>
                                          <w:color w:val="455F51" w:themeColor="text2"/>
                                          <w:sz w:val="40"/>
                                          <w:szCs w:val="40"/>
                                        </w:rPr>
                                        <w:t>İZLEME VERİLERİ (EYLEMLER-GÖSTERGELER)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">
                    <v:rect id="Dikdörtgen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" fillcolor="#549e39 [3204]" stroked="f" strokeweight="1pt"/>
                    <v:rect id="Dikdörtgen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" fillcolor="#8ab833 [3205]" stroked="f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Yazar"/>
                              <w:tag w:val=""/>
                              <w:id w:val="88414185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8D127C" w:rsidRPr="008D127C" w:rsidRDefault="000926C3">
                                <w:pPr>
                                  <w:pStyle w:val="AralkYok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8D127C" w:rsidRDefault="000926C3">
                            <w:pPr>
                              <w:pStyle w:val="AralkYok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alias w:val="Şirket"/>
                                <w:tag w:val=""/>
                                <w:id w:val="922067218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D127C" w:rsidRPr="008D127C">
                                  <w:rPr>
                                    <w:caps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Antalya Çevre ve Şehircilik İl Müdürlüğü</w:t>
                                </w:r>
                              </w:sdtContent>
                            </w:sdt>
                            <w:r w:rsidR="008D127C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8D127C" w:rsidRPr="008D127C" w:rsidRDefault="008D127C">
                                <w:pPr>
                                  <w:pStyle w:val="AralkYok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 w:rsidRPr="008D127C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ANTALYA İLİ TEMİZ HAVA EYLEM PLANI                     (2020-2024)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55F51" w:themeColor="text2"/>
                                <w:sz w:val="40"/>
                                <w:szCs w:val="40"/>
                              </w:rPr>
                              <w:alias w:val="Altyazı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8D127C" w:rsidRPr="008D127C" w:rsidRDefault="008D127C">
                                <w:pPr>
                                  <w:pStyle w:val="AralkYok"/>
                                  <w:spacing w:before="240"/>
                                  <w:rPr>
                                    <w:caps/>
                                    <w:color w:val="455F51" w:themeColor="text2"/>
                                    <w:sz w:val="40"/>
                                    <w:szCs w:val="40"/>
                                  </w:rPr>
                                </w:pPr>
                                <w:r w:rsidRPr="008D127C">
                                  <w:rPr>
                                    <w:caps/>
                                    <w:color w:val="455F51" w:themeColor="text2"/>
                                    <w:sz w:val="40"/>
                                    <w:szCs w:val="40"/>
                                  </w:rPr>
                                  <w:t>İZLEME VERİLERİ (EYLEMLER-GÖSTERGELER)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4E26B9" w:rsidRDefault="004E26B9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</w:p>
        <w:p w:rsidR="008D127C" w:rsidRDefault="008D127C">
          <w:pPr>
            <w:rPr>
              <w:rFonts w:ascii="Times New Roman" w:hAnsi="Times New Roman"/>
              <w:noProof/>
              <w:sz w:val="24"/>
              <w:szCs w:val="24"/>
              <w:lang w:eastAsia="tr-TR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tr-TR"/>
            </w:rPr>
            <w:br w:type="page"/>
          </w:r>
        </w:p>
      </w:sdtContent>
    </w:sdt>
    <w:p w:rsidR="008D127C" w:rsidRDefault="008D127C"/>
    <w:p w:rsidR="00041821" w:rsidRDefault="0004182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2918"/>
        <w:gridCol w:w="2977"/>
        <w:gridCol w:w="3118"/>
        <w:gridCol w:w="3646"/>
      </w:tblGrid>
      <w:tr w:rsidR="008A6E22" w:rsidRPr="008A6E22" w:rsidTr="008A6E22">
        <w:trPr>
          <w:trHeight w:val="64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1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ÖNLEMLER /EYLEMLER</w:t>
            </w:r>
          </w:p>
        </w:tc>
        <w:tc>
          <w:tcPr>
            <w:tcW w:w="2977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SORUMLU KURULUŞ</w:t>
            </w:r>
          </w:p>
        </w:tc>
        <w:tc>
          <w:tcPr>
            <w:tcW w:w="311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Göstergeler </w:t>
            </w:r>
          </w:p>
        </w:tc>
        <w:tc>
          <w:tcPr>
            <w:tcW w:w="364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5B9BD5"/>
          </w:tcPr>
          <w:p w:rsidR="000926C3" w:rsidRDefault="000926C3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  <w:p w:rsidR="008A6E22" w:rsidRPr="008A6E22" w:rsidRDefault="000926C3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Sayısal veriler</w:t>
            </w:r>
          </w:p>
        </w:tc>
      </w:tr>
      <w:tr w:rsidR="008A6E22" w:rsidRPr="008A6E22" w:rsidTr="008A6E22">
        <w:trPr>
          <w:trHeight w:val="4065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1. EVSEL ISINMA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1.1.İlimize girişi yapılacak her tür katı yakıtın izinli üretici/ithalatçı/dağıtıcı tarafından getirilmesi, izinli firmalar tarafından satılmasının sağlanması, bu yöntemle kaçak yakıtın ile girişi ve satışının önüne geçilmesini sağlanmasına yönelik denetimlere devam edilmesi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Analiz edilen katı yakıt miktarı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dışı yapılan katı yakıt miktarı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204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1.2.İlimize girişi yapılacak her tür katı yakıtın izinli üretici/ithalatçı/dağıtıcı tarafından getirilmesi, izinli firmalar tarafından satılmasının sağlanması,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 Yakıt Satıcısı Kayıt Belgesi olan işyeri sayısı ve ilçelere dağılımı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3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1.3.Binalarda enerji tasarrufu için standartlara uygun ısı yalıtımı yapımının teşvik edilerek yaygınlaştırılmasının sağlanmasına devam edilmesi,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Enerji Kimlik Belgesi olan bina sayısı (ilçe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F01872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Binalarda ısınma amaçlı kullanılan enerji türü (ilçe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1.4. Binalarda merkezi sistemin kullanılmasının teşvik edilmesi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(İlçe Belediyeler)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Merkezi ısıtma sistemi olan bina sayısı</w:t>
            </w:r>
            <w:r w:rsidR="00F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/yoğunluğu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115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Bireysel ısıtma sistemi olan bina sayısı</w:t>
            </w:r>
            <w:r w:rsidR="00F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yada</w:t>
            </w:r>
            <w:proofErr w:type="gramEnd"/>
            <w:r w:rsidR="00F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yüzdesi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(ilçe bazlı)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1.5 Binalarda ısınma amaçlı daha temiz yakıt kullanımının teşvik edilmesi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doğal gaz abone sayısı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Doğal Gaz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Dağ</w:t>
            </w:r>
            <w:r w:rsidR="008A6E22"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ıtm</w:t>
            </w:r>
            <w:proofErr w:type="spellEnd"/>
            <w:r w:rsidR="008A6E22"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Şirketi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doğalgaz tüketim miktarı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4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1.6.Sürekli olarak hava kalitesini iyileştirmek için halkın bireysel olarak yapabilecekleri faaliyetler ile ilgili bilgilendirme materyallerinin (broşürler,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posterler,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 ilgili web sayfası gibi materyallerin) hazırlanmasına devam edilmesi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Belediyesi, </w:t>
            </w:r>
          </w:p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Belediyeler,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Hazırlanan materyal türü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87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Bilgilendirme portal yeri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 Milli Eğitim Müdürlüğü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verilen kurum /kişi sayısı 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A6E22" w:rsidRDefault="008A6E22"/>
    <w:p w:rsidR="008A6E22" w:rsidRDefault="008A6E22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1"/>
        <w:gridCol w:w="3238"/>
        <w:gridCol w:w="2962"/>
        <w:gridCol w:w="2835"/>
        <w:gridCol w:w="3788"/>
      </w:tblGrid>
      <w:tr w:rsidR="008A6E22" w:rsidRPr="008A6E22" w:rsidTr="008A6E22">
        <w:trPr>
          <w:trHeight w:val="1560"/>
        </w:trPr>
        <w:tc>
          <w:tcPr>
            <w:tcW w:w="116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ULAŞIM</w:t>
            </w:r>
          </w:p>
        </w:tc>
        <w:tc>
          <w:tcPr>
            <w:tcW w:w="323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2.1. Toplu taşımanın özendirilmesi ve toplu taşımayı cazip hale getirecek (ulaşımın hızlı ve konforlu olmasını sağlayarak) tedbirlerin alınmasına devam edilmesi</w:t>
            </w:r>
          </w:p>
        </w:tc>
        <w:tc>
          <w:tcPr>
            <w:tcW w:w="29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(Ulaşım Planlama ve Raylı Sistem Daire Başkanlığı)</w:t>
            </w:r>
          </w:p>
        </w:tc>
        <w:tc>
          <w:tcPr>
            <w:tcW w:w="283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Toplu taşıma araç sayısı</w:t>
            </w:r>
          </w:p>
        </w:tc>
        <w:tc>
          <w:tcPr>
            <w:tcW w:w="378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116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Aylık Kullanım Yoğunluğu (Kişi sayısı)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2505"/>
        </w:trPr>
        <w:tc>
          <w:tcPr>
            <w:tcW w:w="1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2.2.Belediye ve Özel Halk otobüsleri ile dolmuş ve taksilerde egzoz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kontrollerinin artırılması ve daha yeni ve temiz yakıt kullanan araçların kullanımının sağlanarak eski ve kirletici özelliği yüksek araçların şehir içinde kullanımının kısıtlanmasının sağlanmasına devam edilmesi, 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(Ulaşım Planlama ve Raylı Sistem Daire Başkanlığı)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Toplu taşıma araçlarının sayısı, yaşı, yakıt kullanım türü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Trafiğe kayıtlı motorlu taşıt sayısı, türü ve yakıt kullanım türü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1275"/>
        </w:trPr>
        <w:tc>
          <w:tcPr>
            <w:tcW w:w="11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2.3 Kent merkezinde hava kirliliği yüksek olan bölgelerde bazı caddelerin araç trafiğine kapatılması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(Ulaşım Planlama ve Raylı Sistem Daire Başkanlığı)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Trafiğe kapanan caddeler ve konumları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2820"/>
        </w:trPr>
        <w:tc>
          <w:tcPr>
            <w:tcW w:w="1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ULAŞIM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2.4. Şehir içinde, kent sakinlerinin güvenli bir şekilde kullanabileceği bisiklet yollarının oluşturulmasına devam edilmesi, mümkün olan mevcut yollarda ve yeni imar planı yapılacak yollarda vatandaşların egzoz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emisyonlarından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etkilenmemesi için yol kenarlarında ağaçlandırmaların yapılması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–İlçe Belediyeler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Bisiklet yolu uzunluğu (km)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5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Bisiklet yolu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güzergahı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1905"/>
        </w:trPr>
        <w:tc>
          <w:tcPr>
            <w:tcW w:w="11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2.5. İmar planı çalışmalarında bisiklet yollarının planlanması, Bisiklet park yerlerinin yapılması, Kent merkezinde ortak kullanımı olan ücretli bisikletlerin bulundurulması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- (Ulaşım Planlama ve Raylı Sistem Daire Başkanlığı)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Bisiklet istasyon sayısı ve konumları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65"/>
        </w:trPr>
        <w:tc>
          <w:tcPr>
            <w:tcW w:w="116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2.6. Trafiği yoğun caddelerde yeşil dalga sisteminin uygulanmasının sağlanması, trafik ışık kontrolleri (sinyalizasyon)  trafik ışık kontrollerinin (sinyalizasyon) iyileştirilmesi ve trafiğin yoğun caddelerde yeşil dalga sisteminin uygulanmasının sağlanmasına devam edilmesi,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(Ulaşım Planlama ve Raylı Sistem Daire Başkanlığı)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Sinyalizasyon ve yeşil dalga sisteminin kullanıldığı kavşak sayısı ve konumları 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930"/>
        </w:trPr>
        <w:tc>
          <w:tcPr>
            <w:tcW w:w="1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2.7. Tramvay ağının genişletilmesi, Farklı ulaşım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modlarının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birbiri ile uyumlu hale getirilmesine devam edilmesi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Tramvay ağı uzunluğu (km) Tramvay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güzergahı</w:t>
            </w:r>
            <w:proofErr w:type="gramEnd"/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45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(Ulaşım Planlama ve Raylı Sistem Daire Başkanlığı)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Yolcu kapasitesi, Kullanım oranı (kişi/ay)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1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2.8 Taşıtlardan kaynaklanan egzoz gazı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emisyonlarının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denetiminin yapılması</w:t>
            </w: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 sayısı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Emniyet Müdürlüğü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Trafiğe kayıtlı araç sayısı, yakıt türü, yaşı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Tüketilen akaryakıt miktarı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1245"/>
        </w:trPr>
        <w:tc>
          <w:tcPr>
            <w:tcW w:w="11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ULAŞIM</w:t>
            </w:r>
          </w:p>
        </w:tc>
        <w:tc>
          <w:tcPr>
            <w:tcW w:w="323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2.9. Sürekli olarak egzoz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ölçüm yetkisi alan özel firmaların yerinde denetlenmesine devam edilmesi ve Egzoz Gazı Emisyon Ölçümü Takip Sistemi üzerinden ölçüm yetkisi olan firmaların kontrol edilmesi</w:t>
            </w:r>
          </w:p>
        </w:tc>
        <w:tc>
          <w:tcPr>
            <w:tcW w:w="296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Egzoz Gazı Emisyon Ölçümü yetkisi olan firma sayısı ve konumları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Ölçüm yaptıran araç sayısı, yaşı, yakıt türü 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45"/>
        </w:trPr>
        <w:tc>
          <w:tcPr>
            <w:tcW w:w="11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Trafiğe kayıtlı motorlu taşıt sayısı, türü ve yakıt kullanım türü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A6E22" w:rsidRDefault="008A6E22"/>
    <w:p w:rsidR="008A6E22" w:rsidRDefault="008A6E22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6"/>
        <w:gridCol w:w="3366"/>
        <w:gridCol w:w="3118"/>
        <w:gridCol w:w="3260"/>
        <w:gridCol w:w="2654"/>
      </w:tblGrid>
      <w:tr w:rsidR="008A6E22" w:rsidRPr="008A6E22" w:rsidTr="008A6E22">
        <w:trPr>
          <w:trHeight w:val="63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3.SANAY</w:t>
            </w:r>
          </w:p>
        </w:tc>
        <w:tc>
          <w:tcPr>
            <w:tcW w:w="33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3.1.Yerleşim içinde faaliyet gösteren fırın ve fırınlı lokantalarda kullanılan yakıtlarla ilgili denetimlere yoğun şekilde devam edilmesi </w:t>
            </w:r>
          </w:p>
        </w:tc>
        <w:tc>
          <w:tcPr>
            <w:tcW w:w="3118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 Büyükşehir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Belediye Başkanlığı </w:t>
            </w:r>
          </w:p>
        </w:tc>
        <w:tc>
          <w:tcPr>
            <w:tcW w:w="326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Fırın/fırınlı lokanta sayısı ve konumları</w:t>
            </w:r>
          </w:p>
        </w:tc>
        <w:tc>
          <w:tcPr>
            <w:tcW w:w="265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TESİSLERİ</w:t>
            </w:r>
          </w:p>
        </w:tc>
        <w:tc>
          <w:tcPr>
            <w:tcW w:w="33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(Çevre Koruma ve Kontrol Dairesi Başkanlığı)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Kullanılan Yakıt Türü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Denetim Sayısı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124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3.2.Hava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Çevre İznine tabi olan ancak Çevre İzni olmayan işletmelerin belirlenmesi ve emisyon konulu Çevre İzni almalarının sağlanmasına devam edilmesi 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Hava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Çevre İzni alan tesisi sayısı,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982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Tesislerin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sektörel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dağılımı ve konumları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983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3.3. Hava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Çevre İzni olan sanayi tesislerinin denetlenmesine devam edilmesi,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Denetim Sayısı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220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3.4. Kurulması planlanan tesislerin ÇED süreçlerinde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kaynaklı kirlilikler için en uygun üretim teknikleri, yakıt cinsleri ve teknolojik önlemlerin belirlenerek yatırımcılardan bu uygulamalar için taahhüt alınmasına devam edilmesi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ÇED Başvuru Sayısı, İşletme Türü</w:t>
            </w:r>
          </w:p>
        </w:tc>
        <w:tc>
          <w:tcPr>
            <w:tcW w:w="26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5B2603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lastRenderedPageBreak/>
              <w:t> 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3.5. İşletmelere işyeri açma ve çalışma ruhsatı verilirken işletmelerin Çevre İzni kapsamında almaları gereken izinlerin sorgulanmasına devam edilmesi,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ÇED/Çevre İzni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Kapsamdışı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konulu başvurulur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5B26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Belediyeleri 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661650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SERALAR 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3.6. Seralarda kullanılan katı yakıtların denetiminin sağlanması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 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Seralarda katı yakıt denetim sayısı (ilçe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54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661650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Çevre Koruma ve Kontrol Dairesi Başkanlığı</w:t>
            </w:r>
          </w:p>
        </w:tc>
        <w:tc>
          <w:tcPr>
            <w:tcW w:w="326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960"/>
        </w:trPr>
        <w:tc>
          <w:tcPr>
            <w:tcW w:w="0" w:type="auto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3.7. Seraların ısıtılmasında temiz enerji kaynaklarının kullanılmasının teşvik edilmesi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Tarım ve Orman Müdürlüğü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Sera büyüklüğü, konumu</w:t>
            </w:r>
            <w:r w:rsidR="00A7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</w:t>
            </w:r>
            <w:proofErr w:type="gramStart"/>
            <w:r w:rsidR="00A72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ilçesi 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 kullanılan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yakıt türü ve miktarı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ATIK YÖNETİMİ</w:t>
            </w:r>
          </w:p>
        </w:tc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3.8. Katı atık depolama sahalarından kaynaklanan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emisyonların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kontrol altına alınmasına devam edilmesi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A72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 atık sahalarındaki atık miktarları (ilçelere göre dağılımı)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8A6E22" w:rsidRPr="008A6E22" w:rsidTr="008A6E22">
        <w:trPr>
          <w:trHeight w:val="645"/>
        </w:trPr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Atık Yönetimi d</w:t>
            </w:r>
            <w:r w:rsidR="008A6E22"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airesi Başkanlığı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Hava Emisyonu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Portalına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yapılan veri girişleri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8A6E22" w:rsidRPr="008A6E22" w:rsidRDefault="008A6E22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A6E22" w:rsidRDefault="008A6E22"/>
    <w:p w:rsidR="008A6E22" w:rsidRDefault="008A6E22">
      <w:r>
        <w:br w:type="page"/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778"/>
        <w:gridCol w:w="2626"/>
        <w:gridCol w:w="3276"/>
        <w:gridCol w:w="3046"/>
      </w:tblGrid>
      <w:tr w:rsidR="00041821" w:rsidRPr="008A6E22" w:rsidTr="000025B2">
        <w:trPr>
          <w:trHeight w:val="3450"/>
        </w:trPr>
        <w:tc>
          <w:tcPr>
            <w:tcW w:w="22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tr-TR"/>
              </w:rPr>
              <w:lastRenderedPageBreak/>
              <w:t>4</w:t>
            </w:r>
            <w:r w:rsidRPr="008A6E2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.</w:t>
            </w: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      </w:t>
            </w:r>
            <w:r w:rsidRPr="008A6E2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KENTSEL PLANLAMA</w:t>
            </w:r>
          </w:p>
        </w:tc>
        <w:tc>
          <w:tcPr>
            <w:tcW w:w="27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4.1 Şehrin yerleşim planlamasında, hava sirkülâsyonunu sağlayacak alanlar ile ormanlık ve yeşil alanların yaygınlaştırılmasının sağlanmasına devam edilmesi </w:t>
            </w:r>
          </w:p>
        </w:tc>
        <w:tc>
          <w:tcPr>
            <w:tcW w:w="262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ve ilçe belediyeleri</w:t>
            </w:r>
          </w:p>
        </w:tc>
        <w:tc>
          <w:tcPr>
            <w:tcW w:w="3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İlçelere göre mevcut yeşil alan yoğunluğu (kent merkezi ve kırsal alanda) (ha/kişi) </w:t>
            </w:r>
          </w:p>
        </w:tc>
        <w:tc>
          <w:tcPr>
            <w:tcW w:w="3046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000000" w:fill="BDD6EE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025B2">
        <w:trPr>
          <w:trHeight w:val="2940"/>
        </w:trPr>
        <w:tc>
          <w:tcPr>
            <w:tcW w:w="22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tr-TR"/>
              </w:rPr>
            </w:pPr>
          </w:p>
        </w:tc>
        <w:tc>
          <w:tcPr>
            <w:tcW w:w="27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Orman Bölge Müdürlüğü </w:t>
            </w:r>
          </w:p>
        </w:tc>
        <w:tc>
          <w:tcPr>
            <w:tcW w:w="3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46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84A86">
        <w:trPr>
          <w:trHeight w:val="4335"/>
        </w:trPr>
        <w:tc>
          <w:tcPr>
            <w:tcW w:w="2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4.2 Şehir planlamasının çevresel etkiler de dikkate alınarak yapılması, özellikle meteorolojik şartlar ve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hakim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rüzgar yönü dikkate alınarak kent planlamasında hava/rüzgar koridorlarının oluşturulması, ayrıca, imarsız alanlara yapı inşasının engellenmesine devam edilmesi</w:t>
            </w:r>
          </w:p>
        </w:tc>
        <w:tc>
          <w:tcPr>
            <w:tcW w:w="26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Büyükşehir Belediye Başkanlığı ve ilçe belediyeleri</w:t>
            </w:r>
          </w:p>
        </w:tc>
        <w:tc>
          <w:tcPr>
            <w:tcW w:w="327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İmar planları</w:t>
            </w:r>
          </w:p>
        </w:tc>
        <w:tc>
          <w:tcPr>
            <w:tcW w:w="30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BDD6EE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875" w:rsidRPr="008A6E22" w:rsidTr="00A72875">
        <w:trPr>
          <w:trHeight w:val="3660"/>
        </w:trPr>
        <w:tc>
          <w:tcPr>
            <w:tcW w:w="2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0418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4.3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 </w:t>
            </w: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Kent içinde yutak alan niteliği olabilecek şekilde kent parkları </w:t>
            </w:r>
            <w:proofErr w:type="gramStart"/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ve  yeşil</w:t>
            </w:r>
            <w:proofErr w:type="gramEnd"/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 xml:space="preserve"> sakin alanların artırılması, (küçük ve daha büyük alanlar, yürüyüş ve bisiklet yolları ile bağlantı kurulması), var olanlarının kalitesinin yükseltilmesi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 Başkanlığı- İmar ve Şehircilik Şube Müdürlüğü –Park ve Bahçeler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Kent parklarının sayısı, konumu, alan büyüklüğü (İlçe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72875" w:rsidRPr="008A6E22" w:rsidTr="00A72875">
        <w:trPr>
          <w:trHeight w:val="2535"/>
        </w:trPr>
        <w:tc>
          <w:tcPr>
            <w:tcW w:w="225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4.4. İl genelinde mesire yeri ve kent ormanlarının sayısının talep ve ihtiyaç durumuna göre artırılması, mesire yeri ve kent ormanları yapılırken nüfusun yoğun olduğu yerleşimlere yakın uygun alanların belirlenmesine devam edilmesi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Orman Bölge Müdürlüğü 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Mesire yeri ve kent ormanı konumu ve alan büyüklükleri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A72875" w:rsidRPr="008A6E22" w:rsidRDefault="00A72875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8A6E22" w:rsidRDefault="008A6E22"/>
    <w:p w:rsidR="008A6E22" w:rsidRDefault="008A6E22">
      <w:r>
        <w:br w:type="page"/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6"/>
        <w:gridCol w:w="2642"/>
        <w:gridCol w:w="2366"/>
        <w:gridCol w:w="2937"/>
        <w:gridCol w:w="2673"/>
      </w:tblGrid>
      <w:tr w:rsidR="00041821" w:rsidRPr="008A6E22" w:rsidTr="00041821">
        <w:trPr>
          <w:trHeight w:val="1560"/>
        </w:trPr>
        <w:tc>
          <w:tcPr>
            <w:tcW w:w="33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 xml:space="preserve">5. EĞİTİM VE BİLİNÇLENDİ+A59:D80RME ve YENİLİKÇİ YAKLAŞIM GELİŞTİRME </w:t>
            </w:r>
          </w:p>
        </w:tc>
        <w:tc>
          <w:tcPr>
            <w:tcW w:w="26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5.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  Sürekli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olarak hava kalitesini iyileştirmek için halkın bireysel olarak yapabilecekleri faaliyetler ile ilgili bilgilendirme materyallerinin (broşürler, posterler, eko-sürüş yöntemleri ile ilgili web sayfası gibi materyallerin) hazırlanmasına devam edilmesi</w:t>
            </w:r>
          </w:p>
        </w:tc>
        <w:tc>
          <w:tcPr>
            <w:tcW w:w="236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Belediyesi, İlçe Belediyeler, </w:t>
            </w:r>
          </w:p>
        </w:tc>
        <w:tc>
          <w:tcPr>
            <w:tcW w:w="293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Hazırlanan materyal türü</w:t>
            </w:r>
          </w:p>
        </w:tc>
        <w:tc>
          <w:tcPr>
            <w:tcW w:w="267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Müdürlüğü,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Bilgilendirme portal yeri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15"/>
        </w:trPr>
        <w:tc>
          <w:tcPr>
            <w:tcW w:w="33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Eğitim verilen kurum /kişi sayısı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30"/>
        </w:trPr>
        <w:tc>
          <w:tcPr>
            <w:tcW w:w="33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124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5.2 Kalorifer kazanlarının tekniğine uygun yakılması ve kazan bakımı işlerinde çalışacaklar için “Yetkili Kalorifer Ateşçisi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Kursları”nın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belli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periyotlarla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düzenlenmesi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Açılan kurs sayısı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BDD6EE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4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Büyükşehir Belediye Başkanlığı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alan kişi sayısı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DD6EE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A11F6A">
        <w:trPr>
          <w:trHeight w:val="630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5.3. Uzun mesafeli toz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taşınımından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kaynaklanabilecek olası hava kirliliği ile ilgili olarak bilgi paylaşımının sağlanması ve değerlendirmelerin yapılması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Güney İç Anadolu Temiz Hava Bölge Müdürlüğü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Toz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taşınımı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gün sayısı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dağılımı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A11F6A">
        <w:trPr>
          <w:trHeight w:val="31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Meteoroloji Bölge Müdürlüğü 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A11F6A">
        <w:trPr>
          <w:trHeight w:val="64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124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5.4 Hava kirliliğinden kaynaklı ilde yaşayan insanların karşılaştıkları sağlık sorunları arasındaki ilişkiyi takip edebilecek çalışmaların yapılması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 kişilerin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 konuda bilinçlendirilerek ilgili uyarılarda bulunulması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Sağlık Müdürlüğü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Solunum yolu rahatsızlığı kaynaklı hastaneye başvuru sayılarına ilişkin ilçe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aylık veriler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kirliliği temalı yürütülen projeler ve sonuçlarına ilişkin raporlar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1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D14AA">
        <w:trPr>
          <w:trHeight w:val="1560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5.5. Özellikle hava kalitesinden en çok etkilenebilecek olan incinebilir gruplardan çocukların ve yaşlıların bu kapsamda farkındalıklarının artırılmasına yönelik eğitimlerin verilmesi ve ilgili mercilerin bu kapsamda koordineli çalışmalarına devam etmesi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Çevre ve Şehircilik İl Müdürlüğü 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Eğitim ve materyaller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D14AA">
        <w:trPr>
          <w:trHeight w:val="31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Milli Eğitim Müdürlüğü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D14AA">
        <w:trPr>
          <w:trHeight w:val="31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Sağlık Müdürlüğü 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D14AA">
        <w:trPr>
          <w:trHeight w:val="186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 Aile, Çalışma ve Sosyal Hizmetler Müdürlüğü  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42CFF">
        <w:trPr>
          <w:trHeight w:val="124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5.6. İlimizde hava kalitesini iyileştirmeye yönelik ulusal ve uluslararası ölçekte 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projelerin geliştirilebilmesi için yerel idareler, üniversiteler,  sivil toplum kuruluşları ile koordineli çalışmaların yürütülmesi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Güney İç Anadolu Temiz Hava Bölge Müdürlüğü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</w:t>
            </w:r>
            <w:r w:rsidR="00F01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adı/</w:t>
            </w: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sayısı ve gelişim durumu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642CFF">
        <w:trPr>
          <w:trHeight w:val="6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Çevre ve Şehircilik İl Müdürlüğü 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187CAC">
        <w:trPr>
          <w:trHeight w:val="3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187CAC">
        <w:trPr>
          <w:trHeight w:val="124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5.7. İlimiz için ilgili kurum ve kuruluşlarla işbirliği kurarak geniş ve detaylı bir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emisyon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envanterinin oluşturulmasına yönelik projelerin geliştirilmesi ve uygulanması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Güney İç Anadolu Temiz Hava Bölge Müdürlüğü 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F01872" w:rsidP="00F018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Mevcut /yeni önerilen proje adı /</w:t>
            </w:r>
            <w:r w:rsidR="00041821"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Proje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ilerleme </w:t>
            </w:r>
            <w:r w:rsidR="00041821"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267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187CAC">
        <w:trPr>
          <w:trHeight w:val="64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Çevre ve Şehircilik İl Müdürlüğü 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5.8 Akıllı ve sürdürülebilir şehir stratejilerine uygun altyapı ve yazılımların hava kalitesi ile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entegrasyonunu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sağlayabilecek çalışmaların yapılması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Büyükşehir Belediyesi, İlçe Belediyeler,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Kent düzeyinde mevcut akıllı uygulamalar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Müdürlüğü,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Mevcut /Yeni Projeler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76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</w:p>
        </w:tc>
      </w:tr>
    </w:tbl>
    <w:p w:rsidR="004E26B9" w:rsidRDefault="004E26B9">
      <w:r>
        <w:br w:type="page"/>
      </w: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6"/>
        <w:gridCol w:w="2642"/>
        <w:gridCol w:w="2366"/>
        <w:gridCol w:w="2937"/>
        <w:gridCol w:w="2673"/>
      </w:tblGrid>
      <w:tr w:rsidR="00041821" w:rsidRPr="008A6E22" w:rsidTr="00A66CB0">
        <w:trPr>
          <w:trHeight w:val="630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4E26B9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lastRenderedPageBreak/>
              <w:t>6</w:t>
            </w:r>
            <w:r w:rsidR="00041821" w:rsidRPr="008A6E2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.</w:t>
            </w:r>
            <w:r w:rsidR="00041821" w:rsidRPr="008A6E22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tr-TR"/>
              </w:rPr>
              <w:t xml:space="preserve">      </w:t>
            </w:r>
            <w:r w:rsidR="00041821" w:rsidRPr="008A6E22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tr-TR"/>
              </w:rPr>
              <w:t>İZLEME VE DEĞERLENDİRME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6.1 Hava kirletici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konsantrasyonlarının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izlenmesi ve değerlendirilmesi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Güney İç Anadolu Temiz Hava Bölge Müdürlüğü </w:t>
            </w:r>
          </w:p>
        </w:tc>
        <w:tc>
          <w:tcPr>
            <w:tcW w:w="2937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Hava kalitesi izleme istasyon verileri (PM, SO, No, CO, O )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A66CB0">
        <w:trPr>
          <w:trHeight w:val="645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2937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7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187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6.2 Hava kalitesini iyileştirmeye yönelik önlem ve eylemlerin 6 aylık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periyotlarla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(her yılın Ocak ayı ve Temmuz ayının ilk haftasına kadar) ilgili kurum ve birimler tarafından Çevre ve Şehircilik İl Müdürlüğüne gönderilmesi ve veri takip formunun oluşturulması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Antalya Çevre ve Şehircilik İl Müdürlüğü 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Veri takip formu ve 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Eylem Planından Sorumlu tüm kurumlar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Temiz Hava Eylem Planı İzleme (THEP-İZ) yazılımına veri girişi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15"/>
        </w:trPr>
        <w:tc>
          <w:tcPr>
            <w:tcW w:w="3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5B9BD5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  <w:r w:rsidRPr="008A6E22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 </w:t>
            </w:r>
          </w:p>
        </w:tc>
        <w:tc>
          <w:tcPr>
            <w:tcW w:w="264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6.3 Hava Emisyonu </w:t>
            </w:r>
            <w:proofErr w:type="spell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Portalına</w:t>
            </w:r>
            <w:proofErr w:type="spell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düzenli veri akışının sağlanması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Antalya Çevre ve Şehircilik İl Müdürlüğü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İlçe </w:t>
            </w:r>
            <w:proofErr w:type="gramStart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bazlı</w:t>
            </w:r>
            <w:proofErr w:type="gramEnd"/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katı yakıt miktarı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6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 atık depolama sahaları ve atık miktarları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41821" w:rsidRPr="008A6E22" w:rsidTr="00041821">
        <w:trPr>
          <w:trHeight w:val="330"/>
        </w:trPr>
        <w:tc>
          <w:tcPr>
            <w:tcW w:w="3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</w:pPr>
          </w:p>
        </w:tc>
        <w:tc>
          <w:tcPr>
            <w:tcW w:w="264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  <w:vAlign w:val="center"/>
            <w:hideMark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A6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EEAF6"/>
          </w:tcPr>
          <w:p w:rsidR="00041821" w:rsidRPr="008A6E22" w:rsidRDefault="00041821" w:rsidP="008A6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B4495" w:rsidRDefault="000926C3"/>
    <w:sectPr w:rsidR="000B4495" w:rsidSect="00041821"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22"/>
    <w:rsid w:val="00041821"/>
    <w:rsid w:val="000926C3"/>
    <w:rsid w:val="000E20CF"/>
    <w:rsid w:val="002056E2"/>
    <w:rsid w:val="00435787"/>
    <w:rsid w:val="004E26B9"/>
    <w:rsid w:val="005927F6"/>
    <w:rsid w:val="0077787E"/>
    <w:rsid w:val="00873A4B"/>
    <w:rsid w:val="008A6E22"/>
    <w:rsid w:val="008D127C"/>
    <w:rsid w:val="00A72875"/>
    <w:rsid w:val="00F0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7359"/>
  <w15:chartTrackingRefBased/>
  <w15:docId w15:val="{32307932-E694-42A0-9134-B5645F71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F6"/>
  </w:style>
  <w:style w:type="paragraph" w:styleId="Balk1">
    <w:name w:val="heading 1"/>
    <w:basedOn w:val="Normal"/>
    <w:next w:val="Normal"/>
    <w:link w:val="Balk1Char"/>
    <w:uiPriority w:val="9"/>
    <w:qFormat/>
    <w:rsid w:val="005927F6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27F6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927F6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5927F6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927F6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927F6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5927F6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927F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5927F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927F6"/>
    <w:rPr>
      <w:caps/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27F6"/>
    <w:rPr>
      <w:caps/>
      <w:spacing w:val="15"/>
      <w:shd w:val="clear" w:color="auto" w:fill="DAEFD3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927F6"/>
    <w:rPr>
      <w:caps/>
      <w:color w:val="294E1C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5927F6"/>
    <w:rPr>
      <w:caps/>
      <w:color w:val="3E762A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927F6"/>
    <w:rPr>
      <w:caps/>
      <w:color w:val="3E762A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5927F6"/>
    <w:rPr>
      <w:caps/>
      <w:color w:val="3E762A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5927F6"/>
    <w:rPr>
      <w:caps/>
      <w:color w:val="3E762A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927F6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5927F6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5927F6"/>
    <w:rPr>
      <w:b/>
      <w:bCs/>
      <w:color w:val="3E762A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927F6"/>
    <w:pPr>
      <w:spacing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927F6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5927F6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5927F6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5927F6"/>
    <w:rPr>
      <w:b/>
      <w:bCs/>
    </w:rPr>
  </w:style>
  <w:style w:type="character" w:styleId="Vurgu">
    <w:name w:val="Emphasis"/>
    <w:uiPriority w:val="20"/>
    <w:qFormat/>
    <w:rsid w:val="005927F6"/>
    <w:rPr>
      <w:caps/>
      <w:color w:val="294E1C" w:themeColor="accent1" w:themeShade="7F"/>
      <w:spacing w:val="5"/>
    </w:rPr>
  </w:style>
  <w:style w:type="paragraph" w:styleId="AralkYok">
    <w:name w:val="No Spacing"/>
    <w:link w:val="AralkYokChar"/>
    <w:uiPriority w:val="1"/>
    <w:qFormat/>
    <w:rsid w:val="005927F6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5927F6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5927F6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927F6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5927F6"/>
    <w:rPr>
      <w:color w:val="549E39" w:themeColor="accent1"/>
      <w:sz w:val="24"/>
      <w:szCs w:val="24"/>
    </w:rPr>
  </w:style>
  <w:style w:type="character" w:styleId="HafifVurgulama">
    <w:name w:val="Subtle Emphasis"/>
    <w:uiPriority w:val="19"/>
    <w:qFormat/>
    <w:rsid w:val="005927F6"/>
    <w:rPr>
      <w:i/>
      <w:iCs/>
      <w:color w:val="294E1C" w:themeColor="accent1" w:themeShade="7F"/>
    </w:rPr>
  </w:style>
  <w:style w:type="character" w:styleId="GlVurgulama">
    <w:name w:val="Intense Emphasis"/>
    <w:uiPriority w:val="21"/>
    <w:qFormat/>
    <w:rsid w:val="005927F6"/>
    <w:rPr>
      <w:b/>
      <w:bCs/>
      <w:caps/>
      <w:color w:val="294E1C" w:themeColor="accent1" w:themeShade="7F"/>
      <w:spacing w:val="10"/>
    </w:rPr>
  </w:style>
  <w:style w:type="character" w:styleId="HafifBavuru">
    <w:name w:val="Subtle Reference"/>
    <w:uiPriority w:val="31"/>
    <w:qFormat/>
    <w:rsid w:val="005927F6"/>
    <w:rPr>
      <w:b/>
      <w:bCs/>
      <w:color w:val="549E39" w:themeColor="accent1"/>
    </w:rPr>
  </w:style>
  <w:style w:type="character" w:styleId="GlBavuru">
    <w:name w:val="Intense Reference"/>
    <w:uiPriority w:val="32"/>
    <w:qFormat/>
    <w:rsid w:val="005927F6"/>
    <w:rPr>
      <w:b/>
      <w:bCs/>
      <w:i/>
      <w:iCs/>
      <w:caps/>
      <w:color w:val="549E39" w:themeColor="accent1"/>
    </w:rPr>
  </w:style>
  <w:style w:type="character" w:styleId="KitapBal">
    <w:name w:val="Book Title"/>
    <w:uiPriority w:val="33"/>
    <w:qFormat/>
    <w:rsid w:val="005927F6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927F6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04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Yüzeyler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2021-03-09T00:00:00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ANTALYA İLİ TEMİZ HAVA EYLEM PLANI                     (2020-2024)</vt:lpstr>
    </vt:vector>
  </TitlesOfParts>
  <Company>Antalya Çevre ve Şehircilik İl Müdürlüğü</Company>
  <LinksUpToDate>false</LinksUpToDate>
  <CharactersWithSpaces>12709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ANTALYA İLİ TEMİZ HAVA EYLEM PLANI                     (2020-2024)</dc:title>
  <dc:subject>İZLEME VERİLERİ (EYLEMLER-GÖSTERGELER)</dc:subject>
  <dc:creator/>
  <cp:keywords/>
  <dc:description/>
  <cp:lastModifiedBy>Nilgün Akbulut Çoban</cp:lastModifiedBy>
  <cp:revision>4</cp:revision>
  <dcterms:created xsi:type="dcterms:W3CDTF">2021-03-09T06:59:00Z</dcterms:created>
  <dcterms:modified xsi:type="dcterms:W3CDTF">2021-03-09T07:50:00Z</dcterms:modified>
</cp:coreProperties>
</file>