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1F67AABC" w14:textId="3A39A638" w:rsidR="008D6812" w:rsidRPr="008D6812" w:rsidRDefault="008D6812" w:rsidP="008D6812">
      <w:pPr>
        <w:widowControl w:val="0"/>
        <w:numPr>
          <w:ilvl w:val="0"/>
          <w:numId w:val="22"/>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Pr="00E60FDC">
        <w:rPr>
          <w:b/>
          <w:sz w:val="21"/>
          <w:szCs w:val="21"/>
        </w:rPr>
        <w:t>İmza Beyannamesi (Ekte mevcut) ile;</w:t>
      </w:r>
      <w:bookmarkStart w:id="2" w:name="_GoBack"/>
      <w:bookmarkEnd w:id="2"/>
    </w:p>
    <w:p w14:paraId="670DBBC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Gerçek kişi olması halinde, noter tasdikli imza beyannamesi fotokopisi</w:t>
      </w:r>
    </w:p>
    <w:p w14:paraId="14E96DBA"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Tüzel kişi olması halinde, noter tasdikli imza sirküleri fotokopisi</w:t>
      </w:r>
    </w:p>
    <w:p w14:paraId="5A23476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Pr>
          <w:sz w:val="21"/>
          <w:szCs w:val="21"/>
        </w:rPr>
        <w:t xml:space="preserve"> aslı</w:t>
      </w:r>
      <w:r w:rsidRPr="00E60FDC">
        <w:rPr>
          <w:sz w:val="21"/>
          <w:szCs w:val="21"/>
        </w:rPr>
        <w:t xml:space="preserve"> ile noter tasdikli imza beyannamesi fotokopisi</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303D969B" w:rsidR="006C3D98" w:rsidRPr="00750B0A" w:rsidRDefault="006C3D98"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750B0A">
        <w:rPr>
          <w:b/>
          <w:bCs/>
          <w:sz w:val="22"/>
          <w:szCs w:val="22"/>
        </w:rPr>
        <w:t xml:space="preserve">Vergi Levhası </w:t>
      </w:r>
      <w:r w:rsidR="002E13DF" w:rsidRPr="00750B0A">
        <w:rPr>
          <w:b/>
          <w:bCs/>
          <w:sz w:val="22"/>
          <w:szCs w:val="22"/>
        </w:rPr>
        <w:t>ile</w:t>
      </w:r>
      <w:r w:rsidRPr="00750B0A">
        <w:rPr>
          <w:bCs/>
          <w:sz w:val="22"/>
          <w:szCs w:val="22"/>
        </w:rPr>
        <w:t xml:space="preserve"> </w:t>
      </w:r>
      <w:r w:rsidRPr="00750B0A">
        <w:rPr>
          <w:b/>
          <w:bCs/>
          <w:sz w:val="22"/>
          <w:szCs w:val="22"/>
        </w:rPr>
        <w:t>Gelir İdaresi Başkanlığı kayıtlarına göre faaliyet durumunun aktif olduğuna dair belge,</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Şirket ortakları ve yönetimde görevlilerin TC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r w:rsidRPr="00750B0A">
        <w:rPr>
          <w:b/>
          <w:bCs/>
          <w:sz w:val="22"/>
          <w:szCs w:val="22"/>
        </w:rPr>
        <w:t>Dekont ,</w:t>
      </w:r>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sayfasına;</w:t>
      </w:r>
      <w:r w:rsidR="00AB470A">
        <w:rPr>
          <w:rStyle w:val="Kpr"/>
          <w:color w:val="auto"/>
          <w:sz w:val="22"/>
          <w:szCs w:val="22"/>
          <w:u w:val="none"/>
        </w:rPr>
        <w:t xml:space="preserve">  </w:t>
      </w:r>
      <w:r w:rsidRPr="00750B0A">
        <w:rPr>
          <w:rStyle w:val="Kpr"/>
          <w:color w:val="auto"/>
          <w:sz w:val="22"/>
          <w:szCs w:val="22"/>
        </w:rPr>
        <w:t xml:space="preserve"> </w:t>
      </w:r>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 xml:space="preserve">seçilerek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77777777" w:rsidR="00EF58AB" w:rsidRDefault="00AB470A" w:rsidP="00EF58AB">
      <w:pPr>
        <w:overflowPunct/>
        <w:autoSpaceDE/>
        <w:autoSpaceDN/>
        <w:adjustRightInd/>
        <w:spacing w:line="336" w:lineRule="auto"/>
        <w:ind w:firstLine="284"/>
        <w:jc w:val="both"/>
        <w:textAlignment w:val="auto"/>
        <w:rPr>
          <w:rStyle w:val="Kpr"/>
          <w:szCs w:val="24"/>
        </w:rPr>
      </w:pPr>
      <w:r w:rsidRPr="00AB470A">
        <w:rPr>
          <w:b/>
          <w:szCs w:val="24"/>
        </w:rPr>
        <w:t xml:space="preserve">İl Müdürlüğümüz 109 nolu oda </w:t>
      </w:r>
      <w:r w:rsidRPr="00AB470A">
        <w:rPr>
          <w:b/>
          <w:szCs w:val="24"/>
          <w:u w:val="single"/>
        </w:rPr>
        <w:t>Döner Sermaye Kısım Şefliğinden</w:t>
      </w:r>
      <w:r w:rsidRPr="00AB470A">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(Gerçek kişi başvurularında başvuru yapılan TC. kimlik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onbeş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(Ek-3)</w:t>
      </w:r>
      <w:r w:rsidR="00B33FBF" w:rsidRPr="00671F6C">
        <w:rPr>
          <w:b/>
          <w:sz w:val="22"/>
          <w:szCs w:val="22"/>
        </w:rPr>
        <w:t>*</w:t>
      </w:r>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tespit edilen eksikler KEP ve SMS adresine bildirilmektedir. Eksiklikler bildirim tarihinden itibaren 5 iş günü içerisinde tamamlanmaması halinde başvuru değerlendirmeye alınmayacaktır</w:t>
      </w:r>
      <w:r w:rsidRPr="005D1066">
        <w:rPr>
          <w:szCs w:val="24"/>
        </w:rPr>
        <w:t>. Grup tayini ücreti iade edilmeyecektir.</w:t>
      </w:r>
    </w:p>
    <w:p w14:paraId="1E9B7C98" w14:textId="43CA0CFC" w:rsidR="00A43CAB" w:rsidRPr="00AB470A" w:rsidRDefault="00A43CAB" w:rsidP="00F1548C">
      <w:pPr>
        <w:pStyle w:val="ListeParagraf"/>
        <w:numPr>
          <w:ilvl w:val="0"/>
          <w:numId w:val="22"/>
        </w:numPr>
        <w:shd w:val="clear" w:color="auto" w:fill="FFFFFF"/>
        <w:overflowPunct/>
        <w:autoSpaceDE/>
        <w:autoSpaceDN/>
        <w:adjustRightInd/>
        <w:spacing w:line="360" w:lineRule="auto"/>
        <w:jc w:val="both"/>
        <w:textAlignment w:val="auto"/>
        <w:rPr>
          <w:rStyle w:val="Gl"/>
          <w:sz w:val="22"/>
          <w:szCs w:val="22"/>
          <w:lang w:eastAsia="tr-TR"/>
        </w:rPr>
      </w:pPr>
      <w:r w:rsidRPr="00AB470A">
        <w:rPr>
          <w:sz w:val="22"/>
          <w:szCs w:val="22"/>
        </w:rPr>
        <w:t>Başvurunun sonuçlan</w:t>
      </w:r>
      <w:r w:rsidR="00FD4B6A" w:rsidRPr="00AB470A">
        <w:rPr>
          <w:sz w:val="22"/>
          <w:szCs w:val="22"/>
        </w:rPr>
        <w:t xml:space="preserve">dığına dair </w:t>
      </w:r>
      <w:r w:rsidRPr="00AB470A">
        <w:rPr>
          <w:sz w:val="22"/>
          <w:szCs w:val="22"/>
        </w:rPr>
        <w:t>müteahhitlik yetki belgesi numarası ve grup bilgisi KEP ve SMS adresine gönderilmektedir. (Belge çıktısı E-Devlet (</w:t>
      </w:r>
      <w:hyperlink r:id="rId11" w:history="1">
        <w:r w:rsidRPr="00AB470A">
          <w:rPr>
            <w:rStyle w:val="Kpr"/>
            <w:color w:val="auto"/>
            <w:sz w:val="22"/>
            <w:szCs w:val="22"/>
          </w:rPr>
          <w:t>https://www.turkiye.gov.tr</w:t>
        </w:r>
      </w:hyperlink>
      <w:r w:rsidRPr="00AB470A">
        <w:rPr>
          <w:sz w:val="22"/>
          <w:szCs w:val="22"/>
        </w:rPr>
        <w:t>) üzerinden “Müteahhit Bilgileri Sorgulama” sayfasından alınabilmektedir.)</w:t>
      </w:r>
    </w:p>
    <w:p w14:paraId="64465D7A" w14:textId="1E2E1BB0" w:rsidR="001B4A66" w:rsidRPr="00750B0A" w:rsidRDefault="001B4A66" w:rsidP="007E3E26">
      <w:pPr>
        <w:pStyle w:val="ListeParagraf"/>
        <w:numPr>
          <w:ilvl w:val="1"/>
          <w:numId w:val="31"/>
        </w:numPr>
        <w:overflowPunct/>
        <w:autoSpaceDE/>
        <w:autoSpaceDN/>
        <w:adjustRightInd/>
        <w:spacing w:after="160" w:line="300" w:lineRule="auto"/>
        <w:jc w:val="both"/>
        <w:textAlignment w:val="auto"/>
        <w:rPr>
          <w:sz w:val="22"/>
          <w:szCs w:val="22"/>
        </w:rPr>
      </w:pPr>
      <w:bookmarkStart w:id="3" w:name="_Hlk60826871"/>
      <w:bookmarkEnd w:id="1"/>
      <w:r w:rsidRPr="00750B0A">
        <w:rPr>
          <w:sz w:val="22"/>
          <w:szCs w:val="22"/>
        </w:rPr>
        <w:br w:type="page"/>
      </w:r>
    </w:p>
    <w:bookmarkEnd w:id="3"/>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E703D4E" w:rsidR="00BB76DD" w:rsidRPr="00A10143" w:rsidRDefault="007956F1"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7956F1">
        <w:rPr>
          <w:noProof/>
          <w:lang w:eastAsia="tr-TR"/>
        </w:rPr>
        <w:lastRenderedPageBreak/>
        <w:drawing>
          <wp:inline distT="0" distB="0" distL="0" distR="0" wp14:anchorId="201E198B" wp14:editId="2705D315">
            <wp:extent cx="9895870" cy="66559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4933" cy="6662077"/>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7C88E00" w:rsidR="00041B16" w:rsidRPr="00750B0A" w:rsidRDefault="00DA1A5D" w:rsidP="00041B16">
      <w:pPr>
        <w:jc w:val="center"/>
      </w:pPr>
      <w:r w:rsidRPr="00750B0A">
        <w:t xml:space="preserve">ANTALYA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Gazete’de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
    <w:p w14:paraId="0640A91D" w14:textId="77777777" w:rsidR="00102EAC" w:rsidRPr="00750B0A" w:rsidRDefault="00102EAC" w:rsidP="00102EAC">
      <w:pPr>
        <w:spacing w:line="480" w:lineRule="auto"/>
        <w:jc w:val="both"/>
      </w:pPr>
      <w:r w:rsidRPr="00750B0A">
        <w:t>Vergi No (Tüzel )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xml:space="preserve">: …………………………………..                                   </w:t>
      </w:r>
    </w:p>
    <w:p w14:paraId="3548497C" w14:textId="77777777" w:rsidR="00102EAC" w:rsidRPr="00750B0A" w:rsidRDefault="00102EAC" w:rsidP="00102EAC">
      <w:pPr>
        <w:spacing w:line="480" w:lineRule="auto"/>
        <w:jc w:val="both"/>
      </w:pPr>
      <w:r w:rsidRPr="00750B0A">
        <w:t>Tebligata elverişli KEP adresi (zorunlu)</w:t>
      </w:r>
      <w:r w:rsidRPr="00750B0A">
        <w:tab/>
        <w:t xml:space="preserve">: ……….………………………….. @ ................... .kep.tr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678CA37B"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1968970E" w14:textId="688C743C"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p>
    <w:p w14:paraId="5C77A0BE"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Oda Sicil Kayıt Belgesi</w:t>
      </w:r>
    </w:p>
    <w:p w14:paraId="745E7CC0"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Ticaret Sicil Gazetesinin onaylı sureti (Karekodlu)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6F541C6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Vergi Levhası </w:t>
      </w:r>
    </w:p>
    <w:p w14:paraId="7FAFB7A8" w14:textId="1AD9621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Ortakların ve yönetimdeki görevlilerin TC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64C3B9CF" w14:textId="19D248D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İş deneyimini gösteren belge</w:t>
      </w:r>
      <w:r w:rsidR="0033564B" w:rsidRPr="00750B0A">
        <w:rPr>
          <w:rFonts w:eastAsiaTheme="minorHAnsi"/>
          <w:sz w:val="22"/>
          <w:szCs w:val="22"/>
        </w:rPr>
        <w:t>ler</w:t>
      </w:r>
    </w:p>
    <w:p w14:paraId="4A0693AA" w14:textId="1166DFB0" w:rsidR="00073BF7" w:rsidRPr="00750B0A" w:rsidRDefault="00797D52"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Takasbank kodlu Elektronik </w:t>
      </w:r>
      <w:r w:rsidR="00073BF7" w:rsidRPr="00750B0A">
        <w:rPr>
          <w:rFonts w:eastAsiaTheme="minorHAnsi"/>
          <w:sz w:val="22"/>
          <w:szCs w:val="22"/>
        </w:rPr>
        <w:t>Banka Referans Mektubu</w:t>
      </w:r>
    </w:p>
    <w:p w14:paraId="5694F111" w14:textId="439D3DDB"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için)</w:t>
      </w:r>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Muvafakatname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vakıf, dernek vb. lerinin ticari işletmeleri ve kooperatifler için):</w:t>
            </w:r>
            <w:r w:rsidRPr="00750B0A">
              <w:rPr>
                <w:rFonts w:ascii="Calibri" w:hAnsi="Calibri" w:cs="Calibri"/>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EFF058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94472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77A80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19901B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5E360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3282E211"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r>
      <w:tr w:rsidR="00750B0A" w:rsidRPr="00750B0A" w14:paraId="29B76087"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750B0A" w:rsidRPr="00750B0A" w14:paraId="6889A526"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FBA9C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AD72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680FEEE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64CD46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C7E68D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GRUBU: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C69DB49"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16907">
        <w:trPr>
          <w:trHeight w:val="220"/>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16907">
        <w:trPr>
          <w:trHeight w:val="220"/>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16907">
        <w:trPr>
          <w:trHeight w:val="220"/>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16907">
        <w:trPr>
          <w:trHeight w:val="220"/>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77777777" w:rsidR="00041B16" w:rsidRPr="00750B0A" w:rsidRDefault="00041B16"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r w:rsidRPr="00750B0A">
        <w:rPr>
          <w:sz w:val="22"/>
          <w:szCs w:val="22"/>
          <w:lang w:val="en-US"/>
        </w:rPr>
        <w:t>Yetki belgesi numarası kullandığım işlerde;</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a) Hile, vaat, tehdit, nüfuz kullanma, çıkar sağlama, anlaşma, rüşvet suretiyle veya başka yollarla sözleşmeye ilişkin işlemlere fesat karıştırma veya buna teşebbüs etme,</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b) Sahte belge düzenleme, kullanma veya bunlara teşebbüs etme,</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c) Hileli malzeme, araç veya usuller kullanma, fen ve sanat kurallarına aykırı imalat yapma,</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sebebiyle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16907">
        <w:trPr>
          <w:trHeight w:val="220"/>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16907">
        <w:trPr>
          <w:trHeight w:val="220"/>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16907">
        <w:trPr>
          <w:trHeight w:val="220"/>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16907">
        <w:trPr>
          <w:trHeight w:val="220"/>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7777777" w:rsidR="00041B16" w:rsidRPr="00750B0A" w:rsidRDefault="00041B16"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38CB0648" w14:textId="77777777" w:rsidR="002015C3" w:rsidRPr="00750B0A" w:rsidRDefault="002015C3" w:rsidP="002015C3">
      <w:pPr>
        <w:overflowPunct/>
        <w:autoSpaceDE/>
        <w:autoSpaceDN/>
        <w:adjustRightInd/>
        <w:spacing w:after="160" w:line="259" w:lineRule="auto"/>
        <w:jc w:val="center"/>
        <w:textAlignment w:val="auto"/>
        <w:rPr>
          <w:b/>
          <w:szCs w:val="24"/>
        </w:r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2015C3">
      <w:pPr>
        <w:overflowPunct/>
        <w:autoSpaceDE/>
        <w:autoSpaceDN/>
        <w:adjustRightInd/>
        <w:spacing w:after="160" w:line="259" w:lineRule="auto"/>
        <w:jc w:val="center"/>
        <w:textAlignment w:val="auto"/>
        <w:rPr>
          <w:szCs w:val="24"/>
        </w:rPr>
      </w:pPr>
    </w:p>
    <w:p w14:paraId="3C2F0DFA" w14:textId="77777777" w:rsidR="002015C3" w:rsidRPr="00750B0A" w:rsidRDefault="002015C3" w:rsidP="002015C3">
      <w:pPr>
        <w:overflowPunct/>
        <w:autoSpaceDE/>
        <w:autoSpaceDN/>
        <w:adjustRightInd/>
        <w:spacing w:after="160" w:line="276" w:lineRule="auto"/>
        <w:textAlignment w:val="auto"/>
        <w:rPr>
          <w:szCs w:val="24"/>
        </w:rPr>
      </w:pPr>
      <w:r w:rsidRPr="00750B0A">
        <w:rPr>
          <w:szCs w:val="24"/>
        </w:rPr>
        <w:t>Ben, …………………………………………………, işbu belge ile Türkiye Cumhuriyet’nin resmi daireleri, kurumları ve kurulları ile gerçek, tüzel ve özel kurum ve kuruluşlar nezdinde 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İMZA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Takasbank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699BA4E1" w:rsidR="00E31BC7" w:rsidRPr="00D03BC4" w:rsidRDefault="00E31BC7"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p>
        </w:tc>
        <w:tc>
          <w:tcPr>
            <w:tcW w:w="400" w:type="dxa"/>
            <w:shd w:val="clear" w:color="auto" w:fill="auto"/>
            <w:noWrap/>
            <w:vAlign w:val="center"/>
          </w:tcPr>
          <w:p w14:paraId="54EEDBDC" w14:textId="4C977621"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6A756E8C" w14:textId="55A8ECF6" w:rsidR="00E31BC7" w:rsidRPr="00D03BC4" w:rsidRDefault="00E31BC7"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p>
        </w:tc>
        <w:tc>
          <w:tcPr>
            <w:tcW w:w="400" w:type="dxa"/>
            <w:shd w:val="clear" w:color="auto" w:fill="auto"/>
            <w:noWrap/>
            <w:vAlign w:val="center"/>
          </w:tcPr>
          <w:p w14:paraId="361ED2B7" w14:textId="035E59D5"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578698DC" w14:textId="0BA2E601"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61A31CB7" w14:textId="0C5A9F6E"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TC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Adı ve Soyadı/Ticaret Ünvanı</w:t>
            </w:r>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Yukarıda Banka Referans Mektubuna ait bilgilerimin Takasbank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Ünvanı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7E69E89F" w14:textId="77777777" w:rsidTr="00624D18">
        <w:trPr>
          <w:trHeight w:val="220"/>
        </w:trPr>
        <w:tc>
          <w:tcPr>
            <w:tcW w:w="4965"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5242"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624D18">
        <w:trPr>
          <w:trHeight w:val="220"/>
        </w:trPr>
        <w:tc>
          <w:tcPr>
            <w:tcW w:w="4965"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624D18">
        <w:trPr>
          <w:trHeight w:val="220"/>
        </w:trPr>
        <w:tc>
          <w:tcPr>
            <w:tcW w:w="4965"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750B0A" w:rsidRPr="00750B0A" w14:paraId="6CCD3001" w14:textId="77777777" w:rsidTr="00624D18">
        <w:trPr>
          <w:trHeight w:val="114"/>
        </w:trPr>
        <w:tc>
          <w:tcPr>
            <w:tcW w:w="3632"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81"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126"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624D18">
        <w:trPr>
          <w:trHeight w:val="114"/>
        </w:trPr>
        <w:tc>
          <w:tcPr>
            <w:tcW w:w="3632"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81"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624D18">
        <w:trPr>
          <w:trHeight w:val="114"/>
        </w:trPr>
        <w:tc>
          <w:tcPr>
            <w:tcW w:w="3632"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81"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624D18">
        <w:trPr>
          <w:trHeight w:val="114"/>
        </w:trPr>
        <w:tc>
          <w:tcPr>
            <w:tcW w:w="3632"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81"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624D18">
        <w:trPr>
          <w:trHeight w:val="114"/>
        </w:trPr>
        <w:tc>
          <w:tcPr>
            <w:tcW w:w="3632"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81"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624D18">
        <w:trPr>
          <w:trHeight w:val="114"/>
        </w:trPr>
        <w:tc>
          <w:tcPr>
            <w:tcW w:w="3632"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81"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624D18">
        <w:trPr>
          <w:trHeight w:val="114"/>
        </w:trPr>
        <w:tc>
          <w:tcPr>
            <w:tcW w:w="3632"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81"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624D18">
        <w:trPr>
          <w:trHeight w:val="114"/>
        </w:trPr>
        <w:tc>
          <w:tcPr>
            <w:tcW w:w="3632"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Hakediş Gelirleri (Varsa)</w:t>
            </w:r>
          </w:p>
        </w:tc>
        <w:tc>
          <w:tcPr>
            <w:tcW w:w="2181"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750B0A" w:rsidRPr="00750B0A" w14:paraId="5E77E4D0" w14:textId="77777777" w:rsidTr="00624D18">
        <w:trPr>
          <w:trHeight w:val="233"/>
        </w:trPr>
        <w:tc>
          <w:tcPr>
            <w:tcW w:w="5278" w:type="dxa"/>
            <w:shd w:val="clear" w:color="auto" w:fill="auto"/>
            <w:vAlign w:val="center"/>
          </w:tcPr>
          <w:p w14:paraId="2706A69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Cari Oran</w:t>
            </w:r>
          </w:p>
          <w:p w14:paraId="453279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(Dönen Varlıkların Kısa Vadeli Borçlara Oranı)</w:t>
            </w:r>
          </w:p>
        </w:tc>
        <w:tc>
          <w:tcPr>
            <w:tcW w:w="4929"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624D18">
        <w:trPr>
          <w:trHeight w:val="233"/>
        </w:trPr>
        <w:tc>
          <w:tcPr>
            <w:tcW w:w="5278" w:type="dxa"/>
            <w:shd w:val="clear" w:color="auto" w:fill="auto"/>
            <w:vAlign w:val="center"/>
          </w:tcPr>
          <w:p w14:paraId="3891F53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Öz Kaynak Oranı</w:t>
            </w:r>
          </w:p>
          <w:p w14:paraId="5278861C"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(Öz Kaynakların Toplam Aktife Oranı)</w:t>
            </w:r>
          </w:p>
        </w:tc>
        <w:tc>
          <w:tcPr>
            <w:tcW w:w="4929"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624D18">
        <w:trPr>
          <w:trHeight w:val="331"/>
        </w:trPr>
        <w:tc>
          <w:tcPr>
            <w:tcW w:w="5278"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4929"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750B0A" w:rsidRPr="00750B0A" w14:paraId="7CDB7661" w14:textId="77777777" w:rsidTr="00624D18">
        <w:trPr>
          <w:trHeight w:val="233"/>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624D18">
        <w:trPr>
          <w:trHeight w:val="233"/>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750B0A" w:rsidRPr="00750B0A" w14:paraId="23EBAF4F" w14:textId="77777777" w:rsidTr="00624D18">
        <w:trPr>
          <w:trHeight w:val="233"/>
        </w:trPr>
        <w:tc>
          <w:tcPr>
            <w:tcW w:w="4149"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624D18">
        <w:trPr>
          <w:trHeight w:val="233"/>
        </w:trPr>
        <w:tc>
          <w:tcPr>
            <w:tcW w:w="4149"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1034"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1-Belge, Yapı Müteahhitlerinin Sınıflandırılması ve Kayıtlarının Tutulması Hakkında Yönetmeliğin 12 nci maddesi hükümleri esas alınarak düzenlenecektir.</w:t>
      </w:r>
    </w:p>
    <w:p w14:paraId="574E6490" w14:textId="77777777" w:rsidR="00600B52" w:rsidRPr="00750B0A" w:rsidRDefault="00600B52" w:rsidP="00600B52">
      <w:pPr>
        <w:widowControl w:val="0"/>
        <w:tabs>
          <w:tab w:val="left" w:pos="0"/>
          <w:tab w:val="left" w:pos="910"/>
        </w:tabs>
        <w:overflowPunct/>
        <w:autoSpaceDE/>
        <w:adjustRightInd/>
        <w:ind w:left="-426"/>
        <w:contextualSpacing/>
        <w:jc w:val="both"/>
        <w:rPr>
          <w:spacing w:val="10"/>
          <w:sz w:val="18"/>
          <w:szCs w:val="18"/>
        </w:rPr>
      </w:pPr>
      <w:r w:rsidRPr="00750B0A">
        <w:rPr>
          <w:spacing w:val="10"/>
          <w:sz w:val="18"/>
          <w:szCs w:val="18"/>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4-Beyan edilen bilgiler üzerinden cari oran hesaplanırken yıllara yaygın inşaat maliyetleri dönen varlıklardan; yıllara yaygın inşaat hakediş gelirleri ise kısa vadeli borçlardan düşülecektir.</w:t>
      </w:r>
    </w:p>
    <w:p w14:paraId="284190B8" w14:textId="77777777" w:rsidR="00600B52" w:rsidRPr="00750B0A" w:rsidRDefault="00600B52" w:rsidP="00600B52">
      <w:pPr>
        <w:widowControl w:val="0"/>
        <w:tabs>
          <w:tab w:val="left" w:pos="0"/>
          <w:tab w:val="left" w:pos="910"/>
        </w:tabs>
        <w:overflowPunct/>
        <w:autoSpaceDE/>
        <w:adjustRightInd/>
        <w:ind w:left="-426" w:right="20"/>
        <w:rPr>
          <w:spacing w:val="10"/>
          <w:sz w:val="18"/>
          <w:szCs w:val="18"/>
        </w:rPr>
      </w:pPr>
      <w:r w:rsidRPr="00750B0A">
        <w:rPr>
          <w:spacing w:val="10"/>
          <w:sz w:val="18"/>
          <w:szCs w:val="18"/>
        </w:rPr>
        <w:t>5- Beyan edilen bilgiler üzerinden özkaynak oranı hesaplanırken yıllara yaygın inşaat maliyetleri toplam aktiflerden düşülecektir.</w:t>
      </w:r>
    </w:p>
    <w:p w14:paraId="7659B94F" w14:textId="77777777" w:rsidR="00600B52" w:rsidRPr="00750B0A" w:rsidRDefault="00600B52" w:rsidP="00600B52">
      <w:pPr>
        <w:widowControl w:val="0"/>
        <w:tabs>
          <w:tab w:val="left" w:pos="0"/>
          <w:tab w:val="left" w:pos="910"/>
        </w:tabs>
        <w:overflowPunct/>
        <w:autoSpaceDE/>
        <w:adjustRightInd/>
        <w:ind w:left="-426" w:right="20"/>
        <w:jc w:val="both"/>
        <w:rPr>
          <w:spacing w:val="10"/>
          <w:sz w:val="18"/>
          <w:szCs w:val="18"/>
        </w:rPr>
      </w:pPr>
      <w:r w:rsidRPr="00750B0A">
        <w:rPr>
          <w:spacing w:val="10"/>
          <w:sz w:val="18"/>
          <w:szCs w:val="18"/>
        </w:rPr>
        <w:t>6-4/1/1961 tarihli ve 213 sayılı Vergi Usul Kanununun 174 üncü maddesine göre takvim yılından farklı hesap dönemi belirlenen mükellefin bilançoları için bu hesap dönemi esas alınır.</w:t>
      </w:r>
    </w:p>
    <w:p w14:paraId="6B26FD10"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7-Bilanço oranlarında yuvarlama yapılmayacaktır.</w:t>
      </w:r>
    </w:p>
    <w:p w14:paraId="51C74845"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750B0A" w:rsidRDefault="00600B52" w:rsidP="00600B52">
      <w:pPr>
        <w:widowControl w:val="0"/>
        <w:tabs>
          <w:tab w:val="left" w:pos="0"/>
          <w:tab w:val="left" w:pos="978"/>
        </w:tabs>
        <w:overflowPunct/>
        <w:autoSpaceDE/>
        <w:adjustRightInd/>
        <w:ind w:left="-426" w:right="20"/>
        <w:jc w:val="both"/>
        <w:rPr>
          <w:rFonts w:eastAsiaTheme="minorHAnsi"/>
          <w:b/>
          <w:bCs/>
          <w:smallCaps/>
          <w:sz w:val="19"/>
          <w:szCs w:val="19"/>
          <w:shd w:val="clear" w:color="auto" w:fill="FFFFFF"/>
        </w:rPr>
      </w:pPr>
      <w:r w:rsidRPr="00750B0A">
        <w:rPr>
          <w:spacing w:val="10"/>
          <w:sz w:val="18"/>
          <w:szCs w:val="18"/>
        </w:rPr>
        <w:t>10- Her yıl için beyan edilen bilanço ve iş hacmi bilgileri Gelir İdaresi Başkanlığı kayıtları üzerinden elektronik ortamda Bakanlıkça teyid edilecektir.</w:t>
      </w:r>
      <w:r w:rsidR="00B70EF2" w:rsidRPr="00750B0A">
        <w:rPr>
          <w:spacing w:val="10"/>
          <w:sz w:val="18"/>
          <w:szCs w:val="18"/>
        </w:rPr>
        <w:t>.</w:t>
      </w:r>
      <w:r w:rsidR="0045381A" w:rsidRPr="00750B0A">
        <w:rPr>
          <w:smallCaps/>
          <w:sz w:val="19"/>
          <w:szCs w:val="19"/>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16907">
        <w:trPr>
          <w:trHeight w:val="220"/>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16907">
        <w:trPr>
          <w:trHeight w:val="220"/>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16907">
        <w:trPr>
          <w:trHeight w:val="220"/>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600B52">
        <w:trPr>
          <w:trHeight w:val="128"/>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600B52">
        <w:trPr>
          <w:trHeight w:val="142"/>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600B52">
        <w:trPr>
          <w:trHeight w:val="142"/>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600B52">
        <w:trPr>
          <w:trHeight w:val="142"/>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600B52">
        <w:trPr>
          <w:trHeight w:val="142"/>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60CB78BD" w14:textId="78E3CEC3" w:rsidR="00671AB5" w:rsidRPr="00750B0A" w:rsidRDefault="00671AB5" w:rsidP="00472AED">
      <w:pPr>
        <w:widowControl w:val="0"/>
        <w:overflowPunct/>
        <w:autoSpaceDE/>
        <w:autoSpaceDN/>
        <w:adjustRightInd/>
        <w:ind w:left="-426"/>
        <w:jc w:val="both"/>
        <w:textAlignment w:val="auto"/>
        <w:rPr>
          <w:b/>
          <w:sz w:val="18"/>
          <w:szCs w:val="18"/>
        </w:rPr>
      </w:pPr>
    </w:p>
    <w:p w14:paraId="56800274" w14:textId="07EB0079" w:rsidR="00671AB5" w:rsidRPr="00750B0A" w:rsidRDefault="00671AB5" w:rsidP="00472AED">
      <w:pPr>
        <w:widowControl w:val="0"/>
        <w:overflowPunct/>
        <w:autoSpaceDE/>
        <w:autoSpaceDN/>
        <w:adjustRightInd/>
        <w:ind w:left="-426"/>
        <w:jc w:val="both"/>
        <w:textAlignment w:val="auto"/>
        <w:rPr>
          <w:b/>
          <w:sz w:val="18"/>
          <w:szCs w:val="18"/>
        </w:rPr>
      </w:pPr>
    </w:p>
    <w:p w14:paraId="5D7DDDC0" w14:textId="40B0E6A4" w:rsidR="00671AB5" w:rsidRPr="00750B0A" w:rsidRDefault="00671AB5" w:rsidP="00472AED">
      <w:pPr>
        <w:widowControl w:val="0"/>
        <w:overflowPunct/>
        <w:autoSpaceDE/>
        <w:autoSpaceDN/>
        <w:adjustRightInd/>
        <w:ind w:left="-426"/>
        <w:jc w:val="both"/>
        <w:textAlignment w:val="auto"/>
        <w:rPr>
          <w:b/>
          <w:sz w:val="18"/>
          <w:szCs w:val="18"/>
        </w:rPr>
      </w:pPr>
    </w:p>
    <w:p w14:paraId="5D8CFDE3" w14:textId="77777777" w:rsidR="00671AB5" w:rsidRPr="00750B0A" w:rsidRDefault="00671AB5" w:rsidP="00472AED">
      <w:pPr>
        <w:widowControl w:val="0"/>
        <w:overflowPunct/>
        <w:autoSpaceDE/>
        <w:autoSpaceDN/>
        <w:adjustRightInd/>
        <w:ind w:left="-426"/>
        <w:jc w:val="both"/>
        <w:textAlignment w:val="auto"/>
        <w:rPr>
          <w:b/>
          <w:sz w:val="18"/>
          <w:szCs w:val="18"/>
        </w:rPr>
      </w:pPr>
    </w:p>
    <w:p w14:paraId="129C90F4" w14:textId="77777777" w:rsidR="00472AED" w:rsidRPr="00750B0A" w:rsidRDefault="00472AED" w:rsidP="00472AED">
      <w:pPr>
        <w:widowControl w:val="0"/>
        <w:overflowPunct/>
        <w:autoSpaceDE/>
        <w:autoSpaceDN/>
        <w:adjustRightInd/>
        <w:ind w:left="-426"/>
        <w:jc w:val="both"/>
        <w:textAlignment w:val="auto"/>
        <w:rPr>
          <w:b/>
          <w:sz w:val="18"/>
          <w:szCs w:val="18"/>
        </w:rPr>
      </w:pPr>
    </w:p>
    <w:p w14:paraId="1B719D09" w14:textId="77777777" w:rsidR="00472AED" w:rsidRPr="00750B0A" w:rsidRDefault="00472AED"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1-Belge, Yapı Müteahhitlerinin Sınıflandırılması ve Kayıtlarının Tutulması Hakkında Yönetmeliğin 13 üncü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DB3E3" w14:textId="77777777" w:rsidR="00616D82" w:rsidRDefault="00616D82" w:rsidP="000A6C94">
      <w:r>
        <w:separator/>
      </w:r>
    </w:p>
  </w:endnote>
  <w:endnote w:type="continuationSeparator" w:id="0">
    <w:p w14:paraId="4E8AA3B2" w14:textId="77777777" w:rsidR="00616D82" w:rsidRDefault="00616D8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E30C9" w14:textId="77777777" w:rsidR="00616D82" w:rsidRDefault="00616D82" w:rsidP="000A6C94">
      <w:r>
        <w:separator/>
      </w:r>
    </w:p>
  </w:footnote>
  <w:footnote w:type="continuationSeparator" w:id="0">
    <w:p w14:paraId="45B6A782" w14:textId="77777777" w:rsidR="00616D82" w:rsidRDefault="00616D82"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62EA"/>
    <w:rsid w:val="00011058"/>
    <w:rsid w:val="00013625"/>
    <w:rsid w:val="00025715"/>
    <w:rsid w:val="00031076"/>
    <w:rsid w:val="00034E30"/>
    <w:rsid w:val="00041B16"/>
    <w:rsid w:val="00050819"/>
    <w:rsid w:val="00060380"/>
    <w:rsid w:val="00060A51"/>
    <w:rsid w:val="00063675"/>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66C9"/>
    <w:rsid w:val="001171F6"/>
    <w:rsid w:val="001173A1"/>
    <w:rsid w:val="00133DBE"/>
    <w:rsid w:val="001353B1"/>
    <w:rsid w:val="00141438"/>
    <w:rsid w:val="0014151F"/>
    <w:rsid w:val="00141A6B"/>
    <w:rsid w:val="00143676"/>
    <w:rsid w:val="00144D45"/>
    <w:rsid w:val="00146FE1"/>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90BB0"/>
    <w:rsid w:val="00591499"/>
    <w:rsid w:val="005951E9"/>
    <w:rsid w:val="00595B5D"/>
    <w:rsid w:val="005A122A"/>
    <w:rsid w:val="005A6D74"/>
    <w:rsid w:val="005B027D"/>
    <w:rsid w:val="005B0484"/>
    <w:rsid w:val="005B690B"/>
    <w:rsid w:val="005C0AE2"/>
    <w:rsid w:val="005C3256"/>
    <w:rsid w:val="005C64E4"/>
    <w:rsid w:val="005C6742"/>
    <w:rsid w:val="005C70D5"/>
    <w:rsid w:val="005D1066"/>
    <w:rsid w:val="005D42C7"/>
    <w:rsid w:val="005E6D6B"/>
    <w:rsid w:val="005F1EAE"/>
    <w:rsid w:val="005F4213"/>
    <w:rsid w:val="005F6209"/>
    <w:rsid w:val="006008A5"/>
    <w:rsid w:val="00600B52"/>
    <w:rsid w:val="00601DD9"/>
    <w:rsid w:val="006020EC"/>
    <w:rsid w:val="0060785C"/>
    <w:rsid w:val="00616D82"/>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6812"/>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7C85"/>
    <w:rsid w:val="00B80F0B"/>
    <w:rsid w:val="00B85BB6"/>
    <w:rsid w:val="00B86CF0"/>
    <w:rsid w:val="00B87CBA"/>
    <w:rsid w:val="00B92C08"/>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B2E"/>
    <w:rsid w:val="00CF4B99"/>
    <w:rsid w:val="00CF592E"/>
    <w:rsid w:val="00CF5BAD"/>
    <w:rsid w:val="00D004E4"/>
    <w:rsid w:val="00D03BC4"/>
    <w:rsid w:val="00D05C04"/>
    <w:rsid w:val="00D07ECE"/>
    <w:rsid w:val="00D1063E"/>
    <w:rsid w:val="00D11E78"/>
    <w:rsid w:val="00D15FFE"/>
    <w:rsid w:val="00D163FF"/>
    <w:rsid w:val="00D1647F"/>
    <w:rsid w:val="00D221E9"/>
    <w:rsid w:val="00D2333E"/>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iye.gov.tr" TargetMode="Externa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407F-AFA1-472E-B420-492C4921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3250</Words>
  <Characters>18531</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Burak Sahin</cp:lastModifiedBy>
  <cp:revision>11</cp:revision>
  <cp:lastPrinted>2025-03-03T07:38:00Z</cp:lastPrinted>
  <dcterms:created xsi:type="dcterms:W3CDTF">2025-07-17T09:31:00Z</dcterms:created>
  <dcterms:modified xsi:type="dcterms:W3CDTF">2025-12-12T11:37:00Z</dcterms:modified>
</cp:coreProperties>
</file>