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2C" w:rsidRPr="00DC72FA" w:rsidRDefault="00997D2C" w:rsidP="00997D2C">
      <w:pPr>
        <w:overflowPunct/>
        <w:autoSpaceDE/>
        <w:autoSpaceDN/>
        <w:adjustRightInd/>
        <w:spacing w:line="276" w:lineRule="auto"/>
        <w:ind w:left="-142" w:firstLine="142"/>
        <w:jc w:val="center"/>
        <w:textAlignment w:val="auto"/>
        <w:rPr>
          <w:rFonts w:eastAsiaTheme="minorHAnsi"/>
          <w:b/>
          <w:bCs/>
          <w:sz w:val="22"/>
          <w:szCs w:val="22"/>
        </w:rPr>
      </w:pPr>
      <w:bookmarkStart w:id="0" w:name="_GoBack"/>
      <w:r>
        <w:rPr>
          <w:rFonts w:eastAsiaTheme="minorHAnsi"/>
          <w:b/>
          <w:bCs/>
          <w:sz w:val="22"/>
          <w:szCs w:val="22"/>
        </w:rPr>
        <w:t>C</w:t>
      </w:r>
      <w:r w:rsidRPr="00DC72FA">
        <w:rPr>
          <w:rFonts w:eastAsiaTheme="minorHAnsi"/>
          <w:b/>
          <w:bCs/>
          <w:sz w:val="22"/>
          <w:szCs w:val="22"/>
        </w:rPr>
        <w:t xml:space="preserve"> GRUBU İÇİN</w:t>
      </w:r>
    </w:p>
    <w:p w:rsidR="00997D2C" w:rsidRPr="00DC72FA" w:rsidRDefault="00997D2C" w:rsidP="00997D2C">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997D2C" w:rsidRPr="003D2B0D" w:rsidRDefault="00997D2C" w:rsidP="00997D2C">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997D2C" w:rsidRPr="00DC72FA" w:rsidRDefault="00997D2C" w:rsidP="00997D2C">
      <w:pPr>
        <w:shd w:val="clear" w:color="auto" w:fill="FFFFFF"/>
        <w:tabs>
          <w:tab w:val="left" w:pos="134"/>
        </w:tabs>
        <w:spacing w:line="276" w:lineRule="auto"/>
        <w:ind w:left="134"/>
        <w:rPr>
          <w:sz w:val="22"/>
          <w:szCs w:val="22"/>
        </w:rPr>
      </w:pPr>
      <w:r w:rsidRPr="00DC72FA">
        <w:rPr>
          <w:sz w:val="22"/>
          <w:szCs w:val="22"/>
        </w:rPr>
        <w:t xml:space="preserve">Dilekçede; </w:t>
      </w:r>
    </w:p>
    <w:p w:rsidR="00997D2C" w:rsidRPr="00DC72FA" w:rsidRDefault="00997D2C" w:rsidP="00997D2C">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997D2C" w:rsidRPr="003D2B0D" w:rsidRDefault="00997D2C" w:rsidP="00997D2C">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997D2C" w:rsidRPr="00DC72FA" w:rsidRDefault="00997D2C" w:rsidP="00997D2C">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997D2C" w:rsidRPr="00DC72FA" w:rsidRDefault="00997D2C" w:rsidP="00997D2C">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997D2C" w:rsidRPr="003D2B0D" w:rsidRDefault="00997D2C" w:rsidP="00997D2C">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997D2C" w:rsidRPr="003D2B0D" w:rsidRDefault="00997D2C" w:rsidP="00997D2C">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997D2C" w:rsidRPr="003D2B0D" w:rsidRDefault="00997D2C" w:rsidP="00997D2C">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997D2C" w:rsidRPr="00DC72FA" w:rsidRDefault="00997D2C" w:rsidP="00997D2C">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997D2C" w:rsidRPr="00DC72FA" w:rsidRDefault="00997D2C" w:rsidP="00997D2C">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997D2C" w:rsidRPr="00DC72FA" w:rsidRDefault="00997D2C" w:rsidP="00997D2C">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997D2C" w:rsidRPr="00DC72FA" w:rsidRDefault="00997D2C" w:rsidP="00997D2C">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997D2C" w:rsidRPr="00DC72FA" w:rsidRDefault="00997D2C" w:rsidP="00997D2C">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997D2C" w:rsidRPr="00DC72FA" w:rsidRDefault="00997D2C" w:rsidP="00997D2C">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997D2C" w:rsidRPr="00CA6F4E" w:rsidRDefault="00997D2C" w:rsidP="00997D2C">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997D2C" w:rsidRPr="00DC72FA" w:rsidRDefault="00997D2C" w:rsidP="00997D2C">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997D2C" w:rsidRPr="00DC72FA" w:rsidRDefault="00997D2C" w:rsidP="00997D2C">
      <w:pPr>
        <w:widowControl w:val="0"/>
        <w:shd w:val="clear" w:color="auto" w:fill="FFFFFF"/>
        <w:tabs>
          <w:tab w:val="left" w:pos="254"/>
        </w:tabs>
        <w:overflowPunct/>
        <w:spacing w:line="276" w:lineRule="auto"/>
        <w:ind w:left="254"/>
        <w:textAlignment w:val="auto"/>
        <w:rPr>
          <w:sz w:val="22"/>
          <w:szCs w:val="22"/>
        </w:rPr>
      </w:pPr>
      <w:r>
        <w:rPr>
          <w:b/>
          <w:bCs/>
          <w:sz w:val="22"/>
          <w:szCs w:val="22"/>
        </w:rPr>
        <w:t>C</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997D2C" w:rsidRPr="00DC72FA" w:rsidRDefault="00997D2C" w:rsidP="00997D2C">
      <w:pPr>
        <w:pStyle w:val="ListeParagraf"/>
        <w:numPr>
          <w:ilvl w:val="0"/>
          <w:numId w:val="16"/>
        </w:numPr>
        <w:overflowPunct/>
        <w:spacing w:line="276" w:lineRule="auto"/>
        <w:ind w:left="254"/>
        <w:textAlignment w:val="auto"/>
        <w:rPr>
          <w:sz w:val="22"/>
          <w:szCs w:val="22"/>
        </w:rPr>
      </w:pPr>
      <w:r>
        <w:rPr>
          <w:b/>
          <w:bCs/>
          <w:sz w:val="22"/>
          <w:szCs w:val="22"/>
        </w:rPr>
        <w:t>C</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4</w:t>
      </w:r>
      <w:r w:rsidRPr="00DC72FA">
        <w:rPr>
          <w:b/>
          <w:bCs/>
          <w:sz w:val="22"/>
          <w:szCs w:val="22"/>
        </w:rPr>
        <w:t>.</w:t>
      </w:r>
      <w:r>
        <w:rPr>
          <w:b/>
          <w:bCs/>
          <w:sz w:val="22"/>
          <w:szCs w:val="22"/>
        </w:rPr>
        <w:t>35</w:t>
      </w:r>
      <w:r w:rsidRPr="00DC72FA">
        <w:rPr>
          <w:b/>
          <w:bCs/>
          <w:sz w:val="22"/>
          <w:szCs w:val="22"/>
        </w:rPr>
        <w:t>0 TL</w:t>
      </w:r>
      <w:r w:rsidRPr="00DC72FA">
        <w:rPr>
          <w:sz w:val="22"/>
          <w:szCs w:val="22"/>
        </w:rPr>
        <w:t xml:space="preserve"> (döner sermaye kodu </w:t>
      </w:r>
      <w:r>
        <w:rPr>
          <w:b/>
          <w:bCs/>
          <w:sz w:val="22"/>
          <w:szCs w:val="22"/>
        </w:rPr>
        <w:t>999</w:t>
      </w:r>
      <w:r>
        <w:rPr>
          <w:sz w:val="22"/>
          <w:szCs w:val="22"/>
        </w:rPr>
        <w:t>)</w:t>
      </w:r>
    </w:p>
    <w:p w:rsidR="00997D2C" w:rsidRPr="00DC72FA" w:rsidRDefault="00997D2C" w:rsidP="00997D2C">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C</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17</w:t>
      </w:r>
      <w:r w:rsidRPr="00DC72FA">
        <w:rPr>
          <w:b/>
          <w:bCs/>
          <w:sz w:val="22"/>
          <w:szCs w:val="22"/>
        </w:rPr>
        <w:t>.</w:t>
      </w:r>
      <w:r>
        <w:rPr>
          <w:b/>
          <w:bCs/>
          <w:sz w:val="22"/>
          <w:szCs w:val="22"/>
        </w:rPr>
        <w:t>00</w:t>
      </w:r>
      <w:r w:rsidRPr="00DC72FA">
        <w:rPr>
          <w:b/>
          <w:bCs/>
          <w:sz w:val="22"/>
          <w:szCs w:val="22"/>
        </w:rPr>
        <w:t>0 TL</w:t>
      </w:r>
      <w:r w:rsidRPr="00DC72FA">
        <w:rPr>
          <w:sz w:val="22"/>
          <w:szCs w:val="22"/>
        </w:rPr>
        <w:t xml:space="preserve"> (döner sermaye kodu </w:t>
      </w:r>
      <w:r>
        <w:rPr>
          <w:b/>
          <w:bCs/>
          <w:sz w:val="22"/>
          <w:szCs w:val="22"/>
        </w:rPr>
        <w:t>1007</w:t>
      </w:r>
      <w:r w:rsidRPr="00DC72FA">
        <w:rPr>
          <w:sz w:val="22"/>
          <w:szCs w:val="22"/>
        </w:rPr>
        <w:t>).</w:t>
      </w:r>
    </w:p>
    <w:p w:rsidR="00997D2C" w:rsidRPr="00DC72FA" w:rsidRDefault="00997D2C" w:rsidP="00997D2C">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997D2C" w:rsidRPr="00DC72FA" w:rsidRDefault="00997D2C" w:rsidP="00997D2C">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997D2C" w:rsidRPr="00DC72FA" w:rsidRDefault="00997D2C" w:rsidP="00997D2C">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997D2C" w:rsidRPr="00DC72FA" w:rsidRDefault="00997D2C" w:rsidP="00997D2C">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997D2C" w:rsidRPr="00DC72FA" w:rsidRDefault="00997D2C" w:rsidP="00997D2C">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997D2C" w:rsidRPr="00DC72FA" w:rsidRDefault="00997D2C" w:rsidP="00997D2C">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997D2C" w:rsidRPr="00DC72FA" w:rsidRDefault="00997D2C" w:rsidP="00997D2C">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997D2C" w:rsidRPr="00DC72FA" w:rsidRDefault="00997D2C" w:rsidP="00997D2C">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997D2C" w:rsidRPr="00DC72FA" w:rsidRDefault="00997D2C" w:rsidP="00997D2C">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997D2C" w:rsidRPr="00CE25D0" w:rsidRDefault="00997D2C" w:rsidP="00997D2C">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997D2C" w:rsidRPr="00DC72FA" w:rsidRDefault="00997D2C" w:rsidP="00997D2C">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997D2C" w:rsidRDefault="00997D2C" w:rsidP="00997D2C">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rsidR="00997D2C" w:rsidRPr="006F0522" w:rsidRDefault="006F0522" w:rsidP="00997D2C">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1" w:name="_Hlk60905289"/>
      <w:r w:rsidRPr="006F0522">
        <w:rPr>
          <w:bCs/>
          <w:spacing w:val="-2"/>
          <w:sz w:val="22"/>
          <w:szCs w:val="22"/>
        </w:rPr>
        <w:t xml:space="preserve">Bilgi için bkzn. </w:t>
      </w:r>
      <w:hyperlink r:id="rId10" w:history="1">
        <w:r w:rsidR="00997D2C" w:rsidRPr="006F0522">
          <w:rPr>
            <w:rStyle w:val="Kpr"/>
            <w:bCs/>
            <w:spacing w:val="-2"/>
            <w:sz w:val="22"/>
            <w:szCs w:val="22"/>
          </w:rPr>
          <w:t>İş Deneyim Belgeleri Hakkında Notlar</w:t>
        </w:r>
      </w:hyperlink>
      <w:bookmarkEnd w:id="1"/>
    </w:p>
    <w:p w:rsidR="00997D2C" w:rsidRPr="00DC72FA" w:rsidRDefault="00997D2C" w:rsidP="00997D2C">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997D2C" w:rsidRPr="00DC72FA" w:rsidRDefault="00997D2C" w:rsidP="00997D2C">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997D2C" w:rsidRPr="00DC72FA" w:rsidRDefault="00997D2C" w:rsidP="00997D2C">
      <w:pPr>
        <w:spacing w:line="276" w:lineRule="auto"/>
        <w:rPr>
          <w:sz w:val="22"/>
          <w:szCs w:val="22"/>
        </w:rPr>
      </w:pPr>
      <w:r>
        <w:rPr>
          <w:b/>
          <w:bCs/>
          <w:sz w:val="22"/>
          <w:szCs w:val="22"/>
          <w:shd w:val="clear" w:color="auto" w:fill="FFFFFF"/>
        </w:rPr>
        <w:t>C</w:t>
      </w:r>
      <w:r w:rsidRPr="00DC72FA">
        <w:rPr>
          <w:sz w:val="22"/>
          <w:szCs w:val="22"/>
          <w:shd w:val="clear" w:color="auto" w:fill="FFFFFF"/>
        </w:rPr>
        <w:t xml:space="preserve"> asgari iş deneyim tutarı : </w:t>
      </w:r>
      <w:r w:rsidR="002F4BAF">
        <w:rPr>
          <w:b/>
          <w:bCs/>
          <w:sz w:val="22"/>
          <w:szCs w:val="22"/>
          <w:shd w:val="clear" w:color="auto" w:fill="FFFFFF"/>
        </w:rPr>
        <w:t>71</w:t>
      </w:r>
      <w:r w:rsidRPr="00DC72FA">
        <w:rPr>
          <w:b/>
          <w:bCs/>
          <w:sz w:val="22"/>
          <w:szCs w:val="22"/>
        </w:rPr>
        <w:t>.</w:t>
      </w:r>
      <w:r w:rsidR="002F4BAF">
        <w:rPr>
          <w:b/>
          <w:bCs/>
          <w:sz w:val="22"/>
          <w:szCs w:val="22"/>
        </w:rPr>
        <w:t>550.0</w:t>
      </w:r>
      <w:r w:rsidRPr="00DC72FA">
        <w:rPr>
          <w:b/>
          <w:bCs/>
          <w:sz w:val="22"/>
          <w:szCs w:val="22"/>
        </w:rPr>
        <w:t>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997D2C" w:rsidRPr="00DC72FA" w:rsidRDefault="00997D2C" w:rsidP="00997D2C">
      <w:pPr>
        <w:spacing w:line="276" w:lineRule="auto"/>
        <w:rPr>
          <w:rStyle w:val="Kpr"/>
          <w:sz w:val="22"/>
          <w:szCs w:val="22"/>
        </w:rPr>
      </w:pPr>
      <w:r>
        <w:rPr>
          <w:b/>
          <w:bCs/>
          <w:sz w:val="22"/>
          <w:szCs w:val="22"/>
        </w:rPr>
        <w:t>C</w:t>
      </w:r>
      <w:r w:rsidRPr="00DC72FA">
        <w:rPr>
          <w:sz w:val="22"/>
          <w:szCs w:val="22"/>
        </w:rPr>
        <w:t xml:space="preserve"> tek projede üstlenebileceği iş tutarı : </w:t>
      </w:r>
      <w:r w:rsidR="002F4BAF">
        <w:rPr>
          <w:b/>
          <w:bCs/>
          <w:sz w:val="22"/>
          <w:szCs w:val="22"/>
          <w:shd w:val="clear" w:color="auto" w:fill="FFFFFF"/>
        </w:rPr>
        <w:t>71</w:t>
      </w:r>
      <w:r w:rsidRPr="00DC72FA">
        <w:rPr>
          <w:b/>
          <w:bCs/>
          <w:sz w:val="22"/>
          <w:szCs w:val="22"/>
        </w:rPr>
        <w:t>.</w:t>
      </w:r>
      <w:r w:rsidR="002F4BAF">
        <w:rPr>
          <w:b/>
          <w:bCs/>
          <w:sz w:val="22"/>
          <w:szCs w:val="22"/>
        </w:rPr>
        <w:t>550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rsidR="00997D2C" w:rsidRPr="00DC72FA" w:rsidRDefault="00997D2C" w:rsidP="00997D2C">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2F4BAF">
        <w:rPr>
          <w:sz w:val="22"/>
          <w:szCs w:val="22"/>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bookmarkEnd w:id="0"/>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5631C"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190C5A"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183D5"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01C08"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3F292"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F9FEF"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F47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C6C2F"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1821F"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5927"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F2" w:rsidRDefault="005907F2" w:rsidP="000A6C94">
      <w:r>
        <w:separator/>
      </w:r>
    </w:p>
  </w:endnote>
  <w:endnote w:type="continuationSeparator" w:id="0">
    <w:p w:rsidR="005907F2" w:rsidRDefault="005907F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F2" w:rsidRDefault="005907F2" w:rsidP="000A6C94">
      <w:r>
        <w:separator/>
      </w:r>
    </w:p>
  </w:footnote>
  <w:footnote w:type="continuationSeparator" w:id="0">
    <w:p w:rsidR="005907F2" w:rsidRDefault="005907F2"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2F4BA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34335"/>
    <w:rsid w:val="005444B6"/>
    <w:rsid w:val="005701FE"/>
    <w:rsid w:val="00572992"/>
    <w:rsid w:val="005736D8"/>
    <w:rsid w:val="00577E9A"/>
    <w:rsid w:val="00583D31"/>
    <w:rsid w:val="0058663A"/>
    <w:rsid w:val="005907F2"/>
    <w:rsid w:val="005A122A"/>
    <w:rsid w:val="005B027D"/>
    <w:rsid w:val="005B0484"/>
    <w:rsid w:val="005C0AE2"/>
    <w:rsid w:val="005E6D6B"/>
    <w:rsid w:val="005F3A07"/>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0522"/>
    <w:rsid w:val="006F7C56"/>
    <w:rsid w:val="00723E42"/>
    <w:rsid w:val="00724EFB"/>
    <w:rsid w:val="00725099"/>
    <w:rsid w:val="007311C9"/>
    <w:rsid w:val="00742333"/>
    <w:rsid w:val="00750845"/>
    <w:rsid w:val="00751D9A"/>
    <w:rsid w:val="00755552"/>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3973"/>
    <w:rsid w:val="008A6F2A"/>
    <w:rsid w:val="008B3798"/>
    <w:rsid w:val="008C1C20"/>
    <w:rsid w:val="008C3199"/>
    <w:rsid w:val="008D7F6A"/>
    <w:rsid w:val="00914EE5"/>
    <w:rsid w:val="0092344B"/>
    <w:rsid w:val="00936CEE"/>
    <w:rsid w:val="00941720"/>
    <w:rsid w:val="00952459"/>
    <w:rsid w:val="00962EF1"/>
    <w:rsid w:val="00983740"/>
    <w:rsid w:val="00991F48"/>
    <w:rsid w:val="00997D2C"/>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20F7B-28B4-49E9-8518-997072CA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997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5A68-03A9-4782-8106-BA9BBD3D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2560</Words>
  <Characters>14596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11</cp:revision>
  <cp:lastPrinted>2019-01-30T07:58:00Z</cp:lastPrinted>
  <dcterms:created xsi:type="dcterms:W3CDTF">2020-10-09T10:42:00Z</dcterms:created>
  <dcterms:modified xsi:type="dcterms:W3CDTF">2021-01-08T07:39:00Z</dcterms:modified>
</cp:coreProperties>
</file>