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5C" w:rsidRDefault="0032425C" w:rsidP="0032425C">
      <w:pPr>
        <w:pStyle w:val="KonuBal"/>
        <w:tabs>
          <w:tab w:val="clear" w:pos="7425"/>
          <w:tab w:val="left" w:pos="6840"/>
        </w:tabs>
        <w:jc w:val="left"/>
      </w:pPr>
      <w:r>
        <w:t xml:space="preserve">                                                                                                                 </w:t>
      </w:r>
      <w:r w:rsidR="00A55E65">
        <w:t xml:space="preserve">   </w:t>
      </w:r>
      <w:r>
        <w:t xml:space="preserve"> İLAN</w:t>
      </w:r>
    </w:p>
    <w:p w:rsidR="0032425C" w:rsidRDefault="0032425C" w:rsidP="0032425C">
      <w:pPr>
        <w:pStyle w:val="KonuBal"/>
        <w:tabs>
          <w:tab w:val="clear" w:pos="7425"/>
          <w:tab w:val="left" w:pos="6840"/>
        </w:tabs>
      </w:pPr>
      <w:r>
        <w:t>ÇAY KAYMAKAMLIĞINDAN</w:t>
      </w:r>
    </w:p>
    <w:p w:rsidR="0032425C" w:rsidRDefault="0032425C" w:rsidP="0032425C">
      <w:pPr>
        <w:pStyle w:val="KonuBal"/>
        <w:tabs>
          <w:tab w:val="clear" w:pos="7425"/>
          <w:tab w:val="left" w:pos="6840"/>
        </w:tabs>
      </w:pPr>
      <w:r>
        <w:t xml:space="preserve">(Milli Emlak Şefliği) </w:t>
      </w:r>
    </w:p>
    <w:p w:rsidR="0032425C" w:rsidRDefault="0032425C" w:rsidP="0032425C">
      <w:pPr>
        <w:pStyle w:val="KonuBal"/>
        <w:tabs>
          <w:tab w:val="clear" w:pos="7425"/>
          <w:tab w:val="left" w:pos="6840"/>
        </w:tabs>
      </w:pPr>
    </w:p>
    <w:p w:rsidR="0032425C" w:rsidRPr="001C0549" w:rsidRDefault="0032425C" w:rsidP="0032425C">
      <w:pPr>
        <w:pStyle w:val="KonuBal"/>
        <w:tabs>
          <w:tab w:val="clear" w:pos="7425"/>
          <w:tab w:val="left" w:pos="6840"/>
        </w:tabs>
        <w:rPr>
          <w:sz w:val="16"/>
          <w:szCs w:val="16"/>
        </w:rPr>
      </w:pPr>
      <w:r>
        <w:tab/>
      </w:r>
      <w:r w:rsidRPr="001C0549">
        <w:rPr>
          <w:sz w:val="16"/>
          <w:szCs w:val="16"/>
        </w:rPr>
        <w:t xml:space="preserve">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992"/>
        <w:gridCol w:w="850"/>
        <w:gridCol w:w="711"/>
        <w:gridCol w:w="540"/>
        <w:gridCol w:w="720"/>
        <w:gridCol w:w="1080"/>
        <w:gridCol w:w="1080"/>
        <w:gridCol w:w="1080"/>
        <w:gridCol w:w="1260"/>
        <w:gridCol w:w="1260"/>
        <w:gridCol w:w="1767"/>
      </w:tblGrid>
      <w:tr w:rsidR="0032425C" w:rsidRPr="004B324B" w:rsidTr="004906C4">
        <w:trPr>
          <w:trHeight w:val="284"/>
        </w:trPr>
        <w:tc>
          <w:tcPr>
            <w:tcW w:w="392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Sıra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Mahalle ve Köyü</w:t>
            </w:r>
          </w:p>
        </w:tc>
        <w:tc>
          <w:tcPr>
            <w:tcW w:w="992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Cinsi</w:t>
            </w:r>
          </w:p>
        </w:tc>
        <w:tc>
          <w:tcPr>
            <w:tcW w:w="85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Mevkii</w:t>
            </w:r>
          </w:p>
        </w:tc>
        <w:tc>
          <w:tcPr>
            <w:tcW w:w="711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Pafta</w:t>
            </w:r>
          </w:p>
        </w:tc>
        <w:tc>
          <w:tcPr>
            <w:tcW w:w="54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Ada</w:t>
            </w:r>
          </w:p>
        </w:tc>
        <w:tc>
          <w:tcPr>
            <w:tcW w:w="72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Parsel</w:t>
            </w:r>
          </w:p>
        </w:tc>
        <w:tc>
          <w:tcPr>
            <w:tcW w:w="108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Yüzölçümü</w:t>
            </w: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(m2)</w:t>
            </w:r>
          </w:p>
        </w:tc>
        <w:tc>
          <w:tcPr>
            <w:tcW w:w="108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Haz. Hissesi</w:t>
            </w:r>
          </w:p>
        </w:tc>
        <w:tc>
          <w:tcPr>
            <w:tcW w:w="1080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İmar Durumu</w:t>
            </w:r>
          </w:p>
        </w:tc>
        <w:tc>
          <w:tcPr>
            <w:tcW w:w="1260" w:type="dxa"/>
            <w:shd w:val="clear" w:color="auto" w:fill="auto"/>
          </w:tcPr>
          <w:p w:rsidR="0032425C" w:rsidRPr="004B324B" w:rsidRDefault="000C387B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(TL)</w:t>
            </w: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Tahmini Bedel</w:t>
            </w:r>
          </w:p>
        </w:tc>
        <w:tc>
          <w:tcPr>
            <w:tcW w:w="1260" w:type="dxa"/>
            <w:shd w:val="clear" w:color="auto" w:fill="auto"/>
          </w:tcPr>
          <w:p w:rsidR="0032425C" w:rsidRPr="004B324B" w:rsidRDefault="000C387B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(TL)</w:t>
            </w: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Geçici Teminat</w:t>
            </w:r>
          </w:p>
        </w:tc>
        <w:tc>
          <w:tcPr>
            <w:tcW w:w="1767" w:type="dxa"/>
            <w:shd w:val="clear" w:color="auto" w:fill="auto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</w:p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 w:rsidRPr="004B324B">
              <w:rPr>
                <w:sz w:val="16"/>
                <w:szCs w:val="16"/>
              </w:rPr>
              <w:t>İhale Tarih ve Saati</w:t>
            </w:r>
          </w:p>
        </w:tc>
      </w:tr>
      <w:tr w:rsidR="0032425C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25C" w:rsidRPr="004B324B" w:rsidRDefault="004B4FD1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425C" w:rsidRPr="004B324B" w:rsidRDefault="0032425C" w:rsidP="005B154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2425C" w:rsidRPr="004B324B" w:rsidRDefault="005B1548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C387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2425C" w:rsidRPr="004B324B" w:rsidRDefault="005B1548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2425C" w:rsidRPr="004B324B" w:rsidRDefault="005B1548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25C" w:rsidRPr="004B324B" w:rsidRDefault="005B1548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25C" w:rsidRPr="004B324B" w:rsidRDefault="0032425C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25C" w:rsidRPr="004B324B" w:rsidRDefault="000C387B" w:rsidP="004906C4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73B7"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11.000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425C" w:rsidRPr="004B324B" w:rsidRDefault="000C387B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65D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1.100,00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2425C" w:rsidRPr="004B324B" w:rsidRDefault="000C387B" w:rsidP="00A55E6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04.04.2024-</w:t>
            </w:r>
            <w:r w:rsidR="004906C4">
              <w:rPr>
                <w:sz w:val="20"/>
                <w:szCs w:val="20"/>
              </w:rPr>
              <w:t>08,45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227,500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22.750,00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-09,00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230,000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23.000,00</w:t>
            </w:r>
          </w:p>
        </w:tc>
        <w:tc>
          <w:tcPr>
            <w:tcW w:w="1767" w:type="dxa"/>
            <w:shd w:val="clear" w:color="auto" w:fill="auto"/>
          </w:tcPr>
          <w:p w:rsidR="00276568" w:rsidRDefault="004906C4" w:rsidP="004906C4">
            <w:r>
              <w:rPr>
                <w:sz w:val="20"/>
                <w:szCs w:val="20"/>
              </w:rPr>
              <w:t>04.04.2024-09,15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221,500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22.150,00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-09,30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Arazi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751,89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226,500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22,650,00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-09.45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234,500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23.450,00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-10,00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229,500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22.950,00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-10,15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Köy İçi 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</w:t>
            </w:r>
            <w:r>
              <w:rPr>
                <w:sz w:val="20"/>
                <w:szCs w:val="20"/>
              </w:rPr>
              <w:t>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230,000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23.000,00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-10,30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3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199,000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19.900,00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6A5802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-10,45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228,000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22.800,00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-11,00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</w:t>
            </w:r>
            <w:r>
              <w:rPr>
                <w:sz w:val="20"/>
                <w:szCs w:val="20"/>
              </w:rPr>
              <w:t>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227,000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22.700,00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-11,15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756,71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 w:rsidRPr="004B324B"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227,500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Pr="004B324B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22.750,00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-11,30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226,000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22.600,00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-11,45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221,500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22.150,00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-12,00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224,000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22.400,00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-12,15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Kadıköy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234,500</w:t>
            </w:r>
            <w:r w:rsidR="00497931">
              <w:rPr>
                <w:sz w:val="20"/>
                <w:szCs w:val="20"/>
              </w:rPr>
              <w:t>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23.450,00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-13,45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Cumhuriyet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İçi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Köy yerleşim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76568">
              <w:rPr>
                <w:sz w:val="20"/>
                <w:szCs w:val="20"/>
              </w:rPr>
              <w:t>368.000,00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36.800,00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-14,00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Deresinek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H.Toprak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20kııd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1028,48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4F73B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76568">
              <w:rPr>
                <w:sz w:val="20"/>
                <w:szCs w:val="20"/>
              </w:rPr>
              <w:t>206.500,00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76568">
              <w:rPr>
                <w:sz w:val="20"/>
                <w:szCs w:val="20"/>
              </w:rPr>
              <w:t>20.650,00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-14,15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Deresinek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H.toprak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Pınaraltı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20kıııa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76568">
              <w:rPr>
                <w:sz w:val="20"/>
                <w:szCs w:val="20"/>
              </w:rPr>
              <w:t>86.000,00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276568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065D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8.600.00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-14,30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Deresinek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Arsa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</w:t>
            </w:r>
            <w:r w:rsidR="00276568">
              <w:rPr>
                <w:sz w:val="20"/>
                <w:szCs w:val="20"/>
              </w:rPr>
              <w:t xml:space="preserve"> Yolu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20kııd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İmarlı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461E7">
              <w:rPr>
                <w:sz w:val="20"/>
                <w:szCs w:val="20"/>
              </w:rPr>
              <w:t>231,000,00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461E7">
              <w:rPr>
                <w:sz w:val="20"/>
                <w:szCs w:val="20"/>
              </w:rPr>
              <w:t>23.100,00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-14,45</w:t>
            </w:r>
          </w:p>
        </w:tc>
      </w:tr>
      <w:tr w:rsidR="00276568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276568" w:rsidRDefault="00276568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568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İnli Köyü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6568" w:rsidRPr="004B324B" w:rsidRDefault="005461E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568" w:rsidRPr="004B324B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Kabakır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76568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76568" w:rsidRPr="004B324B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568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6568" w:rsidRPr="004B324B" w:rsidRDefault="000B7DFA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4F73B7" w:rsidP="00276568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B7DFA">
              <w:rPr>
                <w:sz w:val="20"/>
                <w:szCs w:val="20"/>
              </w:rPr>
              <w:t>293,000,00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6568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B7DFA">
              <w:rPr>
                <w:sz w:val="20"/>
                <w:szCs w:val="20"/>
              </w:rPr>
              <w:t>29.300,00</w:t>
            </w:r>
          </w:p>
        </w:tc>
        <w:tc>
          <w:tcPr>
            <w:tcW w:w="1767" w:type="dxa"/>
            <w:shd w:val="clear" w:color="auto" w:fill="auto"/>
          </w:tcPr>
          <w:p w:rsidR="00276568" w:rsidRDefault="00276568" w:rsidP="00276568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-15,00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1B167A">
              <w:rPr>
                <w:sz w:val="20"/>
                <w:szCs w:val="20"/>
              </w:rPr>
              <w:t>İnli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Kabakır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F73B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B7DFA">
              <w:rPr>
                <w:sz w:val="20"/>
                <w:szCs w:val="20"/>
              </w:rPr>
              <w:t>245.500,00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B7DF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="000B7DFA">
              <w:rPr>
                <w:sz w:val="20"/>
                <w:szCs w:val="20"/>
              </w:rPr>
              <w:t>550,00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-15,15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1B167A">
              <w:rPr>
                <w:sz w:val="20"/>
                <w:szCs w:val="20"/>
              </w:rPr>
              <w:t>İnli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Kabakır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97931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73B7">
              <w:rPr>
                <w:sz w:val="20"/>
                <w:szCs w:val="20"/>
              </w:rPr>
              <w:t xml:space="preserve">   </w:t>
            </w:r>
            <w:r w:rsidR="000B7DFA">
              <w:rPr>
                <w:sz w:val="20"/>
                <w:szCs w:val="20"/>
              </w:rPr>
              <w:t>541.000,00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B7DFA">
              <w:rPr>
                <w:sz w:val="20"/>
                <w:szCs w:val="20"/>
              </w:rPr>
              <w:t>54.100,00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-15,30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1B167A">
              <w:rPr>
                <w:sz w:val="20"/>
                <w:szCs w:val="20"/>
              </w:rPr>
              <w:t>İnli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d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57.460,00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F73B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7DFA">
              <w:rPr>
                <w:sz w:val="20"/>
                <w:szCs w:val="20"/>
              </w:rPr>
              <w:t>1.450.000,00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B7DFA">
              <w:rPr>
                <w:sz w:val="20"/>
                <w:szCs w:val="20"/>
              </w:rPr>
              <w:t>145,000,00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-15,45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Maltepe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Aktaş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F73B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7DFA">
              <w:rPr>
                <w:sz w:val="20"/>
                <w:szCs w:val="20"/>
              </w:rPr>
              <w:t>1.000.000,00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B7DFA">
              <w:rPr>
                <w:sz w:val="20"/>
                <w:szCs w:val="20"/>
              </w:rPr>
              <w:t>100.000,00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-16,00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A61DF0">
              <w:rPr>
                <w:sz w:val="20"/>
                <w:szCs w:val="20"/>
              </w:rPr>
              <w:t>Maltepe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Oburcak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B7DFA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500,000,00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B7DFA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065D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50,000,00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-16,15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A61DF0">
              <w:rPr>
                <w:sz w:val="20"/>
                <w:szCs w:val="20"/>
              </w:rPr>
              <w:t>Maltepe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Oburcak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700,000,00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906C4">
              <w:rPr>
                <w:sz w:val="20"/>
                <w:szCs w:val="20"/>
              </w:rPr>
              <w:t>70,000,00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-16,30</w:t>
            </w:r>
          </w:p>
        </w:tc>
      </w:tr>
      <w:tr w:rsidR="005461E7" w:rsidRPr="004B324B" w:rsidTr="004906C4">
        <w:trPr>
          <w:trHeight w:val="284"/>
        </w:trPr>
        <w:tc>
          <w:tcPr>
            <w:tcW w:w="392" w:type="dxa"/>
            <w:shd w:val="clear" w:color="auto" w:fill="auto"/>
            <w:vAlign w:val="center"/>
          </w:tcPr>
          <w:p w:rsidR="005461E7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5461E7" w:rsidRDefault="005461E7" w:rsidP="005461E7">
            <w:r w:rsidRPr="00A61DF0">
              <w:rPr>
                <w:sz w:val="20"/>
                <w:szCs w:val="20"/>
              </w:rPr>
              <w:t>Maltepe Köyü</w:t>
            </w:r>
          </w:p>
        </w:tc>
        <w:tc>
          <w:tcPr>
            <w:tcW w:w="992" w:type="dxa"/>
            <w:shd w:val="clear" w:color="auto" w:fill="auto"/>
          </w:tcPr>
          <w:p w:rsidR="005461E7" w:rsidRDefault="005461E7" w:rsidP="005461E7">
            <w:r w:rsidRPr="0029260A">
              <w:rPr>
                <w:sz w:val="20"/>
                <w:szCs w:val="20"/>
              </w:rPr>
              <w:t>Tarla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1E7" w:rsidRPr="004B324B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Oburcak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461E7" w:rsidRPr="004B324B" w:rsidRDefault="005461E7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61E7" w:rsidRPr="004B324B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İmarsız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4906C4" w:rsidP="005461E7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500,000,00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1E7" w:rsidRDefault="000065D5" w:rsidP="000065D5">
            <w:pPr>
              <w:pStyle w:val="GvdeMetni"/>
              <w:tabs>
                <w:tab w:val="left" w:pos="2190"/>
                <w:tab w:val="left" w:pos="3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906C4">
              <w:rPr>
                <w:sz w:val="20"/>
                <w:szCs w:val="20"/>
              </w:rPr>
              <w:t>50.000,00</w:t>
            </w:r>
          </w:p>
        </w:tc>
        <w:tc>
          <w:tcPr>
            <w:tcW w:w="1767" w:type="dxa"/>
            <w:shd w:val="clear" w:color="auto" w:fill="auto"/>
          </w:tcPr>
          <w:p w:rsidR="005461E7" w:rsidRDefault="005461E7" w:rsidP="005461E7">
            <w:r w:rsidRPr="0081258F">
              <w:rPr>
                <w:sz w:val="20"/>
                <w:szCs w:val="20"/>
              </w:rPr>
              <w:t>04.04.2024</w:t>
            </w:r>
            <w:r w:rsidR="004906C4">
              <w:rPr>
                <w:sz w:val="20"/>
                <w:szCs w:val="20"/>
              </w:rPr>
              <w:t>-16,45</w:t>
            </w:r>
          </w:p>
        </w:tc>
      </w:tr>
    </w:tbl>
    <w:p w:rsidR="0032425C" w:rsidRDefault="00393E99" w:rsidP="0032425C">
      <w:pPr>
        <w:pStyle w:val="GvdeMetni"/>
        <w:rPr>
          <w:sz w:val="16"/>
        </w:rPr>
      </w:pPr>
      <w:r>
        <w:rPr>
          <w:sz w:val="16"/>
        </w:rPr>
        <w:t xml:space="preserve">     </w:t>
      </w:r>
      <w:r w:rsidR="0032425C">
        <w:rPr>
          <w:sz w:val="16"/>
        </w:rPr>
        <w:t xml:space="preserve"> Yukarıda özellikleri , tahmini bedeli Geçici teminatı yazılı Afyonkarahisar ili Çay ilçesi</w:t>
      </w:r>
      <w:r w:rsidR="004E6791">
        <w:rPr>
          <w:sz w:val="16"/>
        </w:rPr>
        <w:t>ne</w:t>
      </w:r>
      <w:r w:rsidR="0032425C">
        <w:rPr>
          <w:sz w:val="16"/>
        </w:rPr>
        <w:t xml:space="preserve">  bağlı  Köylerde   Hazineye ait taşınmazların 4706 sayılı yasa ile değişik 2886 Sayılı Devlet İhale Kanununun </w:t>
      </w:r>
    </w:p>
    <w:p w:rsidR="004906C4" w:rsidRDefault="0032425C" w:rsidP="00393E99">
      <w:pPr>
        <w:pStyle w:val="GvdeMetni"/>
        <w:tabs>
          <w:tab w:val="left" w:pos="12333"/>
        </w:tabs>
        <w:rPr>
          <w:sz w:val="16"/>
        </w:rPr>
      </w:pPr>
      <w:r>
        <w:rPr>
          <w:sz w:val="16"/>
        </w:rPr>
        <w:t xml:space="preserve">          45. Maddesine göre Açık Teklif Usulü ile (Açık Arttırma) satış işine ait ihaleleri hizalarında gösterilen gün ve saatte Çay M</w:t>
      </w:r>
      <w:r w:rsidR="00393E99">
        <w:rPr>
          <w:sz w:val="16"/>
        </w:rPr>
        <w:t>illi Emlak Şefliğinde</w:t>
      </w:r>
      <w:r w:rsidR="004906C4">
        <w:rPr>
          <w:sz w:val="16"/>
        </w:rPr>
        <w:t xml:space="preserve"> (ilçe Tarım ve Orman Müdürlüğü hizmet binası) </w:t>
      </w:r>
      <w:r w:rsidR="00393E99">
        <w:rPr>
          <w:sz w:val="16"/>
        </w:rPr>
        <w:t xml:space="preserve">  teşekkül </w:t>
      </w:r>
      <w:r>
        <w:rPr>
          <w:sz w:val="16"/>
        </w:rPr>
        <w:t xml:space="preserve">edecek </w:t>
      </w:r>
    </w:p>
    <w:p w:rsidR="0032425C" w:rsidRDefault="004906C4" w:rsidP="00393E99">
      <w:pPr>
        <w:pStyle w:val="GvdeMetni"/>
        <w:tabs>
          <w:tab w:val="left" w:pos="12333"/>
        </w:tabs>
        <w:rPr>
          <w:sz w:val="16"/>
        </w:rPr>
      </w:pPr>
      <w:r>
        <w:rPr>
          <w:sz w:val="16"/>
        </w:rPr>
        <w:t xml:space="preserve">         </w:t>
      </w:r>
      <w:r w:rsidR="0032425C">
        <w:rPr>
          <w:sz w:val="16"/>
        </w:rPr>
        <w:t>Komisyonca yapılacaktır.</w:t>
      </w:r>
    </w:p>
    <w:tbl>
      <w:tblPr>
        <w:tblW w:w="167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6"/>
        <w:gridCol w:w="718"/>
        <w:gridCol w:w="711"/>
        <w:gridCol w:w="706"/>
        <w:gridCol w:w="700"/>
        <w:gridCol w:w="696"/>
        <w:gridCol w:w="691"/>
        <w:gridCol w:w="688"/>
        <w:gridCol w:w="684"/>
        <w:gridCol w:w="5218"/>
        <w:gridCol w:w="634"/>
        <w:gridCol w:w="3105"/>
        <w:gridCol w:w="1060"/>
      </w:tblGrid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lastRenderedPageBreak/>
              <w:t>1-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İhale ile ilgili dosya ve şartname mesai saatleri içerisinde Milli Emlak Şefliğinde bedelsiz olarak görülebilir.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2-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Satışı yapılan taşınmaz maldan; KDV alınmayacaktır, satış ve devir işlemleri ile bu işlemler sırasında düzenlenen belgeler vergi, resim ve harçtan müstesnadır, 5 yıl süre ile Emlak Vergisine tabi değildir.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3-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 xml:space="preserve">4706 sayılı Kanunun 4916 sayılı Kanunla değişik 5 inci maddesi gereğince talep edilmesi halinde Hazineye ait taşınmaz malların satış tutarı, Belediye ve mücavir alan sınırları içerisinde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5.000,00 TL'yi, bu sınırlar dışında ise 1.000,00 TL yi geçtiği taktir</w:t>
            </w:r>
            <w:r>
              <w:rPr>
                <w:sz w:val="18"/>
                <w:szCs w:val="18"/>
              </w:rPr>
              <w:t xml:space="preserve"> </w:t>
            </w:r>
            <w:r w:rsidRPr="00393E99">
              <w:rPr>
                <w:sz w:val="18"/>
                <w:szCs w:val="18"/>
              </w:rPr>
              <w:t>de satış bedelinin 1/4'ü peşin kalanı 3'er aylık dönemler halinde en fazla 2 yılda 8 eşit taksite kanuni faiz oranı uygulanmak suretiyle ödenebilecektir.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4-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 xml:space="preserve">İhaleye katılabilmek için;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a)</w:t>
            </w:r>
          </w:p>
        </w:tc>
        <w:tc>
          <w:tcPr>
            <w:tcW w:w="1527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İsteklilerin geçici teminatı yatırdıklarına dair makbuz veya süresiz</w:t>
            </w:r>
            <w:r>
              <w:rPr>
                <w:sz w:val="18"/>
                <w:szCs w:val="18"/>
              </w:rPr>
              <w:t xml:space="preserve"> </w:t>
            </w:r>
            <w:r w:rsidRPr="00393E99">
              <w:rPr>
                <w:sz w:val="18"/>
                <w:szCs w:val="18"/>
              </w:rPr>
              <w:t xml:space="preserve">banka teminat mektubunu (2886 S.K. Maddesi gereği geçici, süresiz, limit içi olmalı ve </w:t>
            </w:r>
            <w:r>
              <w:rPr>
                <w:sz w:val="18"/>
                <w:szCs w:val="18"/>
              </w:rPr>
              <w:t>banka teyit yazısı ile ibraz ed</w:t>
            </w:r>
            <w:r w:rsidRPr="00393E99">
              <w:rPr>
                <w:sz w:val="18"/>
                <w:szCs w:val="18"/>
              </w:rPr>
              <w:t xml:space="preserve">ilmesi gerekmektedir) Nüfus Müdürlüğünden veya E-Devlet üzerinden alınmış Kanuni İkametgâh İlmühaberi, Nüfus Cüzdanı sureti veya fotokopisi,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b)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4906C4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Özel Hukuk Tüzel Kişilerinde 202</w:t>
            </w:r>
            <w:r w:rsidR="004906C4">
              <w:rPr>
                <w:sz w:val="18"/>
                <w:szCs w:val="18"/>
              </w:rPr>
              <w:t>4</w:t>
            </w:r>
            <w:r w:rsidRPr="00393E99">
              <w:rPr>
                <w:sz w:val="18"/>
                <w:szCs w:val="18"/>
              </w:rPr>
              <w:t xml:space="preserve"> yılı vizeli Ticaret Odası meslek Odası sicil kaydı ile ihaleye katılacak kişi için düzenlenmiş Noter tasdikli yetki belgesi ve imza sürgüsü,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c)</w:t>
            </w:r>
          </w:p>
        </w:tc>
        <w:tc>
          <w:tcPr>
            <w:tcW w:w="11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Gerçek şahıslar adına vekâleten katılacakların Noter tasdikli vekâletnamesi ve imza sürgüsü ile Komisyon huzurunda hazır bulunmaları gerekir.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5-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Komisyon gerekçesi kararda belirtmek suretiyle ihaleyi yapıp yapmamakta serbesttir. Komisyonların ihale yapmama kararı kesindir.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6-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İstekliler ihale saatine kadar ihale Komisyonuna ulaşması kaydıyla Devlet İhale Kanununa göre hazırlayacaklar teklif mektuplarını posta ile gönderebilirler. Posta</w:t>
            </w:r>
            <w:r>
              <w:rPr>
                <w:sz w:val="18"/>
                <w:szCs w:val="18"/>
              </w:rPr>
              <w:t>’</w:t>
            </w:r>
            <w:r w:rsidRPr="00393E99">
              <w:rPr>
                <w:sz w:val="18"/>
                <w:szCs w:val="18"/>
              </w:rPr>
              <w:t>da  olan gecikme dikkate alınmaz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7-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09.04.2021 tarihinde yayımlanan 31449 sayılı Resmi Gazetede Çevre Ve Şehircilik Bakanlığı Döner Sermayesi İşletmesi Yönet</w:t>
            </w:r>
            <w:r>
              <w:rPr>
                <w:sz w:val="18"/>
                <w:szCs w:val="18"/>
              </w:rPr>
              <w:t>m</w:t>
            </w:r>
            <w:r w:rsidRPr="00393E99">
              <w:rPr>
                <w:sz w:val="18"/>
                <w:szCs w:val="18"/>
              </w:rPr>
              <w:t>eliğin</w:t>
            </w:r>
            <w:r>
              <w:rPr>
                <w:sz w:val="18"/>
                <w:szCs w:val="18"/>
              </w:rPr>
              <w:t xml:space="preserve"> </w:t>
            </w:r>
            <w:r w:rsidRPr="00393E99">
              <w:rPr>
                <w:sz w:val="18"/>
                <w:szCs w:val="18"/>
              </w:rPr>
              <w:t>de Değişiklik Yapılmasına Dair Yönetmeliğin 7. maddesi hükmüne göre Hazine Taşınmazlarının satış işlemlerinden,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5 Milyon TL'ye kadar olan kı</w:t>
            </w:r>
            <w:r>
              <w:rPr>
                <w:sz w:val="18"/>
                <w:szCs w:val="18"/>
              </w:rPr>
              <w:t>s</w:t>
            </w:r>
            <w:r w:rsidRPr="00393E99">
              <w:rPr>
                <w:sz w:val="18"/>
                <w:szCs w:val="18"/>
              </w:rPr>
              <w:t>mı için %1 (yüzdebir)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5 Milyon TL'den 10 Milyon TL'ye kadar olan kısmı için %0,5 (binde beş)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10 Milyon TL'yi aşan kısmı için %0,25</w:t>
            </w:r>
            <w:r>
              <w:rPr>
                <w:sz w:val="18"/>
                <w:szCs w:val="18"/>
              </w:rPr>
              <w:t xml:space="preserve"> </w:t>
            </w:r>
            <w:r w:rsidRPr="00393E9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on</w:t>
            </w:r>
            <w:r w:rsidRPr="00393E99">
              <w:rPr>
                <w:sz w:val="18"/>
                <w:szCs w:val="18"/>
              </w:rPr>
              <w:t xml:space="preserve">binde yirmi beş)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Satış bedeli için ayrıca döner sermaye ücreti tahsil edilecektir.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8-</w:t>
            </w:r>
          </w:p>
        </w:tc>
        <w:tc>
          <w:tcPr>
            <w:tcW w:w="163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 xml:space="preserve">Taşınmazın satış ihale bedelinin peşin olarak ödenmesi halinde, ihale satış bedeline %20 indirim uygulanacaktır. </w:t>
            </w:r>
          </w:p>
        </w:tc>
      </w:tr>
      <w:tr w:rsidR="00393E99" w:rsidRPr="00393E99" w:rsidTr="00393E99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9-</w:t>
            </w:r>
          </w:p>
        </w:tc>
        <w:tc>
          <w:tcPr>
            <w:tcW w:w="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rPr>
                <w:sz w:val="18"/>
                <w:szCs w:val="18"/>
              </w:rPr>
            </w:pPr>
            <w:r w:rsidRPr="00393E99">
              <w:rPr>
                <w:sz w:val="18"/>
                <w:szCs w:val="18"/>
              </w:rPr>
              <w:t xml:space="preserve">Türkiye genelinde ihale bilgileri http://www.milliemlak.gov.tr adresinden öğrenilebilir.                                                                                       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b/>
                <w:bCs/>
                <w:sz w:val="20"/>
                <w:szCs w:val="20"/>
              </w:rPr>
            </w:pPr>
            <w:r w:rsidRPr="00393E99">
              <w:rPr>
                <w:b/>
                <w:bCs/>
                <w:sz w:val="20"/>
                <w:szCs w:val="20"/>
              </w:rPr>
              <w:t>İLAN OLUNUR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9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93E99" w:rsidRPr="00393E99" w:rsidTr="00393E99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color w:val="000000"/>
                <w:sz w:val="18"/>
                <w:szCs w:val="18"/>
              </w:rPr>
            </w:pPr>
            <w:r w:rsidRPr="00393E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E99" w:rsidRPr="00393E99" w:rsidRDefault="00393E99" w:rsidP="0039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3E99" w:rsidRPr="00393E99" w:rsidRDefault="00393E99" w:rsidP="00393E99">
            <w:pPr>
              <w:jc w:val="center"/>
              <w:rPr>
                <w:b/>
                <w:bCs/>
                <w:sz w:val="18"/>
                <w:szCs w:val="18"/>
              </w:rPr>
            </w:pPr>
            <w:r w:rsidRPr="00393E99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32425C" w:rsidRDefault="0032425C" w:rsidP="0032425C">
      <w:pPr>
        <w:ind w:right="-1613"/>
        <w:rPr>
          <w:sz w:val="16"/>
        </w:rPr>
      </w:pPr>
    </w:p>
    <w:p w:rsidR="0032425C" w:rsidRDefault="0032425C" w:rsidP="00393E99">
      <w:pPr>
        <w:ind w:right="-1613"/>
        <w:rPr>
          <w:sz w:val="16"/>
        </w:rPr>
      </w:pPr>
      <w:r>
        <w:rPr>
          <w:sz w:val="16"/>
        </w:rPr>
        <w:t xml:space="preserve">    </w:t>
      </w:r>
      <w:r w:rsidR="00393E99">
        <w:rPr>
          <w:sz w:val="16"/>
        </w:rPr>
        <w:t xml:space="preserve"> </w:t>
      </w:r>
    </w:p>
    <w:p w:rsidR="0032425C" w:rsidRDefault="0032425C" w:rsidP="0032425C">
      <w:pPr>
        <w:ind w:right="-1613"/>
        <w:rPr>
          <w:sz w:val="16"/>
        </w:rPr>
      </w:pPr>
      <w:r>
        <w:rPr>
          <w:sz w:val="16"/>
        </w:rPr>
        <w:t xml:space="preserve">                          İLAN OLUNUR.</w:t>
      </w:r>
    </w:p>
    <w:p w:rsidR="00DB7C95" w:rsidRPr="004A7D24" w:rsidRDefault="00DB7C95" w:rsidP="00DB7C95">
      <w:pPr>
        <w:tabs>
          <w:tab w:val="left" w:pos="12555"/>
        </w:tabs>
      </w:pPr>
    </w:p>
    <w:sectPr w:rsidR="00DB7C95" w:rsidRPr="004A7D24" w:rsidSect="002D7075">
      <w:pgSz w:w="16839" w:h="11907" w:orient="landscape" w:code="9"/>
      <w:pgMar w:top="567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9A" w:rsidRDefault="007D7C9A" w:rsidP="00693E69">
      <w:r>
        <w:separator/>
      </w:r>
    </w:p>
  </w:endnote>
  <w:endnote w:type="continuationSeparator" w:id="0">
    <w:p w:rsidR="007D7C9A" w:rsidRDefault="007D7C9A" w:rsidP="0069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9A" w:rsidRDefault="007D7C9A" w:rsidP="00693E69">
      <w:r>
        <w:separator/>
      </w:r>
    </w:p>
  </w:footnote>
  <w:footnote w:type="continuationSeparator" w:id="0">
    <w:p w:rsidR="007D7C9A" w:rsidRDefault="007D7C9A" w:rsidP="0069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19"/>
    <w:rsid w:val="000065D5"/>
    <w:rsid w:val="00021DD5"/>
    <w:rsid w:val="00025256"/>
    <w:rsid w:val="000B7DFA"/>
    <w:rsid w:val="000C387B"/>
    <w:rsid w:val="00151626"/>
    <w:rsid w:val="001F27CB"/>
    <w:rsid w:val="00216597"/>
    <w:rsid w:val="00276568"/>
    <w:rsid w:val="00286BE4"/>
    <w:rsid w:val="00291C77"/>
    <w:rsid w:val="002D7075"/>
    <w:rsid w:val="002F09CF"/>
    <w:rsid w:val="0032425C"/>
    <w:rsid w:val="00393E99"/>
    <w:rsid w:val="004906C4"/>
    <w:rsid w:val="00497931"/>
    <w:rsid w:val="004A7D24"/>
    <w:rsid w:val="004B4FD1"/>
    <w:rsid w:val="004E6791"/>
    <w:rsid w:val="004F73B7"/>
    <w:rsid w:val="00534200"/>
    <w:rsid w:val="005461E7"/>
    <w:rsid w:val="005B1548"/>
    <w:rsid w:val="005B1FE1"/>
    <w:rsid w:val="005C131D"/>
    <w:rsid w:val="005D022A"/>
    <w:rsid w:val="00693E69"/>
    <w:rsid w:val="006A2715"/>
    <w:rsid w:val="00760E2E"/>
    <w:rsid w:val="0077755E"/>
    <w:rsid w:val="007905F6"/>
    <w:rsid w:val="007D7C9A"/>
    <w:rsid w:val="007F5AF9"/>
    <w:rsid w:val="00867610"/>
    <w:rsid w:val="008F3E9A"/>
    <w:rsid w:val="00943861"/>
    <w:rsid w:val="009818BB"/>
    <w:rsid w:val="009A49B2"/>
    <w:rsid w:val="00A107AA"/>
    <w:rsid w:val="00A30DE6"/>
    <w:rsid w:val="00A55E65"/>
    <w:rsid w:val="00A73DB3"/>
    <w:rsid w:val="00B415C9"/>
    <w:rsid w:val="00B922E8"/>
    <w:rsid w:val="00BC5868"/>
    <w:rsid w:val="00BD6D05"/>
    <w:rsid w:val="00C01485"/>
    <w:rsid w:val="00C87E0E"/>
    <w:rsid w:val="00D86999"/>
    <w:rsid w:val="00D92576"/>
    <w:rsid w:val="00DB7C95"/>
    <w:rsid w:val="00EB5119"/>
    <w:rsid w:val="00EE3438"/>
    <w:rsid w:val="00F52BE8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8496"/>
  <w15:docId w15:val="{FEA069C3-DA0A-405B-BCC3-FC2C6E9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E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93E69"/>
  </w:style>
  <w:style w:type="paragraph" w:styleId="AltBilgi">
    <w:name w:val="footer"/>
    <w:basedOn w:val="Normal"/>
    <w:link w:val="AltBilgiChar"/>
    <w:uiPriority w:val="99"/>
    <w:unhideWhenUsed/>
    <w:rsid w:val="00693E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93E69"/>
  </w:style>
  <w:style w:type="paragraph" w:styleId="KonuBal">
    <w:name w:val="Title"/>
    <w:basedOn w:val="Normal"/>
    <w:link w:val="KonuBalChar"/>
    <w:qFormat/>
    <w:rsid w:val="0032425C"/>
    <w:pPr>
      <w:tabs>
        <w:tab w:val="left" w:pos="7425"/>
      </w:tabs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32425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32425C"/>
    <w:pPr>
      <w:ind w:right="-1793"/>
    </w:pPr>
  </w:style>
  <w:style w:type="character" w:customStyle="1" w:styleId="GvdeMetniChar">
    <w:name w:val="Gövde Metni Char"/>
    <w:basedOn w:val="VarsaylanParagrafYazTipi"/>
    <w:link w:val="GvdeMetni"/>
    <w:rsid w:val="003242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32425C"/>
    <w:pPr>
      <w:ind w:right="-713"/>
    </w:pPr>
    <w:rPr>
      <w:sz w:val="16"/>
    </w:rPr>
  </w:style>
  <w:style w:type="character" w:customStyle="1" w:styleId="GvdeMetni2Char">
    <w:name w:val="Gövde Metni 2 Char"/>
    <w:basedOn w:val="VarsaylanParagrafYazTipi"/>
    <w:link w:val="GvdeMetni2"/>
    <w:rsid w:val="0032425C"/>
    <w:rPr>
      <w:rFonts w:ascii="Times New Roman" w:eastAsia="Times New Roman" w:hAnsi="Times New Roman" w:cs="Times New Roman"/>
      <w:sz w:val="1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06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6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Adm06</dc:creator>
  <cp:lastModifiedBy>Bayram KARATAŞ</cp:lastModifiedBy>
  <cp:revision>25</cp:revision>
  <cp:lastPrinted>2024-03-12T06:05:00Z</cp:lastPrinted>
  <dcterms:created xsi:type="dcterms:W3CDTF">2019-10-07T11:49:00Z</dcterms:created>
  <dcterms:modified xsi:type="dcterms:W3CDTF">2024-03-12T12:45:00Z</dcterms:modified>
</cp:coreProperties>
</file>