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24" w:rsidRDefault="006E4224" w:rsidP="006E4224">
      <w:pPr>
        <w:pStyle w:val="NormalWeb"/>
        <w:jc w:val="both"/>
      </w:pPr>
      <w:proofErr w:type="gramStart"/>
      <w:r>
        <w:t xml:space="preserve">Bilindiği üzere atık yağların geçici depolanmasına, toplanmasına, taşınmasına, </w:t>
      </w:r>
      <w:proofErr w:type="spellStart"/>
      <w:r>
        <w:t>rafinasyona</w:t>
      </w:r>
      <w:proofErr w:type="spellEnd"/>
      <w:r>
        <w:t xml:space="preserve"> tabi tutulmasına, enerji geri kazanımının sağlanmasına ve bertaraf edilmesine ilişkin teknik ve idari esasların belirlenerek çevre ve insan sağlığının korunması ile doğal kaynakların verimli kullanımının sağlanmasına ilişkin usul ve esaslar 21/12/2019 tarihli ve 30985 sayılı Resmi </w:t>
      </w:r>
      <w:proofErr w:type="spellStart"/>
      <w:r>
        <w:t>Gazete'de</w:t>
      </w:r>
      <w:proofErr w:type="spellEnd"/>
      <w:r>
        <w:t xml:space="preserve"> yayımlanan Atık Yağların Yönetimi Yönetmeliği ile belirlenmiştir.</w:t>
      </w:r>
      <w:proofErr w:type="gramEnd"/>
    </w:p>
    <w:p w:rsidR="006E4224" w:rsidRDefault="006E4224" w:rsidP="006E4224">
      <w:pPr>
        <w:pStyle w:val="NormalWeb"/>
        <w:jc w:val="both"/>
      </w:pPr>
    </w:p>
    <w:p w:rsidR="006E4224" w:rsidRDefault="006E4224" w:rsidP="006E4224">
      <w:pPr>
        <w:pStyle w:val="NormalWeb"/>
        <w:jc w:val="both"/>
      </w:pPr>
      <w:r>
        <w:t xml:space="preserve">Yayımlanan Yönetmelik ile; atık yağlardan </w:t>
      </w:r>
      <w:proofErr w:type="gramStart"/>
      <w:r>
        <w:t>baz</w:t>
      </w:r>
      <w:proofErr w:type="gramEnd"/>
      <w:r>
        <w:t xml:space="preserve"> yağ üretimine ilişkin olarak katma değeri yüksek ürünlerin elde edilebileceği yüksek verimli atık yağ </w:t>
      </w:r>
      <w:proofErr w:type="spellStart"/>
      <w:r>
        <w:t>rafinasyon</w:t>
      </w:r>
      <w:proofErr w:type="spellEnd"/>
      <w:r>
        <w:t xml:space="preserve"> tesislerin kurulması ve mevcut tesislerin iyileştirilmesi, atık yağ toplama oranlarının arttırılması, mevzuata uyum sağlanması ve atık yağların yönetiminin daha etkin hale getirilmesi amaçlanmaktadır.</w:t>
      </w:r>
    </w:p>
    <w:p w:rsidR="006E4224" w:rsidRDefault="006E4224" w:rsidP="006E4224">
      <w:pPr>
        <w:pStyle w:val="NormalWeb"/>
        <w:jc w:val="both"/>
      </w:pPr>
    </w:p>
    <w:p w:rsidR="006E4224" w:rsidRDefault="006E4224" w:rsidP="006E4224">
      <w:pPr>
        <w:pStyle w:val="NormalWeb"/>
        <w:jc w:val="both"/>
      </w:pPr>
      <w:r>
        <w:t xml:space="preserve">Atık yağlardan </w:t>
      </w:r>
      <w:proofErr w:type="gramStart"/>
      <w:r>
        <w:t>baz</w:t>
      </w:r>
      <w:proofErr w:type="gramEnd"/>
      <w:r>
        <w:t xml:space="preserve"> yağ üretimine ilişkin olarak katma değeri yüksek ürünlerin elde edilebileceği yüksek verimli atık yağ </w:t>
      </w:r>
      <w:proofErr w:type="spellStart"/>
      <w:r>
        <w:t>rafinasyon</w:t>
      </w:r>
      <w:proofErr w:type="spellEnd"/>
      <w:r>
        <w:t xml:space="preserve"> tesislerin kurulması ve mevcut tesislerin iyileştirilmesi amacıyla:</w:t>
      </w:r>
    </w:p>
    <w:p w:rsidR="006E4224" w:rsidRDefault="006E4224" w:rsidP="006E4224">
      <w:pPr>
        <w:pStyle w:val="NormalWeb"/>
        <w:ind w:left="600"/>
        <w:jc w:val="both"/>
      </w:pPr>
      <w:r>
        <w:t xml:space="preserve">-“TS 13369 - Yağlama Yağları, Endüstriyel Yağlar ve İlgili Ürünler (Sınıf L) - Baz Yağlar” standardı ile “TS 13541 - İş Yerleri - Atık Yağ </w:t>
      </w:r>
      <w:proofErr w:type="spellStart"/>
      <w:r>
        <w:t>Rafinasyon</w:t>
      </w:r>
      <w:proofErr w:type="spellEnd"/>
      <w:r>
        <w:t xml:space="preserve"> ve </w:t>
      </w:r>
      <w:proofErr w:type="spellStart"/>
      <w:r>
        <w:t>Rejenerasyon</w:t>
      </w:r>
      <w:proofErr w:type="spellEnd"/>
      <w:r>
        <w:t xml:space="preserve"> Tesisleri İçin Kurallar” standardına Yönetmelikte yer verilmiş atık yağ </w:t>
      </w:r>
      <w:proofErr w:type="spellStart"/>
      <w:r>
        <w:t>rafinasyon</w:t>
      </w:r>
      <w:proofErr w:type="spellEnd"/>
      <w:r>
        <w:t xml:space="preserve"> tesislerinin bu standartları sağlaması zorunluluğu getirilmiştir.</w:t>
      </w:r>
    </w:p>
    <w:p w:rsidR="006E4224" w:rsidRDefault="006E4224" w:rsidP="006E4224">
      <w:pPr>
        <w:pStyle w:val="NormalWeb"/>
        <w:ind w:left="600"/>
        <w:jc w:val="both"/>
      </w:pPr>
      <w:r>
        <w:t xml:space="preserve">- Atık yağlardan TS 13369 standardına uygun olarak </w:t>
      </w:r>
      <w:proofErr w:type="gramStart"/>
      <w:r>
        <w:t>baz</w:t>
      </w:r>
      <w:proofErr w:type="gramEnd"/>
      <w:r>
        <w:t xml:space="preserve"> yağın üretildiğinin ve </w:t>
      </w:r>
      <w:proofErr w:type="spellStart"/>
      <w:r>
        <w:t>rafinasyon</w:t>
      </w:r>
      <w:proofErr w:type="spellEnd"/>
      <w:r>
        <w:t xml:space="preserve"> prosesi yetkinliğinin ispatı amacıyla Bakanlığımızın ve ilgili kurumların katılımıyla yapılacak “Deneme Üretimi” kavramı getirilmiştir.</w:t>
      </w:r>
    </w:p>
    <w:p w:rsidR="006E4224" w:rsidRDefault="006E4224" w:rsidP="006E4224">
      <w:pPr>
        <w:pStyle w:val="NormalWeb"/>
        <w:ind w:left="600"/>
        <w:jc w:val="both"/>
      </w:pPr>
    </w:p>
    <w:p w:rsidR="006E4224" w:rsidRDefault="006E4224" w:rsidP="006E4224">
      <w:pPr>
        <w:pStyle w:val="NormalWeb"/>
        <w:jc w:val="both"/>
      </w:pPr>
      <w:r>
        <w:t xml:space="preserve">Atık yağların etkin bir şekilde kaynağında biriktirilmesinin, geçici depolanmasının, toplanmasının ve en uygun şekilde </w:t>
      </w:r>
      <w:proofErr w:type="spellStart"/>
      <w:r>
        <w:t>rafinas</w:t>
      </w:r>
      <w:r>
        <w:t>yonunun</w:t>
      </w:r>
      <w:proofErr w:type="spellEnd"/>
      <w:r>
        <w:t>/enerji geri kazanımının</w:t>
      </w:r>
      <w:r>
        <w:t>/</w:t>
      </w:r>
      <w:proofErr w:type="spellStart"/>
      <w:r>
        <w:t>bertarafının</w:t>
      </w:r>
      <w:proofErr w:type="spellEnd"/>
      <w:r>
        <w:t xml:space="preserve"> sağlanması noktasında yönetiminin etkin hale getirilmesi amacıyla:</w:t>
      </w:r>
    </w:p>
    <w:p w:rsidR="006E4224" w:rsidRDefault="006E4224" w:rsidP="006E4224">
      <w:pPr>
        <w:pStyle w:val="NormalWeb"/>
        <w:ind w:left="600"/>
        <w:jc w:val="both"/>
      </w:pPr>
      <w:r>
        <w:t>- Motor yağı ve sanayi yağı ayrımı kaldırılmış atık madeni yağlar bir bütün olarak ele alınmıştır.</w:t>
      </w:r>
    </w:p>
    <w:p w:rsidR="006E4224" w:rsidRDefault="006E4224" w:rsidP="006E4224">
      <w:pPr>
        <w:pStyle w:val="NormalWeb"/>
        <w:ind w:left="600"/>
        <w:jc w:val="both"/>
      </w:pPr>
      <w:r>
        <w:t>- Atık yağ kategorileri ve atık yağ üreticisinin analiz yükümlülüğü kaldırılmıştır.</w:t>
      </w:r>
    </w:p>
    <w:p w:rsidR="006E4224" w:rsidRDefault="006E4224" w:rsidP="006E4224">
      <w:pPr>
        <w:pStyle w:val="NormalWeb"/>
        <w:ind w:left="600"/>
        <w:jc w:val="both"/>
      </w:pPr>
      <w:r>
        <w:t xml:space="preserve">- Atık yağların atık kodlarına Yönetmelikte yer verilmiş olup aynı türdeki/özellikteki atık yağların aynı grup altında biriktirilmesi </w:t>
      </w:r>
      <w:proofErr w:type="gramStart"/>
      <w:r>
        <w:t>imkanı</w:t>
      </w:r>
      <w:proofErr w:type="gramEnd"/>
      <w:r>
        <w:t xml:space="preserve"> sağlanmıştır.</w:t>
      </w:r>
    </w:p>
    <w:p w:rsidR="006E4224" w:rsidRDefault="006E4224" w:rsidP="006E4224">
      <w:pPr>
        <w:pStyle w:val="NormalWeb"/>
        <w:ind w:left="600"/>
        <w:jc w:val="both"/>
      </w:pPr>
      <w:r>
        <w:t>- Atık yağların yetkilendirilmiş kuruluşa teslimi noktasında mülga Atık Yağların Kontrolü Yönetmeliği'nde yer alan "ücretsiz" ifadesi kaldırılmış olup serbest piyasa koşullarında atık yağların yönetilmesi </w:t>
      </w:r>
      <w:proofErr w:type="gramStart"/>
      <w:r>
        <w:t>imkanı</w:t>
      </w:r>
      <w:proofErr w:type="gramEnd"/>
      <w:r>
        <w:t xml:space="preserve"> sağlanmıştır.</w:t>
      </w:r>
    </w:p>
    <w:p w:rsidR="006E4224" w:rsidRDefault="006E4224" w:rsidP="006E4224">
      <w:pPr>
        <w:pStyle w:val="NormalWeb"/>
        <w:ind w:left="600"/>
        <w:jc w:val="both"/>
      </w:pPr>
      <w:r>
        <w:t>- Motor yağı değişimi yapılan akaryakıt istasyonları, tamirhaneler, servisler, kamu kurum/kuruluşları, belediyeler, madencilik faaliyeti gösteren işletmeler ve diğer motor yağı değişimi yapılan işletmelerin kayıt altına alınması ve belgelendirilmesi şartı getirilmiştir.</w:t>
      </w:r>
    </w:p>
    <w:p w:rsidR="006E4224" w:rsidRDefault="006E4224" w:rsidP="006E4224">
      <w:pPr>
        <w:pStyle w:val="NormalWeb"/>
        <w:jc w:val="both"/>
      </w:pPr>
    </w:p>
    <w:p w:rsidR="006E4224" w:rsidRDefault="006E4224" w:rsidP="006E4224">
      <w:pPr>
        <w:pStyle w:val="NormalWeb"/>
        <w:jc w:val="both"/>
      </w:pPr>
      <w:r>
        <w:t>1/1/2020 tarihinde yürürlüğe gir</w:t>
      </w:r>
      <w:r w:rsidR="0029032E">
        <w:t>en</w:t>
      </w:r>
      <w:r>
        <w:t xml:space="preserve"> Atık Yağların Yönetimi Yönetmeliği ile 30/7/2008 tarihli ve 26952 sayılı Resmi </w:t>
      </w:r>
      <w:proofErr w:type="spellStart"/>
      <w:r>
        <w:t>Gazete'de</w:t>
      </w:r>
      <w:proofErr w:type="spellEnd"/>
      <w:r>
        <w:t xml:space="preserve"> yayımlanan Atık Yağların Kontrolü Yönetmeliği yürürlük</w:t>
      </w:r>
      <w:r w:rsidR="0029032E">
        <w:t>ten kaldırılmıştır.</w:t>
      </w:r>
      <w:r>
        <w:t xml:space="preserve"> Atık Yağların Yönetimi Yönetmeliği’nin uygulanması noktasında bazı hususların aydınlatılmasının yerinde olacağı mütalaa edilm</w:t>
      </w:r>
      <w:r w:rsidR="0029032E">
        <w:t>iştir.</w:t>
      </w:r>
    </w:p>
    <w:p w:rsidR="006E4224" w:rsidRDefault="006E4224" w:rsidP="006E4224">
      <w:pPr>
        <w:pStyle w:val="NormalWeb"/>
        <w:jc w:val="both"/>
      </w:pPr>
    </w:p>
    <w:p w:rsidR="006E4224" w:rsidRDefault="006E4224" w:rsidP="006E4224">
      <w:pPr>
        <w:pStyle w:val="NormalWeb"/>
        <w:jc w:val="both"/>
      </w:pPr>
      <w:r>
        <w:t>1-  Mevcut yetkilendirilmiş kuruluşa (Petrol Sanayi Derneği-PETDER) geçiş süresi tanınmış olup piyasa payı şartları ile bu Yönetmelikle getirilen ilave şartları sağladığına ilişkin bilgi ve belgelerin Bakanlığımıza sunulması ile yeniden yetkilendirilmesi söz konusu olabilecektir. Bu süre zarfında;</w:t>
      </w:r>
    </w:p>
    <w:p w:rsidR="006E4224" w:rsidRDefault="0029032E" w:rsidP="006E4224">
      <w:pPr>
        <w:pStyle w:val="NormalWeb"/>
        <w:ind w:left="600"/>
        <w:jc w:val="both"/>
      </w:pPr>
      <w:r>
        <w:t>-</w:t>
      </w:r>
      <w:r w:rsidR="006E4224">
        <w:t>Mevcut yetkilendirilmiş kuruluş Yönetmelik hükümleri çerçevesinde yeniden yetkilendirilinceye kadar yetki belgesinde yer alan atık motor yağlarını toplamaya devam edecektir.</w:t>
      </w:r>
    </w:p>
    <w:p w:rsidR="006E4224" w:rsidRDefault="0029032E" w:rsidP="0029032E">
      <w:pPr>
        <w:pStyle w:val="NormalWeb"/>
        <w:tabs>
          <w:tab w:val="left" w:pos="851"/>
        </w:tabs>
        <w:ind w:left="600"/>
        <w:jc w:val="both"/>
      </w:pPr>
      <w:r>
        <w:t>-</w:t>
      </w:r>
      <w:r w:rsidR="006E4224">
        <w:t>Yönetmelik hükümleri çerçevesinde Bakanlığımızca bir kuruluş yetkilendirilinceye kadar atık endüstriyel yağların yönetimini sağlayan firmalar/tesisler faaliyetlerine devam edeceklerdir.</w:t>
      </w:r>
    </w:p>
    <w:p w:rsidR="006E4224" w:rsidRDefault="006E4224" w:rsidP="006E4224">
      <w:pPr>
        <w:pStyle w:val="NormalWeb"/>
        <w:ind w:left="600"/>
        <w:jc w:val="both"/>
      </w:pPr>
    </w:p>
    <w:p w:rsidR="006E4224" w:rsidRDefault="006E4224" w:rsidP="006E4224">
      <w:pPr>
        <w:pStyle w:val="NormalWeb"/>
        <w:jc w:val="both"/>
      </w:pPr>
      <w:r>
        <w:t>2- Motor yağı değişimi yapılan akaryakıt istasyonları, tamirhaneler, servisler, kamu kurum/kuruluşları, belediyeler, madencilik faaliyeti gösteren işletmeler ve diğer motor yağı değişimi yapılan işletmelerin 1/1/2021 tarihine kadar bu Yönetmelik hükümleri çerçevesinde izin belgesi alması ve Bakanlığımızın çevrimiçi programlarına kayıt olması gerekmekte o</w:t>
      </w:r>
      <w:r w:rsidR="00872815">
        <w:t>lup Entegre Çevre Bilgi Sistemi</w:t>
      </w:r>
      <w:r>
        <w:t xml:space="preserve">/Atık Yönetimi Uygulamasına motor yağı değişim noktaları ile ilgili yeni bir </w:t>
      </w:r>
      <w:proofErr w:type="gramStart"/>
      <w:r>
        <w:t>modül</w:t>
      </w:r>
      <w:proofErr w:type="gramEnd"/>
      <w:r>
        <w:t xml:space="preserve"> eklenmesine ilişkin çalışmalar devam etmektedir. Söz konusu </w:t>
      </w:r>
      <w:proofErr w:type="gramStart"/>
      <w:r>
        <w:t>modül</w:t>
      </w:r>
      <w:proofErr w:type="gramEnd"/>
      <w:r>
        <w:t xml:space="preserve"> devreye alındığında ayrıca bilgilendirme yapılacak olup Motor Yağı Değişim Noktası İzin Belgesi düzenlenmesine ilişkin işlemler, bahse konu işlemlerin tamamlanmasına müteakip başlatılacaktır.</w:t>
      </w:r>
    </w:p>
    <w:p w:rsidR="006E4224" w:rsidRDefault="006E4224" w:rsidP="006E4224">
      <w:pPr>
        <w:pStyle w:val="NormalWeb"/>
        <w:jc w:val="both"/>
      </w:pPr>
    </w:p>
    <w:p w:rsidR="006E4224" w:rsidRDefault="006E4224" w:rsidP="006E4224">
      <w:pPr>
        <w:pStyle w:val="NormalWeb"/>
        <w:jc w:val="both"/>
      </w:pPr>
      <w:r>
        <w:t>3- Atık yağ beyanl</w:t>
      </w:r>
      <w:r w:rsidR="00872815">
        <w:t>arı Entegre Çevre Bilgi Sistemi</w:t>
      </w:r>
      <w:r>
        <w:t>/Atık Yönetimi Uygulaması üzerinden yapılacak olup mülga Atık Yağların Kontrolü Yönetmeliği kapsamında yer alan atık yağ beyan formları talep edilmeyecektir.</w:t>
      </w:r>
    </w:p>
    <w:p w:rsidR="006E4224" w:rsidRDefault="006E4224" w:rsidP="006E4224">
      <w:pPr>
        <w:pStyle w:val="NormalWeb"/>
        <w:jc w:val="both"/>
      </w:pPr>
    </w:p>
    <w:p w:rsidR="00FC12B9" w:rsidRDefault="00FC12B9">
      <w:bookmarkStart w:id="0" w:name="_GoBack"/>
      <w:bookmarkEnd w:id="0"/>
    </w:p>
    <w:sectPr w:rsidR="00FC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8A"/>
    <w:rsid w:val="0029032E"/>
    <w:rsid w:val="00670F8A"/>
    <w:rsid w:val="006E4224"/>
    <w:rsid w:val="00872815"/>
    <w:rsid w:val="00FC1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4298"/>
  <w15:chartTrackingRefBased/>
  <w15:docId w15:val="{3D75F65F-C5A1-4A66-A376-7060909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42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680</Words>
  <Characters>3877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Avci</dc:creator>
  <cp:keywords/>
  <dc:description/>
  <cp:lastModifiedBy>Sevim Avci</cp:lastModifiedBy>
  <cp:revision>3</cp:revision>
  <dcterms:created xsi:type="dcterms:W3CDTF">2020-01-21T11:33:00Z</dcterms:created>
  <dcterms:modified xsi:type="dcterms:W3CDTF">2020-01-21T11:48:00Z</dcterms:modified>
</cp:coreProperties>
</file>