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86" w:rsidRDefault="00757B86" w:rsidP="00757B86">
      <w:pPr>
        <w:outlineLvl w:val="0"/>
      </w:pPr>
    </w:p>
    <w:p w:rsidR="00757B86" w:rsidRDefault="00757B86" w:rsidP="00757B86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57B86" w:rsidTr="00757B86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4185"/>
              <w:gridCol w:w="4200"/>
              <w:gridCol w:w="615"/>
              <w:gridCol w:w="59"/>
            </w:tblGrid>
            <w:tr w:rsidR="00757B86">
              <w:trPr>
                <w:gridAfter w:val="2"/>
                <w:wAfter w:w="888" w:type="dxa"/>
                <w:jc w:val="center"/>
              </w:trPr>
              <w:tc>
                <w:tcPr>
                  <w:tcW w:w="4200" w:type="dxa"/>
                  <w:gridSpan w:val="2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757B86" w:rsidRDefault="00757B86">
                  <w:pPr>
                    <w:pStyle w:val="NormalWeb"/>
                    <w:spacing w:before="0" w:beforeAutospacing="0" w:after="0" w:afterAutospacing="0" w:line="285" w:lineRule="atLeast"/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>EEAcademy</w:t>
                  </w:r>
                  <w:proofErr w:type="spellEnd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>November</w:t>
                  </w:r>
                  <w:proofErr w:type="spellEnd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 xml:space="preserve"> 2019</w:t>
                  </w:r>
                </w:p>
              </w:tc>
              <w:tc>
                <w:tcPr>
                  <w:tcW w:w="4200" w:type="dxa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757B86" w:rsidRDefault="00757B86">
                  <w:pP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</w:pPr>
                </w:p>
              </w:tc>
            </w:tr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9000" w:type="dxa"/>
                  <w:gridSpan w:val="3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57B86" w:rsidRDefault="00757B86">
                  <w:pPr>
                    <w:spacing w:line="285" w:lineRule="atLeast"/>
                    <w:jc w:val="right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drawing>
                      <wp:inline distT="0" distB="0" distL="0" distR="0">
                        <wp:extent cx="2609850" cy="495300"/>
                        <wp:effectExtent l="0" t="0" r="0" b="0"/>
                        <wp:docPr id="10" name="Resim 10" descr="http://i1.cmail20.com/ei/d/C1/C27/A44/231319/csfinal/EEA_EN_extended-99051406db028a3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1.cmail20.com/ei/d/C1/C27/A44/231319/csfinal/EEA_EN_extended-99051406db028a3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7B86" w:rsidRDefault="00757B86">
                  <w:pPr>
                    <w:pStyle w:val="size-301"/>
                    <w:spacing w:before="0" w:beforeAutospacing="0" w:after="0" w:afterAutospacing="0" w:line="570" w:lineRule="exact"/>
                    <w:jc w:val="center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008173"/>
                      <w:position w:val="6"/>
                    </w:rPr>
                    <w:t>EEA</w:t>
                  </w:r>
                  <w:r>
                    <w:rPr>
                      <w:rFonts w:ascii="Arial" w:hAnsi="Arial" w:cs="Arial"/>
                      <w:color w:val="008173"/>
                      <w:position w:val="6"/>
                    </w:rPr>
                    <w:t>cademy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008173"/>
                      <w:position w:val="6"/>
                    </w:rPr>
                    <w:t xml:space="preserve"> NEWS</w:t>
                  </w:r>
                </w:p>
                <w:p w:rsidR="00757B86" w:rsidRDefault="00757B86">
                  <w:pPr>
                    <w:pStyle w:val="size-161"/>
                    <w:spacing w:before="300" w:beforeAutospacing="0" w:after="300" w:afterAutospacing="0" w:line="360" w:lineRule="exact"/>
                    <w:jc w:val="center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Style w:val="Vurgu"/>
                      <w:rFonts w:ascii="Arial" w:hAnsi="Arial" w:cs="Arial"/>
                      <w:color w:val="008173"/>
                      <w:position w:val="6"/>
                    </w:rPr>
                    <w:t>Up-to-date</w:t>
                  </w:r>
                  <w:proofErr w:type="spellEnd"/>
                  <w:r>
                    <w:rPr>
                      <w:rStyle w:val="Vurgu"/>
                      <w:rFonts w:ascii="Arial" w:hAnsi="Arial" w:cs="Arial"/>
                      <w:color w:val="008173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Vurgu"/>
                      <w:rFonts w:ascii="Arial" w:hAnsi="Arial" w:cs="Arial"/>
                      <w:color w:val="008173"/>
                      <w:position w:val="6"/>
                    </w:rPr>
                    <w:t>EEAcademy</w:t>
                  </w:r>
                  <w:proofErr w:type="spellEnd"/>
                  <w:r>
                    <w:rPr>
                      <w:rStyle w:val="Vurgu"/>
                      <w:rFonts w:ascii="Arial" w:hAnsi="Arial" w:cs="Arial"/>
                      <w:color w:val="008173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Vurgu"/>
                      <w:rFonts w:ascii="Arial" w:hAnsi="Arial" w:cs="Arial"/>
                      <w:color w:val="008173"/>
                      <w:position w:val="6"/>
                    </w:rPr>
                    <w:t>events</w:t>
                  </w:r>
                  <w:proofErr w:type="spellEnd"/>
                  <w:r>
                    <w:rPr>
                      <w:rStyle w:val="Vurgu"/>
                      <w:rFonts w:ascii="Arial" w:hAnsi="Arial" w:cs="Arial"/>
                      <w:color w:val="008173"/>
                      <w:position w:val="6"/>
                    </w:rPr>
                    <w:t xml:space="preserve"> &amp; </w:t>
                  </w:r>
                  <w:proofErr w:type="spellStart"/>
                  <w:r>
                    <w:rPr>
                      <w:rStyle w:val="Vurgu"/>
                      <w:rFonts w:ascii="Arial" w:hAnsi="Arial" w:cs="Arial"/>
                      <w:color w:val="008173"/>
                      <w:position w:val="6"/>
                    </w:rPr>
                    <w:t>activities</w:t>
                  </w:r>
                  <w:proofErr w:type="spellEnd"/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drawing>
                      <wp:inline distT="0" distB="0" distL="0" distR="0">
                        <wp:extent cx="5715000" cy="3048000"/>
                        <wp:effectExtent l="0" t="0" r="0" b="0"/>
                        <wp:docPr id="9" name="Resim 9" descr="http://i2.cmail20.com/ei/d/C1/C27/A44/231319/csfinal/lakeimage1-9ac27dfe40e61b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2.cmail20.com/ei/d/C1/C27/A44/231319/csfinal/lakeimage1-9ac27dfe40e61b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0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</w:tr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/>
              </w:tc>
              <w:tc>
                <w:tcPr>
                  <w:tcW w:w="4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B86" w:rsidRDefault="00757B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500"/>
              <w:gridCol w:w="4500"/>
              <w:gridCol w:w="15"/>
            </w:tblGrid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345" w:lineRule="exact"/>
                    <w:rPr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</w:pPr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New e-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learning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course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 </w:t>
                  </w:r>
                </w:p>
                <w:p w:rsidR="00757B86" w:rsidRDefault="00757B86">
                  <w:pPr>
                    <w:pStyle w:val="size-131"/>
                    <w:spacing w:before="24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have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pleasure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announce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our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very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first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EEAcademy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e-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learning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course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Integrated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Environmental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Assessments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,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published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time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being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 on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platform </w:t>
                  </w:r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EU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Learn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only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soon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available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publicly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 </w:t>
                  </w:r>
                </w:p>
                <w:p w:rsidR="00757B86" w:rsidRDefault="00757B86">
                  <w:pPr>
                    <w:pStyle w:val="size-131"/>
                    <w:spacing w:before="30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e-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learning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format is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part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EEAcademy’s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continuous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effort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experiment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new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learning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approaches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enabling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knowledge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innovation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time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accessible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from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comfort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your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couch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size-131"/>
                    <w:spacing w:before="300" w:beforeAutospacing="0" w:after="30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course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provides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participants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introduction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framing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design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well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lastRenderedPageBreak/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key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tools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methods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Integrated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Environmental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Assessment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NormalWeb"/>
                    <w:spacing w:before="0" w:beforeAutospacing="0" w:after="0" w:afterAutospacing="0" w:line="0" w:lineRule="auto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  <w:t> </w:t>
                  </w:r>
                </w:p>
                <w:p w:rsidR="00757B86" w:rsidRDefault="00757B86">
                  <w:pPr>
                    <w:spacing w:line="315" w:lineRule="atLeast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466975" cy="291465"/>
                            <wp:effectExtent l="0" t="9525" r="0" b="3810"/>
                            <wp:docPr id="15" name="Yuvarlatılmış Dikdörtgen 15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6975" cy="291465"/>
                                    </a:xfrm>
                                    <a:prstGeom prst="roundRect">
                                      <a:avLst>
                                        <a:gd name="adj" fmla="val 13000"/>
                                      </a:avLst>
                                    </a:prstGeom>
                                    <a:solidFill>
                                      <a:srgbClr val="66B4A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57B86" w:rsidRDefault="00757B86" w:rsidP="00757B86">
                                        <w:pPr>
                                          <w:spacing w:line="285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>Learn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>more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 xml:space="preserve"> here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47625" rIns="0" bIns="47625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Yuvarlatılmış Dikdörtgen 15" o:spid="_x0000_s1026" href="https://eur02.safelinks.protection.outlook.com/?url=https%3A%2F%2Feuropeanenvironmentagencyeea.cmail20.com%2Ft%2Fd-i-xhlhytk-l-r%2F&amp;data=02%7C01%7Csarah.bittner%40eea.europa.eu%7C1303e348c8fa4806204008d773fefc46%7Cbe2e7beab4934de5bbc58b4a6a235600%7C1%7C0%7C637105411308639575&amp;sdata=5QY%2FN6YkzfqL6sCbDETLWBQaNh9SXzfv%2Bnin7yMmD0I%3D&amp;reserved=0" style="width:194.2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5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" o:button="t" fillcolor="#66b4ab" stroked="f">
                            <v:fill o:detectmouseclick="t"/>
                            <v:textbox style="mso-fit-shape-to-text:t" inset="0,3.75pt,0,3.75pt">
                              <w:txbxContent>
                                <w:p w:rsidR="00757B86" w:rsidRDefault="00757B86" w:rsidP="00757B86">
                                  <w:pPr>
                                    <w:spacing w:line="28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>Learn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>more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lastRenderedPageBreak/>
                    <w:t> </w:t>
                  </w:r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drawing>
                      <wp:inline distT="0" distB="0" distL="0" distR="0">
                        <wp:extent cx="2828925" cy="3076575"/>
                        <wp:effectExtent l="0" t="0" r="9525" b="9525"/>
                        <wp:docPr id="8" name="Resim 8" descr="http://i3.cmail20.com/ei/d/C1/C27/A44/231319/csfinal/puzzle11-cbe07fdd5ac032cd-9906db0b6d028a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3.cmail20.com/ei/d/C1/C27/A44/231319/csfinal/puzzle11-cbe07fdd5ac032cd-9906db0b6d028a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3076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</w:tr>
          </w:tbl>
          <w:p w:rsidR="00757B86" w:rsidRDefault="00757B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500"/>
              <w:gridCol w:w="4500"/>
              <w:gridCol w:w="15"/>
            </w:tblGrid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t> </w:t>
                  </w:r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drawing>
                      <wp:inline distT="0" distB="0" distL="0" distR="0">
                        <wp:extent cx="2828925" cy="3019425"/>
                        <wp:effectExtent l="0" t="0" r="9525" b="9525"/>
                        <wp:docPr id="7" name="Resim 7" descr="http://i4.cmail20.com/ei/d/C1/C27/A44/231319/csfinal/bridge-581ec5b76fcfb9d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4.cmail20.com/ei/d/C1/C27/A44/231319/csfinal/bridge-581ec5b76fcfb9d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3019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345" w:lineRule="exact"/>
                    <w:rPr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</w:pPr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Open Call: 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Expert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Pool</w:t>
                  </w:r>
                  <w:proofErr w:type="spellEnd"/>
                </w:p>
                <w:p w:rsidR="00757B86" w:rsidRDefault="00757B86">
                  <w:pPr>
                    <w:pStyle w:val="size-131"/>
                    <w:spacing w:before="24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Are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expert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in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areas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such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as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sustainability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transitions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or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environmental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policies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?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encourage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become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part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our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Expert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Pool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size-131"/>
                    <w:spacing w:before="30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Being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hub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knowledge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development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systemic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challenges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sustainability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transitions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integrated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assessments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are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always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looking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experts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who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can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support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EEAcademy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size-131"/>
                    <w:spacing w:before="300" w:beforeAutospacing="0" w:after="30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Please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click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below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more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details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available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roles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do not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hesitate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contact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us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should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have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questions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NormalWeb"/>
                    <w:spacing w:before="0" w:beforeAutospacing="0" w:after="0" w:afterAutospacing="0" w:line="0" w:lineRule="auto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  <w:t> </w:t>
                  </w:r>
                </w:p>
                <w:p w:rsidR="00757B86" w:rsidRDefault="00757B86">
                  <w:pPr>
                    <w:spacing w:line="315" w:lineRule="atLeast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486025" cy="291465"/>
                            <wp:effectExtent l="0" t="9525" r="0" b="3810"/>
                            <wp:docPr id="14" name="Yuvarlatılmış Dikdörtgen 14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291465"/>
                                    </a:xfrm>
                                    <a:prstGeom prst="roundRect">
                                      <a:avLst>
                                        <a:gd name="adj" fmla="val 13000"/>
                                      </a:avLst>
                                    </a:prstGeom>
                                    <a:solidFill>
                                      <a:srgbClr val="66B4A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57B86" w:rsidRDefault="00757B86" w:rsidP="00757B86">
                                        <w:pPr>
                                          <w:spacing w:line="285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>Apply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 xml:space="preserve"> here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47625" rIns="0" bIns="47625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Yuvarlatılmış Dikdörtgen 14" o:spid="_x0000_s1027" href="https://europeanenvironmentagencyeea.cmail20.com/t/d-i-xhlhytk-l-y/" style="width:195.7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5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" o:button="t" fillcolor="#66b4ab" stroked="f">
                            <v:fill o:detectmouseclick="t"/>
                            <v:textbox style="mso-fit-shape-to-text:t" inset="0,3.75pt,0,3.75pt">
                              <w:txbxContent>
                                <w:p w:rsidR="00757B86" w:rsidRDefault="00757B86" w:rsidP="00757B86">
                                  <w:pPr>
                                    <w:spacing w:line="28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>Apply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</w:tr>
          </w:tbl>
          <w:p w:rsidR="00757B86" w:rsidRDefault="00757B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500"/>
              <w:gridCol w:w="4500"/>
              <w:gridCol w:w="15"/>
            </w:tblGrid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345" w:lineRule="exact"/>
                    <w:rPr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EEAcademy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ENI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Summer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School </w:t>
                  </w:r>
                </w:p>
                <w:p w:rsidR="00757B86" w:rsidRDefault="00757B86">
                  <w:pPr>
                    <w:pStyle w:val="size-131"/>
                    <w:spacing w:before="24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years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ENI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Summer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School</w:t>
                  </w: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Integrated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Environmental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Assessments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took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place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Copenhagen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at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August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was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very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well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received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80 % of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participants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rating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their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overall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satisfaction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as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excellent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size-131"/>
                    <w:spacing w:before="30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Participants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particularly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emphasized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how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gained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competences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systemic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thinking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knowledge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how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incorporate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SDGs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Integrated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Sustainability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Assessments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more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holistic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view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assessments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sustainability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size-131"/>
                    <w:spacing w:before="30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We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would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like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thank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all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participants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their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valuable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feedback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. 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t> </w:t>
                  </w:r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drawing>
                      <wp:inline distT="0" distB="0" distL="0" distR="0">
                        <wp:extent cx="2828925" cy="2990850"/>
                        <wp:effectExtent l="0" t="0" r="9525" b="0"/>
                        <wp:docPr id="6" name="Resim 6" descr="http://i5.cmail20.com/ei/d/C1/C27/A44/231319/csfinal/lightbulb-f8091eb4facef4f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i5.cmail20.com/ei/d/C1/C27/A44/231319/csfinal/lightbulb-f8091eb4facef4f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2990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</w:tr>
          </w:tbl>
          <w:p w:rsidR="00757B86" w:rsidRDefault="00757B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500"/>
              <w:gridCol w:w="4500"/>
              <w:gridCol w:w="15"/>
            </w:tblGrid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t> </w:t>
                  </w:r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2828925" cy="3448050"/>
                        <wp:effectExtent l="0" t="0" r="9525" b="0"/>
                        <wp:docPr id="5" name="Resim 5" descr="http://i6.cmail20.com/ei/d/C1/C27/A44/231319/csfinal/family_beach_original-581dbec2a4c1da6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i6.cmail20.com/ei/d/C1/C27/A44/231319/csfinal/family_beach_original-581dbec2a4c1da6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3448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345" w:lineRule="exact"/>
                    <w:rPr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lastRenderedPageBreak/>
                    <w:t>EEAcademy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Alumni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Network</w:t>
                  </w:r>
                </w:p>
                <w:p w:rsidR="00757B86" w:rsidRDefault="00757B86">
                  <w:pPr>
                    <w:pStyle w:val="size-131"/>
                    <w:spacing w:before="24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lastRenderedPageBreak/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would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like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invite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join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EEAcademy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Alumni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Network </w:t>
                  </w: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on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LinkedIn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which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offers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unique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opportunity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maintain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grow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exceptional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network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established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during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EEAcademy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events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was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created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all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who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have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been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involved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participated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EEAcademy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activities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who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wish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stay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informed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about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project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size-131"/>
                    <w:spacing w:before="30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You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can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join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by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filling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in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hyperlink r:id="rId13" w:history="1">
                    <w:proofErr w:type="spellStart"/>
                    <w:r>
                      <w:rPr>
                        <w:rStyle w:val="Kpr"/>
                        <w:rFonts w:ascii="Arial" w:hAnsi="Arial" w:cs="Arial"/>
                        <w:b/>
                        <w:bCs/>
                        <w:color w:val="6097AB"/>
                        <w:position w:val="6"/>
                      </w:rPr>
                      <w:t>application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b/>
                        <w:bCs/>
                        <w:color w:val="6097AB"/>
                        <w:position w:val="6"/>
                      </w:rPr>
                      <w:t xml:space="preserve"> form</w:t>
                    </w:r>
                  </w:hyperlink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subsequently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joining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our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hyperlink r:id="rId14" w:history="1">
                    <w:proofErr w:type="spellStart"/>
                    <w:r>
                      <w:rPr>
                        <w:rStyle w:val="Kpr"/>
                        <w:rFonts w:ascii="Arial" w:hAnsi="Arial" w:cs="Arial"/>
                        <w:b/>
                        <w:bCs/>
                        <w:color w:val="6097AB"/>
                        <w:position w:val="6"/>
                      </w:rPr>
                      <w:t>LinkedIn</w:t>
                    </w:r>
                    <w:proofErr w:type="spellEnd"/>
                    <w:r>
                      <w:rPr>
                        <w:rStyle w:val="Kpr"/>
                        <w:rFonts w:ascii="Arial" w:hAnsi="Arial" w:cs="Arial"/>
                        <w:b/>
                        <w:bCs/>
                        <w:color w:val="6097AB"/>
                        <w:position w:val="6"/>
                      </w:rPr>
                      <w:t xml:space="preserve"> </w:t>
                    </w:r>
                    <w:proofErr w:type="spellStart"/>
                    <w:r>
                      <w:rPr>
                        <w:rStyle w:val="Kpr"/>
                        <w:rFonts w:ascii="Arial" w:hAnsi="Arial" w:cs="Arial"/>
                        <w:b/>
                        <w:bCs/>
                        <w:color w:val="6097AB"/>
                        <w:position w:val="6"/>
                      </w:rPr>
                      <w:t>group</w:t>
                    </w:r>
                    <w:proofErr w:type="spellEnd"/>
                  </w:hyperlink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.</w:t>
                  </w: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look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forward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welcoming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there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</w:tc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lastRenderedPageBreak/>
                    <w:t>​</w:t>
                  </w:r>
                </w:p>
              </w:tc>
            </w:tr>
          </w:tbl>
          <w:p w:rsidR="00757B86" w:rsidRDefault="00757B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500"/>
              <w:gridCol w:w="4500"/>
              <w:gridCol w:w="15"/>
            </w:tblGrid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t> </w:t>
                  </w:r>
                </w:p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t> </w:t>
                  </w:r>
                </w:p>
                <w:p w:rsidR="00757B86" w:rsidRDefault="00757B86">
                  <w:pPr>
                    <w:spacing w:line="345" w:lineRule="exact"/>
                    <w:rPr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The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European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environment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-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state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and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outlook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2020</w:t>
                  </w:r>
                </w:p>
                <w:p w:rsidR="00757B86" w:rsidRDefault="00757B86">
                  <w:pPr>
                    <w:pStyle w:val="size-131"/>
                    <w:spacing w:before="24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EEA's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flagship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report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most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comprehensive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assessment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date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: 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European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environment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-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state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outlook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2020</w:t>
                  </w: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(SOER 2020),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launched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4th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December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2019</w:t>
                  </w: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keep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eye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EEA's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website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EEAcademy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Alumni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Group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size-131"/>
                    <w:spacing w:before="30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particular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report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addresses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systemic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character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today’s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environmental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challenges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as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well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provides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insights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how Europe can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respond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today’s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unprecedented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environment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climate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sustainability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challenges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t> </w:t>
                  </w:r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drawing>
                      <wp:inline distT="0" distB="0" distL="0" distR="0">
                        <wp:extent cx="2828925" cy="2667000"/>
                        <wp:effectExtent l="0" t="0" r="9525" b="0"/>
                        <wp:docPr id="4" name="Resim 4" descr="http://i7.cmail20.com/ei/d/C1/C27/A44/231319/csfinal/mountain-9906db0b6d028a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i7.cmail20.com/ei/d/C1/C27/A44/231319/csfinal/mountain-9906db0b6d028a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266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</w:tr>
          </w:tbl>
          <w:p w:rsidR="00757B86" w:rsidRDefault="00757B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500"/>
              <w:gridCol w:w="4500"/>
              <w:gridCol w:w="15"/>
            </w:tblGrid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15" w:lineRule="exact"/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75C66"/>
                      <w:sz w:val="2"/>
                      <w:szCs w:val="2"/>
                    </w:rPr>
                    <w:t> </w:t>
                  </w:r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2828925" cy="2114550"/>
                        <wp:effectExtent l="0" t="0" r="9525" b="0"/>
                        <wp:docPr id="3" name="Resim 3" descr="http://i8.cmail20.com/ei/d/C1/C27/A44/231319/csfinal/fish2-9906db0b6d028a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i8.cmail20.com/ei/d/C1/C27/A44/231319/csfinal/fish2-9906db0b6d028a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211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hideMark/>
                </w:tcPr>
                <w:p w:rsidR="00757B86" w:rsidRDefault="00757B86">
                  <w:pPr>
                    <w:spacing w:line="345" w:lineRule="exact"/>
                    <w:rPr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lastRenderedPageBreak/>
                    <w:t>Short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reading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: Knowledge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for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a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sustainable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XXI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century</w:t>
                  </w:r>
                  <w:proofErr w:type="spellEnd"/>
                </w:p>
                <w:p w:rsidR="00757B86" w:rsidRDefault="00757B86">
                  <w:pPr>
                    <w:spacing w:before="240" w:after="240" w:line="315" w:lineRule="exact"/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background</w:t>
                  </w:r>
                  <w:proofErr w:type="gram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paper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draws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SOER 2020</w:t>
                  </w:r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assessment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Europe's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current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sustainability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challenges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identifies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specific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knowledge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needs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innovations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required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address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them</w:t>
                  </w:r>
                  <w:proofErr w:type="spellEnd"/>
                  <w:r>
                    <w:rPr>
                      <w:rFonts w:ascii="Arial" w:hAnsi="Arial" w:cs="Arial"/>
                      <w:color w:val="1E293D"/>
                      <w:position w:val="6"/>
                      <w:sz w:val="20"/>
                      <w:szCs w:val="20"/>
                    </w:rPr>
                    <w:t>. </w:t>
                  </w:r>
                </w:p>
                <w:p w:rsidR="00757B86" w:rsidRDefault="00757B86">
                  <w:pPr>
                    <w:pStyle w:val="NormalWeb"/>
                    <w:spacing w:before="0" w:beforeAutospacing="0" w:after="0" w:afterAutospacing="0" w:line="0" w:lineRule="auto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  <w:t> </w:t>
                  </w:r>
                </w:p>
                <w:p w:rsidR="00757B86" w:rsidRDefault="00757B86">
                  <w:pPr>
                    <w:spacing w:line="315" w:lineRule="atLeast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486025" cy="291465"/>
                            <wp:effectExtent l="0" t="9525" r="0" b="3810"/>
                            <wp:docPr id="13" name="Yuvarlatılmış Dikdörtgen 13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291465"/>
                                    </a:xfrm>
                                    <a:prstGeom prst="roundRect">
                                      <a:avLst>
                                        <a:gd name="adj" fmla="val 13000"/>
                                      </a:avLst>
                                    </a:prstGeom>
                                    <a:solidFill>
                                      <a:srgbClr val="66B4A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57B86" w:rsidRDefault="00757B86" w:rsidP="00757B86">
                                        <w:pPr>
                                          <w:spacing w:line="285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 xml:space="preserve">Read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>more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5"/>
                                            <w:sz w:val="17"/>
                                            <w:szCs w:val="17"/>
                                          </w:rPr>
                                          <w:t xml:space="preserve"> here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47625" rIns="0" bIns="47625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Yuvarlatılmış Dikdörtgen 13" o:spid="_x0000_s1028" href="https://europeanenvironmentagencyeea.cmail20.com/t/d-i-xhlhytk-l-i/" style="width:195.7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5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" o:button="t" fillcolor="#66b4ab" stroked="f">
                            <v:fill o:detectmouseclick="t"/>
                            <v:textbox style="mso-fit-shape-to-text:t" inset="0,3.75pt,0,3.75pt">
                              <w:txbxContent>
                                <w:p w:rsidR="00757B86" w:rsidRDefault="00757B86" w:rsidP="00757B86">
                                  <w:pPr>
                                    <w:spacing w:line="285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 xml:space="preserve">Read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>more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5"/>
                                      <w:sz w:val="17"/>
                                      <w:szCs w:val="17"/>
                                    </w:rPr>
                                    <w:t xml:space="preserve"> here</w:t>
                                  </w: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</w:tr>
          </w:tbl>
          <w:p w:rsidR="00757B86" w:rsidRDefault="00757B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4500"/>
              <w:gridCol w:w="4500"/>
              <w:gridCol w:w="15"/>
            </w:tblGrid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9000" w:type="dxa"/>
                  <w:gridSpan w:val="2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008173"/>
                  <w:vAlign w:val="center"/>
                  <w:hideMark/>
                </w:tcPr>
                <w:p w:rsidR="00757B86" w:rsidRDefault="00757B86">
                  <w:pPr>
                    <w:pStyle w:val="size-201"/>
                    <w:spacing w:before="0" w:beforeAutospacing="0" w:after="0" w:afterAutospacing="0" w:line="420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FFFFFF"/>
                      <w:position w:val="6"/>
                    </w:rPr>
                    <w:t>Further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FFFFFF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FFFFFF"/>
                      <w:position w:val="6"/>
                    </w:rPr>
                    <w:t>readings</w:t>
                  </w:r>
                  <w:proofErr w:type="spellEnd"/>
                </w:p>
              </w:tc>
              <w:tc>
                <w:tcPr>
                  <w:tcW w:w="15" w:type="dxa"/>
                  <w:tcBorders>
                    <w:top w:val="single" w:sz="8" w:space="0" w:color="CCCCCC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</w:tr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shd w:val="clear" w:color="auto" w:fill="FFFFFF"/>
                  <w:hideMark/>
                </w:tcPr>
                <w:p w:rsidR="00757B86" w:rsidRDefault="00757B86">
                  <w:pPr>
                    <w:pStyle w:val="NormalWeb"/>
                    <w:spacing w:before="0" w:beforeAutospacing="0" w:after="300" w:afterAutospacing="0" w:line="315" w:lineRule="atLeast"/>
                    <w:jc w:val="center"/>
                    <w:rPr>
                      <w:rFonts w:ascii="Arial" w:hAnsi="Arial" w:cs="Arial"/>
                      <w:color w:val="575C66"/>
                      <w:position w:val="6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Vurgu"/>
                      <w:rFonts w:ascii="Arial" w:hAnsi="Arial" w:cs="Arial"/>
                      <w:color w:val="575C66"/>
                      <w:position w:val="6"/>
                      <w:sz w:val="21"/>
                      <w:szCs w:val="21"/>
                    </w:rPr>
                    <w:t>Longer</w:t>
                  </w:r>
                  <w:proofErr w:type="spellEnd"/>
                  <w:r>
                    <w:rPr>
                      <w:rStyle w:val="Vurgu"/>
                      <w:rFonts w:ascii="Arial" w:hAnsi="Arial" w:cs="Arial"/>
                      <w:color w:val="575C66"/>
                      <w:position w:val="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Vurgu"/>
                      <w:rFonts w:ascii="Arial" w:hAnsi="Arial" w:cs="Arial"/>
                      <w:color w:val="575C66"/>
                      <w:position w:val="6"/>
                      <w:sz w:val="21"/>
                      <w:szCs w:val="21"/>
                    </w:rPr>
                    <w:t>read</w:t>
                  </w:r>
                  <w:proofErr w:type="spellEnd"/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drawing>
                      <wp:inline distT="0" distB="0" distL="0" distR="0">
                        <wp:extent cx="2371725" cy="1571625"/>
                        <wp:effectExtent l="0" t="0" r="9525" b="9525"/>
                        <wp:docPr id="2" name="Resim 2" descr="http://i9.cmail20.com/ei/d/C1/C27/A44/231319/csfinal/flag_yellow_low1-990b6d0514028a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i9.cmail20.com/ei/d/C1/C27/A44/231319/csfinal/flag_yellow_low1-990b6d0514028a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7B86" w:rsidRDefault="00757B86">
                  <w:pPr>
                    <w:spacing w:line="345" w:lineRule="exact"/>
                    <w:rPr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European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Commission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-</w:t>
                  </w:r>
                  <w:r>
                    <w:rPr>
                      <w:rFonts w:ascii="Arial" w:hAnsi="Arial" w:cs="Arial"/>
                      <w:b/>
                      <w:bCs/>
                      <w:color w:val="1E293D"/>
                      <w:position w:val="6"/>
                      <w:sz w:val="23"/>
                      <w:szCs w:val="23"/>
                    </w:rPr>
                    <w:br/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Von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der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Leyen's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Agenda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for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Europe</w:t>
                  </w:r>
                </w:p>
                <w:p w:rsidR="00757B86" w:rsidRDefault="00757B86">
                  <w:pPr>
                    <w:pStyle w:val="size-131"/>
                    <w:spacing w:before="24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Ursula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von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der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Leyen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candidate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President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European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Commission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has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published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political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guidelines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EC 2019 - 2024.</w:t>
                  </w:r>
                </w:p>
                <w:p w:rsidR="00757B86" w:rsidRDefault="00757B86">
                  <w:pPr>
                    <w:pStyle w:val="size-131"/>
                    <w:spacing w:before="300" w:beforeAutospacing="0" w:after="30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With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priorities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such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European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Green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Deal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focus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implementation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SDGs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guidelines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below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will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be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informative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anyone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interested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sustainability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transitions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European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context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 </w:t>
                  </w:r>
                </w:p>
                <w:p w:rsidR="00757B86" w:rsidRDefault="00757B86">
                  <w:pPr>
                    <w:pStyle w:val="NormalWeb"/>
                    <w:spacing w:before="0" w:beforeAutospacing="0" w:after="0" w:afterAutospacing="0" w:line="0" w:lineRule="auto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  <w:t> </w:t>
                  </w:r>
                </w:p>
                <w:p w:rsidR="00757B86" w:rsidRDefault="00757B86">
                  <w:pPr>
                    <w:spacing w:line="315" w:lineRule="atLeast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466975" cy="394335"/>
                            <wp:effectExtent l="0" t="0" r="0" b="5715"/>
                            <wp:docPr id="12" name="Yuvarlatılmış Dikdörtgen 12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66975" cy="394335"/>
                                    </a:xfrm>
                                    <a:prstGeom prst="roundRect">
                                      <a:avLst>
                                        <a:gd name="adj" fmla="val 10000"/>
                                      </a:avLst>
                                    </a:prstGeom>
                                    <a:solidFill>
                                      <a:srgbClr val="66B4A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57B86" w:rsidRDefault="00757B86" w:rsidP="00757B86">
                                        <w:pPr>
                                          <w:spacing w:line="33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 xml:space="preserve">Read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>more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>about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>the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>guidelines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0" tIns="85725" rIns="0" bIns="85725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Yuvarlatılmış Dikdörtgen 12" o:spid="_x0000_s1029" href="https://europeanenvironmentagencyeea.cmail20.com/t/d-i-xhlhytk-l-d/" style="width:194.25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" o:button="t" fillcolor="#66b4ab" stroked="f">
                            <v:fill o:detectmouseclick="t"/>
                            <v:textbox style="mso-fit-shape-to-text:t" inset="0,6.75pt,0,6.75pt">
                              <w:txbxContent>
                                <w:p w:rsidR="00757B86" w:rsidRDefault="00757B86" w:rsidP="00757B86">
                                  <w:pPr>
                                    <w:spacing w:line="33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 xml:space="preserve">Read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>about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>guidelines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shd w:val="clear" w:color="auto" w:fill="FFFFFF"/>
                  <w:hideMark/>
                </w:tcPr>
                <w:p w:rsidR="00757B86" w:rsidRDefault="00757B86">
                  <w:pPr>
                    <w:pStyle w:val="NormalWeb"/>
                    <w:spacing w:before="0" w:beforeAutospacing="0" w:after="300" w:afterAutospacing="0" w:line="315" w:lineRule="atLeast"/>
                    <w:jc w:val="center"/>
                    <w:rPr>
                      <w:rFonts w:ascii="Arial" w:hAnsi="Arial" w:cs="Arial"/>
                      <w:color w:val="575C66"/>
                      <w:position w:val="6"/>
                      <w:sz w:val="21"/>
                      <w:szCs w:val="21"/>
                    </w:rPr>
                  </w:pPr>
                  <w:proofErr w:type="spellStart"/>
                  <w:r>
                    <w:rPr>
                      <w:rStyle w:val="Vurgu"/>
                      <w:rFonts w:ascii="Arial" w:hAnsi="Arial" w:cs="Arial"/>
                      <w:color w:val="575C66"/>
                      <w:position w:val="6"/>
                      <w:sz w:val="21"/>
                      <w:szCs w:val="21"/>
                    </w:rPr>
                    <w:t>Longer</w:t>
                  </w:r>
                  <w:proofErr w:type="spellEnd"/>
                  <w:r>
                    <w:rPr>
                      <w:rStyle w:val="Vurgu"/>
                      <w:rFonts w:ascii="Arial" w:hAnsi="Arial" w:cs="Arial"/>
                      <w:color w:val="575C66"/>
                      <w:position w:val="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Style w:val="Vurgu"/>
                      <w:rFonts w:ascii="Arial" w:hAnsi="Arial" w:cs="Arial"/>
                      <w:color w:val="575C66"/>
                      <w:position w:val="6"/>
                      <w:sz w:val="21"/>
                      <w:szCs w:val="21"/>
                    </w:rPr>
                    <w:t>read</w:t>
                  </w:r>
                  <w:proofErr w:type="spellEnd"/>
                </w:p>
                <w:p w:rsidR="00757B86" w:rsidRDefault="00757B86">
                  <w:pPr>
                    <w:spacing w:line="285" w:lineRule="atLeast"/>
                    <w:jc w:val="center"/>
                    <w:rPr>
                      <w:rFonts w:ascii="Arial" w:hAnsi="Arial" w:cs="Arial"/>
                      <w:color w:val="575C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18"/>
                      <w:szCs w:val="18"/>
                    </w:rPr>
                    <w:drawing>
                      <wp:inline distT="0" distB="0" distL="0" distR="0">
                        <wp:extent cx="1657350" cy="1590675"/>
                        <wp:effectExtent l="0" t="0" r="0" b="0"/>
                        <wp:docPr id="1" name="Resim 1" descr="http://i10.cmail20.com/ei/d/C1/C27/A44/231319/csfinal/EEA_EN_compact-209950e48041453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i10.cmail20.com/ei/d/C1/C27/A44/231319/csfinal/EEA_EN_compact-209950e48041453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1590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7B86" w:rsidRDefault="00757B86">
                  <w:pPr>
                    <w:spacing w:line="345" w:lineRule="exact"/>
                    <w:rPr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</w:pP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Sustainability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transitions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: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policy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and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practice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1E293D"/>
                      <w:position w:val="6"/>
                      <w:sz w:val="23"/>
                      <w:szCs w:val="23"/>
                    </w:rPr>
                    <w:t> </w:t>
                  </w:r>
                </w:p>
                <w:p w:rsidR="00757B86" w:rsidRDefault="00757B86">
                  <w:pPr>
                    <w:pStyle w:val="size-131"/>
                    <w:spacing w:before="24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This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recently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published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EEA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report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focuses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practical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implications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transitions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research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policy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and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practice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.</w:t>
                  </w:r>
                </w:p>
                <w:p w:rsidR="00757B86" w:rsidRDefault="00757B86">
                  <w:pPr>
                    <w:pStyle w:val="size-131"/>
                    <w:spacing w:before="30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As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such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it is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highly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relevant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EEAcademy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Alumni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looking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expand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their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knowledge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on </w:t>
                  </w:r>
                  <w:proofErr w:type="spellStart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the</w:t>
                  </w:r>
                  <w:proofErr w:type="spellEnd"/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operationalization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of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transitions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</w:t>
                  </w:r>
                  <w:proofErr w:type="spellStart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>thinking</w:t>
                  </w:r>
                  <w:proofErr w:type="spellEnd"/>
                  <w:r>
                    <w:rPr>
                      <w:rStyle w:val="Gl"/>
                      <w:rFonts w:ascii="Arial" w:hAnsi="Arial" w:cs="Arial"/>
                      <w:color w:val="575C66"/>
                      <w:position w:val="6"/>
                    </w:rPr>
                    <w:t xml:space="preserve"> in Europe.</w:t>
                  </w: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 </w:t>
                  </w:r>
                </w:p>
                <w:p w:rsidR="00757B86" w:rsidRDefault="00757B86">
                  <w:pPr>
                    <w:pStyle w:val="size-131"/>
                    <w:spacing w:before="300" w:beforeAutospacing="0" w:after="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</w:p>
                <w:p w:rsidR="00757B86" w:rsidRDefault="00757B86">
                  <w:pPr>
                    <w:pStyle w:val="size-131"/>
                    <w:spacing w:before="300" w:beforeAutospacing="0" w:after="300" w:afterAutospacing="0" w:line="315" w:lineRule="exact"/>
                    <w:rPr>
                      <w:rFonts w:ascii="Arial" w:hAnsi="Arial" w:cs="Arial"/>
                      <w:color w:val="575C66"/>
                      <w:position w:val="6"/>
                    </w:rPr>
                  </w:pPr>
                  <w:r>
                    <w:rPr>
                      <w:rFonts w:ascii="Arial" w:hAnsi="Arial" w:cs="Arial"/>
                      <w:color w:val="575C66"/>
                      <w:position w:val="6"/>
                    </w:rPr>
                    <w:t> </w:t>
                  </w:r>
                </w:p>
                <w:p w:rsidR="00757B86" w:rsidRDefault="00757B86">
                  <w:pPr>
                    <w:pStyle w:val="NormalWeb"/>
                    <w:spacing w:before="0" w:beforeAutospacing="0" w:after="0" w:afterAutospacing="0" w:line="0" w:lineRule="auto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  <w:t> </w:t>
                  </w:r>
                </w:p>
                <w:p w:rsidR="00757B86" w:rsidRDefault="00757B86">
                  <w:pPr>
                    <w:spacing w:line="315" w:lineRule="atLeast"/>
                    <w:jc w:val="center"/>
                    <w:rPr>
                      <w:rFonts w:ascii="Arial" w:hAnsi="Arial" w:cs="Arial"/>
                      <w:color w:val="575C66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noProof/>
                      <w:color w:val="575C66"/>
                      <w:sz w:val="21"/>
                      <w:szCs w:val="21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2486025" cy="394335"/>
                            <wp:effectExtent l="0" t="0" r="0" b="5715"/>
                            <wp:docPr id="11" name="Yuvarlatılmış Dikdörtgen 11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394335"/>
                                    </a:xfrm>
                                    <a:prstGeom prst="roundRect">
                                      <a:avLst>
                                        <a:gd name="adj" fmla="val 10000"/>
                                      </a:avLst>
                                    </a:prstGeom>
                                    <a:solidFill>
                                      <a:srgbClr val="66B4AB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57B86" w:rsidRDefault="00757B86" w:rsidP="00757B86">
                                        <w:pPr>
                                          <w:spacing w:line="330" w:lineRule="exact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 xml:space="preserve">Read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>more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>about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>the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FFFF"/>
                                            <w:position w:val="6"/>
                                            <w:sz w:val="18"/>
                                            <w:szCs w:val="18"/>
                                          </w:rPr>
                                          <w:t>report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0" tIns="85725" rIns="0" bIns="85725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id="Yuvarlatılmış Dikdörtgen 11" o:spid="_x0000_s1030" href="https://europeanenvironmentagencyeea.cmail20.com/t/d-i-xhlhytk-l-h/" style="width:195.75pt;height: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" o:button="t" fillcolor="#66b4ab" stroked="f">
                            <v:fill o:detectmouseclick="t"/>
                            <v:textbox style="mso-fit-shape-to-text:t" inset="0,6.75pt,0,6.75pt">
                              <w:txbxContent>
                                <w:p w:rsidR="00757B86" w:rsidRDefault="00757B86" w:rsidP="00757B86">
                                  <w:pPr>
                                    <w:spacing w:line="33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 xml:space="preserve">Read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>more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>about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position w:val="6"/>
                                      <w:sz w:val="18"/>
                                      <w:szCs w:val="18"/>
                                    </w:rPr>
                                    <w:t>report</w:t>
                                  </w:r>
                                  <w:proofErr w:type="spellEnd"/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single" w:sz="8" w:space="0" w:color="CCCCCC"/>
                    <w:right w:val="nil"/>
                  </w:tcBorders>
                  <w:shd w:val="clear" w:color="auto" w:fill="CCCCCC"/>
                  <w:vAlign w:val="center"/>
                  <w:hideMark/>
                </w:tcPr>
                <w:p w:rsidR="00757B86" w:rsidRDefault="00757B86">
                  <w:r>
                    <w:rPr>
                      <w:color w:val="000000"/>
                    </w:rPr>
                    <w:t>​</w:t>
                  </w:r>
                </w:p>
              </w:tc>
            </w:tr>
            <w:tr w:rsidR="00757B86">
              <w:trPr>
                <w:jc w:val="center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/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B86" w:rsidRDefault="00757B8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57B86" w:rsidRDefault="00757B86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3000"/>
            </w:tblGrid>
            <w:tr w:rsidR="00757B86">
              <w:trPr>
                <w:jc w:val="center"/>
              </w:trPr>
              <w:tc>
                <w:tcPr>
                  <w:tcW w:w="6000" w:type="dxa"/>
                  <w:hideMark/>
                </w:tcPr>
                <w:p w:rsidR="00757B86" w:rsidRDefault="00757B86">
                  <w:pPr>
                    <w:spacing w:line="285" w:lineRule="atLeast"/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 xml:space="preserve">Read </w:t>
                  </w:r>
                  <w:proofErr w:type="spellStart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>more</w:t>
                  </w:r>
                  <w:proofErr w:type="spellEnd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>about</w:t>
                  </w:r>
                  <w:proofErr w:type="spellEnd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>EEAcademy</w:t>
                  </w:r>
                  <w:proofErr w:type="spellEnd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 xml:space="preserve"> at </w:t>
                  </w:r>
                  <w:hyperlink r:id="rId22" w:history="1">
                    <w:r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www.eea.europa.eu/eeacademy</w:t>
                    </w:r>
                  </w:hyperlink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>You</w:t>
                  </w:r>
                  <w:proofErr w:type="spellEnd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 xml:space="preserve"> can </w:t>
                  </w:r>
                  <w:proofErr w:type="spellStart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>contact</w:t>
                  </w:r>
                  <w:proofErr w:type="spellEnd"/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t xml:space="preserve"> us at </w:t>
                  </w:r>
                  <w:hyperlink r:id="rId23" w:history="1">
                    <w:r>
                      <w:rPr>
                        <w:rStyle w:val="Kpr"/>
                        <w:rFonts w:ascii="Arial" w:hAnsi="Arial" w:cs="Arial"/>
                        <w:sz w:val="18"/>
                        <w:szCs w:val="18"/>
                      </w:rPr>
                      <w:t>EEacademy@eea.europa.eu</w:t>
                    </w:r>
                  </w:hyperlink>
                </w:p>
                <w:p w:rsidR="00757B86" w:rsidRDefault="00757B86">
                  <w:pPr>
                    <w:spacing w:line="285" w:lineRule="atLeast"/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3000" w:type="dxa"/>
                  <w:hideMark/>
                </w:tcPr>
                <w:p w:rsidR="00757B86" w:rsidRDefault="00757B86">
                  <w:pPr>
                    <w:rPr>
                      <w:rFonts w:ascii="Arial" w:hAnsi="Arial" w:cs="Arial"/>
                      <w:color w:val="99B0B8"/>
                      <w:sz w:val="18"/>
                      <w:szCs w:val="18"/>
                    </w:rPr>
                  </w:pPr>
                </w:p>
              </w:tc>
            </w:tr>
          </w:tbl>
          <w:p w:rsidR="00757B86" w:rsidRDefault="00757B86">
            <w:pPr>
              <w:spacing w:line="6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Bültende yer alan haberlerin detayları için aşağıdaki linklerden erişim sağlayabilirsiniz:</w:t>
            </w:r>
          </w:p>
          <w:p w:rsidR="00757B86" w:rsidRPr="00757B86" w:rsidRDefault="00757B86" w:rsidP="00757B86">
            <w:pPr>
              <w:pStyle w:val="ListeParagraf"/>
              <w:numPr>
                <w:ilvl w:val="0"/>
                <w:numId w:val="1"/>
              </w:numPr>
              <w:spacing w:line="600" w:lineRule="atLeast"/>
              <w:rPr>
                <w:sz w:val="24"/>
                <w:szCs w:val="24"/>
              </w:rPr>
            </w:pPr>
            <w:hyperlink r:id="rId24" w:history="1">
              <w:r w:rsidRPr="00757B86">
                <w:rPr>
                  <w:rStyle w:val="Kpr"/>
                  <w:sz w:val="24"/>
                  <w:szCs w:val="24"/>
                </w:rPr>
                <w:t>https://www.eea.europa.eu/about-us/tenders/call-for-expression-of-interest-1?utm_medium=email&amp;utm_campaign=EEAcademy%20News%20-%20Issue%202%20November%202019&amp;utm_content=EEAcademy%20News%20-%20Issue%202%20November%202019+Preview+CID_12a0fc0bce6edc1853f81e552267a347&amp;utm_source=EEA%20Newsletter&amp;utm_term=Apply%20here</w:t>
              </w:r>
            </w:hyperlink>
          </w:p>
          <w:p w:rsidR="00757B86" w:rsidRDefault="00757B86">
            <w:pPr>
              <w:spacing w:line="600" w:lineRule="atLeast"/>
              <w:rPr>
                <w:sz w:val="24"/>
                <w:szCs w:val="24"/>
              </w:rPr>
            </w:pPr>
          </w:p>
          <w:p w:rsidR="00757B86" w:rsidRPr="00757B86" w:rsidRDefault="00757B86" w:rsidP="00757B86">
            <w:pPr>
              <w:pStyle w:val="ListeParagraf"/>
              <w:numPr>
                <w:ilvl w:val="0"/>
                <w:numId w:val="1"/>
              </w:numPr>
              <w:spacing w:line="600" w:lineRule="atLeast"/>
              <w:rPr>
                <w:sz w:val="24"/>
                <w:szCs w:val="24"/>
              </w:rPr>
            </w:pPr>
            <w:hyperlink r:id="rId25" w:history="1">
              <w:r w:rsidRPr="00757B86">
                <w:rPr>
                  <w:rStyle w:val="Kpr"/>
                  <w:sz w:val="24"/>
                  <w:szCs w:val="24"/>
                </w:rPr>
                <w:t>https://www.eea.europa.eu/about-us/who/eeacademy/knowledge-for-a-sustainable-xxi-century/view?utm_medium=email&amp;utm_campaign=EEAcademy%20News%20-%20Issue%202%20November%202019&amp;utm_content=EEAcademy%20News%20-%20Issue%202%20November%202019+Preview+CID_12a0fc0bce6edc1853f81e552267a347&amp;utm_source=EEA%20Newsletter&amp;utm_term=Read%20more%20here</w:t>
              </w:r>
            </w:hyperlink>
          </w:p>
          <w:p w:rsidR="00757B86" w:rsidRDefault="00757B86">
            <w:pPr>
              <w:spacing w:line="600" w:lineRule="atLeast"/>
              <w:rPr>
                <w:sz w:val="24"/>
                <w:szCs w:val="24"/>
              </w:rPr>
            </w:pPr>
          </w:p>
          <w:p w:rsidR="00757B86" w:rsidRDefault="00757B86" w:rsidP="00757B86">
            <w:pPr>
              <w:pStyle w:val="ListeParagraf"/>
              <w:numPr>
                <w:ilvl w:val="0"/>
                <w:numId w:val="1"/>
              </w:numPr>
              <w:spacing w:line="600" w:lineRule="atLeast"/>
              <w:rPr>
                <w:sz w:val="24"/>
                <w:szCs w:val="24"/>
              </w:rPr>
            </w:pPr>
            <w:hyperlink r:id="rId26" w:history="1">
              <w:r w:rsidRPr="00757B86">
                <w:rPr>
                  <w:rStyle w:val="Kpr"/>
                  <w:sz w:val="24"/>
                  <w:szCs w:val="24"/>
                </w:rPr>
                <w:t>https://ec.europa.eu/commission/sites/beta-political/files/political-guidelines-next-commission_en.pdf</w:t>
              </w:r>
            </w:hyperlink>
          </w:p>
          <w:p w:rsidR="00757B86" w:rsidRPr="00757B86" w:rsidRDefault="00757B86" w:rsidP="00757B86">
            <w:pPr>
              <w:pStyle w:val="ListeParagraf"/>
              <w:rPr>
                <w:sz w:val="24"/>
                <w:szCs w:val="24"/>
              </w:rPr>
            </w:pPr>
          </w:p>
          <w:p w:rsidR="00757B86" w:rsidRDefault="00757B86" w:rsidP="00757B86">
            <w:pPr>
              <w:pStyle w:val="ListeParagraf"/>
              <w:numPr>
                <w:ilvl w:val="0"/>
                <w:numId w:val="1"/>
              </w:numPr>
              <w:spacing w:line="600" w:lineRule="atLeast"/>
              <w:rPr>
                <w:sz w:val="24"/>
                <w:szCs w:val="24"/>
              </w:rPr>
            </w:pPr>
            <w:hyperlink r:id="rId27" w:history="1">
              <w:r w:rsidRPr="00AA0A5B">
                <w:rPr>
                  <w:rStyle w:val="Kpr"/>
                  <w:sz w:val="24"/>
                  <w:szCs w:val="24"/>
                </w:rPr>
                <w:t>https://www.eea.europa.eu/publications/sustainability-transitions-policy-and-practice?utm_medium=email&amp;utm_campaign=EEAcademy%20News%20-%20Issue%202%20November%202019&amp;utm_content=EEAcademy%20News%20-%20Issue%202%20November%202019+Preview+CID_12a0fc0bce6edc1853f81e552267a347&amp;utm_source=EEA%20Newsletter&amp;utm_term=Read%20more%20about%20the%20report</w:t>
              </w:r>
            </w:hyperlink>
          </w:p>
          <w:p w:rsidR="00757B86" w:rsidRPr="00757B86" w:rsidRDefault="00757B86" w:rsidP="00757B86">
            <w:pPr>
              <w:pStyle w:val="ListeParagraf"/>
              <w:rPr>
                <w:sz w:val="24"/>
                <w:szCs w:val="24"/>
              </w:rPr>
            </w:pPr>
          </w:p>
          <w:p w:rsidR="00757B86" w:rsidRPr="00757B86" w:rsidRDefault="00757B86" w:rsidP="00757B86">
            <w:pPr>
              <w:pStyle w:val="ListeParagraf"/>
              <w:numPr>
                <w:ilvl w:val="0"/>
                <w:numId w:val="1"/>
              </w:numPr>
              <w:spacing w:line="60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57B86" w:rsidRPr="00757B86" w:rsidRDefault="00757B86">
            <w:pPr>
              <w:spacing w:line="600" w:lineRule="atLeast"/>
              <w:rPr>
                <w:sz w:val="24"/>
                <w:szCs w:val="24"/>
              </w:rPr>
            </w:pPr>
          </w:p>
        </w:tc>
      </w:tr>
    </w:tbl>
    <w:p w:rsidR="00EC489E" w:rsidRDefault="00EC489E"/>
    <w:sectPr w:rsidR="00EC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4E33"/>
    <w:multiLevelType w:val="hybridMultilevel"/>
    <w:tmpl w:val="A394F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86"/>
    <w:rsid w:val="00757B86"/>
    <w:rsid w:val="00E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968F"/>
  <w15:chartTrackingRefBased/>
  <w15:docId w15:val="{0CF28DD7-C87B-405A-AE31-90D949C0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86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7B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7B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ize-131">
    <w:name w:val="size-131"/>
    <w:basedOn w:val="Normal"/>
    <w:uiPriority w:val="99"/>
    <w:semiHidden/>
    <w:rsid w:val="00757B86"/>
    <w:pPr>
      <w:spacing w:before="100" w:beforeAutospacing="1" w:after="100" w:afterAutospacing="1" w:line="315" w:lineRule="atLeast"/>
    </w:pPr>
    <w:rPr>
      <w:sz w:val="20"/>
      <w:szCs w:val="20"/>
    </w:rPr>
  </w:style>
  <w:style w:type="paragraph" w:customStyle="1" w:styleId="size-161">
    <w:name w:val="size-161"/>
    <w:basedOn w:val="Normal"/>
    <w:uiPriority w:val="99"/>
    <w:semiHidden/>
    <w:rsid w:val="00757B86"/>
    <w:pPr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size-201">
    <w:name w:val="size-201"/>
    <w:basedOn w:val="Normal"/>
    <w:uiPriority w:val="99"/>
    <w:semiHidden/>
    <w:rsid w:val="00757B86"/>
    <w:pPr>
      <w:spacing w:before="100" w:beforeAutospacing="1" w:after="100" w:afterAutospacing="1" w:line="420" w:lineRule="atLeast"/>
    </w:pPr>
    <w:rPr>
      <w:sz w:val="30"/>
      <w:szCs w:val="30"/>
    </w:rPr>
  </w:style>
  <w:style w:type="paragraph" w:customStyle="1" w:styleId="size-301">
    <w:name w:val="size-301"/>
    <w:basedOn w:val="Normal"/>
    <w:uiPriority w:val="99"/>
    <w:semiHidden/>
    <w:rsid w:val="00757B86"/>
    <w:pPr>
      <w:spacing w:before="100" w:beforeAutospacing="1" w:after="100" w:afterAutospacing="1" w:line="570" w:lineRule="atLeast"/>
    </w:pPr>
    <w:rPr>
      <w:sz w:val="45"/>
      <w:szCs w:val="45"/>
    </w:rPr>
  </w:style>
  <w:style w:type="character" w:styleId="Gl">
    <w:name w:val="Strong"/>
    <w:basedOn w:val="VarsaylanParagrafYazTipi"/>
    <w:uiPriority w:val="22"/>
    <w:qFormat/>
    <w:rsid w:val="00757B86"/>
    <w:rPr>
      <w:b/>
      <w:bCs/>
    </w:rPr>
  </w:style>
  <w:style w:type="character" w:styleId="Vurgu">
    <w:name w:val="Emphasis"/>
    <w:basedOn w:val="VarsaylanParagrafYazTipi"/>
    <w:uiPriority w:val="20"/>
    <w:qFormat/>
    <w:rsid w:val="00757B86"/>
    <w:rPr>
      <w:i/>
      <w:iCs/>
    </w:rPr>
  </w:style>
  <w:style w:type="paragraph" w:styleId="ListeParagraf">
    <w:name w:val="List Paragraph"/>
    <w:basedOn w:val="Normal"/>
    <w:uiPriority w:val="34"/>
    <w:qFormat/>
    <w:rsid w:val="00757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ur02.safelinks.protection.outlook.com/?url=https%3A%2F%2Feuropeanenvironmentagencyeea.cmail20.com%2Ft%2Fd-i-xhlhytk-l-j%2F&amp;data=02%7C01%7Csarah.bittner%40eea.europa.eu%7C1303e348c8fa4806204008d773fefc46%7Cbe2e7beab4934de5bbc58b4a6a235600%7C1%7C0%7C637105411308649536&amp;sdata=bIdegE0NWtWXQXCiNkt4QG1Va9Woize0iUKAa1Ezgx8%3D&amp;reserved=0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s://ec.europa.eu/commission/sites/beta-political/files/political-guidelines-next-commission_e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opeanenvironmentagencyeea.cmail20.com/t/d-i-xhlhytk-l-h/" TargetMode="External"/><Relationship Id="rId7" Type="http://schemas.openxmlformats.org/officeDocument/2006/relationships/hyperlink" Target="https://eur02.safelinks.protection.outlook.com/?url=https%3A%2F%2Feuropeanenvironmentagencyeea.cmail20.com%2Ft%2Fd-i-xhlhytk-l-r%2F&amp;data=02%7C01%7Csarah.bittner%40eea.europa.eu%7C1303e348c8fa4806204008d773fefc46%7Cbe2e7beab4934de5bbc58b4a6a235600%7C1%7C0%7C637105411308639575&amp;sdata=5QY%2FN6YkzfqL6sCbDETLWBQaNh9SXzfv%2Bnin7yMmD0I%3D&amp;reserved=0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europeanenvironmentagencyeea.cmail20.com/t/d-i-xhlhytk-l-i/" TargetMode="External"/><Relationship Id="rId25" Type="http://schemas.openxmlformats.org/officeDocument/2006/relationships/hyperlink" Target="https://www.eea.europa.eu/about-us/who/eeacademy/knowledge-for-a-sustainable-xxi-century/view?utm_medium=email&amp;utm_campaign=EEAcademy%20News%20-%20Issue%202%20November%202019&amp;utm_content=EEAcademy%20News%20-%20Issue%202%20November%202019+Preview+CID_12a0fc0bce6edc1853f81e552267a347&amp;utm_source=EEA%20Newsletter&amp;utm_term=Read%20more%20here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s://www.eea.europa.eu/about-us/tenders/call-for-expression-of-interest-1?utm_medium=email&amp;utm_campaign=EEAcademy%20News%20-%20Issue%202%20November%202019&amp;utm_content=EEAcademy%20News%20-%20Issue%202%20November%202019+Preview+CID_12a0fc0bce6edc1853f81e552267a347&amp;utm_source=EEA%20Newsletter&amp;utm_term=Apply%20here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hyperlink" Target="mailto:EEacademy@eea.europa.e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uropeanenvironmentagencyeea.cmail20.com/t/d-i-xhlhytk-l-y/" TargetMode="External"/><Relationship Id="rId19" Type="http://schemas.openxmlformats.org/officeDocument/2006/relationships/hyperlink" Target="https://europeanenvironmentagencyeea.cmail20.com/t/d-i-xhlhytk-l-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eur02.safelinks.protection.outlook.com/?url=https%3A%2F%2Feuropeanenvironmentagencyeea.cmail20.com%2Ft%2Fd-i-xhlhytk-l-t%2F&amp;data=02%7C01%7Csarah.bittner%40eea.europa.eu%7C1303e348c8fa4806204008d773fefc46%7Cbe2e7beab4934de5bbc58b4a6a235600%7C1%7C0%7C637105411308659487&amp;sdata=f9QEwqdlO0DyHv6G%2FWWDipamHhLXzSU8Yg4LXzMCTZY%3D&amp;reserved=0" TargetMode="External"/><Relationship Id="rId22" Type="http://schemas.openxmlformats.org/officeDocument/2006/relationships/hyperlink" Target="http://www.eea.europa.eu/eeacademy" TargetMode="External"/><Relationship Id="rId27" Type="http://schemas.openxmlformats.org/officeDocument/2006/relationships/hyperlink" Target="https://www.eea.europa.eu/publications/sustainability-transitions-policy-and-practice?utm_medium=email&amp;utm_campaign=EEAcademy%20News%20-%20Issue%202%20November%202019&amp;utm_content=EEAcademy%20News%20-%20Issue%202%20November%202019+Preview+CID_12a0fc0bce6edc1853f81e552267a347&amp;utm_source=EEA%20Newsletter&amp;utm_term=Read%20more%20about%20the%20repor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1062</Words>
  <Characters>6059</Characters>
  <Application>Microsoft Office Word</Application>
  <DocSecurity>0</DocSecurity>
  <Lines>50</Lines>
  <Paragraphs>14</Paragraphs>
  <ScaleCrop>false</ScaleCrop>
  <Company>Cevre ve Sehircilik Bakanligi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Göktaş</dc:creator>
  <cp:keywords/>
  <dc:description/>
  <cp:lastModifiedBy>Ahmet Göktaş</cp:lastModifiedBy>
  <cp:revision>1</cp:revision>
  <dcterms:created xsi:type="dcterms:W3CDTF">2019-11-29T14:49:00Z</dcterms:created>
  <dcterms:modified xsi:type="dcterms:W3CDTF">2019-11-29T14:52:00Z</dcterms:modified>
</cp:coreProperties>
</file>