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32" w:rsidRDefault="00D91B32" w:rsidP="004B6611">
      <w:pPr>
        <w:shd w:val="clear" w:color="auto" w:fill="FFFFFF"/>
        <w:spacing w:before="125" w:line="274" w:lineRule="exact"/>
        <w:ind w:left="134" w:right="125"/>
        <w:jc w:val="both"/>
        <w:rPr>
          <w:b/>
          <w:bCs/>
          <w:color w:val="000000"/>
          <w:sz w:val="24"/>
          <w:szCs w:val="24"/>
        </w:rPr>
      </w:pPr>
    </w:p>
    <w:p w:rsidR="00D91B32" w:rsidRDefault="00D91B32" w:rsidP="004B6611">
      <w:pPr>
        <w:shd w:val="clear" w:color="auto" w:fill="FFFFFF"/>
        <w:spacing w:before="125" w:line="274" w:lineRule="exact"/>
        <w:ind w:left="134" w:right="125"/>
        <w:jc w:val="both"/>
        <w:rPr>
          <w:b/>
          <w:bCs/>
          <w:color w:val="000000"/>
          <w:sz w:val="24"/>
          <w:szCs w:val="24"/>
        </w:rPr>
      </w:pPr>
    </w:p>
    <w:p w:rsidR="00D91B32" w:rsidRPr="00DD5603" w:rsidRDefault="00D91B32" w:rsidP="004B6611">
      <w:pPr>
        <w:shd w:val="clear" w:color="auto" w:fill="FFFFFF"/>
        <w:spacing w:before="125" w:line="274" w:lineRule="exact"/>
        <w:ind w:left="134" w:right="125"/>
        <w:jc w:val="both"/>
        <w:rPr>
          <w:b/>
          <w:bCs/>
          <w:color w:val="C0504D" w:themeColor="accent2"/>
          <w:sz w:val="24"/>
          <w:szCs w:val="24"/>
        </w:rPr>
      </w:pPr>
      <w:r w:rsidRPr="00DD5603">
        <w:rPr>
          <w:color w:val="C0504D" w:themeColor="accent2"/>
          <w:sz w:val="24"/>
          <w:szCs w:val="24"/>
        </w:rPr>
        <w:t xml:space="preserve">                                      YAPI DAİMİ KOMİTESİ TOPLANTISI</w:t>
      </w:r>
    </w:p>
    <w:p w:rsidR="00D91B32" w:rsidRPr="00DD5603" w:rsidRDefault="00D91B32" w:rsidP="004B6611">
      <w:pPr>
        <w:shd w:val="clear" w:color="auto" w:fill="FFFFFF"/>
        <w:spacing w:before="125" w:line="274" w:lineRule="exact"/>
        <w:ind w:left="134" w:right="125"/>
        <w:jc w:val="both"/>
        <w:rPr>
          <w:b/>
          <w:bCs/>
          <w:color w:val="C0504D" w:themeColor="accent2"/>
          <w:sz w:val="24"/>
          <w:szCs w:val="24"/>
        </w:rPr>
      </w:pPr>
    </w:p>
    <w:p w:rsidR="00D91B32" w:rsidRPr="00DD5603" w:rsidRDefault="004B6611" w:rsidP="004B6611">
      <w:pPr>
        <w:shd w:val="clear" w:color="auto" w:fill="FFFFFF"/>
        <w:spacing w:before="125" w:line="274" w:lineRule="exact"/>
        <w:ind w:left="134" w:right="125"/>
        <w:jc w:val="both"/>
        <w:rPr>
          <w:b/>
          <w:bCs/>
          <w:color w:val="C0504D" w:themeColor="accent2"/>
          <w:sz w:val="24"/>
          <w:szCs w:val="24"/>
        </w:rPr>
      </w:pPr>
      <w:r w:rsidRPr="00DD5603">
        <w:rPr>
          <w:b/>
          <w:bCs/>
          <w:color w:val="C0504D" w:themeColor="accent2"/>
          <w:sz w:val="24"/>
          <w:szCs w:val="24"/>
        </w:rPr>
        <w:t xml:space="preserve">Özet: </w:t>
      </w:r>
    </w:p>
    <w:p w:rsidR="004B6611" w:rsidRDefault="004B6611" w:rsidP="004B6611">
      <w:pPr>
        <w:shd w:val="clear" w:color="auto" w:fill="FFFFFF"/>
        <w:spacing w:before="125" w:line="274" w:lineRule="exact"/>
        <w:ind w:left="134" w:right="125"/>
        <w:jc w:val="both"/>
      </w:pPr>
      <w:r>
        <w:rPr>
          <w:color w:val="000000"/>
          <w:sz w:val="24"/>
          <w:szCs w:val="24"/>
          <w:lang w:val="en-US"/>
        </w:rPr>
        <w:t xml:space="preserve">13-14/2/2014 </w:t>
      </w:r>
      <w:r>
        <w:rPr>
          <w:color w:val="000000"/>
          <w:sz w:val="24"/>
          <w:szCs w:val="24"/>
        </w:rPr>
        <w:t xml:space="preserve">tarihlerinde Belçika/Brüksel'de Avrupa Komisyonu temsilcisi </w:t>
      </w:r>
      <w:proofErr w:type="spellStart"/>
      <w:r>
        <w:rPr>
          <w:color w:val="000000"/>
          <w:sz w:val="24"/>
          <w:szCs w:val="24"/>
          <w:lang w:val="en-US"/>
        </w:rPr>
        <w:t>Tapani</w:t>
      </w:r>
      <w:proofErr w:type="spellEnd"/>
      <w:r>
        <w:rPr>
          <w:color w:val="000000"/>
          <w:sz w:val="24"/>
          <w:szCs w:val="24"/>
          <w:lang w:val="en-US"/>
        </w:rPr>
        <w:t xml:space="preserve"> </w:t>
      </w:r>
      <w:r>
        <w:rPr>
          <w:color w:val="000000"/>
          <w:sz w:val="24"/>
          <w:szCs w:val="24"/>
        </w:rPr>
        <w:t>MIKKELI Başkanlığında, Avrupa Komisyonu İşletmeler Genel Müdürlüğü temsilcisi GEORGIOS KATSARAKIS, Avrupa Standardizasyon Komitesi yetkilileri ve Avrupa Birliği üye ve aday ülkelerinin temsilcileri katılımı ile Yapı Daimi Komitesi Toplantısı gerçekleşmiş ve Türkiye'yi temsilen katılım sağlanmıştır.</w:t>
      </w:r>
    </w:p>
    <w:p w:rsidR="004B6611" w:rsidRDefault="004B6611" w:rsidP="004B6611">
      <w:pPr>
        <w:shd w:val="clear" w:color="auto" w:fill="FFFFFF"/>
        <w:tabs>
          <w:tab w:val="left" w:leader="underscore" w:pos="10714"/>
        </w:tabs>
        <w:spacing w:before="115" w:line="278" w:lineRule="exact"/>
        <w:ind w:left="130" w:right="72"/>
        <w:jc w:val="both"/>
      </w:pPr>
      <w:r>
        <w:rPr>
          <w:color w:val="000000"/>
          <w:sz w:val="24"/>
          <w:szCs w:val="24"/>
        </w:rPr>
        <w:t>'Katılımın amacı; Yapı Daimi Komitesi'nde görüşülen, Türkiye yapı malzemeleri sektörünü de ilgilendiren</w:t>
      </w:r>
      <w:r>
        <w:rPr>
          <w:color w:val="000000"/>
          <w:sz w:val="24"/>
          <w:szCs w:val="24"/>
        </w:rPr>
        <w:br/>
        <w:t>konular hakkında bilgi sahibi olmak, Bakanlığımız tarafından uyumlaştırılarak ulusal mevzuatımıza</w:t>
      </w:r>
      <w:r>
        <w:rPr>
          <w:color w:val="000000"/>
          <w:sz w:val="24"/>
          <w:szCs w:val="24"/>
        </w:rPr>
        <w:br/>
        <w:t xml:space="preserve">kazandırılan ve </w:t>
      </w:r>
      <w:proofErr w:type="gramStart"/>
      <w:r>
        <w:rPr>
          <w:color w:val="000000"/>
          <w:sz w:val="24"/>
          <w:szCs w:val="24"/>
          <w:lang w:val="en-US"/>
        </w:rPr>
        <w:t>1/7/2013</w:t>
      </w:r>
      <w:proofErr w:type="gramEnd"/>
      <w:r>
        <w:rPr>
          <w:color w:val="000000"/>
          <w:sz w:val="24"/>
          <w:szCs w:val="24"/>
          <w:lang w:val="en-US"/>
        </w:rPr>
        <w:t xml:space="preserve"> </w:t>
      </w:r>
      <w:r>
        <w:rPr>
          <w:color w:val="000000"/>
          <w:sz w:val="24"/>
          <w:szCs w:val="24"/>
        </w:rPr>
        <w:t>tarihinde yürürlüğe giren Yapı Malzemeleri Tüzüğü(305/2011/EU)'nün (CPR)</w:t>
      </w:r>
      <w:r>
        <w:rPr>
          <w:color w:val="000000"/>
          <w:sz w:val="24"/>
          <w:szCs w:val="24"/>
        </w:rPr>
        <w:br/>
      </w:r>
      <w:r>
        <w:rPr>
          <w:color w:val="000000"/>
          <w:spacing w:val="-1"/>
          <w:sz w:val="24"/>
          <w:szCs w:val="24"/>
          <w:u w:val="single"/>
        </w:rPr>
        <w:t>uygulanmasına dönük Avrupa Komisyonu planları ve kararları ile ilgili bilgi edinmektir.</w:t>
      </w:r>
      <w:r>
        <w:rPr>
          <w:color w:val="000000"/>
          <w:sz w:val="24"/>
          <w:szCs w:val="24"/>
          <w:lang w:val="en-US"/>
        </w:rPr>
        <w:tab/>
      </w:r>
    </w:p>
    <w:p w:rsidR="00D91B32" w:rsidRDefault="004B6611" w:rsidP="004B6611">
      <w:pPr>
        <w:shd w:val="clear" w:color="auto" w:fill="FFFFFF"/>
        <w:spacing w:before="442" w:line="278" w:lineRule="exact"/>
        <w:ind w:left="130" w:right="125"/>
        <w:jc w:val="both"/>
        <w:rPr>
          <w:b/>
          <w:bCs/>
          <w:color w:val="000000"/>
          <w:sz w:val="24"/>
          <w:szCs w:val="24"/>
        </w:rPr>
      </w:pPr>
      <w:r w:rsidRPr="00DD5603">
        <w:rPr>
          <w:b/>
          <w:bCs/>
          <w:color w:val="C0504D" w:themeColor="accent2"/>
          <w:sz w:val="24"/>
          <w:szCs w:val="24"/>
        </w:rPr>
        <w:t xml:space="preserve">Görüşülen Konular: </w:t>
      </w:r>
    </w:p>
    <w:p w:rsidR="004B6611" w:rsidRDefault="004B6611" w:rsidP="004B6611">
      <w:pPr>
        <w:shd w:val="clear" w:color="auto" w:fill="FFFFFF"/>
        <w:spacing w:before="442" w:line="278" w:lineRule="exact"/>
        <w:ind w:left="130" w:right="125"/>
        <w:jc w:val="both"/>
      </w:pPr>
      <w:r>
        <w:rPr>
          <w:color w:val="000000"/>
          <w:sz w:val="24"/>
          <w:szCs w:val="24"/>
        </w:rPr>
        <w:t xml:space="preserve">Toplantının ilk gününde </w:t>
      </w:r>
      <w:proofErr w:type="spellStart"/>
      <w:r>
        <w:rPr>
          <w:color w:val="000000"/>
          <w:sz w:val="24"/>
          <w:szCs w:val="24"/>
        </w:rPr>
        <w:t>CPR'a</w:t>
      </w:r>
      <w:proofErr w:type="spellEnd"/>
      <w:r>
        <w:rPr>
          <w:color w:val="000000"/>
          <w:sz w:val="24"/>
          <w:szCs w:val="24"/>
        </w:rPr>
        <w:t xml:space="preserve"> göre Komisyon tarafınca hazırlanması gereken düzenlemelerin gidişatı hakkında bilgi verildi. Performans beyanlarının elektronik ortamda sunulma şartları ile ilgili düzenlemenin Nisan 2014'de AB Resmi Gazetesinde (OJ) yayımlanması beklenmekte. Öte yandan performans beyanı formatının (CPR Ek </w:t>
      </w:r>
      <w:r>
        <w:rPr>
          <w:color w:val="000000"/>
          <w:sz w:val="24"/>
          <w:szCs w:val="24"/>
          <w:lang w:val="en-US"/>
        </w:rPr>
        <w:t xml:space="preserve">III) </w:t>
      </w:r>
      <w:r>
        <w:rPr>
          <w:color w:val="000000"/>
          <w:sz w:val="24"/>
          <w:szCs w:val="24"/>
        </w:rPr>
        <w:t xml:space="preserve">Komisyonca </w:t>
      </w:r>
      <w:proofErr w:type="gramStart"/>
      <w:r>
        <w:rPr>
          <w:color w:val="000000"/>
          <w:sz w:val="24"/>
          <w:szCs w:val="24"/>
        </w:rPr>
        <w:t>şubat</w:t>
      </w:r>
      <w:proofErr w:type="gramEnd"/>
      <w:r>
        <w:rPr>
          <w:color w:val="000000"/>
          <w:sz w:val="24"/>
          <w:szCs w:val="24"/>
        </w:rPr>
        <w:t xml:space="preserve"> 2014'de kabul edilip Parlamento ve Konseye sunulması, Performans değişmezliğinin değerlendirilmesi ve doğrulanması sistemlerine (CPR Ek </w:t>
      </w:r>
      <w:r>
        <w:rPr>
          <w:color w:val="000000"/>
          <w:sz w:val="24"/>
          <w:szCs w:val="24"/>
          <w:lang w:val="en-US"/>
        </w:rPr>
        <w:t xml:space="preserve">V) </w:t>
      </w:r>
      <w:r>
        <w:rPr>
          <w:color w:val="000000"/>
          <w:sz w:val="24"/>
          <w:szCs w:val="24"/>
        </w:rPr>
        <w:t xml:space="preserve">ilişkin revizyonun Mart 2014'de kabul edilmesi bekleniyor. Bu iki </w:t>
      </w:r>
      <w:proofErr w:type="spellStart"/>
      <w:r>
        <w:rPr>
          <w:color w:val="000000"/>
          <w:sz w:val="24"/>
          <w:szCs w:val="24"/>
        </w:rPr>
        <w:t>Ek'e</w:t>
      </w:r>
      <w:proofErr w:type="spellEnd"/>
      <w:r>
        <w:rPr>
          <w:color w:val="000000"/>
          <w:sz w:val="24"/>
          <w:szCs w:val="24"/>
        </w:rPr>
        <w:t xml:space="preserve"> ait </w:t>
      </w:r>
      <w:proofErr w:type="gramStart"/>
      <w:r>
        <w:rPr>
          <w:color w:val="000000"/>
          <w:sz w:val="24"/>
          <w:szCs w:val="24"/>
        </w:rPr>
        <w:t>revizyonlar</w:t>
      </w:r>
      <w:proofErr w:type="gramEnd"/>
      <w:r>
        <w:rPr>
          <w:color w:val="000000"/>
          <w:sz w:val="24"/>
          <w:szCs w:val="24"/>
        </w:rPr>
        <w:t xml:space="preserve"> Mayıs 2014'de </w:t>
      </w:r>
      <w:proofErr w:type="spellStart"/>
      <w:r>
        <w:rPr>
          <w:color w:val="000000"/>
          <w:sz w:val="24"/>
          <w:szCs w:val="24"/>
        </w:rPr>
        <w:t>OJ'de</w:t>
      </w:r>
      <w:proofErr w:type="spellEnd"/>
      <w:r>
        <w:rPr>
          <w:color w:val="000000"/>
          <w:sz w:val="24"/>
          <w:szCs w:val="24"/>
        </w:rPr>
        <w:t xml:space="preserve"> yayımlanacaktır. Ahşap </w:t>
      </w:r>
      <w:proofErr w:type="gramStart"/>
      <w:r>
        <w:rPr>
          <w:color w:val="000000"/>
          <w:sz w:val="24"/>
          <w:szCs w:val="24"/>
        </w:rPr>
        <w:t>bazlı</w:t>
      </w:r>
      <w:proofErr w:type="gramEnd"/>
      <w:r>
        <w:rPr>
          <w:color w:val="000000"/>
          <w:sz w:val="24"/>
          <w:szCs w:val="24"/>
        </w:rPr>
        <w:t xml:space="preserve"> panellere, ahşap döşemelere ve alçı aksesuarlara ilişkin ileri teste gerek olmadan yangına tepki özelliklerinin beyanına ilişkin düzenlemenin </w:t>
      </w:r>
      <w:r>
        <w:rPr>
          <w:color w:val="000000"/>
          <w:sz w:val="24"/>
          <w:szCs w:val="24"/>
          <w:lang w:val="en-US"/>
        </w:rPr>
        <w:t xml:space="preserve">2014 </w:t>
      </w:r>
      <w:r>
        <w:rPr>
          <w:color w:val="000000"/>
          <w:sz w:val="24"/>
          <w:szCs w:val="24"/>
        </w:rPr>
        <w:t xml:space="preserve">sonunda kabul edilmesi planlanmaktadır. Avrupa Teknik Değerlendirme Formatı Ekim </w:t>
      </w:r>
      <w:r>
        <w:rPr>
          <w:color w:val="000000"/>
          <w:sz w:val="24"/>
          <w:szCs w:val="24"/>
          <w:lang w:val="en-US"/>
        </w:rPr>
        <w:t>2013</w:t>
      </w:r>
      <w:r>
        <w:rPr>
          <w:color w:val="000000"/>
          <w:sz w:val="24"/>
          <w:szCs w:val="24"/>
        </w:rPr>
        <w:t xml:space="preserve">'de </w:t>
      </w:r>
      <w:proofErr w:type="spellStart"/>
      <w:r>
        <w:rPr>
          <w:color w:val="000000"/>
          <w:sz w:val="24"/>
          <w:szCs w:val="24"/>
        </w:rPr>
        <w:t>OJ'de</w:t>
      </w:r>
      <w:proofErr w:type="spellEnd"/>
      <w:r>
        <w:rPr>
          <w:color w:val="000000"/>
          <w:sz w:val="24"/>
          <w:szCs w:val="24"/>
        </w:rPr>
        <w:t xml:space="preserve"> yayımlanmıştır.</w:t>
      </w:r>
    </w:p>
    <w:p w:rsidR="004B6611" w:rsidRDefault="004B6611" w:rsidP="004B6611">
      <w:pPr>
        <w:shd w:val="clear" w:color="auto" w:fill="FFFFFF"/>
        <w:spacing w:before="178" w:line="278" w:lineRule="exact"/>
        <w:ind w:left="130" w:right="134"/>
        <w:jc w:val="both"/>
      </w:pPr>
      <w:r>
        <w:rPr>
          <w:color w:val="000000"/>
          <w:sz w:val="24"/>
          <w:szCs w:val="24"/>
        </w:rPr>
        <w:t xml:space="preserve">Yeni uyumlaştırılmış standart sayısının 443'e çıktığı bunlara ait listenin </w:t>
      </w:r>
      <w:proofErr w:type="spellStart"/>
      <w:r>
        <w:rPr>
          <w:color w:val="000000"/>
          <w:sz w:val="24"/>
          <w:szCs w:val="24"/>
        </w:rPr>
        <w:t>OJ'de</w:t>
      </w:r>
      <w:proofErr w:type="spellEnd"/>
      <w:r>
        <w:rPr>
          <w:color w:val="000000"/>
          <w:sz w:val="24"/>
          <w:szCs w:val="24"/>
        </w:rPr>
        <w:t xml:space="preserve"> Nisan 2014'den önce yayımlanacağı bildirildi.</w:t>
      </w:r>
    </w:p>
    <w:p w:rsidR="004B6611" w:rsidRDefault="004B6611" w:rsidP="004B6611">
      <w:pPr>
        <w:shd w:val="clear" w:color="auto" w:fill="FFFFFF"/>
        <w:tabs>
          <w:tab w:val="left" w:leader="underscore" w:pos="10704"/>
        </w:tabs>
        <w:spacing w:before="182" w:line="274" w:lineRule="exact"/>
        <w:ind w:left="130" w:right="82"/>
        <w:jc w:val="both"/>
      </w:pPr>
      <w:proofErr w:type="spellStart"/>
      <w:r>
        <w:rPr>
          <w:color w:val="000000"/>
          <w:sz w:val="24"/>
          <w:szCs w:val="24"/>
        </w:rPr>
        <w:t>CPR'a</w:t>
      </w:r>
      <w:proofErr w:type="spellEnd"/>
      <w:r>
        <w:rPr>
          <w:color w:val="000000"/>
          <w:sz w:val="24"/>
          <w:szCs w:val="24"/>
        </w:rPr>
        <w:t xml:space="preserve"> göre Komisyon Tüzüğün uygulamaya girdiği </w:t>
      </w:r>
      <w:r>
        <w:rPr>
          <w:color w:val="000000"/>
          <w:sz w:val="24"/>
          <w:szCs w:val="24"/>
          <w:lang w:val="en-US"/>
        </w:rPr>
        <w:t xml:space="preserve">5. </w:t>
      </w:r>
      <w:r>
        <w:rPr>
          <w:color w:val="000000"/>
          <w:sz w:val="24"/>
          <w:szCs w:val="24"/>
        </w:rPr>
        <w:t xml:space="preserve">yılında (Nisan </w:t>
      </w:r>
      <w:r>
        <w:rPr>
          <w:color w:val="000000"/>
          <w:sz w:val="24"/>
          <w:szCs w:val="24"/>
          <w:lang w:val="en-US"/>
        </w:rPr>
        <w:t xml:space="preserve">2016) </w:t>
      </w:r>
      <w:r>
        <w:rPr>
          <w:color w:val="000000"/>
          <w:sz w:val="24"/>
          <w:szCs w:val="24"/>
        </w:rPr>
        <w:t>uygulamaya ilişkin bir Rapor</w:t>
      </w:r>
      <w:r>
        <w:rPr>
          <w:color w:val="000000"/>
          <w:sz w:val="24"/>
          <w:szCs w:val="24"/>
        </w:rPr>
        <w:br/>
        <w:t>hazırlamakla sorumludur. Üye ülkelerden bu rapora verecekleri katkının çerçevesini belirleyen dokümana</w:t>
      </w:r>
      <w:r>
        <w:rPr>
          <w:color w:val="000000"/>
          <w:sz w:val="24"/>
          <w:szCs w:val="24"/>
        </w:rPr>
        <w:br/>
      </w:r>
      <w:r>
        <w:rPr>
          <w:color w:val="000000"/>
          <w:spacing w:val="-3"/>
          <w:sz w:val="24"/>
          <w:szCs w:val="24"/>
          <w:u w:val="single"/>
        </w:rPr>
        <w:t>ilişkin görüş sorulmuştur.</w:t>
      </w:r>
      <w:r>
        <w:rPr>
          <w:color w:val="000000"/>
          <w:sz w:val="24"/>
          <w:szCs w:val="24"/>
          <w:lang w:val="en-US"/>
        </w:rPr>
        <w:tab/>
      </w:r>
    </w:p>
    <w:p w:rsidR="004B6611" w:rsidRDefault="004B6611" w:rsidP="004B6611">
      <w:pPr>
        <w:widowControl/>
        <w:autoSpaceDE/>
        <w:autoSpaceDN/>
        <w:adjustRightInd/>
        <w:sectPr w:rsidR="004B6611" w:rsidSect="00DD5603">
          <w:pgSz w:w="11909" w:h="16834"/>
          <w:pgMar w:top="360" w:right="852" w:bottom="360" w:left="1134" w:header="708" w:footer="708" w:gutter="0"/>
          <w:cols w:space="708"/>
        </w:sectPr>
      </w:pPr>
    </w:p>
    <w:p w:rsidR="00B703EB" w:rsidRDefault="00B703EB" w:rsidP="004B6611">
      <w:pPr>
        <w:shd w:val="clear" w:color="auto" w:fill="FFFFFF"/>
        <w:spacing w:line="283" w:lineRule="exact"/>
        <w:ind w:left="293" w:right="53"/>
        <w:jc w:val="both"/>
        <w:rPr>
          <w:color w:val="000000"/>
          <w:spacing w:val="-1"/>
          <w:sz w:val="24"/>
          <w:szCs w:val="24"/>
        </w:rPr>
      </w:pPr>
    </w:p>
    <w:p w:rsidR="00B703EB" w:rsidRDefault="00B703EB" w:rsidP="004B6611">
      <w:pPr>
        <w:shd w:val="clear" w:color="auto" w:fill="FFFFFF"/>
        <w:spacing w:line="283" w:lineRule="exact"/>
        <w:ind w:left="293" w:right="53"/>
        <w:jc w:val="both"/>
        <w:rPr>
          <w:color w:val="000000"/>
          <w:spacing w:val="-1"/>
          <w:sz w:val="24"/>
          <w:szCs w:val="24"/>
        </w:rPr>
      </w:pPr>
    </w:p>
    <w:p w:rsidR="00B703EB" w:rsidRDefault="00B703EB" w:rsidP="004B6611">
      <w:pPr>
        <w:shd w:val="clear" w:color="auto" w:fill="FFFFFF"/>
        <w:spacing w:line="283" w:lineRule="exact"/>
        <w:ind w:left="293" w:right="53"/>
        <w:jc w:val="both"/>
        <w:rPr>
          <w:color w:val="000000"/>
          <w:spacing w:val="-1"/>
          <w:sz w:val="24"/>
          <w:szCs w:val="24"/>
        </w:rPr>
      </w:pPr>
    </w:p>
    <w:p w:rsidR="00B703EB" w:rsidRDefault="00B703EB" w:rsidP="004B6611">
      <w:pPr>
        <w:shd w:val="clear" w:color="auto" w:fill="FFFFFF"/>
        <w:spacing w:line="283" w:lineRule="exact"/>
        <w:ind w:left="293" w:right="53"/>
        <w:jc w:val="both"/>
        <w:rPr>
          <w:color w:val="000000"/>
          <w:spacing w:val="-1"/>
          <w:sz w:val="24"/>
          <w:szCs w:val="24"/>
        </w:rPr>
      </w:pPr>
    </w:p>
    <w:p w:rsidR="004B6611" w:rsidRDefault="004B6611" w:rsidP="004B6611">
      <w:pPr>
        <w:shd w:val="clear" w:color="auto" w:fill="FFFFFF"/>
        <w:spacing w:line="283" w:lineRule="exact"/>
        <w:ind w:left="293" w:right="53"/>
        <w:jc w:val="both"/>
      </w:pPr>
      <w:r>
        <w:rPr>
          <w:noProof/>
        </w:rPr>
        <mc:AlternateContent>
          <mc:Choice Requires="wps">
            <w:drawing>
              <wp:anchor distT="0" distB="0" distL="114300" distR="114300" simplePos="0" relativeHeight="251657216" behindDoc="0" locked="0" layoutInCell="0" allowOverlap="1" wp14:anchorId="2C944F8B" wp14:editId="50BC4BE8">
                <wp:simplePos x="0" y="0"/>
                <wp:positionH relativeFrom="margin">
                  <wp:posOffset>6918960</wp:posOffset>
                </wp:positionH>
                <wp:positionV relativeFrom="paragraph">
                  <wp:posOffset>-146050</wp:posOffset>
                </wp:positionV>
                <wp:extent cx="0" cy="8714105"/>
                <wp:effectExtent l="13335" t="15875" r="15240" b="1397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1410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4.8pt,-11.5pt" to="544.8pt,6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" o:allowincell="f" strokeweight="1.45pt">
                <w10:wrap anchorx="margin"/>
              </v:line>
            </w:pict>
          </mc:Fallback>
        </mc:AlternateContent>
      </w:r>
      <w:r>
        <w:rPr>
          <w:noProof/>
        </w:rPr>
        <mc:AlternateContent>
          <mc:Choice Requires="wps">
            <w:drawing>
              <wp:anchor distT="0" distB="0" distL="114300" distR="114300" simplePos="0" relativeHeight="251658240" behindDoc="0" locked="0" layoutInCell="0" allowOverlap="1" wp14:anchorId="62B8D6E6" wp14:editId="68192AAA">
                <wp:simplePos x="0" y="0"/>
                <wp:positionH relativeFrom="margin">
                  <wp:posOffset>6937375</wp:posOffset>
                </wp:positionH>
                <wp:positionV relativeFrom="paragraph">
                  <wp:posOffset>8836025</wp:posOffset>
                </wp:positionV>
                <wp:extent cx="0" cy="746760"/>
                <wp:effectExtent l="12700" t="15875" r="15875" b="18415"/>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6.25pt,695.75pt" to="546.25pt,7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" o:allowincell="f" strokeweight="1.45pt">
                <w10:wrap anchorx="margin"/>
              </v:line>
            </w:pict>
          </mc:Fallback>
        </mc:AlternateContent>
      </w:r>
      <w:r>
        <w:rPr>
          <w:color w:val="000000"/>
          <w:spacing w:val="-1"/>
          <w:sz w:val="24"/>
          <w:szCs w:val="24"/>
        </w:rPr>
        <w:t xml:space="preserve">Yeni uyumlaştırmış standart alanlarına ilişkin </w:t>
      </w:r>
      <w:proofErr w:type="spellStart"/>
      <w:r>
        <w:rPr>
          <w:color w:val="000000"/>
          <w:spacing w:val="-1"/>
          <w:sz w:val="24"/>
          <w:szCs w:val="24"/>
        </w:rPr>
        <w:t>Fotovoltaik</w:t>
      </w:r>
      <w:proofErr w:type="spellEnd"/>
      <w:r>
        <w:rPr>
          <w:color w:val="000000"/>
          <w:spacing w:val="-1"/>
          <w:sz w:val="24"/>
          <w:szCs w:val="24"/>
        </w:rPr>
        <w:t xml:space="preserve"> Paneller, beton </w:t>
      </w:r>
      <w:proofErr w:type="spellStart"/>
      <w:r>
        <w:rPr>
          <w:color w:val="000000"/>
          <w:spacing w:val="-1"/>
          <w:sz w:val="24"/>
          <w:szCs w:val="24"/>
        </w:rPr>
        <w:t>ankrajları</w:t>
      </w:r>
      <w:proofErr w:type="spellEnd"/>
      <w:r>
        <w:rPr>
          <w:color w:val="000000"/>
          <w:spacing w:val="-1"/>
          <w:sz w:val="24"/>
          <w:szCs w:val="24"/>
        </w:rPr>
        <w:t xml:space="preserve">, belirli </w:t>
      </w:r>
      <w:proofErr w:type="spellStart"/>
      <w:r>
        <w:rPr>
          <w:color w:val="000000"/>
          <w:spacing w:val="-1"/>
          <w:sz w:val="24"/>
          <w:szCs w:val="24"/>
        </w:rPr>
        <w:t>önyapımlı</w:t>
      </w:r>
      <w:proofErr w:type="spellEnd"/>
      <w:r>
        <w:rPr>
          <w:color w:val="000000"/>
          <w:spacing w:val="-1"/>
          <w:sz w:val="24"/>
          <w:szCs w:val="24"/>
        </w:rPr>
        <w:t xml:space="preserve"> beton elemanlar başta olmak üzere boyalar ve vernikler ile hazır betonun uyumlaştırılması teklif edildi. Hazır beton </w:t>
      </w:r>
      <w:r>
        <w:rPr>
          <w:color w:val="000000"/>
          <w:sz w:val="24"/>
          <w:szCs w:val="24"/>
        </w:rPr>
        <w:t xml:space="preserve">ve </w:t>
      </w:r>
      <w:proofErr w:type="spellStart"/>
      <w:r>
        <w:rPr>
          <w:color w:val="000000"/>
          <w:sz w:val="24"/>
          <w:szCs w:val="24"/>
        </w:rPr>
        <w:t>ankraj</w:t>
      </w:r>
      <w:proofErr w:type="spellEnd"/>
      <w:r>
        <w:rPr>
          <w:color w:val="000000"/>
          <w:sz w:val="24"/>
          <w:szCs w:val="24"/>
        </w:rPr>
        <w:t xml:space="preserve"> konuları destekçi bulmadı.</w:t>
      </w:r>
    </w:p>
    <w:p w:rsidR="004B6611" w:rsidRDefault="004B6611" w:rsidP="004B6611">
      <w:pPr>
        <w:shd w:val="clear" w:color="auto" w:fill="FFFFFF"/>
        <w:spacing w:before="158" w:line="278" w:lineRule="exact"/>
        <w:ind w:left="293" w:right="53"/>
        <w:jc w:val="both"/>
      </w:pPr>
      <w:proofErr w:type="gramStart"/>
      <w:r>
        <w:rPr>
          <w:color w:val="000000"/>
          <w:sz w:val="24"/>
          <w:szCs w:val="24"/>
          <w:lang w:val="en-US" w:eastAsia="en-US"/>
        </w:rPr>
        <w:t xml:space="preserve">7 </w:t>
      </w:r>
      <w:proofErr w:type="spellStart"/>
      <w:r>
        <w:rPr>
          <w:color w:val="000000"/>
          <w:sz w:val="24"/>
          <w:szCs w:val="24"/>
          <w:lang w:eastAsia="en-US"/>
        </w:rPr>
        <w:t>nolu</w:t>
      </w:r>
      <w:proofErr w:type="spellEnd"/>
      <w:r>
        <w:rPr>
          <w:color w:val="000000"/>
          <w:sz w:val="24"/>
          <w:szCs w:val="24"/>
          <w:lang w:eastAsia="en-US"/>
        </w:rPr>
        <w:t xml:space="preserve"> Temel Gereğe (Doğal Kaynakların sürdürülebilir kullanımı) ilişkin uygulamanın öncelikle üye ülkelerde mevcut uygulamaların taranması, sonra talimatların </w:t>
      </w:r>
      <w:r>
        <w:rPr>
          <w:color w:val="000000"/>
          <w:sz w:val="24"/>
          <w:szCs w:val="24"/>
          <w:lang w:val="en-US" w:eastAsia="en-US"/>
        </w:rPr>
        <w:t xml:space="preserve">(Mandate) </w:t>
      </w:r>
      <w:r>
        <w:rPr>
          <w:color w:val="000000"/>
          <w:sz w:val="24"/>
          <w:szCs w:val="24"/>
          <w:lang w:eastAsia="en-US"/>
        </w:rPr>
        <w:t>tadilatı ve standart revizyonu şeklinde ilerleyeceği belirtilmiştir.</w:t>
      </w:r>
      <w:proofErr w:type="gramEnd"/>
    </w:p>
    <w:p w:rsidR="004B6611" w:rsidRDefault="004B6611" w:rsidP="004B6611">
      <w:pPr>
        <w:shd w:val="clear" w:color="auto" w:fill="FFFFFF"/>
        <w:spacing w:before="158" w:line="283" w:lineRule="exact"/>
        <w:ind w:left="298" w:right="43"/>
        <w:jc w:val="both"/>
      </w:pPr>
      <w:r>
        <w:rPr>
          <w:color w:val="000000"/>
          <w:sz w:val="24"/>
          <w:szCs w:val="24"/>
        </w:rPr>
        <w:t>Komisyon Teknik Değerlendirme Kuruluşlarının tüm ülkelerde eşdeğer bir yöntemle değerlendirilmesi için bir Kılavuz hazırlamaktadır. Taslak kılavuzdaki öneriler üye ülkelerle paylaşılmış, katkı ve yorumlar beklenmiştir.</w:t>
      </w:r>
    </w:p>
    <w:p w:rsidR="004B6611" w:rsidRDefault="004B6611" w:rsidP="004B6611">
      <w:pPr>
        <w:shd w:val="clear" w:color="auto" w:fill="FFFFFF"/>
        <w:spacing w:before="163" w:line="278" w:lineRule="exact"/>
        <w:ind w:left="302" w:right="43"/>
        <w:jc w:val="both"/>
      </w:pPr>
      <w:r>
        <w:rPr>
          <w:color w:val="000000"/>
          <w:sz w:val="24"/>
          <w:szCs w:val="24"/>
        </w:rPr>
        <w:t>Strüktürel uyumlaştırılmış standartların ayrılmaz parçası olan Yapısal Tasarım Kodlarının -EUROCODE adaptasyon ve uygulamalarının(zorunlu/gönüllü) üye ülkelerdeki seviyesini ölçmek için bir anket dağıtılmıştır.</w:t>
      </w:r>
    </w:p>
    <w:p w:rsidR="004B6611" w:rsidRDefault="004B6611" w:rsidP="004B6611">
      <w:pPr>
        <w:shd w:val="clear" w:color="auto" w:fill="FFFFFF"/>
        <w:spacing w:before="168" w:line="278" w:lineRule="exact"/>
        <w:ind w:left="302" w:right="38"/>
        <w:jc w:val="both"/>
      </w:pPr>
      <w:r>
        <w:rPr>
          <w:color w:val="000000"/>
          <w:spacing w:val="-1"/>
          <w:sz w:val="24"/>
          <w:szCs w:val="24"/>
        </w:rPr>
        <w:t xml:space="preserve">Sıkça sorulan sorulara yenileri eklenmiştir. Performans beyanı hazırlama istisnalarını açıklayan bir doküman </w:t>
      </w:r>
      <w:r>
        <w:rPr>
          <w:color w:val="000000"/>
          <w:sz w:val="24"/>
          <w:szCs w:val="24"/>
        </w:rPr>
        <w:t>hazırlanmıştır.</w:t>
      </w:r>
    </w:p>
    <w:p w:rsidR="004B6611" w:rsidRDefault="004B6611" w:rsidP="004B6611">
      <w:pPr>
        <w:shd w:val="clear" w:color="auto" w:fill="FFFFFF"/>
        <w:spacing w:before="168" w:line="278" w:lineRule="exact"/>
        <w:ind w:right="43"/>
        <w:jc w:val="right"/>
      </w:pPr>
      <w:r>
        <w:rPr>
          <w:color w:val="000000"/>
          <w:sz w:val="24"/>
          <w:szCs w:val="24"/>
        </w:rPr>
        <w:t xml:space="preserve">Toplantının </w:t>
      </w:r>
      <w:r>
        <w:rPr>
          <w:color w:val="000000"/>
          <w:sz w:val="24"/>
          <w:szCs w:val="24"/>
          <w:lang w:val="en-US"/>
        </w:rPr>
        <w:t xml:space="preserve">2. </w:t>
      </w:r>
      <w:r>
        <w:rPr>
          <w:color w:val="000000"/>
          <w:sz w:val="24"/>
          <w:szCs w:val="24"/>
        </w:rPr>
        <w:t>Gününde Yeni Piyasa Gözetimi ve Denetimi Paketi'ne ilişkin katılımcılara genel bilgi</w:t>
      </w:r>
    </w:p>
    <w:p w:rsidR="004B6611" w:rsidRDefault="004B6611" w:rsidP="004B6611">
      <w:pPr>
        <w:shd w:val="clear" w:color="auto" w:fill="FFFFFF"/>
        <w:spacing w:line="278" w:lineRule="exact"/>
        <w:ind w:right="38"/>
        <w:jc w:val="right"/>
      </w:pPr>
      <w:proofErr w:type="gramStart"/>
      <w:r>
        <w:rPr>
          <w:color w:val="000000"/>
          <w:sz w:val="24"/>
          <w:szCs w:val="24"/>
        </w:rPr>
        <w:t>verilmiştir</w:t>
      </w:r>
      <w:proofErr w:type="gramEnd"/>
      <w:r>
        <w:rPr>
          <w:color w:val="000000"/>
          <w:sz w:val="24"/>
          <w:szCs w:val="24"/>
        </w:rPr>
        <w:t>. Konsey ve Parlamentoya sunulan pakette Tüketici Ürünleri Tüzüğünden yapı malzemelerinin</w:t>
      </w:r>
    </w:p>
    <w:p w:rsidR="004B6611" w:rsidRDefault="004B6611" w:rsidP="004B6611">
      <w:pPr>
        <w:shd w:val="clear" w:color="auto" w:fill="FFFFFF"/>
        <w:tabs>
          <w:tab w:val="left" w:leader="underscore" w:pos="10858"/>
        </w:tabs>
        <w:spacing w:line="278" w:lineRule="exact"/>
        <w:ind w:right="10"/>
        <w:jc w:val="right"/>
      </w:pPr>
      <w:proofErr w:type="gramStart"/>
      <w:r>
        <w:rPr>
          <w:color w:val="000000"/>
          <w:spacing w:val="-1"/>
          <w:sz w:val="24"/>
          <w:szCs w:val="24"/>
        </w:rPr>
        <w:t>j</w:t>
      </w:r>
      <w:proofErr w:type="gramEnd"/>
      <w:r>
        <w:rPr>
          <w:color w:val="000000"/>
          <w:spacing w:val="-1"/>
          <w:sz w:val="24"/>
          <w:szCs w:val="24"/>
        </w:rPr>
        <w:t xml:space="preserve"> </w:t>
      </w:r>
      <w:r>
        <w:rPr>
          <w:color w:val="000000"/>
          <w:spacing w:val="-1"/>
          <w:sz w:val="24"/>
          <w:szCs w:val="24"/>
          <w:u w:val="single"/>
        </w:rPr>
        <w:t>^hariç tutulması şeklinde bir değişiklik yapıldığı belirtilmiştir.</w:t>
      </w:r>
      <w:r>
        <w:rPr>
          <w:color w:val="000000"/>
          <w:sz w:val="24"/>
          <w:szCs w:val="24"/>
          <w:lang w:val="en-US"/>
        </w:rPr>
        <w:tab/>
      </w:r>
    </w:p>
    <w:p w:rsidR="00DD5603" w:rsidRPr="00DD5603" w:rsidRDefault="004B6611" w:rsidP="004B6611">
      <w:pPr>
        <w:shd w:val="clear" w:color="auto" w:fill="FFFFFF"/>
        <w:spacing w:before="542" w:line="278" w:lineRule="exact"/>
        <w:ind w:left="302" w:right="38"/>
        <w:jc w:val="both"/>
        <w:rPr>
          <w:b/>
          <w:bCs/>
          <w:color w:val="C0504D" w:themeColor="accent2"/>
          <w:spacing w:val="-1"/>
          <w:sz w:val="24"/>
          <w:szCs w:val="24"/>
        </w:rPr>
      </w:pPr>
      <w:r w:rsidRPr="00DD5603">
        <w:rPr>
          <w:b/>
          <w:bCs/>
          <w:color w:val="C0504D" w:themeColor="accent2"/>
          <w:spacing w:val="-1"/>
          <w:sz w:val="24"/>
          <w:szCs w:val="24"/>
        </w:rPr>
        <w:t>Sonuçlar:</w:t>
      </w:r>
    </w:p>
    <w:p w:rsidR="004B6611" w:rsidRDefault="004B6611" w:rsidP="004B6611">
      <w:pPr>
        <w:shd w:val="clear" w:color="auto" w:fill="FFFFFF"/>
        <w:spacing w:before="542" w:line="278" w:lineRule="exact"/>
        <w:ind w:left="302" w:right="38"/>
        <w:jc w:val="both"/>
      </w:pPr>
      <w:r>
        <w:rPr>
          <w:b/>
          <w:bCs/>
          <w:color w:val="000000"/>
          <w:spacing w:val="-1"/>
          <w:sz w:val="24"/>
          <w:szCs w:val="24"/>
        </w:rPr>
        <w:t xml:space="preserve"> </w:t>
      </w:r>
      <w:r>
        <w:rPr>
          <w:color w:val="000000"/>
          <w:spacing w:val="-1"/>
          <w:sz w:val="24"/>
          <w:szCs w:val="24"/>
        </w:rPr>
        <w:t xml:space="preserve">Toplantının en önemli sonuçlarından biri; ülkemizin Avrupa yapı malzemeleri mevzuatına katkı </w:t>
      </w:r>
      <w:r>
        <w:rPr>
          <w:color w:val="000000"/>
          <w:sz w:val="24"/>
          <w:szCs w:val="24"/>
        </w:rPr>
        <w:t xml:space="preserve">sağlayabilecek geri bildirim sürecine katılmamızdır. </w:t>
      </w:r>
      <w:proofErr w:type="spellStart"/>
      <w:r>
        <w:rPr>
          <w:color w:val="000000"/>
          <w:sz w:val="24"/>
          <w:szCs w:val="24"/>
        </w:rPr>
        <w:t>Georgious</w:t>
      </w:r>
      <w:proofErr w:type="spellEnd"/>
      <w:r>
        <w:rPr>
          <w:color w:val="000000"/>
          <w:sz w:val="24"/>
          <w:szCs w:val="24"/>
        </w:rPr>
        <w:t xml:space="preserve"> </w:t>
      </w:r>
      <w:proofErr w:type="spellStart"/>
      <w:r>
        <w:rPr>
          <w:color w:val="000000"/>
          <w:sz w:val="24"/>
          <w:szCs w:val="24"/>
        </w:rPr>
        <w:t>Katsarakis</w:t>
      </w:r>
      <w:proofErr w:type="spellEnd"/>
      <w:r>
        <w:rPr>
          <w:color w:val="000000"/>
          <w:sz w:val="24"/>
          <w:szCs w:val="24"/>
        </w:rPr>
        <w:t xml:space="preserve"> ve CEN yetkilileri "üye </w:t>
      </w:r>
      <w:proofErr w:type="spellStart"/>
      <w:r>
        <w:rPr>
          <w:color w:val="000000"/>
          <w:sz w:val="24"/>
          <w:szCs w:val="24"/>
        </w:rPr>
        <w:t>ülkeler"den</w:t>
      </w:r>
      <w:proofErr w:type="spellEnd"/>
      <w:r>
        <w:rPr>
          <w:color w:val="000000"/>
          <w:sz w:val="24"/>
          <w:szCs w:val="24"/>
        </w:rPr>
        <w:t xml:space="preserve"> beklenen bilgi ve görüşlerin ülkemizden de beklendiğini belirtmişlerdir. </w:t>
      </w:r>
      <w:proofErr w:type="spellStart"/>
      <w:r>
        <w:rPr>
          <w:color w:val="000000"/>
          <w:sz w:val="24"/>
          <w:szCs w:val="24"/>
        </w:rPr>
        <w:t>CPR'da</w:t>
      </w:r>
      <w:proofErr w:type="spellEnd"/>
      <w:r>
        <w:rPr>
          <w:color w:val="000000"/>
          <w:sz w:val="24"/>
          <w:szCs w:val="24"/>
        </w:rPr>
        <w:t xml:space="preserve"> belirtilen üye </w:t>
      </w:r>
      <w:r>
        <w:rPr>
          <w:color w:val="000000"/>
          <w:spacing w:val="-1"/>
          <w:sz w:val="24"/>
          <w:szCs w:val="24"/>
        </w:rPr>
        <w:t xml:space="preserve">ülke yükümlülüklerine sahip olduğumuz kadar üye ülke haklarını da kullanabilmemiz önemlidir. Yapı Daimi </w:t>
      </w:r>
      <w:r>
        <w:rPr>
          <w:color w:val="000000"/>
          <w:sz w:val="24"/>
          <w:szCs w:val="24"/>
        </w:rPr>
        <w:t xml:space="preserve">Komitesi dokümanlarına (CIRCABC, SCC-CPR) erişim için kullanıcı adı ve şifre temin edilmiş olup Ülkemiz SCC delegasyonunun </w:t>
      </w:r>
      <w:proofErr w:type="spellStart"/>
      <w:r>
        <w:rPr>
          <w:color w:val="000000"/>
          <w:sz w:val="24"/>
          <w:szCs w:val="24"/>
        </w:rPr>
        <w:t>isminlerinin</w:t>
      </w:r>
      <w:proofErr w:type="spellEnd"/>
      <w:r>
        <w:rPr>
          <w:color w:val="000000"/>
          <w:sz w:val="24"/>
          <w:szCs w:val="24"/>
        </w:rPr>
        <w:t xml:space="preserve"> en kısa zamanda kendilerine bildirileceği iletilmiştir.</w:t>
      </w:r>
    </w:p>
    <w:p w:rsidR="004B6611" w:rsidRDefault="004B6611" w:rsidP="004B6611">
      <w:pPr>
        <w:shd w:val="clear" w:color="auto" w:fill="FFFFFF"/>
        <w:spacing w:before="115" w:line="278" w:lineRule="exact"/>
        <w:ind w:left="307" w:right="29"/>
        <w:jc w:val="both"/>
      </w:pPr>
      <w:r>
        <w:rPr>
          <w:color w:val="000000"/>
          <w:sz w:val="24"/>
          <w:szCs w:val="24"/>
        </w:rPr>
        <w:t xml:space="preserve">Teknik değerlendirme kuruluşlarının (TDK) değerlendirilmesine ilişkin süreç ve kuruluş bazında bilgiler komisyona iletilecektir. İlerleyen süreçte </w:t>
      </w:r>
      <w:proofErr w:type="spellStart"/>
      <w:r>
        <w:rPr>
          <w:color w:val="000000"/>
          <w:sz w:val="24"/>
          <w:szCs w:val="24"/>
        </w:rPr>
        <w:t>TDKTar</w:t>
      </w:r>
      <w:proofErr w:type="spellEnd"/>
      <w:r>
        <w:rPr>
          <w:color w:val="000000"/>
          <w:sz w:val="24"/>
          <w:szCs w:val="24"/>
        </w:rPr>
        <w:t xml:space="preserve"> komisyonun oluşturacağı genel kurallara göre değerlendirilecektir.</w:t>
      </w:r>
    </w:p>
    <w:p w:rsidR="004B6611" w:rsidRDefault="004B6611" w:rsidP="004B6611">
      <w:pPr>
        <w:shd w:val="clear" w:color="auto" w:fill="FFFFFF"/>
        <w:spacing w:before="106" w:line="278" w:lineRule="exact"/>
        <w:ind w:left="307" w:right="43"/>
        <w:jc w:val="both"/>
      </w:pPr>
      <w:r>
        <w:rPr>
          <w:color w:val="000000"/>
          <w:spacing w:val="-1"/>
          <w:sz w:val="24"/>
          <w:szCs w:val="24"/>
        </w:rPr>
        <w:t xml:space="preserve">Yapı Daimi Komitesi toplantısında, Avrupa Komisyonu tarafından AB Resmi Gazetesi'nde yayımlanan yeni </w:t>
      </w:r>
      <w:r>
        <w:rPr>
          <w:color w:val="000000"/>
          <w:sz w:val="24"/>
          <w:szCs w:val="24"/>
          <w:lang w:val="en-US"/>
        </w:rPr>
        <w:t xml:space="preserve">harmonize </w:t>
      </w:r>
      <w:r>
        <w:rPr>
          <w:color w:val="000000"/>
          <w:sz w:val="24"/>
          <w:szCs w:val="24"/>
        </w:rPr>
        <w:t>standartlar listesine göre iliği Tebliğimizde değişiklik yapılması gerekmektedir.</w:t>
      </w:r>
    </w:p>
    <w:p w:rsidR="004B6611" w:rsidRDefault="004B6611" w:rsidP="004B6611">
      <w:pPr>
        <w:shd w:val="clear" w:color="auto" w:fill="FFFFFF"/>
        <w:tabs>
          <w:tab w:val="left" w:leader="underscore" w:pos="10867"/>
        </w:tabs>
        <w:spacing w:before="120" w:line="274" w:lineRule="exact"/>
        <w:ind w:left="274"/>
        <w:jc w:val="both"/>
      </w:pPr>
      <w:r>
        <w:rPr>
          <w:color w:val="000000"/>
          <w:sz w:val="24"/>
          <w:szCs w:val="24"/>
        </w:rPr>
        <w:t xml:space="preserve">Piyasa Gözetim ve denetimine ilişkin uygulamaların ve sorunların tartışıldığı </w:t>
      </w:r>
      <w:proofErr w:type="spellStart"/>
      <w:r>
        <w:rPr>
          <w:color w:val="000000"/>
          <w:sz w:val="24"/>
          <w:szCs w:val="24"/>
        </w:rPr>
        <w:t>AdCO</w:t>
      </w:r>
      <w:proofErr w:type="spellEnd"/>
      <w:r>
        <w:rPr>
          <w:color w:val="000000"/>
          <w:sz w:val="24"/>
          <w:szCs w:val="24"/>
        </w:rPr>
        <w:t xml:space="preserve"> toplantılarına önem</w:t>
      </w:r>
      <w:r>
        <w:rPr>
          <w:color w:val="000000"/>
          <w:sz w:val="24"/>
          <w:szCs w:val="24"/>
        </w:rPr>
        <w:br/>
      </w:r>
      <w:proofErr w:type="gramStart"/>
      <w:r>
        <w:rPr>
          <w:color w:val="000000"/>
          <w:spacing w:val="-3"/>
          <w:sz w:val="24"/>
          <w:szCs w:val="24"/>
          <w:u w:val="single"/>
        </w:rPr>
        <w:t>[</w:t>
      </w:r>
      <w:proofErr w:type="gramEnd"/>
      <w:r>
        <w:rPr>
          <w:color w:val="000000"/>
          <w:spacing w:val="-3"/>
          <w:sz w:val="24"/>
          <w:szCs w:val="24"/>
          <w:u w:val="single"/>
        </w:rPr>
        <w:t>Verilmekte tüm üye ülkelerin katılımı beklenmektedir.</w:t>
      </w:r>
      <w:r>
        <w:rPr>
          <w:color w:val="000000"/>
          <w:sz w:val="24"/>
          <w:szCs w:val="24"/>
          <w:lang w:val="en-US"/>
        </w:rPr>
        <w:tab/>
      </w:r>
    </w:p>
    <w:p w:rsidR="00DD5603" w:rsidRDefault="004B6611" w:rsidP="00DD5603">
      <w:pPr>
        <w:shd w:val="clear" w:color="auto" w:fill="FFFFFF"/>
        <w:tabs>
          <w:tab w:val="left" w:leader="underscore" w:pos="10867"/>
        </w:tabs>
        <w:spacing w:before="619" w:line="278" w:lineRule="exact"/>
        <w:jc w:val="both"/>
        <w:rPr>
          <w:b/>
          <w:bCs/>
          <w:color w:val="C0504D" w:themeColor="accent2"/>
          <w:sz w:val="24"/>
          <w:szCs w:val="24"/>
        </w:rPr>
      </w:pPr>
      <w:r w:rsidRPr="00DD5603">
        <w:rPr>
          <w:b/>
          <w:bCs/>
          <w:color w:val="C0504D" w:themeColor="accent2"/>
          <w:sz w:val="24"/>
          <w:szCs w:val="24"/>
        </w:rPr>
        <w:t>Öneriler:</w:t>
      </w:r>
    </w:p>
    <w:p w:rsidR="004B6611" w:rsidRPr="00DD5603" w:rsidRDefault="004B6611" w:rsidP="00DD5603">
      <w:pPr>
        <w:shd w:val="clear" w:color="auto" w:fill="FFFFFF"/>
        <w:tabs>
          <w:tab w:val="left" w:leader="underscore" w:pos="10867"/>
        </w:tabs>
        <w:spacing w:before="619" w:line="278" w:lineRule="exact"/>
        <w:jc w:val="both"/>
        <w:rPr>
          <w:b/>
          <w:bCs/>
          <w:color w:val="C0504D" w:themeColor="accent2"/>
          <w:sz w:val="24"/>
          <w:szCs w:val="24"/>
        </w:rPr>
      </w:pPr>
      <w:r w:rsidRPr="00C47783">
        <w:rPr>
          <w:b/>
          <w:bCs/>
          <w:color w:val="C0504D" w:themeColor="accent2"/>
          <w:sz w:val="24"/>
          <w:szCs w:val="24"/>
        </w:rPr>
        <w:t xml:space="preserve"> </w:t>
      </w:r>
      <w:r w:rsidRPr="00C47783">
        <w:rPr>
          <w:color w:val="000000"/>
          <w:sz w:val="24"/>
          <w:szCs w:val="24"/>
        </w:rPr>
        <w:t xml:space="preserve">Yapı Malzemeleri Tüzüğü </w:t>
      </w:r>
      <w:r w:rsidRPr="00C47783">
        <w:rPr>
          <w:color w:val="000000"/>
          <w:sz w:val="24"/>
          <w:szCs w:val="24"/>
          <w:lang w:val="en-US"/>
        </w:rPr>
        <w:t>(305/201</w:t>
      </w:r>
      <w:r w:rsidRPr="00C47783">
        <w:rPr>
          <w:color w:val="000000"/>
          <w:sz w:val="24"/>
          <w:szCs w:val="24"/>
        </w:rPr>
        <w:t>1/EU) kapsamında, Yapı Daimi Komitesi yılda iki defa</w:t>
      </w:r>
      <w:r w:rsidRPr="00C47783">
        <w:rPr>
          <w:color w:val="000000"/>
          <w:sz w:val="24"/>
          <w:szCs w:val="24"/>
        </w:rPr>
        <w:br/>
        <w:t>gerçekleştirilmektedir. Bu toplantılarda tüm üye ve aday ülkeler bu tüzük kapsamında ülkelerindeki</w:t>
      </w:r>
      <w:r w:rsidRPr="00C47783">
        <w:rPr>
          <w:color w:val="000000"/>
          <w:sz w:val="24"/>
          <w:szCs w:val="24"/>
        </w:rPr>
        <w:br/>
        <w:t xml:space="preserve">uygulamaları ve karşılaşılan güçlükleri direk Avrupa Komisyonu'na aktarma </w:t>
      </w:r>
      <w:proofErr w:type="gramStart"/>
      <w:r w:rsidRPr="00C47783">
        <w:rPr>
          <w:color w:val="000000"/>
          <w:sz w:val="24"/>
          <w:szCs w:val="24"/>
        </w:rPr>
        <w:t>imkanı</w:t>
      </w:r>
      <w:proofErr w:type="gramEnd"/>
      <w:r w:rsidRPr="00C47783">
        <w:rPr>
          <w:color w:val="000000"/>
          <w:sz w:val="24"/>
          <w:szCs w:val="24"/>
        </w:rPr>
        <w:t xml:space="preserve"> bulabildikleri gibi</w:t>
      </w:r>
      <w:r w:rsidRPr="00C47783">
        <w:rPr>
          <w:color w:val="000000"/>
          <w:sz w:val="24"/>
          <w:szCs w:val="24"/>
        </w:rPr>
        <w:br/>
      </w:r>
      <w:r w:rsidRPr="00C47783">
        <w:rPr>
          <w:color w:val="000000"/>
          <w:spacing w:val="-1"/>
          <w:sz w:val="24"/>
          <w:szCs w:val="24"/>
        </w:rPr>
        <w:t>ülkelerindeki inşaat sektöründen gelen talepleri de aktararak Avrupa Komisyonunun çalışma programına etki</w:t>
      </w:r>
      <w:r w:rsidRPr="00C47783">
        <w:rPr>
          <w:color w:val="000000"/>
          <w:spacing w:val="-1"/>
          <w:sz w:val="24"/>
          <w:szCs w:val="24"/>
        </w:rPr>
        <w:br/>
      </w:r>
      <w:r w:rsidRPr="00C47783">
        <w:rPr>
          <w:color w:val="000000"/>
          <w:sz w:val="24"/>
          <w:szCs w:val="24"/>
        </w:rPr>
        <w:t>edebilmektedirler. Yapı Daimi Komitesi toplantılarından önce ülkemiz yapı malzemeleri üreticileri</w:t>
      </w:r>
      <w:bookmarkStart w:id="0" w:name="_GoBack"/>
      <w:bookmarkEnd w:id="0"/>
      <w:r w:rsidRPr="00C47783">
        <w:rPr>
          <w:color w:val="000000"/>
          <w:sz w:val="24"/>
          <w:szCs w:val="24"/>
        </w:rPr>
        <w:br/>
        <w:t>temsilcileri ile bilgi alışverişi amacıyla toplantıların düzenlenmesi ve bu toplantılarda Komisyon'a iletilmek</w:t>
      </w:r>
      <w:r w:rsidRPr="00C47783">
        <w:rPr>
          <w:color w:val="000000"/>
          <w:sz w:val="24"/>
          <w:szCs w:val="24"/>
        </w:rPr>
        <w:br/>
        <w:t>istenilen bilgilerin irdelenmesinin faydalı olacağı düşünülmektedir. Komisyonun geri bildirim istediği</w:t>
      </w:r>
      <w:r w:rsidRPr="00C47783">
        <w:rPr>
          <w:color w:val="000000"/>
          <w:sz w:val="24"/>
          <w:szCs w:val="24"/>
        </w:rPr>
        <w:br/>
      </w:r>
      <w:r w:rsidRPr="00C47783">
        <w:rPr>
          <w:color w:val="000000"/>
          <w:spacing w:val="-1"/>
          <w:sz w:val="24"/>
          <w:szCs w:val="24"/>
          <w:u w:val="single"/>
        </w:rPr>
        <w:t>hususlarda sektörün ve TSE'nin katkısı olmadan sağlıklı bilgi sunulması mümkün görünmemektedir</w:t>
      </w:r>
      <w:r>
        <w:rPr>
          <w:color w:val="000000"/>
          <w:spacing w:val="-1"/>
          <w:sz w:val="24"/>
          <w:szCs w:val="24"/>
          <w:u w:val="single"/>
        </w:rPr>
        <w:t>.</w:t>
      </w:r>
      <w:r>
        <w:rPr>
          <w:color w:val="000000"/>
          <w:sz w:val="24"/>
          <w:szCs w:val="24"/>
          <w:lang w:val="en-US"/>
        </w:rPr>
        <w:tab/>
      </w:r>
    </w:p>
    <w:p w:rsidR="00D33CA2" w:rsidRDefault="00D33CA2" w:rsidP="00D33CA2">
      <w:pPr>
        <w:shd w:val="clear" w:color="auto" w:fill="FFFFFF"/>
        <w:spacing w:before="566"/>
        <w:ind w:left="19"/>
        <w:jc w:val="center"/>
      </w:pPr>
    </w:p>
    <w:sectPr w:rsidR="00D33CA2" w:rsidSect="00DD5603">
      <w:pgSz w:w="11909" w:h="16834"/>
      <w:pgMar w:top="360" w:right="852" w:bottom="360" w:left="675" w:header="708" w:footer="708"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A2"/>
    <w:rsid w:val="004B6611"/>
    <w:rsid w:val="008330FC"/>
    <w:rsid w:val="009911FC"/>
    <w:rsid w:val="00B31E64"/>
    <w:rsid w:val="00B703EB"/>
    <w:rsid w:val="00BC21DF"/>
    <w:rsid w:val="00C47783"/>
    <w:rsid w:val="00CB7847"/>
    <w:rsid w:val="00D02D49"/>
    <w:rsid w:val="00D33CA2"/>
    <w:rsid w:val="00D91B32"/>
    <w:rsid w:val="00DD5603"/>
    <w:rsid w:val="00E60B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A2"/>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A2"/>
    <w:pPr>
      <w:widowControl w:val="0"/>
      <w:autoSpaceDE w:val="0"/>
      <w:autoSpaceDN w:val="0"/>
      <w:adjustRightInd w:val="0"/>
      <w:spacing w:after="0" w:line="240" w:lineRule="auto"/>
    </w:pPr>
    <w:rPr>
      <w:rFonts w:ascii="Times New Roman" w:eastAsiaTheme="minorEastAsia"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8720">
      <w:bodyDiv w:val="1"/>
      <w:marLeft w:val="0"/>
      <w:marRight w:val="0"/>
      <w:marTop w:val="0"/>
      <w:marBottom w:val="0"/>
      <w:divBdr>
        <w:top w:val="none" w:sz="0" w:space="0" w:color="auto"/>
        <w:left w:val="none" w:sz="0" w:space="0" w:color="auto"/>
        <w:bottom w:val="none" w:sz="0" w:space="0" w:color="auto"/>
        <w:right w:val="none" w:sz="0" w:space="0" w:color="auto"/>
      </w:divBdr>
    </w:div>
    <w:div w:id="168370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Gülen Karaaytu</dc:creator>
  <cp:lastModifiedBy>Gülen Karaaytu</cp:lastModifiedBy>
  <cp:revision>7</cp:revision>
  <dcterms:created xsi:type="dcterms:W3CDTF">2014-10-01T12:52:00Z</dcterms:created>
  <dcterms:modified xsi:type="dcterms:W3CDTF">2014-10-01T14:54:00Z</dcterms:modified>
</cp:coreProperties>
</file>