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FB0" w:rsidRDefault="00765FB0" w:rsidP="00765FB0">
      <w:pPr>
        <w:jc w:val="both"/>
        <w:rPr>
          <w:b/>
          <w:sz w:val="21"/>
          <w:szCs w:val="21"/>
          <w:lang w:val="tr-TR"/>
        </w:rPr>
      </w:pPr>
    </w:p>
    <w:tbl>
      <w:tblPr>
        <w:tblStyle w:val="TabloKlavuzu"/>
        <w:tblW w:w="10632"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632"/>
      </w:tblGrid>
      <w:tr w:rsidR="00765FB0" w:rsidTr="00EA1B71">
        <w:tc>
          <w:tcPr>
            <w:tcW w:w="10632" w:type="dxa"/>
          </w:tcPr>
          <w:p w:rsidR="00765FB0" w:rsidRPr="00FF5FE3" w:rsidRDefault="00765FB0" w:rsidP="00765FB0">
            <w:pPr>
              <w:jc w:val="both"/>
              <w:rPr>
                <w:sz w:val="21"/>
                <w:szCs w:val="21"/>
                <w:lang w:val="tr-TR"/>
              </w:rPr>
            </w:pPr>
            <w:r w:rsidRPr="00FF5FE3">
              <w:rPr>
                <w:b/>
                <w:sz w:val="21"/>
                <w:szCs w:val="21"/>
                <w:lang w:val="tr-TR"/>
              </w:rPr>
              <w:t>AMAÇ:</w:t>
            </w:r>
            <w:r w:rsidRPr="00FF5FE3">
              <w:rPr>
                <w:sz w:val="21"/>
                <w:szCs w:val="21"/>
                <w:lang w:val="tr-TR"/>
              </w:rPr>
              <w:t xml:space="preserve"> Planlanan projelerin, çevreye olabilecek olumsuz etkilerini baştan belirleyebilmek, gerekli önlemleri tespit etmek ve bu kapsamda çevre sorunlarının kaynağında tespitine ve önlenmesine yönelik çalışmaları geliştirmek ve uygulanmasına yönelik yöntemleri belirlemektir.</w:t>
            </w:r>
          </w:p>
          <w:p w:rsidR="00765FB0" w:rsidRPr="00FF5FE3" w:rsidRDefault="00765FB0" w:rsidP="00765FB0">
            <w:pPr>
              <w:jc w:val="both"/>
              <w:rPr>
                <w:sz w:val="21"/>
                <w:szCs w:val="21"/>
                <w:lang w:val="tr-TR"/>
              </w:rPr>
            </w:pPr>
            <w:r w:rsidRPr="00FF5FE3">
              <w:rPr>
                <w:b/>
                <w:sz w:val="21"/>
                <w:szCs w:val="21"/>
                <w:lang w:val="tr-TR"/>
              </w:rPr>
              <w:t>KAPSAM:</w:t>
            </w:r>
            <w:r w:rsidRPr="00FF5FE3">
              <w:rPr>
                <w:sz w:val="21"/>
                <w:szCs w:val="21"/>
                <w:lang w:val="tr-TR"/>
              </w:rPr>
              <w:t xml:space="preserve"> Planlanan projeye ait ÇED Başvuru Dosyası ve ÇED Raporunun değerlendirilmesi ve sonucunda belgelendirme işlemlerini kapsar.</w:t>
            </w:r>
          </w:p>
          <w:p w:rsidR="00765FB0" w:rsidRPr="00FF5FE3" w:rsidRDefault="00765FB0" w:rsidP="00765FB0">
            <w:pPr>
              <w:jc w:val="both"/>
              <w:rPr>
                <w:sz w:val="21"/>
                <w:szCs w:val="21"/>
                <w:lang w:val="tr-TR"/>
              </w:rPr>
            </w:pPr>
            <w:r w:rsidRPr="00FF5FE3">
              <w:rPr>
                <w:b/>
                <w:sz w:val="21"/>
                <w:szCs w:val="21"/>
                <w:lang w:val="tr-TR"/>
              </w:rPr>
              <w:t>SORUMLU:</w:t>
            </w:r>
            <w:r w:rsidRPr="00FF5FE3">
              <w:rPr>
                <w:sz w:val="21"/>
                <w:szCs w:val="21"/>
                <w:lang w:val="tr-TR"/>
              </w:rPr>
              <w:t xml:space="preserve"> Bu talimatın hazırlanmasından Daire Başkanı, onay aşamasında ise Genel Müdür sorumludur.</w:t>
            </w:r>
          </w:p>
          <w:p w:rsidR="00765FB0" w:rsidRPr="00FF5FE3" w:rsidRDefault="00765FB0" w:rsidP="00765FB0">
            <w:pPr>
              <w:jc w:val="both"/>
              <w:rPr>
                <w:sz w:val="21"/>
                <w:szCs w:val="21"/>
                <w:lang w:val="tr-TR"/>
              </w:rPr>
            </w:pPr>
            <w:r w:rsidRPr="00FF5FE3">
              <w:rPr>
                <w:b/>
                <w:sz w:val="21"/>
                <w:szCs w:val="21"/>
                <w:lang w:val="tr-TR"/>
              </w:rPr>
              <w:t>UYGULAMA:</w:t>
            </w:r>
            <w:r w:rsidRPr="00FF5FE3">
              <w:rPr>
                <w:sz w:val="21"/>
                <w:szCs w:val="21"/>
                <w:lang w:val="tr-TR"/>
              </w:rPr>
              <w:t xml:space="preserve"> ÇED Yönetmeliği Madde-7 kapsamındaki bir proje ile ilgili, Bakanlıkça yeterlik verilmiş kurum ve kuruluşlar; ÇED Yönetmeliği Ek-3’te yer alan ÇED Genel Formatını esas alınarak hazırlamış oldukları ÇED Başvuru Dosyası, proje sahibi tarafından yetkilendirildiğine dair vekâletname ve imza sirkülerini Bakanlığa (e-ÇED sistemi) sunar.</w:t>
            </w:r>
          </w:p>
          <w:p w:rsidR="00765FB0" w:rsidRPr="00FF5FE3" w:rsidRDefault="00765FB0" w:rsidP="00765FB0">
            <w:pPr>
              <w:jc w:val="both"/>
              <w:rPr>
                <w:sz w:val="21"/>
                <w:szCs w:val="21"/>
                <w:lang w:val="tr-TR"/>
              </w:rPr>
            </w:pPr>
          </w:p>
          <w:p w:rsidR="00765FB0" w:rsidRPr="00FF5FE3" w:rsidRDefault="00765FB0" w:rsidP="00765FB0">
            <w:pPr>
              <w:jc w:val="both"/>
              <w:rPr>
                <w:sz w:val="21"/>
                <w:szCs w:val="21"/>
                <w:lang w:val="tr-TR"/>
              </w:rPr>
            </w:pPr>
            <w:r w:rsidRPr="00FF5FE3">
              <w:rPr>
                <w:sz w:val="21"/>
                <w:szCs w:val="21"/>
                <w:lang w:val="tr-TR"/>
              </w:rPr>
              <w:t xml:space="preserve">Online şekilde yapılan başvuru öncelikle ilgili şube müdürlüğüne gönderilir. Başvuru, ilgili şube müdürü tarafından, en az biri asil olmak üzere iki veya üç uzmana havale edilir. Asil uzman tarafından, ÇED Yönetmeliği Madde 8’e göre başvuru talebi ve dosyadaki bilgi ve belgelerin ÇED Genel Formatına uygunluğu bakımından 5 iş günü içinde incelenir. </w:t>
            </w:r>
          </w:p>
          <w:p w:rsidR="00765FB0" w:rsidRPr="00FF5FE3" w:rsidRDefault="00765FB0" w:rsidP="00765FB0">
            <w:pPr>
              <w:jc w:val="both"/>
              <w:rPr>
                <w:sz w:val="21"/>
                <w:szCs w:val="21"/>
                <w:lang w:val="tr-TR"/>
              </w:rPr>
            </w:pPr>
          </w:p>
          <w:p w:rsidR="00765FB0" w:rsidRPr="00FF5FE3" w:rsidRDefault="00765FB0" w:rsidP="00765FB0">
            <w:pPr>
              <w:jc w:val="both"/>
              <w:rPr>
                <w:sz w:val="21"/>
                <w:szCs w:val="21"/>
                <w:lang w:val="tr-TR"/>
              </w:rPr>
            </w:pPr>
            <w:r w:rsidRPr="00FF5FE3">
              <w:rPr>
                <w:sz w:val="21"/>
                <w:szCs w:val="21"/>
                <w:lang w:val="tr-TR"/>
              </w:rPr>
              <w:t>Sunulan dosya formata uygun değilse veya eksik bilgi belge sunulmuş ise dosya eksiklikleri bildirilerek iade edilir.</w:t>
            </w:r>
          </w:p>
          <w:p w:rsidR="00765FB0" w:rsidRPr="00FF5FE3" w:rsidRDefault="00765FB0" w:rsidP="00765FB0">
            <w:pPr>
              <w:jc w:val="both"/>
              <w:rPr>
                <w:sz w:val="21"/>
                <w:szCs w:val="21"/>
                <w:lang w:val="tr-TR"/>
              </w:rPr>
            </w:pPr>
          </w:p>
          <w:p w:rsidR="00765FB0" w:rsidRPr="00FF5FE3" w:rsidRDefault="00765FB0" w:rsidP="00765FB0">
            <w:pPr>
              <w:jc w:val="both"/>
              <w:rPr>
                <w:sz w:val="21"/>
                <w:szCs w:val="21"/>
                <w:lang w:val="tr-TR"/>
              </w:rPr>
            </w:pPr>
            <w:r w:rsidRPr="00FF5FE3">
              <w:rPr>
                <w:sz w:val="21"/>
                <w:szCs w:val="21"/>
                <w:lang w:val="tr-TR"/>
              </w:rPr>
              <w:t>Başvuru dosyasının uygun kabul edilmesinden sonra, dosyada yer alan bilgiler doğrultusunda projenin türü, yeri ve etki edeceği alan dikkate alınarak, ilgili kamu kurum ve kuruluşlarından inceleme-değerlendirme komisyonu (İDK) oluşturulur. Ayrıca yöre halkını bilgilendirmek ve projeye ilişkin görüşlerini almak amacıyla yapılacak HKT tarihi ile komisyon üyelerinin görüşlerini iletmesi için bir tarih belirlenir.</w:t>
            </w:r>
          </w:p>
          <w:p w:rsidR="00765FB0" w:rsidRPr="00FF5FE3" w:rsidRDefault="00765FB0" w:rsidP="00765FB0">
            <w:pPr>
              <w:jc w:val="both"/>
              <w:rPr>
                <w:sz w:val="21"/>
                <w:szCs w:val="21"/>
                <w:lang w:val="tr-TR"/>
              </w:rPr>
            </w:pPr>
          </w:p>
          <w:p w:rsidR="00765FB0" w:rsidRPr="00FF5FE3" w:rsidRDefault="00765FB0" w:rsidP="00765FB0">
            <w:pPr>
              <w:jc w:val="both"/>
              <w:rPr>
                <w:sz w:val="21"/>
                <w:szCs w:val="21"/>
                <w:lang w:val="tr-TR"/>
              </w:rPr>
            </w:pPr>
            <w:r w:rsidRPr="00FF5FE3">
              <w:rPr>
                <w:sz w:val="21"/>
                <w:szCs w:val="21"/>
                <w:lang w:val="tr-TR"/>
              </w:rPr>
              <w:t xml:space="preserve">Proje ile ilgili olarak başvurunun yapıldığını, ÇED sürecinin başladığını, ÇED Başvuru Dosyasının halkın görüşüne açıldığını ve ÇED süreci tamamlanana kadar projeye ilişkin görüş ve önerilerin Valiliğe veya Bakanlığa verilebileceği Bakanlık ve Valilik tarafından anons, askıda ilan, internet vb. şekilde halka duyurulur. </w:t>
            </w:r>
          </w:p>
          <w:p w:rsidR="00765FB0" w:rsidRPr="00FF5FE3" w:rsidRDefault="00765FB0" w:rsidP="00765FB0">
            <w:pPr>
              <w:jc w:val="both"/>
              <w:rPr>
                <w:sz w:val="21"/>
                <w:szCs w:val="21"/>
                <w:lang w:val="tr-TR"/>
              </w:rPr>
            </w:pPr>
          </w:p>
          <w:p w:rsidR="00765FB0" w:rsidRPr="00FF5FE3" w:rsidRDefault="00765FB0" w:rsidP="00765FB0">
            <w:pPr>
              <w:jc w:val="both"/>
              <w:rPr>
                <w:sz w:val="21"/>
                <w:szCs w:val="21"/>
                <w:lang w:val="tr-TR"/>
              </w:rPr>
            </w:pPr>
            <w:r w:rsidRPr="00FF5FE3">
              <w:rPr>
                <w:sz w:val="21"/>
                <w:szCs w:val="21"/>
                <w:lang w:val="tr-TR"/>
              </w:rPr>
              <w:t>Projenin gerçekleştirileceği yöre halkını bilgilendirmek ve projeye ilişkin görüşlerini almak amacıyla Halkın Katılımı Toplantısı gerçekleştirilir. Bu toplantının tarihi Bakanlıkça, yeri ve saati ise ilgili Valilikçe belirlenir. Bakanlıkça yeterlik verilmiş kurum ve kuruluşlar toplantı tarihini, saatini, yerini ve konusunu belirten bir ilanı; projenin gerçekleştirileceği yörede yerel süreli yayınlanan bir gazetede ve yaygın süreli yayınlanan bir gazetede toplantı tarihinden en az 10 (on) takvim günü önce yayınlatır.</w:t>
            </w:r>
          </w:p>
          <w:p w:rsidR="00765FB0" w:rsidRPr="00FF5FE3" w:rsidRDefault="00765FB0" w:rsidP="00765FB0">
            <w:pPr>
              <w:jc w:val="both"/>
              <w:rPr>
                <w:sz w:val="21"/>
                <w:szCs w:val="21"/>
                <w:lang w:val="tr-TR"/>
              </w:rPr>
            </w:pPr>
          </w:p>
          <w:p w:rsidR="00765FB0" w:rsidRPr="00FF5FE3" w:rsidRDefault="00765FB0" w:rsidP="00765FB0">
            <w:pPr>
              <w:jc w:val="both"/>
              <w:rPr>
                <w:sz w:val="21"/>
                <w:szCs w:val="21"/>
                <w:lang w:val="tr-TR"/>
              </w:rPr>
            </w:pPr>
            <w:r w:rsidRPr="00FF5FE3">
              <w:rPr>
                <w:sz w:val="21"/>
                <w:szCs w:val="21"/>
                <w:lang w:val="tr-TR"/>
              </w:rPr>
              <w:t>Gazetelerde yayınlanan ilan e-ÇED sistemine yüklenir ve Bakanlık uzmanınca kontrol edilir. Ancak, ilan uygun bulunmamışsa iade edilir.</w:t>
            </w:r>
          </w:p>
          <w:p w:rsidR="00765FB0" w:rsidRPr="00FF5FE3" w:rsidRDefault="00765FB0" w:rsidP="00765FB0">
            <w:pPr>
              <w:jc w:val="both"/>
              <w:rPr>
                <w:sz w:val="21"/>
                <w:szCs w:val="21"/>
                <w:lang w:val="tr-TR"/>
              </w:rPr>
            </w:pPr>
          </w:p>
          <w:p w:rsidR="00765FB0" w:rsidRPr="00FF5FE3" w:rsidRDefault="00765FB0" w:rsidP="00765FB0">
            <w:pPr>
              <w:jc w:val="both"/>
              <w:rPr>
                <w:sz w:val="21"/>
                <w:szCs w:val="21"/>
                <w:lang w:val="tr-TR"/>
              </w:rPr>
            </w:pPr>
            <w:r w:rsidRPr="00FF5FE3">
              <w:rPr>
                <w:sz w:val="21"/>
                <w:szCs w:val="21"/>
                <w:lang w:val="tr-TR"/>
              </w:rPr>
              <w:t>Halkın Katılım Toplantısından sonra tutanaklar ilgili il müdürlüğünce e-ÇED sistemine yüklenir. İnceleme Değerlendirme Komisyon üyeleri planlanan projeye ilişkin görüşlerini sistem üzerinden belirlenen son görüş verme tarihine kadar yükler.</w:t>
            </w:r>
          </w:p>
          <w:p w:rsidR="00765FB0" w:rsidRDefault="00765FB0" w:rsidP="00765FB0">
            <w:pPr>
              <w:jc w:val="both"/>
              <w:rPr>
                <w:sz w:val="21"/>
                <w:szCs w:val="21"/>
                <w:lang w:val="tr-TR"/>
              </w:rPr>
            </w:pPr>
          </w:p>
          <w:p w:rsidR="00765FB0" w:rsidRPr="00FF5FE3" w:rsidRDefault="00765FB0" w:rsidP="00765FB0">
            <w:pPr>
              <w:jc w:val="both"/>
              <w:rPr>
                <w:sz w:val="21"/>
                <w:szCs w:val="21"/>
                <w:lang w:val="tr-TR"/>
              </w:rPr>
            </w:pPr>
            <w:r w:rsidRPr="00FF5FE3">
              <w:rPr>
                <w:sz w:val="21"/>
                <w:szCs w:val="21"/>
                <w:lang w:val="tr-TR"/>
              </w:rPr>
              <w:t>ÇED Yönetmeliği Madde 10 gereğince planlanan projeye ilişkin gerek yöre halkı gerekse sivil toplum kuruluşları ve ilgili kamu kurumlarından oluşan komisyon üyeleri görüşleri dikkate alınarak ÇED Raporu Özel Formatı hazırlanır.</w:t>
            </w:r>
          </w:p>
          <w:p w:rsidR="00765FB0" w:rsidRPr="00FF5FE3" w:rsidRDefault="00765FB0" w:rsidP="00765FB0">
            <w:pPr>
              <w:jc w:val="both"/>
              <w:rPr>
                <w:sz w:val="21"/>
                <w:szCs w:val="21"/>
                <w:lang w:val="tr-TR"/>
              </w:rPr>
            </w:pPr>
          </w:p>
          <w:p w:rsidR="00765FB0" w:rsidRPr="00FF5FE3" w:rsidRDefault="00765FB0" w:rsidP="00765FB0">
            <w:pPr>
              <w:jc w:val="both"/>
              <w:rPr>
                <w:sz w:val="21"/>
                <w:szCs w:val="21"/>
                <w:lang w:val="tr-TR"/>
              </w:rPr>
            </w:pPr>
            <w:r w:rsidRPr="00FF5FE3">
              <w:rPr>
                <w:sz w:val="21"/>
                <w:szCs w:val="21"/>
                <w:lang w:val="tr-TR"/>
              </w:rPr>
              <w:t xml:space="preserve">Bakanlıkça yeterlik verilmiş kurum ve kuruluşlar, Bakanlıkça belirlenen özel format bedelinin yatırıldığına dair </w:t>
            </w:r>
            <w:proofErr w:type="gramStart"/>
            <w:r w:rsidRPr="00FF5FE3">
              <w:rPr>
                <w:sz w:val="21"/>
                <w:szCs w:val="21"/>
                <w:lang w:val="tr-TR"/>
              </w:rPr>
              <w:t>dekontu</w:t>
            </w:r>
            <w:proofErr w:type="gramEnd"/>
            <w:r w:rsidRPr="00FF5FE3">
              <w:rPr>
                <w:sz w:val="21"/>
                <w:szCs w:val="21"/>
                <w:lang w:val="tr-TR"/>
              </w:rPr>
              <w:t xml:space="preserve"> 3 ay içinde sisteme yükler ve uzman tarafından kontrolünün ardından 7 iş günü içinde Özel Format verilir.</w:t>
            </w:r>
          </w:p>
          <w:p w:rsidR="00765FB0" w:rsidRPr="00FF5FE3" w:rsidRDefault="00765FB0" w:rsidP="00765FB0">
            <w:pPr>
              <w:jc w:val="both"/>
              <w:rPr>
                <w:sz w:val="21"/>
                <w:szCs w:val="21"/>
                <w:lang w:val="tr-TR"/>
              </w:rPr>
            </w:pPr>
          </w:p>
          <w:p w:rsidR="00765FB0" w:rsidRPr="00FF5FE3" w:rsidRDefault="00765FB0" w:rsidP="00765FB0">
            <w:pPr>
              <w:jc w:val="both"/>
              <w:rPr>
                <w:sz w:val="21"/>
                <w:szCs w:val="21"/>
                <w:lang w:val="tr-TR"/>
              </w:rPr>
            </w:pPr>
            <w:r w:rsidRPr="00FF5FE3">
              <w:rPr>
                <w:sz w:val="21"/>
                <w:szCs w:val="21"/>
                <w:lang w:val="tr-TR"/>
              </w:rPr>
              <w:t>ÇED Yönetmeliği Madde 10 gereğince Özel formatın verilmesinden itibaren 18 ay içinde ÇED Raporu Bakanlığa sunulur. Madde 11 gereğince Raporun formata uygunluğu ve belirlenen çalışma grubunda meslek uzmanlarının bulunup bulunmadığı 5 iş günü içinde incelenir, formata uygun değilse iade edilir ve ÇED Raporunun 3ay içinde tekrar sunulması gerekmektedir.</w:t>
            </w:r>
          </w:p>
          <w:p w:rsidR="00765FB0" w:rsidRPr="00FF5FE3" w:rsidRDefault="00765FB0" w:rsidP="00765FB0">
            <w:pPr>
              <w:jc w:val="both"/>
              <w:rPr>
                <w:sz w:val="21"/>
                <w:szCs w:val="21"/>
                <w:lang w:val="tr-TR"/>
              </w:rPr>
            </w:pPr>
          </w:p>
          <w:p w:rsidR="00765FB0" w:rsidRPr="00FF5FE3" w:rsidRDefault="00765FB0" w:rsidP="00765FB0">
            <w:pPr>
              <w:jc w:val="both"/>
              <w:rPr>
                <w:sz w:val="21"/>
                <w:szCs w:val="21"/>
                <w:lang w:val="tr-TR"/>
              </w:rPr>
            </w:pPr>
            <w:r w:rsidRPr="00FF5FE3">
              <w:rPr>
                <w:sz w:val="21"/>
                <w:szCs w:val="21"/>
                <w:lang w:val="tr-TR"/>
              </w:rPr>
              <w:t>ÇED Yönetmeliği Madde 11 gereğince, formata uygun olarak kabul edilen rapor ile ilgili olarak ilk inceleme değerlendirme komisyon toplantısı (1. İDK) için tarih belirlenir. Madde 12 gereğince toplantı komisyon üyelerinin salt çoğunluğu ile gerçekleştirilir ve Komisyon üyeleri ÇED Raporuna ilişkin görüşlerini bildirirler.</w:t>
            </w:r>
          </w:p>
          <w:p w:rsidR="00765FB0" w:rsidRPr="00FF5FE3" w:rsidRDefault="00765FB0" w:rsidP="00765FB0">
            <w:pPr>
              <w:jc w:val="both"/>
              <w:rPr>
                <w:sz w:val="21"/>
                <w:szCs w:val="21"/>
                <w:lang w:val="tr-TR"/>
              </w:rPr>
            </w:pPr>
          </w:p>
          <w:p w:rsidR="00765FB0" w:rsidRPr="00FF5FE3" w:rsidRDefault="00765FB0" w:rsidP="00765FB0">
            <w:pPr>
              <w:jc w:val="both"/>
              <w:rPr>
                <w:sz w:val="21"/>
                <w:szCs w:val="21"/>
                <w:lang w:val="tr-TR"/>
              </w:rPr>
            </w:pPr>
            <w:r w:rsidRPr="00FF5FE3">
              <w:rPr>
                <w:sz w:val="21"/>
                <w:szCs w:val="21"/>
                <w:lang w:val="tr-TR"/>
              </w:rPr>
              <w:t>İDK toplantısı esnasında İDK toplantı katılım formu ve komisyonca raporun yeterli bulunması halinde nihai tutanak formu ile toplantı sonucu tutanağa bağlanır. Bu tutanağın alt kısmında yer alan “</w:t>
            </w:r>
            <w:r w:rsidRPr="00FF5FE3">
              <w:rPr>
                <w:i/>
                <w:sz w:val="21"/>
                <w:szCs w:val="21"/>
                <w:lang w:val="tr-TR"/>
              </w:rPr>
              <w:t xml:space="preserve">Yatırımın İnşaat ve Başlangıç Dönemlerine ait İzleme Raporlarının belirlenen </w:t>
            </w:r>
            <w:proofErr w:type="gramStart"/>
            <w:r w:rsidRPr="00FF5FE3">
              <w:rPr>
                <w:i/>
                <w:sz w:val="21"/>
                <w:szCs w:val="21"/>
                <w:lang w:val="tr-TR"/>
              </w:rPr>
              <w:t>……</w:t>
            </w:r>
            <w:proofErr w:type="gramEnd"/>
            <w:r w:rsidRPr="00FF5FE3">
              <w:rPr>
                <w:i/>
                <w:sz w:val="21"/>
                <w:szCs w:val="21"/>
                <w:lang w:val="tr-TR"/>
              </w:rPr>
              <w:t xml:space="preserve">  </w:t>
            </w:r>
            <w:proofErr w:type="gramStart"/>
            <w:r w:rsidRPr="00FF5FE3">
              <w:rPr>
                <w:i/>
                <w:sz w:val="21"/>
                <w:szCs w:val="21"/>
                <w:lang w:val="tr-TR"/>
              </w:rPr>
              <w:t>aylık</w:t>
            </w:r>
            <w:proofErr w:type="gramEnd"/>
            <w:r w:rsidRPr="00FF5FE3">
              <w:rPr>
                <w:i/>
                <w:sz w:val="21"/>
                <w:szCs w:val="21"/>
                <w:lang w:val="tr-TR"/>
              </w:rPr>
              <w:t xml:space="preserve"> periyotlarda Bakanlığımıza sunulması gerektiği yönünde mutabakata </w:t>
            </w:r>
            <w:r w:rsidRPr="00FF5FE3">
              <w:rPr>
                <w:i/>
                <w:sz w:val="21"/>
                <w:szCs w:val="21"/>
                <w:lang w:val="tr-TR"/>
              </w:rPr>
              <w:lastRenderedPageBreak/>
              <w:t>varılmıştır</w:t>
            </w:r>
            <w:r w:rsidRPr="00FF5FE3">
              <w:rPr>
                <w:sz w:val="21"/>
                <w:szCs w:val="21"/>
                <w:lang w:val="tr-TR"/>
              </w:rPr>
              <w:t xml:space="preserve">” ibaresi ile Projenin izleme süreleri faaliyetin yerine ve özelliklerine göre ay olarak belirlenir. </w:t>
            </w:r>
          </w:p>
          <w:p w:rsidR="00765FB0" w:rsidRPr="00FF5FE3" w:rsidRDefault="00765FB0" w:rsidP="00765FB0">
            <w:pPr>
              <w:jc w:val="both"/>
              <w:rPr>
                <w:sz w:val="21"/>
                <w:szCs w:val="21"/>
                <w:lang w:val="tr-TR"/>
              </w:rPr>
            </w:pPr>
          </w:p>
          <w:p w:rsidR="00765FB0" w:rsidRPr="00FF5FE3" w:rsidRDefault="00765FB0" w:rsidP="00765FB0">
            <w:pPr>
              <w:jc w:val="both"/>
              <w:rPr>
                <w:sz w:val="21"/>
                <w:szCs w:val="21"/>
                <w:lang w:val="tr-TR"/>
              </w:rPr>
            </w:pPr>
            <w:r w:rsidRPr="00FF5FE3">
              <w:rPr>
                <w:sz w:val="21"/>
                <w:szCs w:val="21"/>
                <w:lang w:val="tr-TR"/>
              </w:rPr>
              <w:t>İDK toplantısı sonucunda komisyonca son şekli verilen ÇED Raporunun 10 takvim günü içinde sunulması gerekmekte, ancak geçerli bir sebeple talep edilmesi halinde ÇED Yönetmeliğinin 20. Maddesi gereğince ek süre verme işlemi yapılabilir.</w:t>
            </w:r>
          </w:p>
          <w:p w:rsidR="00765FB0" w:rsidRPr="00FF5FE3" w:rsidRDefault="00765FB0" w:rsidP="00765FB0">
            <w:pPr>
              <w:jc w:val="both"/>
              <w:rPr>
                <w:sz w:val="21"/>
                <w:szCs w:val="21"/>
                <w:lang w:val="tr-TR"/>
              </w:rPr>
            </w:pPr>
          </w:p>
          <w:p w:rsidR="00765FB0" w:rsidRPr="00FF5FE3" w:rsidRDefault="00765FB0" w:rsidP="00765FB0">
            <w:pPr>
              <w:jc w:val="both"/>
              <w:rPr>
                <w:sz w:val="21"/>
                <w:szCs w:val="21"/>
                <w:lang w:val="tr-TR"/>
              </w:rPr>
            </w:pPr>
            <w:r w:rsidRPr="00FF5FE3">
              <w:rPr>
                <w:sz w:val="21"/>
                <w:szCs w:val="21"/>
                <w:lang w:val="tr-TR"/>
              </w:rPr>
              <w:t>İDK toplantısına yeterlik verilmiş kurum ve kuruluşların koordinatörü katılmamış veya salt çoğunluk sağlanamamış veya toplantının yapılmasını engelleyecek mevzuata dayalı bir durum olması halinde 1.İDK toplantısı iptal edilir ve 1. İDK iptal formu düzenlenerek, 2. İDK için tarih belirlenir.</w:t>
            </w:r>
          </w:p>
          <w:p w:rsidR="00765FB0" w:rsidRPr="00FF5FE3" w:rsidRDefault="00765FB0" w:rsidP="00765FB0">
            <w:pPr>
              <w:jc w:val="both"/>
              <w:rPr>
                <w:sz w:val="21"/>
                <w:szCs w:val="21"/>
                <w:lang w:val="tr-TR"/>
              </w:rPr>
            </w:pPr>
          </w:p>
          <w:p w:rsidR="00765FB0" w:rsidRPr="00FF5FE3" w:rsidRDefault="00765FB0" w:rsidP="00765FB0">
            <w:pPr>
              <w:jc w:val="both"/>
              <w:rPr>
                <w:sz w:val="21"/>
                <w:szCs w:val="21"/>
                <w:lang w:val="tr-TR"/>
              </w:rPr>
            </w:pPr>
            <w:r w:rsidRPr="00FF5FE3">
              <w:rPr>
                <w:sz w:val="21"/>
                <w:szCs w:val="21"/>
                <w:lang w:val="tr-TR"/>
              </w:rPr>
              <w:t>İDK toplantısı sonucunda ÇED Raporunda önemli eksiklik ve yanlışların görülmesi durumunda Komisyon bunların giderilmesini ister. Bu durumda, inceleme değerlendirme süreci durdurulur ve Süreç Durdurma Formu düzenlenir.  Bakanlıkça yeterlik verilmiş kurum/kuruluşların ÇED Raporunda gerekli görülen düzeltmeleri yapıp yeniden Bakanlığa sunmasından sonra; Komisyon, Bakanlıkça toplantıya çağırılır. Toplantının yapılması ile birlikte inceleme değerlendirme süreci kaldığı yerden işlemeye başlar.</w:t>
            </w:r>
          </w:p>
          <w:p w:rsidR="00765FB0" w:rsidRPr="00FF5FE3" w:rsidRDefault="00765FB0" w:rsidP="00765FB0">
            <w:pPr>
              <w:jc w:val="both"/>
              <w:rPr>
                <w:sz w:val="21"/>
                <w:szCs w:val="21"/>
                <w:lang w:val="tr-TR"/>
              </w:rPr>
            </w:pPr>
          </w:p>
          <w:p w:rsidR="00765FB0" w:rsidRPr="00FF5FE3" w:rsidRDefault="00765FB0" w:rsidP="00765FB0">
            <w:pPr>
              <w:jc w:val="both"/>
              <w:rPr>
                <w:sz w:val="21"/>
                <w:szCs w:val="21"/>
                <w:lang w:val="tr-TR"/>
              </w:rPr>
            </w:pPr>
            <w:r w:rsidRPr="00FF5FE3">
              <w:rPr>
                <w:sz w:val="21"/>
                <w:szCs w:val="21"/>
                <w:lang w:val="tr-TR"/>
              </w:rPr>
              <w:t xml:space="preserve">ÇED Yönetmeliği Madde 14 gereğince ÇED raporu komisyon üyesi görüşleri doğrultusunda hazırlanmış ve yeterli bulunmuş ise inceleme değerlendirme süreci sona erdirilir ve Raporun son şekli uygun araçlar vasıtası ile (internet, askıda ilan, yazılı duyuru, Valilik askı ilan vs.) 10 takvim günü halkın görüşüne açılır. </w:t>
            </w:r>
          </w:p>
          <w:p w:rsidR="00765FB0" w:rsidRPr="00FF5FE3" w:rsidRDefault="00765FB0" w:rsidP="00765FB0">
            <w:pPr>
              <w:jc w:val="both"/>
              <w:rPr>
                <w:sz w:val="21"/>
                <w:szCs w:val="21"/>
                <w:lang w:val="tr-TR"/>
              </w:rPr>
            </w:pPr>
          </w:p>
          <w:p w:rsidR="00765FB0" w:rsidRPr="00FF5FE3" w:rsidRDefault="00765FB0" w:rsidP="00765FB0">
            <w:pPr>
              <w:jc w:val="both"/>
              <w:rPr>
                <w:sz w:val="21"/>
                <w:szCs w:val="21"/>
                <w:lang w:val="tr-TR"/>
              </w:rPr>
            </w:pPr>
            <w:r w:rsidRPr="00FF5FE3">
              <w:rPr>
                <w:sz w:val="21"/>
                <w:szCs w:val="21"/>
                <w:lang w:val="tr-TR"/>
              </w:rPr>
              <w:t>Halkın görüşüne açılan rapora ilişkin herhangi bir itiraz veya görüş var ise rapor bu görüşlere uygun olarak revize edilir. Düzenlenen Nihai ÇED Raporu 5 iş günü içinde e-ÇED sistemi üzerinden Bakanlığa sunulur.</w:t>
            </w:r>
          </w:p>
          <w:p w:rsidR="00765FB0" w:rsidRPr="00FF5FE3" w:rsidRDefault="00765FB0" w:rsidP="00765FB0">
            <w:pPr>
              <w:jc w:val="both"/>
              <w:rPr>
                <w:sz w:val="21"/>
                <w:szCs w:val="21"/>
                <w:lang w:val="tr-TR"/>
              </w:rPr>
            </w:pPr>
          </w:p>
          <w:p w:rsidR="00765FB0" w:rsidRPr="00FF5FE3" w:rsidRDefault="00765FB0" w:rsidP="00765FB0">
            <w:pPr>
              <w:jc w:val="both"/>
              <w:rPr>
                <w:sz w:val="21"/>
                <w:szCs w:val="21"/>
                <w:lang w:val="tr-TR"/>
              </w:rPr>
            </w:pPr>
            <w:r w:rsidRPr="00FF5FE3">
              <w:rPr>
                <w:sz w:val="21"/>
                <w:szCs w:val="21"/>
                <w:lang w:val="tr-TR"/>
              </w:rPr>
              <w:t xml:space="preserve">İDK toplantısı sonucunda raporu hazırlayan yeterlik verilmiş kurum ve kuruluşlar, e-ÇED sistemi üzerinden ÇED Süreci Değerlendirme Formu ile değerlendirilir.(ÇED Yeterlik Tebliği Ek-3) </w:t>
            </w:r>
          </w:p>
          <w:p w:rsidR="00765FB0" w:rsidRPr="00FF5FE3" w:rsidRDefault="00765FB0" w:rsidP="00765FB0">
            <w:pPr>
              <w:jc w:val="both"/>
              <w:rPr>
                <w:sz w:val="21"/>
                <w:szCs w:val="21"/>
                <w:lang w:val="tr-TR"/>
              </w:rPr>
            </w:pPr>
          </w:p>
          <w:p w:rsidR="00765FB0" w:rsidRPr="00FF5FE3" w:rsidRDefault="00765FB0" w:rsidP="00765FB0">
            <w:pPr>
              <w:jc w:val="both"/>
              <w:rPr>
                <w:sz w:val="21"/>
                <w:szCs w:val="21"/>
                <w:lang w:val="tr-TR"/>
              </w:rPr>
            </w:pPr>
            <w:r w:rsidRPr="00FF5FE3">
              <w:rPr>
                <w:sz w:val="21"/>
                <w:szCs w:val="21"/>
                <w:lang w:val="tr-TR"/>
              </w:rPr>
              <w:t>Bakanlık, komisyon çalışmalarını ve halkın görüşlerini dikkate alarak “ÇED Olumlu” ya da “ÇED Olumsuz” kararını 10 iş günü içinde verir ve bu karar komisyon üyelerine bildirilir. (Bu aşamada Nihai ÇED Raporu Makam oluruna sunulur ve olurun alınmasının ardından proje hakkında ÇED Olumlu/Olumsuz kararı verilir.) Verilen karar Bakanlık ve Valilik tarafından askıda ilan ve internet aracılığıyla halka duyurulur.</w:t>
            </w:r>
          </w:p>
          <w:p w:rsidR="00765FB0" w:rsidRDefault="00765FB0" w:rsidP="00765FB0"/>
          <w:p w:rsidR="00765FB0" w:rsidRPr="00FF5FE3" w:rsidRDefault="00765FB0" w:rsidP="00765FB0">
            <w:pPr>
              <w:jc w:val="both"/>
              <w:rPr>
                <w:b/>
                <w:sz w:val="21"/>
                <w:szCs w:val="21"/>
                <w:lang w:val="tr-TR"/>
              </w:rPr>
            </w:pPr>
            <w:r w:rsidRPr="00FF5FE3">
              <w:rPr>
                <w:b/>
                <w:sz w:val="21"/>
                <w:szCs w:val="21"/>
                <w:lang w:val="tr-TR"/>
              </w:rPr>
              <w:t>REFERANS DOKÜMANLAR</w:t>
            </w:r>
          </w:p>
          <w:p w:rsidR="00765FB0" w:rsidRPr="00FF5FE3" w:rsidRDefault="00765FB0" w:rsidP="00765FB0">
            <w:pPr>
              <w:jc w:val="both"/>
              <w:rPr>
                <w:sz w:val="21"/>
                <w:szCs w:val="21"/>
                <w:lang w:val="tr-TR"/>
              </w:rPr>
            </w:pPr>
            <w:r w:rsidRPr="00FF5FE3">
              <w:rPr>
                <w:sz w:val="21"/>
                <w:szCs w:val="21"/>
                <w:lang w:val="tr-TR"/>
              </w:rPr>
              <w:t>ÇED YÖNETMELİĞİ</w:t>
            </w:r>
          </w:p>
          <w:p w:rsidR="00765FB0" w:rsidRPr="00765FB0" w:rsidRDefault="00765FB0" w:rsidP="00765FB0">
            <w:pPr>
              <w:jc w:val="both"/>
              <w:rPr>
                <w:sz w:val="21"/>
                <w:szCs w:val="21"/>
                <w:lang w:val="tr-TR"/>
              </w:rPr>
            </w:pPr>
            <w:r w:rsidRPr="00FF5FE3">
              <w:rPr>
                <w:sz w:val="21"/>
                <w:szCs w:val="21"/>
                <w:lang w:val="tr-TR"/>
              </w:rPr>
              <w:t>ÇED YETERLİK TEBLİĞİ</w:t>
            </w:r>
          </w:p>
        </w:tc>
      </w:tr>
    </w:tbl>
    <w:p w:rsidR="0026001D" w:rsidRDefault="0026001D" w:rsidP="0026001D">
      <w:pPr>
        <w:jc w:val="center"/>
        <w:rPr>
          <w:b/>
        </w:rPr>
      </w:pPr>
    </w:p>
    <w:p w:rsidR="0026001D" w:rsidRDefault="0026001D" w:rsidP="0026001D">
      <w:pPr>
        <w:jc w:val="center"/>
        <w:rPr>
          <w:b/>
        </w:rPr>
      </w:pPr>
    </w:p>
    <w:p w:rsidR="0026001D" w:rsidRPr="00765FB0" w:rsidRDefault="0026001D" w:rsidP="0026001D">
      <w:pPr>
        <w:jc w:val="center"/>
        <w:rPr>
          <w:b/>
        </w:rPr>
      </w:pPr>
      <w:r w:rsidRPr="00765FB0">
        <w:rPr>
          <w:b/>
        </w:rPr>
        <w:t>BELGE GEÇMİŞİ</w:t>
      </w:r>
    </w:p>
    <w:p w:rsidR="0026001D" w:rsidRPr="00765FB0" w:rsidRDefault="0026001D" w:rsidP="0026001D">
      <w:pPr>
        <w:jc w:val="both"/>
        <w:rPr>
          <w:b/>
        </w:rPr>
      </w:pPr>
    </w:p>
    <w:tbl>
      <w:tblPr>
        <w:tblW w:w="9686" w:type="dxa"/>
        <w:jc w:val="center"/>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6"/>
        <w:gridCol w:w="1631"/>
        <w:gridCol w:w="6629"/>
      </w:tblGrid>
      <w:tr w:rsidR="0026001D" w:rsidRPr="00765FB0" w:rsidTr="00776335">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auto"/>
            <w:hideMark/>
          </w:tcPr>
          <w:p w:rsidR="0026001D" w:rsidRPr="00765FB0" w:rsidRDefault="0026001D" w:rsidP="0081594E">
            <w:pPr>
              <w:jc w:val="both"/>
              <w:rPr>
                <w:b/>
                <w:smallCaps/>
                <w:sz w:val="22"/>
                <w:szCs w:val="22"/>
              </w:rPr>
            </w:pPr>
            <w:proofErr w:type="spellStart"/>
            <w:r w:rsidRPr="00765FB0">
              <w:rPr>
                <w:b/>
              </w:rPr>
              <w:t>Revizyon</w:t>
            </w:r>
            <w:proofErr w:type="spellEnd"/>
            <w:r w:rsidRPr="00765FB0">
              <w:rPr>
                <w:b/>
              </w:rPr>
              <w:t xml:space="preserve"> No</w:t>
            </w:r>
          </w:p>
        </w:tc>
        <w:tc>
          <w:tcPr>
            <w:tcW w:w="1631" w:type="dxa"/>
            <w:tcBorders>
              <w:top w:val="single" w:sz="4" w:space="0" w:color="000000"/>
              <w:left w:val="single" w:sz="4" w:space="0" w:color="000000"/>
              <w:bottom w:val="single" w:sz="4" w:space="0" w:color="000000"/>
              <w:right w:val="single" w:sz="4" w:space="0" w:color="000000"/>
            </w:tcBorders>
            <w:shd w:val="clear" w:color="auto" w:fill="auto"/>
            <w:hideMark/>
          </w:tcPr>
          <w:p w:rsidR="0026001D" w:rsidRPr="00765FB0" w:rsidRDefault="0026001D" w:rsidP="0081594E">
            <w:pPr>
              <w:jc w:val="both"/>
              <w:rPr>
                <w:b/>
                <w:smallCaps/>
                <w:sz w:val="22"/>
                <w:szCs w:val="22"/>
              </w:rPr>
            </w:pPr>
            <w:proofErr w:type="spellStart"/>
            <w:r w:rsidRPr="00765FB0">
              <w:rPr>
                <w:b/>
              </w:rPr>
              <w:t>Tarih</w:t>
            </w:r>
            <w:proofErr w:type="spellEnd"/>
          </w:p>
        </w:tc>
        <w:tc>
          <w:tcPr>
            <w:tcW w:w="6629" w:type="dxa"/>
            <w:tcBorders>
              <w:top w:val="single" w:sz="4" w:space="0" w:color="000000"/>
              <w:left w:val="single" w:sz="4" w:space="0" w:color="000000"/>
              <w:bottom w:val="single" w:sz="4" w:space="0" w:color="000000"/>
              <w:right w:val="single" w:sz="4" w:space="0" w:color="000000"/>
            </w:tcBorders>
            <w:shd w:val="clear" w:color="auto" w:fill="auto"/>
            <w:hideMark/>
          </w:tcPr>
          <w:p w:rsidR="0026001D" w:rsidRPr="00765FB0" w:rsidRDefault="0026001D" w:rsidP="0081594E">
            <w:pPr>
              <w:jc w:val="both"/>
              <w:rPr>
                <w:b/>
                <w:smallCaps/>
                <w:sz w:val="22"/>
                <w:szCs w:val="22"/>
              </w:rPr>
            </w:pPr>
            <w:proofErr w:type="spellStart"/>
            <w:r w:rsidRPr="00765FB0">
              <w:rPr>
                <w:b/>
              </w:rPr>
              <w:t>Notlar</w:t>
            </w:r>
            <w:proofErr w:type="spellEnd"/>
          </w:p>
        </w:tc>
      </w:tr>
      <w:tr w:rsidR="0026001D" w:rsidRPr="00640F09" w:rsidTr="00776335">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auto"/>
            <w:hideMark/>
          </w:tcPr>
          <w:p w:rsidR="0026001D" w:rsidRPr="00640F09" w:rsidRDefault="0026001D" w:rsidP="0081594E">
            <w:pPr>
              <w:jc w:val="both"/>
              <w:rPr>
                <w:smallCaps/>
                <w:sz w:val="22"/>
                <w:szCs w:val="22"/>
              </w:rPr>
            </w:pPr>
            <w:r>
              <w:t>00</w:t>
            </w:r>
          </w:p>
        </w:tc>
        <w:tc>
          <w:tcPr>
            <w:tcW w:w="1631" w:type="dxa"/>
            <w:tcBorders>
              <w:top w:val="single" w:sz="4" w:space="0" w:color="000000"/>
              <w:left w:val="single" w:sz="4" w:space="0" w:color="000000"/>
              <w:bottom w:val="single" w:sz="4" w:space="0" w:color="000000"/>
              <w:right w:val="single" w:sz="4" w:space="0" w:color="000000"/>
            </w:tcBorders>
            <w:shd w:val="clear" w:color="auto" w:fill="auto"/>
            <w:hideMark/>
          </w:tcPr>
          <w:p w:rsidR="0026001D" w:rsidRPr="00640F09" w:rsidRDefault="0026001D" w:rsidP="0081594E">
            <w:pPr>
              <w:jc w:val="both"/>
              <w:rPr>
                <w:smallCaps/>
                <w:sz w:val="22"/>
                <w:szCs w:val="22"/>
              </w:rPr>
            </w:pPr>
            <w:r>
              <w:t>19.09.2014</w:t>
            </w:r>
          </w:p>
        </w:tc>
        <w:tc>
          <w:tcPr>
            <w:tcW w:w="6629" w:type="dxa"/>
            <w:tcBorders>
              <w:top w:val="single" w:sz="4" w:space="0" w:color="000000"/>
              <w:left w:val="single" w:sz="4" w:space="0" w:color="000000"/>
              <w:bottom w:val="single" w:sz="4" w:space="0" w:color="000000"/>
              <w:right w:val="single" w:sz="4" w:space="0" w:color="000000"/>
            </w:tcBorders>
            <w:shd w:val="clear" w:color="auto" w:fill="auto"/>
            <w:hideMark/>
          </w:tcPr>
          <w:p w:rsidR="0026001D" w:rsidRPr="00640F09" w:rsidRDefault="0026001D" w:rsidP="0081594E">
            <w:pPr>
              <w:jc w:val="both"/>
              <w:rPr>
                <w:smallCaps/>
                <w:sz w:val="22"/>
                <w:szCs w:val="22"/>
              </w:rPr>
            </w:pPr>
            <w:r>
              <w:t xml:space="preserve">İlk </w:t>
            </w:r>
            <w:proofErr w:type="spellStart"/>
            <w:r>
              <w:t>Yayın</w:t>
            </w:r>
            <w:proofErr w:type="spellEnd"/>
          </w:p>
        </w:tc>
      </w:tr>
      <w:tr w:rsidR="0026001D" w:rsidRPr="00640F09" w:rsidTr="00776335">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26001D" w:rsidRPr="00640F09" w:rsidRDefault="0026001D" w:rsidP="0081594E">
            <w:pPr>
              <w:jc w:val="both"/>
              <w:rPr>
                <w:smallCaps/>
                <w:sz w:val="22"/>
                <w:szCs w:val="22"/>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26001D" w:rsidRPr="00640F09" w:rsidRDefault="0026001D" w:rsidP="0081594E">
            <w:pPr>
              <w:jc w:val="both"/>
              <w:rPr>
                <w:smallCaps/>
                <w:sz w:val="22"/>
                <w:szCs w:val="22"/>
              </w:rPr>
            </w:pPr>
          </w:p>
        </w:tc>
        <w:tc>
          <w:tcPr>
            <w:tcW w:w="6629" w:type="dxa"/>
            <w:tcBorders>
              <w:top w:val="single" w:sz="4" w:space="0" w:color="000000"/>
              <w:left w:val="single" w:sz="4" w:space="0" w:color="000000"/>
              <w:bottom w:val="single" w:sz="4" w:space="0" w:color="000000"/>
              <w:right w:val="single" w:sz="4" w:space="0" w:color="000000"/>
            </w:tcBorders>
            <w:shd w:val="clear" w:color="auto" w:fill="auto"/>
          </w:tcPr>
          <w:p w:rsidR="0026001D" w:rsidRPr="00640F09" w:rsidRDefault="0026001D" w:rsidP="0081594E">
            <w:pPr>
              <w:jc w:val="both"/>
              <w:rPr>
                <w:smallCaps/>
                <w:sz w:val="22"/>
                <w:szCs w:val="22"/>
              </w:rPr>
            </w:pPr>
          </w:p>
        </w:tc>
      </w:tr>
    </w:tbl>
    <w:p w:rsidR="00765FB0" w:rsidRDefault="00765FB0" w:rsidP="00765FB0">
      <w:pPr>
        <w:jc w:val="both"/>
        <w:rPr>
          <w:b/>
          <w:sz w:val="22"/>
          <w:szCs w:val="22"/>
        </w:rPr>
      </w:pPr>
    </w:p>
    <w:p w:rsidR="0026001D" w:rsidRDefault="0026001D" w:rsidP="00765FB0">
      <w:pPr>
        <w:jc w:val="both"/>
        <w:rPr>
          <w:smallCaps/>
          <w:sz w:val="24"/>
          <w:szCs w:val="24"/>
        </w:rPr>
      </w:pPr>
    </w:p>
    <w:tbl>
      <w:tblPr>
        <w:tblW w:w="10632" w:type="dxa"/>
        <w:tblInd w:w="-6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6379"/>
        <w:gridCol w:w="4253"/>
      </w:tblGrid>
      <w:tr w:rsidR="00765FB0" w:rsidRPr="00FB72E4" w:rsidTr="00EA1B71">
        <w:trPr>
          <w:cantSplit/>
          <w:trHeight w:val="383"/>
        </w:trPr>
        <w:tc>
          <w:tcPr>
            <w:tcW w:w="6379" w:type="dxa"/>
          </w:tcPr>
          <w:p w:rsidR="00765FB0" w:rsidRPr="00FB72E4" w:rsidRDefault="00765FB0" w:rsidP="0081594E">
            <w:pPr>
              <w:pStyle w:val="Altbilgi"/>
              <w:jc w:val="center"/>
            </w:pPr>
            <w:proofErr w:type="spellStart"/>
            <w:r w:rsidRPr="00FB72E4">
              <w:t>Hazırlayan</w:t>
            </w:r>
            <w:proofErr w:type="spellEnd"/>
          </w:p>
          <w:p w:rsidR="00765FB0" w:rsidRPr="00FB72E4" w:rsidRDefault="00765FB0" w:rsidP="0081594E">
            <w:pPr>
              <w:pStyle w:val="Altbilgi"/>
              <w:jc w:val="center"/>
            </w:pPr>
            <w:proofErr w:type="spellStart"/>
            <w:r w:rsidRPr="00FB72E4">
              <w:t>Şube</w:t>
            </w:r>
            <w:proofErr w:type="spellEnd"/>
            <w:r w:rsidRPr="00FB72E4">
              <w:t xml:space="preserve"> </w:t>
            </w:r>
            <w:proofErr w:type="spellStart"/>
            <w:r w:rsidRPr="00FB72E4">
              <w:t>Müdürü</w:t>
            </w:r>
            <w:proofErr w:type="spellEnd"/>
          </w:p>
        </w:tc>
        <w:tc>
          <w:tcPr>
            <w:tcW w:w="4253" w:type="dxa"/>
          </w:tcPr>
          <w:p w:rsidR="00765FB0" w:rsidRPr="00FB72E4" w:rsidRDefault="00765FB0" w:rsidP="0081594E">
            <w:pPr>
              <w:pStyle w:val="Altbilgi"/>
              <w:jc w:val="center"/>
            </w:pPr>
            <w:proofErr w:type="spellStart"/>
            <w:r w:rsidRPr="00FB72E4">
              <w:t>Onaylayan</w:t>
            </w:r>
            <w:proofErr w:type="spellEnd"/>
          </w:p>
          <w:p w:rsidR="00765FB0" w:rsidRPr="00FB72E4" w:rsidRDefault="00765FB0" w:rsidP="0081594E">
            <w:pPr>
              <w:pStyle w:val="Altbilgi"/>
              <w:jc w:val="center"/>
            </w:pPr>
            <w:proofErr w:type="spellStart"/>
            <w:r w:rsidRPr="00FB72E4">
              <w:t>Daire</w:t>
            </w:r>
            <w:proofErr w:type="spellEnd"/>
            <w:r w:rsidRPr="00FB72E4">
              <w:t xml:space="preserve"> </w:t>
            </w:r>
            <w:proofErr w:type="spellStart"/>
            <w:r w:rsidRPr="00FB72E4">
              <w:t>Başkanı</w:t>
            </w:r>
            <w:proofErr w:type="spellEnd"/>
          </w:p>
        </w:tc>
      </w:tr>
      <w:tr w:rsidR="00765FB0" w:rsidRPr="00FB72E4" w:rsidTr="00EA1B71">
        <w:trPr>
          <w:cantSplit/>
          <w:trHeight w:val="521"/>
        </w:trPr>
        <w:tc>
          <w:tcPr>
            <w:tcW w:w="6379" w:type="dxa"/>
          </w:tcPr>
          <w:p w:rsidR="00765FB0" w:rsidRPr="00FB72E4" w:rsidRDefault="00765FB0" w:rsidP="0081594E">
            <w:pPr>
              <w:pStyle w:val="Altbilgi"/>
              <w:jc w:val="center"/>
            </w:pPr>
          </w:p>
        </w:tc>
        <w:tc>
          <w:tcPr>
            <w:tcW w:w="4253" w:type="dxa"/>
          </w:tcPr>
          <w:p w:rsidR="00765FB0" w:rsidRPr="00FB72E4" w:rsidRDefault="00765FB0" w:rsidP="0081594E">
            <w:pPr>
              <w:pStyle w:val="Altbilgi"/>
              <w:jc w:val="center"/>
            </w:pPr>
            <w:bookmarkStart w:id="0" w:name="_GoBack"/>
            <w:bookmarkEnd w:id="0"/>
          </w:p>
        </w:tc>
      </w:tr>
    </w:tbl>
    <w:p w:rsidR="00765FB0" w:rsidRDefault="00765FB0"/>
    <w:sectPr w:rsidR="00765FB0" w:rsidSect="0026001D">
      <w:headerReference w:type="default" r:id="rId7"/>
      <w:footerReference w:type="default" r:id="rId8"/>
      <w:pgSz w:w="11906" w:h="16838"/>
      <w:pgMar w:top="1417" w:right="1417" w:bottom="993" w:left="1417" w:header="708" w:footer="3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FB0" w:rsidRDefault="00765FB0" w:rsidP="00765FB0">
      <w:r>
        <w:separator/>
      </w:r>
    </w:p>
  </w:endnote>
  <w:endnote w:type="continuationSeparator" w:id="0">
    <w:p w:rsidR="00765FB0" w:rsidRDefault="00765FB0" w:rsidP="0076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B0" w:rsidRPr="00765FB0" w:rsidRDefault="00765FB0">
    <w:pPr>
      <w:pStyle w:val="Altbilgi"/>
      <w:rPr>
        <w:sz w:val="16"/>
        <w:szCs w:val="16"/>
      </w:rPr>
    </w:pPr>
    <w:r w:rsidRPr="005834BF">
      <w:rPr>
        <w:sz w:val="16"/>
        <w:szCs w:val="16"/>
      </w:rPr>
      <w:t>CSB-FRM-001/00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FB0" w:rsidRDefault="00765FB0" w:rsidP="00765FB0">
      <w:r>
        <w:separator/>
      </w:r>
    </w:p>
  </w:footnote>
  <w:footnote w:type="continuationSeparator" w:id="0">
    <w:p w:rsidR="00765FB0" w:rsidRDefault="00765FB0" w:rsidP="00765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771" w:type="pct"/>
      <w:tblInd w:w="-639"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418"/>
      <w:gridCol w:w="5954"/>
      <w:gridCol w:w="1701"/>
      <w:gridCol w:w="1559"/>
    </w:tblGrid>
    <w:tr w:rsidR="00765FB0" w:rsidRPr="00963E81" w:rsidTr="00EA1B71">
      <w:trPr>
        <w:cantSplit/>
        <w:trHeight w:val="300"/>
      </w:trPr>
      <w:tc>
        <w:tcPr>
          <w:tcW w:w="667" w:type="pct"/>
          <w:vMerge w:val="restart"/>
          <w:vAlign w:val="center"/>
        </w:tcPr>
        <w:p w:rsidR="00765FB0" w:rsidRPr="00963E81" w:rsidRDefault="00765FB0" w:rsidP="0081594E">
          <w:pPr>
            <w:pStyle w:val="stbilgi"/>
            <w:jc w:val="center"/>
          </w:pPr>
          <w:r>
            <w:rPr>
              <w:noProof/>
              <w:lang w:val="tr-TR"/>
            </w:rPr>
            <w:drawing>
              <wp:inline distT="0" distB="0" distL="0" distR="0" wp14:anchorId="6085EBFD" wp14:editId="0CBB22C1">
                <wp:extent cx="695960" cy="464185"/>
                <wp:effectExtent l="0" t="0" r="8890" b="0"/>
                <wp:docPr id="1" name="Resim 1" descr="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yefendioglu\Desktop\çevre ye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960" cy="464185"/>
                        </a:xfrm>
                        <a:prstGeom prst="rect">
                          <a:avLst/>
                        </a:prstGeom>
                        <a:noFill/>
                        <a:ln>
                          <a:noFill/>
                        </a:ln>
                      </pic:spPr>
                    </pic:pic>
                  </a:graphicData>
                </a:graphic>
              </wp:inline>
            </w:drawing>
          </w:r>
        </w:p>
      </w:tc>
      <w:tc>
        <w:tcPr>
          <w:tcW w:w="2800" w:type="pct"/>
          <w:vMerge w:val="restart"/>
          <w:vAlign w:val="center"/>
        </w:tcPr>
        <w:p w:rsidR="00765FB0" w:rsidRPr="0078306B" w:rsidRDefault="00765FB0" w:rsidP="0081594E">
          <w:pPr>
            <w:pStyle w:val="stbilgi"/>
            <w:jc w:val="center"/>
            <w:rPr>
              <w:b/>
              <w:bCs/>
              <w:sz w:val="32"/>
              <w:szCs w:val="32"/>
            </w:rPr>
          </w:pPr>
          <w:r w:rsidRPr="0078306B">
            <w:rPr>
              <w:b/>
              <w:bCs/>
              <w:sz w:val="32"/>
              <w:szCs w:val="32"/>
            </w:rPr>
            <w:t>ÇEVRE VE ŞEHİRCİLİK BAKANLIĞI</w:t>
          </w:r>
        </w:p>
        <w:p w:rsidR="00765FB0" w:rsidRPr="005834BF" w:rsidRDefault="00765FB0" w:rsidP="0081594E">
          <w:pPr>
            <w:pStyle w:val="stbilgi"/>
            <w:jc w:val="center"/>
            <w:rPr>
              <w:b/>
              <w:bCs/>
              <w:sz w:val="28"/>
              <w:szCs w:val="28"/>
            </w:rPr>
          </w:pPr>
          <w:r w:rsidRPr="0078306B">
            <w:rPr>
              <w:b/>
              <w:bCs/>
              <w:sz w:val="28"/>
              <w:szCs w:val="28"/>
            </w:rPr>
            <w:t>ÇED PROJE TALİMATI</w:t>
          </w:r>
        </w:p>
      </w:tc>
      <w:tc>
        <w:tcPr>
          <w:tcW w:w="800" w:type="pct"/>
          <w:tcBorders>
            <w:top w:val="double" w:sz="4" w:space="0" w:color="auto"/>
            <w:bottom w:val="dotted" w:sz="4" w:space="0" w:color="auto"/>
            <w:right w:val="single" w:sz="8" w:space="0" w:color="auto"/>
          </w:tcBorders>
          <w:vAlign w:val="center"/>
        </w:tcPr>
        <w:p w:rsidR="00765FB0" w:rsidRPr="00FB72E4" w:rsidRDefault="00765FB0" w:rsidP="0081594E">
          <w:pPr>
            <w:pStyle w:val="stbilgi"/>
            <w:rPr>
              <w:bCs/>
              <w:sz w:val="18"/>
              <w:szCs w:val="18"/>
            </w:rPr>
          </w:pPr>
          <w:proofErr w:type="spellStart"/>
          <w:r w:rsidRPr="00FB72E4">
            <w:rPr>
              <w:sz w:val="18"/>
              <w:szCs w:val="18"/>
            </w:rPr>
            <w:t>Doküman</w:t>
          </w:r>
          <w:proofErr w:type="spellEnd"/>
          <w:r w:rsidRPr="00FB72E4">
            <w:rPr>
              <w:sz w:val="18"/>
              <w:szCs w:val="18"/>
            </w:rPr>
            <w:t xml:space="preserve"> </w:t>
          </w:r>
          <w:proofErr w:type="spellStart"/>
          <w:r w:rsidRPr="00FB72E4">
            <w:rPr>
              <w:sz w:val="18"/>
              <w:szCs w:val="18"/>
            </w:rPr>
            <w:t>Kodu</w:t>
          </w:r>
          <w:proofErr w:type="spellEnd"/>
        </w:p>
      </w:tc>
      <w:tc>
        <w:tcPr>
          <w:tcW w:w="733" w:type="pct"/>
          <w:tcBorders>
            <w:top w:val="double" w:sz="4" w:space="0" w:color="auto"/>
            <w:left w:val="single" w:sz="8" w:space="0" w:color="auto"/>
            <w:bottom w:val="dotted" w:sz="4" w:space="0" w:color="auto"/>
          </w:tcBorders>
          <w:vAlign w:val="center"/>
        </w:tcPr>
        <w:p w:rsidR="00765FB0" w:rsidRPr="00FB72E4" w:rsidRDefault="00765FB0" w:rsidP="0081594E">
          <w:pPr>
            <w:pStyle w:val="stbilgi"/>
            <w:rPr>
              <w:bCs/>
              <w:sz w:val="18"/>
              <w:szCs w:val="18"/>
            </w:rPr>
          </w:pPr>
          <w:r w:rsidRPr="00FB72E4">
            <w:rPr>
              <w:bCs/>
              <w:sz w:val="18"/>
              <w:szCs w:val="18"/>
            </w:rPr>
            <w:t>ÇED-TLM-003</w:t>
          </w:r>
        </w:p>
      </w:tc>
    </w:tr>
    <w:tr w:rsidR="00765FB0" w:rsidRPr="00963E81" w:rsidTr="00EA1B71">
      <w:trPr>
        <w:cantSplit/>
        <w:trHeight w:val="300"/>
      </w:trPr>
      <w:tc>
        <w:tcPr>
          <w:tcW w:w="667" w:type="pct"/>
          <w:vMerge/>
          <w:vAlign w:val="center"/>
        </w:tcPr>
        <w:p w:rsidR="00765FB0" w:rsidRPr="00963E81" w:rsidRDefault="00765FB0" w:rsidP="0081594E">
          <w:pPr>
            <w:pStyle w:val="stbilgi"/>
            <w:jc w:val="center"/>
            <w:rPr>
              <w:b/>
            </w:rPr>
          </w:pPr>
        </w:p>
      </w:tc>
      <w:tc>
        <w:tcPr>
          <w:tcW w:w="2800" w:type="pct"/>
          <w:vMerge/>
          <w:vAlign w:val="center"/>
        </w:tcPr>
        <w:p w:rsidR="00765FB0" w:rsidRPr="00963E81" w:rsidRDefault="00765FB0" w:rsidP="0081594E">
          <w:pPr>
            <w:pStyle w:val="stbilgi"/>
            <w:jc w:val="center"/>
            <w:rPr>
              <w:b/>
              <w:bCs/>
              <w:sz w:val="44"/>
              <w:szCs w:val="44"/>
            </w:rPr>
          </w:pPr>
        </w:p>
      </w:tc>
      <w:tc>
        <w:tcPr>
          <w:tcW w:w="800" w:type="pct"/>
          <w:tcBorders>
            <w:top w:val="dotted" w:sz="4" w:space="0" w:color="auto"/>
            <w:bottom w:val="dotted" w:sz="4" w:space="0" w:color="auto"/>
            <w:right w:val="single" w:sz="8" w:space="0" w:color="auto"/>
          </w:tcBorders>
          <w:vAlign w:val="center"/>
        </w:tcPr>
        <w:p w:rsidR="00765FB0" w:rsidRPr="00FB72E4" w:rsidRDefault="00765FB0" w:rsidP="0081594E">
          <w:pPr>
            <w:pStyle w:val="stbilgi"/>
            <w:rPr>
              <w:bCs/>
              <w:sz w:val="18"/>
              <w:szCs w:val="18"/>
            </w:rPr>
          </w:pPr>
          <w:proofErr w:type="spellStart"/>
          <w:r w:rsidRPr="00FB72E4">
            <w:rPr>
              <w:sz w:val="18"/>
              <w:szCs w:val="18"/>
            </w:rPr>
            <w:t>Yürürlük</w:t>
          </w:r>
          <w:proofErr w:type="spellEnd"/>
          <w:r w:rsidRPr="00FB72E4">
            <w:rPr>
              <w:sz w:val="18"/>
              <w:szCs w:val="18"/>
            </w:rPr>
            <w:t xml:space="preserve"> </w:t>
          </w:r>
          <w:proofErr w:type="spellStart"/>
          <w:r w:rsidRPr="00FB72E4">
            <w:rPr>
              <w:sz w:val="18"/>
              <w:szCs w:val="18"/>
            </w:rPr>
            <w:t>Tarihi</w:t>
          </w:r>
          <w:proofErr w:type="spellEnd"/>
        </w:p>
      </w:tc>
      <w:tc>
        <w:tcPr>
          <w:tcW w:w="733" w:type="pct"/>
          <w:tcBorders>
            <w:top w:val="dotted" w:sz="4" w:space="0" w:color="auto"/>
            <w:left w:val="single" w:sz="8" w:space="0" w:color="auto"/>
            <w:bottom w:val="dotted" w:sz="4" w:space="0" w:color="auto"/>
          </w:tcBorders>
          <w:vAlign w:val="center"/>
        </w:tcPr>
        <w:p w:rsidR="00765FB0" w:rsidRPr="00FB72E4" w:rsidRDefault="00765FB0" w:rsidP="0081594E">
          <w:pPr>
            <w:pStyle w:val="stbilgi"/>
            <w:rPr>
              <w:bCs/>
              <w:sz w:val="18"/>
              <w:szCs w:val="18"/>
            </w:rPr>
          </w:pPr>
          <w:r w:rsidRPr="00FB72E4">
            <w:rPr>
              <w:bCs/>
              <w:sz w:val="18"/>
              <w:szCs w:val="18"/>
            </w:rPr>
            <w:t>19.09.2014</w:t>
          </w:r>
        </w:p>
      </w:tc>
    </w:tr>
    <w:tr w:rsidR="00765FB0" w:rsidRPr="00963E81" w:rsidTr="00EA1B71">
      <w:trPr>
        <w:cantSplit/>
        <w:trHeight w:val="300"/>
      </w:trPr>
      <w:tc>
        <w:tcPr>
          <w:tcW w:w="667" w:type="pct"/>
          <w:vMerge/>
          <w:vAlign w:val="center"/>
        </w:tcPr>
        <w:p w:rsidR="00765FB0" w:rsidRPr="00963E81" w:rsidRDefault="00765FB0" w:rsidP="0081594E">
          <w:pPr>
            <w:pStyle w:val="stbilgi"/>
            <w:jc w:val="center"/>
            <w:rPr>
              <w:b/>
            </w:rPr>
          </w:pPr>
        </w:p>
      </w:tc>
      <w:tc>
        <w:tcPr>
          <w:tcW w:w="2800" w:type="pct"/>
          <w:vMerge/>
          <w:vAlign w:val="center"/>
        </w:tcPr>
        <w:p w:rsidR="00765FB0" w:rsidRPr="00963E81" w:rsidRDefault="00765FB0" w:rsidP="0081594E">
          <w:pPr>
            <w:pStyle w:val="stbilgi"/>
            <w:jc w:val="center"/>
            <w:rPr>
              <w:b/>
              <w:bCs/>
              <w:sz w:val="44"/>
              <w:szCs w:val="44"/>
            </w:rPr>
          </w:pPr>
        </w:p>
      </w:tc>
      <w:tc>
        <w:tcPr>
          <w:tcW w:w="800" w:type="pct"/>
          <w:tcBorders>
            <w:top w:val="dotted" w:sz="4" w:space="0" w:color="auto"/>
            <w:bottom w:val="dotted" w:sz="4" w:space="0" w:color="auto"/>
            <w:right w:val="single" w:sz="8" w:space="0" w:color="auto"/>
          </w:tcBorders>
          <w:vAlign w:val="center"/>
        </w:tcPr>
        <w:p w:rsidR="00765FB0" w:rsidRPr="00FB72E4" w:rsidRDefault="00765FB0" w:rsidP="0081594E">
          <w:pPr>
            <w:pStyle w:val="stbilgi"/>
            <w:rPr>
              <w:bCs/>
              <w:sz w:val="18"/>
              <w:szCs w:val="18"/>
            </w:rPr>
          </w:pPr>
          <w:proofErr w:type="spellStart"/>
          <w:r w:rsidRPr="00FB72E4">
            <w:rPr>
              <w:sz w:val="18"/>
              <w:szCs w:val="18"/>
            </w:rPr>
            <w:t>Revizyon</w:t>
          </w:r>
          <w:proofErr w:type="spellEnd"/>
          <w:r w:rsidRPr="00FB72E4">
            <w:rPr>
              <w:sz w:val="18"/>
              <w:szCs w:val="18"/>
            </w:rPr>
            <w:t xml:space="preserve"> </w:t>
          </w:r>
          <w:proofErr w:type="spellStart"/>
          <w:r w:rsidRPr="00FB72E4">
            <w:rPr>
              <w:sz w:val="18"/>
              <w:szCs w:val="18"/>
            </w:rPr>
            <w:t>Tarihi</w:t>
          </w:r>
          <w:proofErr w:type="spellEnd"/>
          <w:r w:rsidRPr="00FB72E4">
            <w:rPr>
              <w:sz w:val="18"/>
              <w:szCs w:val="18"/>
            </w:rPr>
            <w:t>/No</w:t>
          </w:r>
        </w:p>
      </w:tc>
      <w:tc>
        <w:tcPr>
          <w:tcW w:w="733" w:type="pct"/>
          <w:tcBorders>
            <w:top w:val="dotted" w:sz="4" w:space="0" w:color="auto"/>
            <w:left w:val="single" w:sz="8" w:space="0" w:color="auto"/>
            <w:bottom w:val="dotted" w:sz="4" w:space="0" w:color="auto"/>
          </w:tcBorders>
          <w:vAlign w:val="center"/>
        </w:tcPr>
        <w:p w:rsidR="00765FB0" w:rsidRPr="00FB72E4" w:rsidRDefault="00765FB0" w:rsidP="0081594E">
          <w:pPr>
            <w:pStyle w:val="stbilgi"/>
            <w:rPr>
              <w:bCs/>
              <w:sz w:val="18"/>
              <w:szCs w:val="18"/>
            </w:rPr>
          </w:pPr>
        </w:p>
      </w:tc>
    </w:tr>
    <w:tr w:rsidR="00765FB0" w:rsidRPr="00963E81" w:rsidTr="00EA1B71">
      <w:trPr>
        <w:cantSplit/>
        <w:trHeight w:val="300"/>
      </w:trPr>
      <w:tc>
        <w:tcPr>
          <w:tcW w:w="667" w:type="pct"/>
          <w:vMerge/>
          <w:vAlign w:val="center"/>
        </w:tcPr>
        <w:p w:rsidR="00765FB0" w:rsidRPr="00963E81" w:rsidRDefault="00765FB0" w:rsidP="0081594E">
          <w:pPr>
            <w:pStyle w:val="stbilgi"/>
            <w:jc w:val="center"/>
            <w:rPr>
              <w:b/>
            </w:rPr>
          </w:pPr>
        </w:p>
      </w:tc>
      <w:tc>
        <w:tcPr>
          <w:tcW w:w="2800" w:type="pct"/>
          <w:vMerge/>
          <w:vAlign w:val="center"/>
        </w:tcPr>
        <w:p w:rsidR="00765FB0" w:rsidRPr="00963E81" w:rsidRDefault="00765FB0" w:rsidP="0081594E">
          <w:pPr>
            <w:pStyle w:val="stbilgi"/>
            <w:jc w:val="center"/>
            <w:rPr>
              <w:b/>
              <w:bCs/>
              <w:sz w:val="44"/>
              <w:szCs w:val="44"/>
            </w:rPr>
          </w:pPr>
        </w:p>
      </w:tc>
      <w:tc>
        <w:tcPr>
          <w:tcW w:w="800" w:type="pct"/>
          <w:tcBorders>
            <w:top w:val="dotted" w:sz="4" w:space="0" w:color="auto"/>
            <w:bottom w:val="double" w:sz="4" w:space="0" w:color="auto"/>
            <w:right w:val="single" w:sz="8" w:space="0" w:color="auto"/>
          </w:tcBorders>
          <w:vAlign w:val="center"/>
        </w:tcPr>
        <w:p w:rsidR="00765FB0" w:rsidRPr="00FB72E4" w:rsidRDefault="00765FB0" w:rsidP="0081594E">
          <w:pPr>
            <w:pStyle w:val="stbilgi"/>
            <w:rPr>
              <w:bCs/>
              <w:sz w:val="18"/>
              <w:szCs w:val="18"/>
            </w:rPr>
          </w:pPr>
          <w:proofErr w:type="spellStart"/>
          <w:r>
            <w:rPr>
              <w:sz w:val="18"/>
              <w:szCs w:val="18"/>
            </w:rPr>
            <w:t>Sayfa</w:t>
          </w:r>
          <w:proofErr w:type="spellEnd"/>
          <w:r w:rsidRPr="00FB72E4">
            <w:rPr>
              <w:sz w:val="18"/>
              <w:szCs w:val="18"/>
            </w:rPr>
            <w:t xml:space="preserve"> No</w:t>
          </w:r>
        </w:p>
      </w:tc>
      <w:tc>
        <w:tcPr>
          <w:tcW w:w="733" w:type="pct"/>
          <w:tcBorders>
            <w:top w:val="dotted" w:sz="4" w:space="0" w:color="auto"/>
            <w:left w:val="single" w:sz="8" w:space="0" w:color="auto"/>
            <w:bottom w:val="double" w:sz="4" w:space="0" w:color="auto"/>
          </w:tcBorders>
          <w:vAlign w:val="center"/>
        </w:tcPr>
        <w:p w:rsidR="00765FB0" w:rsidRPr="00FB72E4" w:rsidRDefault="00765FB0" w:rsidP="0081594E">
          <w:pPr>
            <w:pStyle w:val="stbilgi"/>
            <w:rPr>
              <w:bCs/>
              <w:sz w:val="18"/>
              <w:szCs w:val="18"/>
            </w:rPr>
          </w:pPr>
          <w:r>
            <w:rPr>
              <w:bCs/>
              <w:sz w:val="18"/>
              <w:szCs w:val="18"/>
            </w:rPr>
            <w:fldChar w:fldCharType="begin"/>
          </w:r>
          <w:r>
            <w:rPr>
              <w:bCs/>
              <w:sz w:val="18"/>
              <w:szCs w:val="18"/>
            </w:rPr>
            <w:instrText xml:space="preserve"> PAGE  \* Arabic  \* MERGEFORMAT </w:instrText>
          </w:r>
          <w:r>
            <w:rPr>
              <w:bCs/>
              <w:sz w:val="18"/>
              <w:szCs w:val="18"/>
            </w:rPr>
            <w:fldChar w:fldCharType="separate"/>
          </w:r>
          <w:r w:rsidR="00EA1B71">
            <w:rPr>
              <w:bCs/>
              <w:noProof/>
              <w:sz w:val="18"/>
              <w:szCs w:val="18"/>
            </w:rPr>
            <w:t>1</w:t>
          </w:r>
          <w:r>
            <w:rPr>
              <w:bCs/>
              <w:sz w:val="18"/>
              <w:szCs w:val="18"/>
            </w:rPr>
            <w:fldChar w:fldCharType="end"/>
          </w:r>
          <w:r>
            <w:rPr>
              <w:bCs/>
              <w:sz w:val="18"/>
              <w:szCs w:val="18"/>
            </w:rPr>
            <w:t>/</w:t>
          </w:r>
          <w:r>
            <w:rPr>
              <w:bCs/>
              <w:sz w:val="18"/>
              <w:szCs w:val="18"/>
            </w:rPr>
            <w:fldChar w:fldCharType="begin"/>
          </w:r>
          <w:r>
            <w:rPr>
              <w:bCs/>
              <w:sz w:val="18"/>
              <w:szCs w:val="18"/>
            </w:rPr>
            <w:instrText xml:space="preserve"> NUMPAGES  \* Arabic  \* MERGEFORMAT </w:instrText>
          </w:r>
          <w:r>
            <w:rPr>
              <w:bCs/>
              <w:sz w:val="18"/>
              <w:szCs w:val="18"/>
            </w:rPr>
            <w:fldChar w:fldCharType="separate"/>
          </w:r>
          <w:r w:rsidR="00EA1B71">
            <w:rPr>
              <w:bCs/>
              <w:noProof/>
              <w:sz w:val="18"/>
              <w:szCs w:val="18"/>
            </w:rPr>
            <w:t>2</w:t>
          </w:r>
          <w:r>
            <w:rPr>
              <w:bCs/>
              <w:sz w:val="18"/>
              <w:szCs w:val="18"/>
            </w:rPr>
            <w:fldChar w:fldCharType="end"/>
          </w:r>
        </w:p>
      </w:tc>
    </w:tr>
  </w:tbl>
  <w:p w:rsidR="00765FB0" w:rsidRDefault="00765FB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FB0"/>
    <w:rsid w:val="0026001D"/>
    <w:rsid w:val="00560C34"/>
    <w:rsid w:val="00584CE1"/>
    <w:rsid w:val="00765FB0"/>
    <w:rsid w:val="00776335"/>
    <w:rsid w:val="0078306B"/>
    <w:rsid w:val="00EA1B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FB0"/>
    <w:pPr>
      <w:widowControl w:val="0"/>
      <w:spacing w:after="0" w:line="240" w:lineRule="auto"/>
    </w:pPr>
    <w:rPr>
      <w:rFonts w:ascii="Times New Roman" w:eastAsia="Times New Roman" w:hAnsi="Times New Roman" w:cs="Times New Roman"/>
      <w:sz w:val="20"/>
      <w:szCs w:val="20"/>
      <w:lang w:val="en-AU"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765FB0"/>
    <w:pPr>
      <w:tabs>
        <w:tab w:val="center" w:pos="4536"/>
        <w:tab w:val="right" w:pos="9072"/>
      </w:tabs>
    </w:pPr>
  </w:style>
  <w:style w:type="character" w:customStyle="1" w:styleId="AltbilgiChar">
    <w:name w:val="Altbilgi Char"/>
    <w:basedOn w:val="VarsaylanParagrafYazTipi"/>
    <w:link w:val="Altbilgi"/>
    <w:rsid w:val="00765FB0"/>
    <w:rPr>
      <w:rFonts w:ascii="Times New Roman" w:eastAsia="Times New Roman" w:hAnsi="Times New Roman" w:cs="Times New Roman"/>
      <w:sz w:val="20"/>
      <w:szCs w:val="20"/>
      <w:lang w:val="en-AU" w:eastAsia="tr-TR"/>
    </w:rPr>
  </w:style>
  <w:style w:type="table" w:styleId="TabloKlavuzu">
    <w:name w:val="Table Grid"/>
    <w:basedOn w:val="NormalTablo"/>
    <w:uiPriority w:val="59"/>
    <w:rsid w:val="00765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765FB0"/>
    <w:pPr>
      <w:tabs>
        <w:tab w:val="center" w:pos="4536"/>
        <w:tab w:val="right" w:pos="9072"/>
      </w:tabs>
    </w:pPr>
  </w:style>
  <w:style w:type="character" w:customStyle="1" w:styleId="stbilgiChar">
    <w:name w:val="Üstbilgi Char"/>
    <w:basedOn w:val="VarsaylanParagrafYazTipi"/>
    <w:link w:val="stbilgi"/>
    <w:rsid w:val="00765FB0"/>
    <w:rPr>
      <w:rFonts w:ascii="Times New Roman" w:eastAsia="Times New Roman" w:hAnsi="Times New Roman" w:cs="Times New Roman"/>
      <w:sz w:val="20"/>
      <w:szCs w:val="20"/>
      <w:lang w:val="en-AU" w:eastAsia="tr-TR"/>
    </w:rPr>
  </w:style>
  <w:style w:type="paragraph" w:styleId="BalonMetni">
    <w:name w:val="Balloon Text"/>
    <w:basedOn w:val="Normal"/>
    <w:link w:val="BalonMetniChar"/>
    <w:uiPriority w:val="99"/>
    <w:semiHidden/>
    <w:unhideWhenUsed/>
    <w:rsid w:val="00765FB0"/>
    <w:rPr>
      <w:rFonts w:ascii="Tahoma" w:hAnsi="Tahoma" w:cs="Tahoma"/>
      <w:sz w:val="16"/>
      <w:szCs w:val="16"/>
    </w:rPr>
  </w:style>
  <w:style w:type="character" w:customStyle="1" w:styleId="BalonMetniChar">
    <w:name w:val="Balon Metni Char"/>
    <w:basedOn w:val="VarsaylanParagrafYazTipi"/>
    <w:link w:val="BalonMetni"/>
    <w:uiPriority w:val="99"/>
    <w:semiHidden/>
    <w:rsid w:val="00765FB0"/>
    <w:rPr>
      <w:rFonts w:ascii="Tahoma" w:eastAsia="Times New Roman" w:hAnsi="Tahoma" w:cs="Tahoma"/>
      <w:sz w:val="16"/>
      <w:szCs w:val="16"/>
      <w:lang w:val="en-AU"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FB0"/>
    <w:pPr>
      <w:widowControl w:val="0"/>
      <w:spacing w:after="0" w:line="240" w:lineRule="auto"/>
    </w:pPr>
    <w:rPr>
      <w:rFonts w:ascii="Times New Roman" w:eastAsia="Times New Roman" w:hAnsi="Times New Roman" w:cs="Times New Roman"/>
      <w:sz w:val="20"/>
      <w:szCs w:val="20"/>
      <w:lang w:val="en-AU"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765FB0"/>
    <w:pPr>
      <w:tabs>
        <w:tab w:val="center" w:pos="4536"/>
        <w:tab w:val="right" w:pos="9072"/>
      </w:tabs>
    </w:pPr>
  </w:style>
  <w:style w:type="character" w:customStyle="1" w:styleId="AltbilgiChar">
    <w:name w:val="Altbilgi Char"/>
    <w:basedOn w:val="VarsaylanParagrafYazTipi"/>
    <w:link w:val="Altbilgi"/>
    <w:rsid w:val="00765FB0"/>
    <w:rPr>
      <w:rFonts w:ascii="Times New Roman" w:eastAsia="Times New Roman" w:hAnsi="Times New Roman" w:cs="Times New Roman"/>
      <w:sz w:val="20"/>
      <w:szCs w:val="20"/>
      <w:lang w:val="en-AU" w:eastAsia="tr-TR"/>
    </w:rPr>
  </w:style>
  <w:style w:type="table" w:styleId="TabloKlavuzu">
    <w:name w:val="Table Grid"/>
    <w:basedOn w:val="NormalTablo"/>
    <w:uiPriority w:val="59"/>
    <w:rsid w:val="00765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765FB0"/>
    <w:pPr>
      <w:tabs>
        <w:tab w:val="center" w:pos="4536"/>
        <w:tab w:val="right" w:pos="9072"/>
      </w:tabs>
    </w:pPr>
  </w:style>
  <w:style w:type="character" w:customStyle="1" w:styleId="stbilgiChar">
    <w:name w:val="Üstbilgi Char"/>
    <w:basedOn w:val="VarsaylanParagrafYazTipi"/>
    <w:link w:val="stbilgi"/>
    <w:rsid w:val="00765FB0"/>
    <w:rPr>
      <w:rFonts w:ascii="Times New Roman" w:eastAsia="Times New Roman" w:hAnsi="Times New Roman" w:cs="Times New Roman"/>
      <w:sz w:val="20"/>
      <w:szCs w:val="20"/>
      <w:lang w:val="en-AU" w:eastAsia="tr-TR"/>
    </w:rPr>
  </w:style>
  <w:style w:type="paragraph" w:styleId="BalonMetni">
    <w:name w:val="Balloon Text"/>
    <w:basedOn w:val="Normal"/>
    <w:link w:val="BalonMetniChar"/>
    <w:uiPriority w:val="99"/>
    <w:semiHidden/>
    <w:unhideWhenUsed/>
    <w:rsid w:val="00765FB0"/>
    <w:rPr>
      <w:rFonts w:ascii="Tahoma" w:hAnsi="Tahoma" w:cs="Tahoma"/>
      <w:sz w:val="16"/>
      <w:szCs w:val="16"/>
    </w:rPr>
  </w:style>
  <w:style w:type="character" w:customStyle="1" w:styleId="BalonMetniChar">
    <w:name w:val="Balon Metni Char"/>
    <w:basedOn w:val="VarsaylanParagrafYazTipi"/>
    <w:link w:val="BalonMetni"/>
    <w:uiPriority w:val="99"/>
    <w:semiHidden/>
    <w:rsid w:val="00765FB0"/>
    <w:rPr>
      <w:rFonts w:ascii="Tahoma" w:eastAsia="Times New Roman" w:hAnsi="Tahoma" w:cs="Tahoma"/>
      <w:sz w:val="16"/>
      <w:szCs w:val="16"/>
      <w:lang w:val="en-AU"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1028</Words>
  <Characters>5861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2014-12-24T11:39:00Z</dcterms:created>
  <dcterms:modified xsi:type="dcterms:W3CDTF">2014-12-24T12:37:00Z</dcterms:modified>
</cp:coreProperties>
</file>