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22" w:rsidRDefault="00342922" w:rsidP="00AD093D">
      <w:pPr>
        <w:jc w:val="center"/>
        <w:rPr>
          <w:b/>
          <w:sz w:val="60"/>
          <w:szCs w:val="60"/>
        </w:rPr>
      </w:pPr>
      <w:bookmarkStart w:id="0" w:name="_GoBack"/>
      <w:bookmarkEnd w:id="0"/>
    </w:p>
    <w:p w:rsidR="00AD093D" w:rsidRPr="00AD093D" w:rsidRDefault="00AD093D" w:rsidP="00AD093D">
      <w:pPr>
        <w:jc w:val="center"/>
        <w:rPr>
          <w:b/>
          <w:sz w:val="60"/>
          <w:szCs w:val="60"/>
        </w:rPr>
      </w:pPr>
      <w:r w:rsidRPr="00AD093D">
        <w:rPr>
          <w:b/>
          <w:sz w:val="60"/>
          <w:szCs w:val="60"/>
        </w:rPr>
        <w:t>Solvent Yönetim Planı Kılavuzu</w:t>
      </w:r>
    </w:p>
    <w:p w:rsidR="00AD093D" w:rsidRDefault="0093093F" w:rsidP="00AD093D">
      <w:pPr>
        <w:jc w:val="center"/>
        <w:rPr>
          <w:b/>
          <w:sz w:val="60"/>
          <w:szCs w:val="60"/>
        </w:rPr>
      </w:pPr>
      <w:r>
        <w:rPr>
          <w:b/>
          <w:noProof/>
          <w:sz w:val="60"/>
          <w:szCs w:val="60"/>
          <w:lang w:eastAsia="tr-TR"/>
        </w:rPr>
        <mc:AlternateContent>
          <mc:Choice Requires="wps">
            <w:drawing>
              <wp:anchor distT="0" distB="0" distL="114300" distR="114300" simplePos="0" relativeHeight="251667456" behindDoc="0" locked="0" layoutInCell="1" allowOverlap="1">
                <wp:simplePos x="0" y="0"/>
                <wp:positionH relativeFrom="column">
                  <wp:posOffset>751840</wp:posOffset>
                </wp:positionH>
                <wp:positionV relativeFrom="paragraph">
                  <wp:posOffset>558165</wp:posOffset>
                </wp:positionV>
                <wp:extent cx="4422140" cy="3152775"/>
                <wp:effectExtent l="19050" t="19050" r="16510" b="285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2140" cy="315277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59.2pt;margin-top:43.95pt;width:348.2pt;height:2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D0rwIAAK0FAAAOAAAAZHJzL2Uyb0RvYy54bWysVEtu2zAQ3RfoHQjuG31qN4kQOTBipChg&#10;JEGTImuaIi0hFIclacvuwXqBXKxDSlbcNOiiqBaEhvPjm3kzF5e7VpGtsK4BXdLsJKVEaA5Vo9cl&#10;/fZw/eGMEueZrpgCLUq6F45ezt6/u+hMIXKoQVXCEgyiXdGZktbemyJJHK9Fy9wJGKFRKcG2zKNo&#10;10llWYfRW5Xkafop6cBWxgIXzuHtolfSWYwvpeD+VkonPFElxbf5eNp4rsKZzC5YsbbM1A0fnsH+&#10;4RUtazQmHUMtmGdkY5s/QrUNt+BA+hMObQJSNlxEDIgmS1+hua+ZERELFseZsUzu/4XlN9s7S5oK&#10;e5dRolmLPVo0T9XzT+vXQhO8xRJ1xhVoeW/ubADpzBL4k0NF8psmCG6w2UnbBluESHax3vux3mLn&#10;CcfLySTPswm2haPuYzbNT0+nIV3CioO7sc5/FtCS8FNSiw2NdWbbpfO96cEkZNNw3SiF96xQmnQY&#10;9SxL0+jhQDVV0EYEdr26UpZsGfLiPF+k00gFTHxkhpLSA8YeVgTo90r0Cb4KiaVDIHmfIZBWjGEZ&#10;50L7rFfVrBJ9tmmK34Ay0jx4RMxKY8AQWeIrx9hDgLdj9xUY7IOriJwfnQfof3MePWJm0H50bhsN&#10;9i1kClENmXv7Q5H60oQqraDaI7Es9BPnDL9usINL5vwdszhi2HVcG/4WD6kAOwXDHyU12B9v3Qd7&#10;ZD5qKelwZEvqvm+YFZSoLxpn4jybBDL5KEympzkK9lizOtboTXsF2H2kPb4u/gZ7rw6/0kL7iNtl&#10;HrKiimmOuUvKvT0IV75fJbifuJjPoxnOtWF+qe8ND8FDVQNDH3aPzJqBxh4n4AYO482KV2zubYOn&#10;hvnGg2wi1V/qOtQbd0IkzrC/wtI5lqPVy5ad/QIAAP//AwBQSwMEFAAGAAgAAAAhABTA0Y7gAAAA&#10;CgEAAA8AAABkcnMvZG93bnJldi54bWxMj8FOwzAQRO9I/IO1SNyoE5SSNMSpUFER5UapKo5ubOKI&#10;eB3ZbpL+PcsJjqN9mn1TrWfbs1H70DkUkC4SYBobpzpsBRw+tncFsBAlKtk71AIuOsC6vr6qZKnc&#10;hO963MeWUQmGUgowMQ4l56Ex2sqwcINGun05b2Wk6FuuvJyo3Pb8PkkeuJUd0gcjB70xuvnen62A&#10;o19uxu2Yf77m5qWb3la7i3reCXF7Mz89Aot6jn8w/OqTOtTkdHJnVIH1lNMiI1RAka+AEVCkGW05&#10;CVgWWQa8rvj/CfUPAAAA//8DAFBLAQItABQABgAIAAAAIQC2gziS/gAAAOEBAAATAAAAAAAAAAAA&#10;AAAAAAAAAABbQ29udGVudF9UeXBlc10ueG1sUEsBAi0AFAAGAAgAAAAhADj9If/WAAAAlAEAAAsA&#10;AAAAAAAAAAAAAAAALwEAAF9yZWxzLy5yZWxzUEsBAi0AFAAGAAgAAAAhALmikPSvAgAArQUAAA4A&#10;AAAAAAAAAAAAAAAALgIAAGRycy9lMm9Eb2MueG1sUEsBAi0AFAAGAAgAAAAhABTA0Y7gAAAACgEA&#10;AA8AAAAAAAAAAAAAAAAACQUAAGRycy9kb3ducmV2LnhtbFBLBQYAAAAABAAEAPMAAAAWBgAAAAA=&#10;" filled="f" strokecolor="#92d050" strokeweight="3pt">
                <v:path arrowok="t"/>
              </v:rect>
            </w:pict>
          </mc:Fallback>
        </mc:AlternateContent>
      </w:r>
      <w:r w:rsidR="00AD093D" w:rsidRPr="00AD093D">
        <w:rPr>
          <w:b/>
          <w:sz w:val="60"/>
          <w:szCs w:val="60"/>
        </w:rPr>
        <w:t>“Kütle Bilanço Hesaplaması”</w:t>
      </w:r>
    </w:p>
    <w:p w:rsidR="001C4DF6" w:rsidRPr="001C4DF6" w:rsidRDefault="0093093F" w:rsidP="00AD093D">
      <w:pPr>
        <w:jc w:val="center"/>
        <w:rPr>
          <w:b/>
          <w:color w:val="FF0000"/>
          <w:sz w:val="52"/>
          <w:szCs w:val="60"/>
          <w:u w:val="single"/>
        </w:rPr>
      </w:pPr>
      <w:r>
        <w:rPr>
          <w:b/>
          <w:noProof/>
          <w:color w:val="FF0000"/>
          <w:sz w:val="52"/>
          <w:szCs w:val="60"/>
          <w:u w:val="single"/>
          <w:lang w:eastAsia="tr-TR"/>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36830</wp:posOffset>
                </wp:positionV>
                <wp:extent cx="559435" cy="395605"/>
                <wp:effectExtent l="38100" t="19050" r="12065" b="23495"/>
                <wp:wrapNone/>
                <wp:docPr id="5" name="Yukarı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39560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6" o:spid="_x0000_s1026" type="#_x0000_t68" style="position:absolute;margin-left:222.5pt;margin-top:2.9pt;width:44.0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jhiAIAAFUFAAAOAAAAZHJzL2Uyb0RvYy54bWysVMFu2zAMvQ/YPwi6r3bSuFuDOkXQosOA&#10;YC3WDsWOqizVRmVRo5Q42V/tH/Zho2TH7dpih2E+CJJIPpLPjzo53baGbRT6BmzJJwc5Z8pKqBp7&#10;X/KvNxfvPnDmg7CVMGBVyXfK89PF2zcnnZurKdRgKoWMQKyfd67kdQhunmVe1qoV/gCcsmTUgK0I&#10;dMT7rELREXprsmmeH2UdYOUQpPKebs97I18kfK2VDJdaexWYKTnVFtKKab2La7Y4EfN7FK5u5FCG&#10;+IcqWtFYSjpCnYsg2BqbF1BtIxE86HAgoc1A60aq1AN1M8mfdXNdC6dSL0SOdyNN/v/Bys+bK2RN&#10;VfKCMyta+kXf1g8Cf/1klw/sKPLTOT8nt2t3hbFD71YgHzwZsj8s8eAHn63GNvpSf2ybyN6NZKtt&#10;YJIui+J4dkhJJZkOj4ujvIjJMjHfBzv04aOClsVNydduiQhdYllsVj703nuvoZy+glRL2BkVizD2&#10;i9LUIuWcpugkLnVmkG0EyUJIqWyY9KZaVKq/LnL6hpLGiFRgAozIujFmxB4AonBfYve1Dv4xVCVt&#10;jsH53wrrg8eIlBlsGIPbxgK+BmCoqyFz778nqacmsnQH1Y4EgNBPhnfyoiG6V8KHK4E0CjQ0NN7h&#10;khZtoCs5DDvOasAfr91Hf1IoWTnraLRK7r+vBSrOzCdL2j2ezGZxFtNhVryf0gGfWu6eWuy6PQP6&#10;TRN6SJxM2+gfzH6rEdpbegWWMSuZhJWUu+Qy4P5wFvqRp3dEquUyudH8ORFW9trJCB5ZjVq62d4K&#10;dIPmAon1M+zHUMyf6a73jZEWlusAukmifOR14JtmNwlneGfi4/D0nLweX8PFbwAAAP//AwBQSwME&#10;FAAGAAgAAAAhAIY2Lf7eAAAACAEAAA8AAABkcnMvZG93bnJldi54bWxMj0FPg0AQhe8m/ofNmHiz&#10;C6U0FRka20SPjUXTXrfsClh2lrDbgv/e8aTHyZu89335erKduJrBt44Q4lkEwlDldEs1wsf7y8MK&#10;hA+KtOocGYRv42Fd3N7kKtNupL25lqEWXEI+UwhNCH0mpa8aY5Wfud4QZ59usCrwOdRSD2rkctvJ&#10;eRQtpVUt8UKjerNtTHUuLxZhPJbVOd1v2u3myx7k426+e0teEe/vpucnEMFM4e8ZfvEZHQpmOrkL&#10;aS86hMUiZZeAkLIB52mSxCBOCMtVDLLI5X+B4gcAAP//AwBQSwECLQAUAAYACAAAACEAtoM4kv4A&#10;AADhAQAAEwAAAAAAAAAAAAAAAAAAAAAAW0NvbnRlbnRfVHlwZXNdLnhtbFBLAQItABQABgAIAAAA&#10;IQA4/SH/1gAAAJQBAAALAAAAAAAAAAAAAAAAAC8BAABfcmVscy8ucmVsc1BLAQItABQABgAIAAAA&#10;IQCZL3jhiAIAAFUFAAAOAAAAAAAAAAAAAAAAAC4CAABkcnMvZTJvRG9jLnhtbFBLAQItABQABgAI&#10;AAAAIQCGNi3+3gAAAAgBAAAPAAAAAAAAAAAAAAAAAOIEAABkcnMvZG93bnJldi54bWxQSwUGAAAA&#10;AAQABADzAAAA7QUAAAAA&#10;" adj="10800" fillcolor="#5b9bd5 [3204]" strokecolor="#1f4d78 [1604]" strokeweight="1pt">
                <v:path arrowok="t"/>
              </v:shape>
            </w:pict>
          </mc:Fallback>
        </mc:AlternateContent>
      </w:r>
    </w:p>
    <w:p w:rsidR="00AD093D" w:rsidRDefault="0093093F" w:rsidP="00AD093D">
      <w:pPr>
        <w:jc w:val="center"/>
        <w:rPr>
          <w:b/>
          <w:sz w:val="56"/>
        </w:rPr>
      </w:pPr>
      <w:r>
        <w:rPr>
          <w:b/>
          <w:noProof/>
          <w:color w:val="FF0000"/>
          <w:sz w:val="52"/>
          <w:szCs w:val="60"/>
          <w:u w:val="single"/>
          <w:lang w:eastAsia="tr-TR"/>
        </w:rPr>
        <mc:AlternateContent>
          <mc:Choice Requires="wps">
            <w:drawing>
              <wp:anchor distT="0" distB="0" distL="114300" distR="114300" simplePos="0" relativeHeight="251666432" behindDoc="0" locked="0" layoutInCell="1" allowOverlap="1">
                <wp:simplePos x="0" y="0"/>
                <wp:positionH relativeFrom="column">
                  <wp:posOffset>599440</wp:posOffset>
                </wp:positionH>
                <wp:positionV relativeFrom="paragraph">
                  <wp:posOffset>715645</wp:posOffset>
                </wp:positionV>
                <wp:extent cx="1117600" cy="395605"/>
                <wp:effectExtent l="0" t="58103" r="43498" b="81597"/>
                <wp:wrapNone/>
                <wp:docPr id="10" name="Yukarı O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17600" cy="39560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Yukarı Ok 10" o:spid="_x0000_s1026" type="#_x0000_t68" style="position:absolute;margin-left:47.2pt;margin-top:56.35pt;width:88pt;height:31.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2qlgIAAD8FAAAOAAAAZHJzL2Uyb0RvYy54bWysVNtu2zAMfR+wfxD0vjrOkl6MJkXaoMOA&#10;oC3QDsUeGVmOjeo2SonT/dX+YR82SnbapOvTMD8I4sWH5CGp84utVmwj0TfWTHh+NOBMGmHLxqwm&#10;/NvD9adTznwAU4KyRk74s/T8Yvrxw3nrCjm0tVWlREYgxhetm/A6BFdkmRe11OCPrJOGjJVFDYFE&#10;XGUlQkvoWmXDweA4ay2WDq2Q3pN23hn5NOFXlRThtqq8DExNOOUW0onpXMYzm55DsUJwdSP6NOAf&#10;stDQGAr6AjWHAGyNzV9QuhFova3CkbA6s1XVCJlqoGrywZtq7mtwMtVC5Hj3QpP/f7DiZnOHrCmp&#10;d0SPAU09+r5+Avz9i90+MVISQ63zBTneuzuMNXq3sOLJkyE7sETB9z7bCjVDS3yPR4P4JXaoXrZN&#10;5D+/kC+3gQlS5nl+ckx+TJDt89n4eDCOsTMoIlaM69CHL9JqFi8TvnYzRNsmYNgsfOi8d14pU6ua&#10;8rpRKgm4Wl4pZBugWRhfnl3OdwH8vpsyrKVshicpF6CZrBQESks7YsmbFWegVjTsImCKffC3fydI&#10;Cl5DKfvQiY4u2d49lXmAE6uYg6+7X5Kpm1XdBFoY1egJP+2I7ZCUiWFkGvmei9d+xNvSls/U6tQT&#10;Ytk7cd1QkAX4cAdIQ09KWuRwS0elLHFg+xtntcWf7+mjP80iWTlraYmInx9rQMmZ+mpoSs/y0Yhg&#10;QxJG45MhCbhvWe5bzFpfWepNnrJL1+gf1O5aodWPtO+zGJVMYATF7jrRC1ehW256MYSczZIbbZqD&#10;sDD3TkTwyFOk92H7COj6YQo0hjd2t3BQvBmozjf+aexsHWzVpGl75bXfBdrS1Mv+RYnPwL6cvF7f&#10;vekfAAAA//8DAFBLAwQUAAYACAAAACEA+X1ZCOAAAAAKAQAADwAAAGRycy9kb3ducmV2LnhtbEyP&#10;wU6DQBCG7ya+w2ZMvBi7QIMCsjSNjTdjY+XgcWFHILKzhN226NM7nvQ2f+bLP9+Um8WO4oSzHxwp&#10;iFcRCKTWmYE6BfXb020GwgdNRo+OUMEXethUlxelLow70yueDqETXEK+0Ar6EKZCSt/2aLVfuQmJ&#10;dx9utjpwnDtpZn3mcjvKJIrupNUD8YVeT/jYY/t5OFoF07fL8vcas/1w07iX++fdNqp3Sl1fLdsH&#10;EAGX8AfDrz6rQ8VOjTuS8WLknMYJowrSNAfBQBKvUxAND+s4B1mV8v8L1Q8AAAD//wMAUEsBAi0A&#10;FAAGAAgAAAAhALaDOJL+AAAA4QEAABMAAAAAAAAAAAAAAAAAAAAAAFtDb250ZW50X1R5cGVzXS54&#10;bWxQSwECLQAUAAYACAAAACEAOP0h/9YAAACUAQAACwAAAAAAAAAAAAAAAAAvAQAAX3JlbHMvLnJl&#10;bHNQSwECLQAUAAYACAAAACEATlu9qpYCAAA/BQAADgAAAAAAAAAAAAAAAAAuAgAAZHJzL2Uyb0Rv&#10;Yy54bWxQSwECLQAUAAYACAAAACEA+X1ZCOAAAAAKAQAADwAAAAAAAAAAAAAAAADwBAAAZHJzL2Rv&#10;d25yZXYueG1sUEsFBgAAAAAEAAQA8wAAAP0FAAAAAA==&#10;" adj="10800" fillcolor="#5b9bd5" strokecolor="#41719c" strokeweight="1pt">
                <v:path arrowok="t"/>
              </v:shape>
            </w:pict>
          </mc:Fallback>
        </mc:AlternateContent>
      </w:r>
      <w:r>
        <w:rPr>
          <w:b/>
          <w:noProof/>
          <w:color w:val="FF0000"/>
          <w:sz w:val="52"/>
          <w:szCs w:val="60"/>
          <w:u w:val="single"/>
          <w:lang w:eastAsia="tr-TR"/>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2026285</wp:posOffset>
                </wp:positionV>
                <wp:extent cx="559435" cy="395605"/>
                <wp:effectExtent l="38100" t="0" r="0" b="42545"/>
                <wp:wrapNone/>
                <wp:docPr id="8" name="Yukarı O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59435" cy="39560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Yukarı Ok 8" o:spid="_x0000_s1026" type="#_x0000_t68" style="position:absolute;margin-left:217.85pt;margin-top:159.55pt;width:44.05pt;height:31.1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QHlgIAAD0FAAAOAAAAZHJzL2Uyb0RvYy54bWysVM1u2zAMvg/YOwi6r3bSuGuMOkXaoMOA&#10;oC3QDsWOjCzHQvU3SYnTvdXeYQ82SnbatOtpmA8CKdL8yI+kzs53SpItd14YXdHRUU4J18zUQq8r&#10;+u3+6tMpJT6ArkEazSv6xD09n338cNbZko9Na2TNHcEg2pedrWgbgi2zzLOWK/BHxnKNxsY4BQFV&#10;t85qBx1GVzIb5/lJ1hlXW2cY9x5vF72RzlL8puEs3DSN54HIimJuIZ0unat4ZrMzKNcObCvYkAb8&#10;QxYKhEbQ51ALCEA2TvwVSgnmjDdNOGJGZaZpBOOpBqxmlL+p5q4Fy1MtSI63zzT5/xeWXW9vHRF1&#10;RbFRGhS26PvmEdzvX+TmkZxGfjrrS3S7s7cuVujt0rBHj4bslSUqfvDZNU4RZ5DtUX6axy+Rg+WS&#10;XeL+6Zl7vguE4WVRTCfHBSUMTcfT4iQvInYGZYwVca3z4Qs3ikShohs7d850KS5slz703nuvlKmR&#10;or4SUibFrVeX0pEt4CQUF9OLxR7AH7pJTTrMevwZUyYMcCIbCQFFZZEjr9eUgFzjqLPgEvarv/07&#10;IAm8hZoP0ImNPtnBPZX5Kk6sYgG+7X9Jpn5SlQi4LlIo7FfPax9J6gjD08APXLz0I0orUz9ho1NP&#10;sDJv2ZVAkCX4cAsORx4vcY3DDR6NNMiBGSRKWuN+vncf/XES0UpJhyuE/PzYgOOUyK8aZ3Q6mkzi&#10;ziVlUnweo+IOLatDi96oS4O9GaXskhj9g9yLjTPqAbd9HlHRBJohdt+JQbkM/Wrje8H4fJ7ccM8s&#10;hKW+sywGjzxFeu93D+DsMEwBp/Da7NcNyjcD1fvGP7WZb4JpRJq2F16HXcAdTb0c3pP4CBzqyevl&#10;1Zv9AQAA//8DAFBLAwQUAAYACAAAACEAkNhb/OAAAAALAQAADwAAAGRycy9kb3ducmV2LnhtbEyP&#10;y07DMBBF90j8gzVI7KidF7QhToUQRWzbsmh3bjxNovoRYrcNf8+wguXMHN05t1pO1rALjqH3TkIy&#10;E8DQNV73rpXwuV09zIGFqJxWxjuU8I0BlvXtTaVK7a9ujZdNbBmFuFAqCV2MQ8l5aDq0Ksz8gI5u&#10;Rz9aFWkcW65HdaVwa3gqxCO3qnf0oVMDvnbYnDZnKyGY00ex+3pPxXb1thN5avb7aKS8v5tenoFF&#10;nOIfDL/6pA41OR382enAjIQ8K54IlZAliwQYEUWaUZkDbeZJDryu+P8O9Q8AAAD//wMAUEsBAi0A&#10;FAAGAAgAAAAhALaDOJL+AAAA4QEAABMAAAAAAAAAAAAAAAAAAAAAAFtDb250ZW50X1R5cGVzXS54&#10;bWxQSwECLQAUAAYACAAAACEAOP0h/9YAAACUAQAACwAAAAAAAAAAAAAAAAAvAQAAX3JlbHMvLnJl&#10;bHNQSwECLQAUAAYACAAAACEAei1EB5YCAAA9BQAADgAAAAAAAAAAAAAAAAAuAgAAZHJzL2Uyb0Rv&#10;Yy54bWxQSwECLQAUAAYACAAAACEAkNhb/OAAAAALAQAADwAAAAAAAAAAAAAAAADwBAAAZHJzL2Rv&#10;d25yZXYueG1sUEsFBgAAAAAEAAQA8wAAAP0FAAAAAA==&#10;" adj="10800" fillcolor="#5b9bd5" strokecolor="#41719c" strokeweight="1pt">
                <v:path arrowok="t"/>
              </v:shape>
            </w:pict>
          </mc:Fallback>
        </mc:AlternateContent>
      </w:r>
      <w:r>
        <w:rPr>
          <w:b/>
          <w:noProof/>
          <w:color w:val="FF0000"/>
          <w:sz w:val="52"/>
          <w:szCs w:val="60"/>
          <w:u w:val="single"/>
          <w:lang w:eastAsia="tr-TR"/>
        </w:rPr>
        <mc:AlternateContent>
          <mc:Choice Requires="wps">
            <w:drawing>
              <wp:anchor distT="0" distB="0" distL="114300" distR="114300" simplePos="0" relativeHeight="251664384" behindDoc="0" locked="0" layoutInCell="1" allowOverlap="1">
                <wp:simplePos x="0" y="0"/>
                <wp:positionH relativeFrom="column">
                  <wp:posOffset>4358640</wp:posOffset>
                </wp:positionH>
                <wp:positionV relativeFrom="paragraph">
                  <wp:posOffset>650240</wp:posOffset>
                </wp:positionV>
                <wp:extent cx="559435" cy="395605"/>
                <wp:effectExtent l="5715" t="32385" r="36830" b="55880"/>
                <wp:wrapNone/>
                <wp:docPr id="9" name="Yukarı O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59435" cy="39560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Yukarı Ok 9" o:spid="_x0000_s1026" type="#_x0000_t68" style="position:absolute;margin-left:343.2pt;margin-top:51.2pt;width:44.05pt;height:31.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SAlgIAADwFAAAOAAAAZHJzL2Uyb0RvYy54bWysVM1u2zAMvg/YOwi6r07SuGuCOkXaoMOA&#10;oC3QDsWOjCzHRvU3SonTvdXeYQ82SnbatOtpmA8CKdL8+fhRZ+c7rdhWom+sKfjwaMCZNMKWjVkX&#10;/Nv91adTznwAU4KyRhb8SXp+Pvv44ax1UzmytVWlREZBjJ+2ruB1CG6aZV7UUoM/sk4aMlYWNQRS&#10;cZ2VCC1F1yobDQYnWWuxdGiF9J5uF52Rz1L8qpIi3FSVl4GpglNtIZ2YzlU8s9kZTNcIrm5EXwb8&#10;QxUaGkNJn0MtIADbYPNXKN0ItN5W4UhYndmqaoRMPVA3w8Gbbu5qcDL1QuB49wyT/39hxfX2FllT&#10;FnzCmQFNI/q+eQT8/YvdPLJJxKd1fkpud+4WY4feLa149GTIXlmi4nufXYWaoSW08/Egfgkb6pbt&#10;EvRPz9DLXWCCLvN8Mj7OORNkOp7kJ4M8ps5gGkPFtA59+CKtZlEo+MbNEW2b4sJ26UPnvfdKhVrV&#10;lFeNUknB9epSIdsCESG/mFws9gn8oZsyrCUajz5TyUwAEbJSEEjUjiDyZs0ZqDUxXQRMuV/97d9J&#10;kpLXUMo+dUKjK7Z3T22+ihO7WICvu1+SqSOqbgJti2p0wU87XLtIysQ0MvG9x+JlHFFa2fKJ5pxG&#10;Qp15J64aSrIEH24BifF0SVscbuiolCUMbC9xVlv8+d599CcikpWzljaI8PmxAZScqa+GKDoZjsdx&#10;5ZIyzj+PSMFDy+rQYjb60tJshqm6JEb/oPZihVY/0LLPY1YygRGUu5tEr1yGbrPpuRByPk9utGYO&#10;wtLcORGDR5wivPe7B0DXkykQC6/tfttg+oZQnW/809j5JtiqSWx7wbVfBVrRNMv+OYlvwKGevF4e&#10;vdkfAAAA//8DAFBLAwQUAAYACAAAACEAPQJekOAAAAAKAQAADwAAAGRycy9kb3ducmV2LnhtbEyP&#10;y07DMBBF90j8gzVIbBB1CsJ5EKeqqNghECULlk48JBHxOIrdNvD1DCtYju7RvWfKzeJGccQ5DJ40&#10;rFcJCKTW24E6DfXb43UGIkRD1oyeUMMXBthU52elKaw/0Sse97ETXEKhMBr6GKdCytD26ExY+QmJ&#10;sw8/OxP5nDtpZ3PicjfKmyRR0pmBeKE3Ez702H7uD07D9O2z/L3G7GW4avxz+rTbJvVO68uLZXsP&#10;IuIS/2D41Wd1qNip8QeyQYwaVJ7fMqohy+9AMJCqtQLRMJmmCmRVyv8vVD8AAAD//wMAUEsBAi0A&#10;FAAGAAgAAAAhALaDOJL+AAAA4QEAABMAAAAAAAAAAAAAAAAAAAAAAFtDb250ZW50X1R5cGVzXS54&#10;bWxQSwECLQAUAAYACAAAACEAOP0h/9YAAACUAQAACwAAAAAAAAAAAAAAAAAvAQAAX3JlbHMvLnJl&#10;bHNQSwECLQAUAAYACAAAACEAscY0gJYCAAA8BQAADgAAAAAAAAAAAAAAAAAuAgAAZHJzL2Uyb0Rv&#10;Yy54bWxQSwECLQAUAAYACAAAACEAPQJekOAAAAAKAQAADwAAAAAAAAAAAAAAAADwBAAAZHJzL2Rv&#10;d25yZXYueG1sUEsFBgAAAAAEAAQA8wAAAP0FAAAAAA==&#10;" adj="10800" fillcolor="#5b9bd5" strokecolor="#41719c" strokeweight="1pt">
                <v:path arrowok="t"/>
              </v:shape>
            </w:pict>
          </mc:Fallback>
        </mc:AlternateContent>
      </w:r>
      <w:r w:rsidR="00E16768">
        <w:rPr>
          <w:b/>
          <w:noProof/>
          <w:sz w:val="56"/>
          <w:lang w:eastAsia="tr-TR"/>
        </w:rPr>
        <w:drawing>
          <wp:inline distT="0" distB="0" distL="0" distR="0">
            <wp:extent cx="2879677" cy="192627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408" cy="1927435"/>
                    </a:xfrm>
                    <a:prstGeom prst="rect">
                      <a:avLst/>
                    </a:prstGeom>
                    <a:noFill/>
                  </pic:spPr>
                </pic:pic>
              </a:graphicData>
            </a:graphic>
          </wp:inline>
        </w:drawing>
      </w:r>
    </w:p>
    <w:p w:rsidR="00AD093D" w:rsidRDefault="00AD093D" w:rsidP="00AD093D">
      <w:pPr>
        <w:jc w:val="center"/>
        <w:rPr>
          <w:b/>
          <w:sz w:val="56"/>
        </w:rPr>
      </w:pPr>
    </w:p>
    <w:p w:rsidR="00AD093D" w:rsidRDefault="00AD093D" w:rsidP="00403124">
      <w:pPr>
        <w:rPr>
          <w:b/>
          <w:sz w:val="32"/>
          <w:u w:val="single"/>
        </w:rPr>
      </w:pPr>
    </w:p>
    <w:p w:rsidR="00AD093D" w:rsidRDefault="00AD093D"/>
    <w:p w:rsidR="00AD093D" w:rsidRDefault="00AD093D"/>
    <w:p w:rsidR="00AD093D" w:rsidRPr="00E16768" w:rsidRDefault="00AD093D" w:rsidP="00AD093D">
      <w:pPr>
        <w:jc w:val="center"/>
        <w:rPr>
          <w:b/>
          <w:sz w:val="28"/>
          <w:szCs w:val="28"/>
        </w:rPr>
      </w:pPr>
      <w:r w:rsidRPr="00E16768">
        <w:rPr>
          <w:b/>
          <w:sz w:val="28"/>
          <w:szCs w:val="28"/>
        </w:rPr>
        <w:t>ENTEGRE ÇEVRE İZNİ</w:t>
      </w:r>
    </w:p>
    <w:p w:rsidR="00AD093D" w:rsidRPr="00E16768" w:rsidRDefault="003B1A6F" w:rsidP="00AD093D">
      <w:pPr>
        <w:jc w:val="center"/>
        <w:rPr>
          <w:b/>
          <w:sz w:val="28"/>
          <w:szCs w:val="28"/>
        </w:rPr>
      </w:pPr>
      <w:r w:rsidRPr="00E16768">
        <w:rPr>
          <w:b/>
          <w:sz w:val="28"/>
          <w:szCs w:val="28"/>
        </w:rPr>
        <w:t>OTOMOTİV SEKTÖRÜ DEĞERLENDİRME PROJESİ</w:t>
      </w:r>
    </w:p>
    <w:p w:rsidR="00AD093D" w:rsidRPr="00E16768" w:rsidRDefault="00AD093D" w:rsidP="00E16768">
      <w:pPr>
        <w:jc w:val="center"/>
        <w:rPr>
          <w:b/>
          <w:sz w:val="28"/>
          <w:szCs w:val="28"/>
        </w:rPr>
      </w:pPr>
      <w:r w:rsidRPr="00E16768">
        <w:rPr>
          <w:b/>
          <w:sz w:val="28"/>
          <w:szCs w:val="28"/>
        </w:rPr>
        <w:t>Temmuz, 2016</w:t>
      </w:r>
    </w:p>
    <w:p w:rsidR="003B1A6F" w:rsidRPr="00E16768" w:rsidRDefault="003B1A6F" w:rsidP="00E16768">
      <w:pPr>
        <w:spacing w:after="0" w:line="240" w:lineRule="auto"/>
        <w:jc w:val="center"/>
        <w:rPr>
          <w:b/>
          <w:sz w:val="28"/>
          <w:szCs w:val="28"/>
        </w:rPr>
      </w:pPr>
      <w:r w:rsidRPr="00E16768">
        <w:rPr>
          <w:b/>
          <w:sz w:val="28"/>
          <w:szCs w:val="28"/>
        </w:rPr>
        <w:t>Hazırlayanlar:</w:t>
      </w:r>
    </w:p>
    <w:p w:rsidR="003B1A6F" w:rsidRPr="00E16768" w:rsidRDefault="003B1A6F" w:rsidP="00E16768">
      <w:pPr>
        <w:spacing w:after="0" w:line="240" w:lineRule="auto"/>
        <w:jc w:val="center"/>
        <w:rPr>
          <w:b/>
          <w:sz w:val="28"/>
          <w:szCs w:val="28"/>
        </w:rPr>
      </w:pPr>
      <w:r w:rsidRPr="00E16768">
        <w:rPr>
          <w:b/>
          <w:sz w:val="28"/>
          <w:szCs w:val="28"/>
        </w:rPr>
        <w:t>Tamer ATALAY</w:t>
      </w:r>
    </w:p>
    <w:p w:rsidR="003B1A6F" w:rsidRPr="00E16768" w:rsidRDefault="003B1A6F" w:rsidP="00E16768">
      <w:pPr>
        <w:spacing w:after="0" w:line="240" w:lineRule="auto"/>
        <w:jc w:val="center"/>
        <w:rPr>
          <w:b/>
          <w:sz w:val="28"/>
          <w:szCs w:val="28"/>
        </w:rPr>
      </w:pPr>
      <w:r w:rsidRPr="00E16768">
        <w:rPr>
          <w:b/>
          <w:sz w:val="28"/>
          <w:szCs w:val="28"/>
        </w:rPr>
        <w:t xml:space="preserve">                   Yard. Doc. Ahmet AYGÜN</w:t>
      </w:r>
    </w:p>
    <w:p w:rsidR="003B1A6F" w:rsidRPr="00AD093D" w:rsidRDefault="003B1A6F" w:rsidP="00AD093D">
      <w:pPr>
        <w:jc w:val="center"/>
        <w:rPr>
          <w:sz w:val="28"/>
          <w:szCs w:val="28"/>
        </w:rPr>
      </w:pPr>
    </w:p>
    <w:p w:rsidR="00AD093D" w:rsidRDefault="00AD093D"/>
    <w:p w:rsidR="00AD093D" w:rsidRDefault="00AD093D"/>
    <w:p w:rsidR="00AD093D" w:rsidRPr="00AD093D" w:rsidRDefault="00EC6317">
      <w:pPr>
        <w:rPr>
          <w:b/>
        </w:rPr>
      </w:pPr>
      <w:r>
        <w:rPr>
          <w:b/>
        </w:rPr>
        <w:lastRenderedPageBreak/>
        <w:t>GİRİŞ</w:t>
      </w:r>
    </w:p>
    <w:p w:rsidR="00F808A6" w:rsidRPr="00653DDA" w:rsidRDefault="00EC6317" w:rsidP="00EC6317">
      <w:pPr>
        <w:jc w:val="both"/>
      </w:pPr>
      <w:r w:rsidRPr="00653DDA">
        <w:t xml:space="preserve">Bu kılavuz, T.C. Çevre ve Şehircilik Bakanlığı Çevre Yönetimi Genel Müdürlüğü tarafından yürütülen </w:t>
      </w:r>
      <w:r w:rsidR="00F808A6" w:rsidRPr="00653DDA">
        <w:t xml:space="preserve">Entegre Çevre İznine tabi otomotiv üretim tesislerinin uyum durumları ve gerekliliklerinin belirlenmesi projesi kapsamında </w:t>
      </w:r>
      <w:r w:rsidRPr="00653DDA">
        <w:t>ilgili iş paketi gereğince hazırlanmıştır.</w:t>
      </w:r>
    </w:p>
    <w:p w:rsidR="00AD093D" w:rsidRDefault="00EC6317" w:rsidP="00EC6317">
      <w:pPr>
        <w:jc w:val="both"/>
      </w:pPr>
      <w:r w:rsidRPr="00653DDA">
        <w:t>Bu kılavuzun hazırlanmasında sektör uzmanı olarak, Yıldırım Beyazıt Üniversitesi koordinatörlüğünde, Yıldırım Beyazıt Üniversitesi, Bursa Teknik Üniversitesi, Sakarya Üniversitesi Öğretim Üyeleri görev almıştır.</w:t>
      </w:r>
      <w:r>
        <w:t xml:space="preserve"> </w:t>
      </w:r>
    </w:p>
    <w:p w:rsidR="00BE34A1" w:rsidRDefault="00BE34A1" w:rsidP="00EC6317">
      <w:pPr>
        <w:jc w:val="both"/>
      </w:pPr>
      <w:r>
        <w:t xml:space="preserve">Kılavuzda yer alan formlar, örnek olarak verilmiş olmakla beraber, </w:t>
      </w:r>
      <w:r w:rsidR="00557B78">
        <w:t>direk olarak excell</w:t>
      </w:r>
      <w:r>
        <w:t xml:space="preserve"> </w:t>
      </w:r>
      <w:r w:rsidR="00557B78">
        <w:t xml:space="preserve">programı ile indirilerek </w:t>
      </w:r>
      <w:r>
        <w:t>kullanılabilecek şekilde tasarlanmıştır.</w:t>
      </w:r>
    </w:p>
    <w:p w:rsidR="00EC6317" w:rsidRDefault="00F509A8" w:rsidP="00EC6317">
      <w:pPr>
        <w:jc w:val="both"/>
      </w:pPr>
      <w:r>
        <w:t>Ayrıca, bu kılavuzun hazırlanmasında</w:t>
      </w:r>
      <w:r w:rsidR="00557B78">
        <w:t>, OSD-Otomotiv Sanayi Derneğine,</w:t>
      </w:r>
      <w:r>
        <w:t xml:space="preserve"> </w:t>
      </w:r>
      <w:r w:rsidR="00557B78">
        <w:t>değerli ve görüş ve katkılarından dolayı teşekkür ederiz.</w:t>
      </w:r>
    </w:p>
    <w:p w:rsidR="00EC6317" w:rsidRDefault="00EC6317" w:rsidP="00EC6317">
      <w:pPr>
        <w:jc w:val="both"/>
      </w:pPr>
    </w:p>
    <w:p w:rsidR="00EC6317" w:rsidRDefault="00EC6317" w:rsidP="00EC6317">
      <w:pPr>
        <w:jc w:val="both"/>
      </w:pPr>
    </w:p>
    <w:p w:rsidR="00EC6317" w:rsidRDefault="00EC6317" w:rsidP="00EC6317">
      <w:pPr>
        <w:jc w:val="both"/>
      </w:pPr>
    </w:p>
    <w:p w:rsidR="00EC6317" w:rsidRDefault="00EC6317"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F841AE" w:rsidRDefault="00F841AE" w:rsidP="00EC6317">
      <w:pPr>
        <w:jc w:val="both"/>
      </w:pPr>
    </w:p>
    <w:p w:rsidR="00403124" w:rsidRDefault="00403124" w:rsidP="00EC6317">
      <w:pPr>
        <w:jc w:val="both"/>
      </w:pPr>
    </w:p>
    <w:p w:rsidR="00342922" w:rsidRDefault="00342922" w:rsidP="00EC6317">
      <w:pPr>
        <w:jc w:val="both"/>
      </w:pPr>
    </w:p>
    <w:p w:rsidR="006C695F" w:rsidRPr="00E92DCC" w:rsidRDefault="006C695F" w:rsidP="00355732">
      <w:pPr>
        <w:spacing w:line="240" w:lineRule="auto"/>
        <w:jc w:val="both"/>
        <w:rPr>
          <w:b/>
          <w:sz w:val="24"/>
          <w:szCs w:val="24"/>
        </w:rPr>
      </w:pPr>
      <w:r w:rsidRPr="00E92DCC">
        <w:rPr>
          <w:b/>
          <w:sz w:val="24"/>
          <w:szCs w:val="24"/>
        </w:rPr>
        <w:lastRenderedPageBreak/>
        <w:t>İÇİNDEKİLER</w:t>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r>
      <w:r w:rsidR="001945F1">
        <w:rPr>
          <w:b/>
          <w:sz w:val="24"/>
          <w:szCs w:val="24"/>
        </w:rPr>
        <w:tab/>
        <w:t>Sayfa</w:t>
      </w:r>
    </w:p>
    <w:p w:rsidR="00D46465" w:rsidRPr="00E92DCC" w:rsidRDefault="001F5B08" w:rsidP="00355732">
      <w:pPr>
        <w:pStyle w:val="ListeParagraf"/>
        <w:numPr>
          <w:ilvl w:val="0"/>
          <w:numId w:val="6"/>
        </w:numPr>
        <w:spacing w:line="240" w:lineRule="auto"/>
        <w:jc w:val="both"/>
        <w:rPr>
          <w:sz w:val="24"/>
          <w:szCs w:val="24"/>
        </w:rPr>
      </w:pPr>
      <w:r w:rsidRPr="00E92DCC">
        <w:rPr>
          <w:sz w:val="24"/>
          <w:szCs w:val="24"/>
        </w:rPr>
        <w:t>Tanımlar</w:t>
      </w:r>
      <w:r w:rsidR="00AA79A1" w:rsidRPr="00E92DCC">
        <w:rPr>
          <w:sz w:val="24"/>
          <w:szCs w:val="24"/>
        </w:rPr>
        <w:t>……………………………………………………………………………………………………………</w:t>
      </w:r>
      <w:r w:rsidR="00831A76">
        <w:rPr>
          <w:sz w:val="24"/>
          <w:szCs w:val="24"/>
        </w:rPr>
        <w:tab/>
      </w:r>
      <w:r w:rsidR="00BE34A1">
        <w:rPr>
          <w:sz w:val="24"/>
          <w:szCs w:val="24"/>
        </w:rPr>
        <w:t xml:space="preserve"> </w:t>
      </w:r>
      <w:r w:rsidR="000916B1">
        <w:rPr>
          <w:sz w:val="24"/>
          <w:szCs w:val="24"/>
        </w:rPr>
        <w:t xml:space="preserve"> 4 </w:t>
      </w:r>
    </w:p>
    <w:p w:rsidR="00D46465" w:rsidRPr="00E92DCC" w:rsidRDefault="00F509A8" w:rsidP="00355732">
      <w:pPr>
        <w:pStyle w:val="ListeParagraf"/>
        <w:numPr>
          <w:ilvl w:val="0"/>
          <w:numId w:val="6"/>
        </w:numPr>
        <w:spacing w:line="240" w:lineRule="auto"/>
        <w:jc w:val="both"/>
        <w:rPr>
          <w:sz w:val="24"/>
          <w:szCs w:val="24"/>
        </w:rPr>
      </w:pPr>
      <w:r w:rsidRPr="00E92DCC">
        <w:rPr>
          <w:sz w:val="24"/>
          <w:szCs w:val="24"/>
        </w:rPr>
        <w:t xml:space="preserve">Kılavuzun Amacı Ve Yasal </w:t>
      </w:r>
      <w:r w:rsidR="001F5B08" w:rsidRPr="00E92DCC">
        <w:rPr>
          <w:sz w:val="24"/>
          <w:szCs w:val="24"/>
        </w:rPr>
        <w:t>Dayanağ</w:t>
      </w:r>
      <w:r w:rsidR="00D46465" w:rsidRPr="00E92DCC">
        <w:rPr>
          <w:sz w:val="24"/>
          <w:szCs w:val="24"/>
        </w:rPr>
        <w:t>ı</w:t>
      </w:r>
      <w:r w:rsidR="00AA79A1" w:rsidRPr="00E92DCC">
        <w:rPr>
          <w:sz w:val="24"/>
          <w:szCs w:val="24"/>
        </w:rPr>
        <w:t xml:space="preserve">  …………………………………………………………</w:t>
      </w:r>
      <w:r w:rsidR="00E92DCC" w:rsidRPr="00E92DCC">
        <w:rPr>
          <w:sz w:val="24"/>
          <w:szCs w:val="24"/>
        </w:rPr>
        <w:t>……</w:t>
      </w:r>
      <w:r w:rsidR="00E92DCC">
        <w:rPr>
          <w:sz w:val="24"/>
          <w:szCs w:val="24"/>
        </w:rPr>
        <w:t>..</w:t>
      </w:r>
      <w:r w:rsidR="000916B1">
        <w:rPr>
          <w:sz w:val="24"/>
          <w:szCs w:val="24"/>
        </w:rPr>
        <w:t xml:space="preserve"> </w:t>
      </w:r>
      <w:r w:rsidR="00831A76">
        <w:rPr>
          <w:sz w:val="24"/>
          <w:szCs w:val="24"/>
        </w:rPr>
        <w:tab/>
      </w:r>
      <w:r w:rsidR="000916B1">
        <w:rPr>
          <w:sz w:val="24"/>
          <w:szCs w:val="24"/>
        </w:rPr>
        <w:t xml:space="preserve"> </w:t>
      </w:r>
      <w:r w:rsidR="00BE34A1">
        <w:rPr>
          <w:sz w:val="24"/>
          <w:szCs w:val="24"/>
        </w:rPr>
        <w:t xml:space="preserve"> </w:t>
      </w:r>
      <w:r w:rsidR="00533B2A">
        <w:rPr>
          <w:sz w:val="24"/>
          <w:szCs w:val="24"/>
        </w:rPr>
        <w:t>4</w:t>
      </w:r>
    </w:p>
    <w:p w:rsidR="00D46465" w:rsidRPr="00E92DCC" w:rsidRDefault="000143D9" w:rsidP="00355732">
      <w:pPr>
        <w:pStyle w:val="ListeParagraf"/>
        <w:numPr>
          <w:ilvl w:val="0"/>
          <w:numId w:val="6"/>
        </w:numPr>
        <w:spacing w:line="240" w:lineRule="auto"/>
        <w:jc w:val="both"/>
        <w:rPr>
          <w:sz w:val="24"/>
          <w:szCs w:val="24"/>
        </w:rPr>
      </w:pPr>
      <w:r>
        <w:rPr>
          <w:sz w:val="24"/>
          <w:szCs w:val="24"/>
        </w:rPr>
        <w:t>Otomotiv Sektöründe Solvent Yönetim Planın</w:t>
      </w:r>
      <w:r w:rsidR="00F509A8" w:rsidRPr="00E92DCC">
        <w:rPr>
          <w:sz w:val="24"/>
          <w:szCs w:val="24"/>
        </w:rPr>
        <w:t xml:space="preserve">a </w:t>
      </w:r>
      <w:r>
        <w:rPr>
          <w:sz w:val="24"/>
          <w:szCs w:val="24"/>
        </w:rPr>
        <w:t xml:space="preserve">Yönelik </w:t>
      </w:r>
      <w:r w:rsidR="00F509A8" w:rsidRPr="00E92DCC">
        <w:rPr>
          <w:sz w:val="24"/>
          <w:szCs w:val="24"/>
        </w:rPr>
        <w:t>Temel Prensipler</w:t>
      </w:r>
      <w:r>
        <w:rPr>
          <w:sz w:val="24"/>
          <w:szCs w:val="24"/>
        </w:rPr>
        <w:t>…….</w:t>
      </w:r>
      <w:r>
        <w:rPr>
          <w:sz w:val="24"/>
          <w:szCs w:val="24"/>
        </w:rPr>
        <w:tab/>
      </w:r>
      <w:r w:rsidR="00831A76">
        <w:rPr>
          <w:sz w:val="24"/>
          <w:szCs w:val="24"/>
        </w:rPr>
        <w:tab/>
      </w:r>
      <w:r w:rsidR="00BE34A1">
        <w:rPr>
          <w:sz w:val="24"/>
          <w:szCs w:val="24"/>
        </w:rPr>
        <w:t xml:space="preserve"> </w:t>
      </w:r>
      <w:r w:rsidR="007067E0">
        <w:rPr>
          <w:sz w:val="24"/>
          <w:szCs w:val="24"/>
        </w:rPr>
        <w:t xml:space="preserve"> 5</w:t>
      </w:r>
    </w:p>
    <w:p w:rsidR="00F841AE" w:rsidRPr="00E92DCC" w:rsidRDefault="00F509A8" w:rsidP="00355732">
      <w:pPr>
        <w:pStyle w:val="ListeParagraf"/>
        <w:numPr>
          <w:ilvl w:val="0"/>
          <w:numId w:val="6"/>
        </w:numPr>
        <w:spacing w:line="240" w:lineRule="auto"/>
        <w:jc w:val="both"/>
        <w:rPr>
          <w:sz w:val="24"/>
          <w:szCs w:val="24"/>
        </w:rPr>
      </w:pPr>
      <w:r w:rsidRPr="00E92DCC">
        <w:rPr>
          <w:sz w:val="24"/>
          <w:szCs w:val="24"/>
        </w:rPr>
        <w:t>Solvent Yönetim Planı Modeli</w:t>
      </w:r>
      <w:r w:rsidR="00E92DCC" w:rsidRPr="00E92DCC">
        <w:rPr>
          <w:sz w:val="24"/>
          <w:szCs w:val="24"/>
        </w:rPr>
        <w:t xml:space="preserve">       </w:t>
      </w:r>
      <w:r w:rsidR="00AA79A1" w:rsidRPr="00E92DCC">
        <w:rPr>
          <w:sz w:val="24"/>
          <w:szCs w:val="24"/>
        </w:rPr>
        <w:t>……………………………</w:t>
      </w:r>
      <w:r w:rsidR="00E92DCC" w:rsidRPr="00E92DCC">
        <w:rPr>
          <w:sz w:val="24"/>
          <w:szCs w:val="24"/>
        </w:rPr>
        <w:t>………………………………………</w:t>
      </w:r>
      <w:r w:rsidR="000916B1">
        <w:rPr>
          <w:sz w:val="24"/>
          <w:szCs w:val="24"/>
        </w:rPr>
        <w:t xml:space="preserve">  </w:t>
      </w:r>
      <w:r w:rsidR="00831A76">
        <w:rPr>
          <w:sz w:val="24"/>
          <w:szCs w:val="24"/>
        </w:rPr>
        <w:t xml:space="preserve"> </w:t>
      </w:r>
      <w:r w:rsidR="00A630BA">
        <w:rPr>
          <w:sz w:val="24"/>
          <w:szCs w:val="24"/>
        </w:rPr>
        <w:tab/>
      </w:r>
      <w:r w:rsidR="00337FE3">
        <w:rPr>
          <w:sz w:val="24"/>
          <w:szCs w:val="24"/>
        </w:rPr>
        <w:t xml:space="preserve"> </w:t>
      </w:r>
      <w:r w:rsidR="00BE34A1">
        <w:rPr>
          <w:sz w:val="24"/>
          <w:szCs w:val="24"/>
        </w:rPr>
        <w:t xml:space="preserve"> </w:t>
      </w:r>
      <w:r w:rsidR="007C7E4B">
        <w:rPr>
          <w:sz w:val="24"/>
          <w:szCs w:val="24"/>
        </w:rPr>
        <w:t>6</w:t>
      </w:r>
    </w:p>
    <w:p w:rsidR="00D46465" w:rsidRPr="00E92DCC" w:rsidRDefault="00501987" w:rsidP="00355732">
      <w:pPr>
        <w:pStyle w:val="ListeParagraf"/>
        <w:numPr>
          <w:ilvl w:val="1"/>
          <w:numId w:val="6"/>
        </w:numPr>
        <w:spacing w:line="240" w:lineRule="auto"/>
        <w:jc w:val="both"/>
        <w:rPr>
          <w:sz w:val="24"/>
          <w:szCs w:val="24"/>
        </w:rPr>
      </w:pPr>
      <w:r>
        <w:rPr>
          <w:sz w:val="24"/>
          <w:szCs w:val="24"/>
        </w:rPr>
        <w:t xml:space="preserve"> </w:t>
      </w:r>
      <w:r w:rsidR="00E92DCC" w:rsidRPr="00E92DCC">
        <w:rPr>
          <w:sz w:val="24"/>
          <w:szCs w:val="24"/>
        </w:rPr>
        <w:t xml:space="preserve"> </w:t>
      </w:r>
      <w:r w:rsidR="001F5B08" w:rsidRPr="00E92DCC">
        <w:rPr>
          <w:sz w:val="24"/>
          <w:szCs w:val="24"/>
        </w:rPr>
        <w:t>Organik solvent girdileri (I)</w:t>
      </w:r>
      <w:r w:rsidR="00AA79A1" w:rsidRPr="00E92DCC">
        <w:rPr>
          <w:sz w:val="24"/>
          <w:szCs w:val="24"/>
        </w:rPr>
        <w:t xml:space="preserve"> ……………………</w:t>
      </w:r>
      <w:r w:rsidR="00E92DCC" w:rsidRPr="00E92DCC">
        <w:rPr>
          <w:sz w:val="24"/>
          <w:szCs w:val="24"/>
        </w:rPr>
        <w:t>………………………………………………</w:t>
      </w:r>
      <w:r w:rsidR="00E92DCC">
        <w:rPr>
          <w:sz w:val="24"/>
          <w:szCs w:val="24"/>
        </w:rPr>
        <w:t>.</w:t>
      </w:r>
      <w:r w:rsidR="007067E0">
        <w:rPr>
          <w:sz w:val="24"/>
          <w:szCs w:val="24"/>
        </w:rPr>
        <w:t xml:space="preserve">  </w:t>
      </w:r>
      <w:r w:rsidR="00831A76">
        <w:rPr>
          <w:sz w:val="24"/>
          <w:szCs w:val="24"/>
        </w:rPr>
        <w:tab/>
      </w:r>
      <w:r w:rsidR="00337FE3">
        <w:rPr>
          <w:sz w:val="24"/>
          <w:szCs w:val="24"/>
        </w:rPr>
        <w:t xml:space="preserve"> </w:t>
      </w:r>
      <w:r w:rsidR="00BE34A1">
        <w:rPr>
          <w:sz w:val="24"/>
          <w:szCs w:val="24"/>
        </w:rPr>
        <w:t xml:space="preserve"> </w:t>
      </w:r>
      <w:r w:rsidR="00337FE3">
        <w:rPr>
          <w:sz w:val="24"/>
          <w:szCs w:val="24"/>
        </w:rPr>
        <w:t>7</w:t>
      </w:r>
    </w:p>
    <w:p w:rsidR="00F841AE" w:rsidRPr="00E92DCC" w:rsidRDefault="00E92DCC" w:rsidP="00355732">
      <w:pPr>
        <w:pStyle w:val="ListeParagraf"/>
        <w:numPr>
          <w:ilvl w:val="1"/>
          <w:numId w:val="6"/>
        </w:numPr>
        <w:spacing w:line="240" w:lineRule="auto"/>
        <w:jc w:val="both"/>
        <w:rPr>
          <w:sz w:val="24"/>
          <w:szCs w:val="24"/>
        </w:rPr>
      </w:pPr>
      <w:r w:rsidRPr="00E92DCC">
        <w:rPr>
          <w:sz w:val="24"/>
          <w:szCs w:val="24"/>
        </w:rPr>
        <w:t xml:space="preserve">  </w:t>
      </w:r>
      <w:r w:rsidR="00F841AE" w:rsidRPr="00E92DCC">
        <w:rPr>
          <w:sz w:val="24"/>
          <w:szCs w:val="24"/>
        </w:rPr>
        <w:t>Organik solvent çıktıları (O)</w:t>
      </w:r>
      <w:r w:rsidR="00AA79A1" w:rsidRPr="00E92DCC">
        <w:rPr>
          <w:sz w:val="24"/>
          <w:szCs w:val="24"/>
        </w:rPr>
        <w:t>………………………………………</w:t>
      </w:r>
      <w:r w:rsidRPr="00E92DCC">
        <w:rPr>
          <w:sz w:val="24"/>
          <w:szCs w:val="24"/>
        </w:rPr>
        <w:t>……………………………</w:t>
      </w:r>
      <w:r>
        <w:rPr>
          <w:sz w:val="24"/>
          <w:szCs w:val="24"/>
        </w:rPr>
        <w:t>.</w:t>
      </w:r>
      <w:r w:rsidR="007067E0">
        <w:rPr>
          <w:sz w:val="24"/>
          <w:szCs w:val="24"/>
        </w:rPr>
        <w:t xml:space="preserve">  </w:t>
      </w:r>
      <w:r w:rsidR="00831A76">
        <w:rPr>
          <w:sz w:val="24"/>
          <w:szCs w:val="24"/>
        </w:rPr>
        <w:tab/>
      </w:r>
      <w:r w:rsidR="00BE34A1">
        <w:rPr>
          <w:sz w:val="24"/>
          <w:szCs w:val="24"/>
        </w:rPr>
        <w:t xml:space="preserve"> </w:t>
      </w:r>
      <w:r w:rsidR="00337FE3">
        <w:rPr>
          <w:sz w:val="24"/>
          <w:szCs w:val="24"/>
        </w:rPr>
        <w:t xml:space="preserve"> 7</w:t>
      </w:r>
    </w:p>
    <w:p w:rsidR="00F841AE" w:rsidRPr="00E92DCC" w:rsidRDefault="00501987" w:rsidP="00355732">
      <w:pPr>
        <w:pStyle w:val="ListeParagraf"/>
        <w:numPr>
          <w:ilvl w:val="1"/>
          <w:numId w:val="6"/>
        </w:numPr>
        <w:spacing w:line="240" w:lineRule="auto"/>
        <w:jc w:val="both"/>
        <w:rPr>
          <w:sz w:val="24"/>
          <w:szCs w:val="24"/>
        </w:rPr>
      </w:pPr>
      <w:r>
        <w:rPr>
          <w:sz w:val="24"/>
          <w:szCs w:val="24"/>
        </w:rPr>
        <w:t xml:space="preserve">  Boyanan</w:t>
      </w:r>
      <w:r w:rsidR="00AA79A1" w:rsidRPr="00E92DCC">
        <w:rPr>
          <w:sz w:val="24"/>
          <w:szCs w:val="24"/>
        </w:rPr>
        <w:t xml:space="preserve"> Yüzey Alanı        ……………………………………………………</w:t>
      </w:r>
      <w:r w:rsidR="00E92DCC" w:rsidRPr="00E92DCC">
        <w:rPr>
          <w:sz w:val="24"/>
          <w:szCs w:val="24"/>
        </w:rPr>
        <w:t>……………………</w:t>
      </w:r>
      <w:r w:rsidR="007067E0">
        <w:rPr>
          <w:sz w:val="24"/>
          <w:szCs w:val="24"/>
        </w:rPr>
        <w:t xml:space="preserve"> </w:t>
      </w:r>
      <w:r w:rsidR="00831A76">
        <w:rPr>
          <w:sz w:val="24"/>
          <w:szCs w:val="24"/>
        </w:rPr>
        <w:tab/>
      </w:r>
      <w:r w:rsidR="00BE34A1">
        <w:rPr>
          <w:sz w:val="24"/>
          <w:szCs w:val="24"/>
        </w:rPr>
        <w:t xml:space="preserve">  </w:t>
      </w:r>
      <w:r w:rsidR="007C7E4B">
        <w:rPr>
          <w:sz w:val="24"/>
          <w:szCs w:val="24"/>
        </w:rPr>
        <w:t>7</w:t>
      </w:r>
    </w:p>
    <w:p w:rsidR="002D4E4A" w:rsidRPr="00E92DCC" w:rsidRDefault="00501987" w:rsidP="00355732">
      <w:pPr>
        <w:pStyle w:val="ListeParagraf"/>
        <w:numPr>
          <w:ilvl w:val="1"/>
          <w:numId w:val="6"/>
        </w:numPr>
        <w:spacing w:line="240" w:lineRule="auto"/>
        <w:jc w:val="both"/>
        <w:rPr>
          <w:sz w:val="24"/>
          <w:szCs w:val="24"/>
        </w:rPr>
      </w:pPr>
      <w:r>
        <w:rPr>
          <w:sz w:val="24"/>
          <w:szCs w:val="24"/>
        </w:rPr>
        <w:t xml:space="preserve">  </w:t>
      </w:r>
      <w:r w:rsidR="002D4E4A" w:rsidRPr="00E92DCC">
        <w:rPr>
          <w:sz w:val="24"/>
          <w:szCs w:val="24"/>
        </w:rPr>
        <w:t>Atıksu ile Taşınan Solventler (O2)</w:t>
      </w:r>
      <w:r w:rsidR="00AA79A1" w:rsidRPr="00E92DCC">
        <w:rPr>
          <w:sz w:val="24"/>
          <w:szCs w:val="24"/>
        </w:rPr>
        <w:t xml:space="preserve">          …………………………………</w:t>
      </w:r>
      <w:r w:rsidR="00E92DCC" w:rsidRPr="00E92DCC">
        <w:rPr>
          <w:sz w:val="24"/>
          <w:szCs w:val="24"/>
        </w:rPr>
        <w:t>…………………</w:t>
      </w:r>
      <w:r w:rsidR="00BE34A1">
        <w:rPr>
          <w:sz w:val="24"/>
          <w:szCs w:val="24"/>
        </w:rPr>
        <w:t>.</w:t>
      </w:r>
      <w:r w:rsidR="00E92DCC">
        <w:rPr>
          <w:sz w:val="24"/>
          <w:szCs w:val="24"/>
        </w:rPr>
        <w:t>.</w:t>
      </w:r>
      <w:r w:rsidR="007067E0">
        <w:rPr>
          <w:sz w:val="24"/>
          <w:szCs w:val="24"/>
        </w:rPr>
        <w:t xml:space="preserve">  </w:t>
      </w:r>
      <w:r w:rsidR="00BE34A1">
        <w:rPr>
          <w:sz w:val="24"/>
          <w:szCs w:val="24"/>
        </w:rPr>
        <w:t xml:space="preserve">  </w:t>
      </w:r>
      <w:r w:rsidR="00BE34A1">
        <w:rPr>
          <w:sz w:val="24"/>
          <w:szCs w:val="24"/>
        </w:rPr>
        <w:tab/>
        <w:t xml:space="preserve">  </w:t>
      </w:r>
      <w:r w:rsidR="00337FE3">
        <w:rPr>
          <w:sz w:val="24"/>
          <w:szCs w:val="24"/>
        </w:rPr>
        <w:t>8</w:t>
      </w:r>
    </w:p>
    <w:p w:rsidR="002D4E4A" w:rsidRPr="00E92DCC" w:rsidRDefault="00501987" w:rsidP="00355732">
      <w:pPr>
        <w:pStyle w:val="ListeParagraf"/>
        <w:numPr>
          <w:ilvl w:val="1"/>
          <w:numId w:val="6"/>
        </w:numPr>
        <w:spacing w:line="240" w:lineRule="auto"/>
        <w:jc w:val="both"/>
        <w:rPr>
          <w:sz w:val="24"/>
          <w:szCs w:val="24"/>
        </w:rPr>
      </w:pPr>
      <w:r>
        <w:rPr>
          <w:sz w:val="24"/>
          <w:szCs w:val="24"/>
        </w:rPr>
        <w:t xml:space="preserve">  </w:t>
      </w:r>
      <w:r w:rsidR="00E92DCC" w:rsidRPr="00E92DCC">
        <w:rPr>
          <w:sz w:val="24"/>
          <w:szCs w:val="24"/>
        </w:rPr>
        <w:t>Y</w:t>
      </w:r>
      <w:r w:rsidR="007067E0">
        <w:rPr>
          <w:sz w:val="24"/>
          <w:szCs w:val="24"/>
        </w:rPr>
        <w:t>akılarak</w:t>
      </w:r>
      <w:r w:rsidR="002D4E4A" w:rsidRPr="00E92DCC">
        <w:rPr>
          <w:sz w:val="24"/>
          <w:szCs w:val="24"/>
        </w:rPr>
        <w:t xml:space="preserve"> ve bertaraf edilen solventler (O5)</w:t>
      </w:r>
      <w:r w:rsidR="00E92DCC" w:rsidRPr="00E92DCC">
        <w:rPr>
          <w:sz w:val="24"/>
          <w:szCs w:val="24"/>
        </w:rPr>
        <w:t xml:space="preserve">    ………………………………………</w:t>
      </w:r>
      <w:r w:rsidR="00831A76">
        <w:rPr>
          <w:sz w:val="24"/>
          <w:szCs w:val="24"/>
        </w:rPr>
        <w:t>…..</w:t>
      </w:r>
      <w:r w:rsidR="007067E0">
        <w:rPr>
          <w:sz w:val="24"/>
          <w:szCs w:val="24"/>
        </w:rPr>
        <w:t xml:space="preserve">    </w:t>
      </w:r>
      <w:r w:rsidR="00831A76">
        <w:rPr>
          <w:sz w:val="24"/>
          <w:szCs w:val="24"/>
        </w:rPr>
        <w:tab/>
      </w:r>
      <w:r w:rsidR="00BE34A1">
        <w:rPr>
          <w:sz w:val="24"/>
          <w:szCs w:val="24"/>
        </w:rPr>
        <w:t xml:space="preserve">  </w:t>
      </w:r>
      <w:r w:rsidR="007C7E4B">
        <w:rPr>
          <w:sz w:val="24"/>
          <w:szCs w:val="24"/>
        </w:rPr>
        <w:t>8</w:t>
      </w:r>
    </w:p>
    <w:p w:rsidR="00653DDA" w:rsidRPr="00E92DCC" w:rsidRDefault="00501987" w:rsidP="00355732">
      <w:pPr>
        <w:pStyle w:val="ListeParagraf"/>
        <w:numPr>
          <w:ilvl w:val="1"/>
          <w:numId w:val="6"/>
        </w:numPr>
        <w:spacing w:line="240" w:lineRule="auto"/>
        <w:jc w:val="both"/>
        <w:rPr>
          <w:sz w:val="24"/>
          <w:szCs w:val="24"/>
        </w:rPr>
      </w:pPr>
      <w:r>
        <w:rPr>
          <w:sz w:val="24"/>
          <w:szCs w:val="24"/>
        </w:rPr>
        <w:t xml:space="preserve">  </w:t>
      </w:r>
      <w:r w:rsidR="002D4E4A" w:rsidRPr="00E92DCC">
        <w:rPr>
          <w:sz w:val="24"/>
          <w:szCs w:val="24"/>
        </w:rPr>
        <w:t>Atık olarak bertaraf edilen organik solventler  (O6</w:t>
      </w:r>
      <w:r w:rsidR="00E92DCC" w:rsidRPr="00E92DCC">
        <w:rPr>
          <w:sz w:val="24"/>
          <w:szCs w:val="24"/>
        </w:rPr>
        <w:t xml:space="preserve">      </w:t>
      </w:r>
      <w:r w:rsidR="00AA79A1" w:rsidRPr="00E92DCC">
        <w:rPr>
          <w:sz w:val="24"/>
          <w:szCs w:val="24"/>
        </w:rPr>
        <w:t>……</w:t>
      </w:r>
      <w:r w:rsidR="00E92DCC" w:rsidRPr="00E92DCC">
        <w:rPr>
          <w:sz w:val="24"/>
          <w:szCs w:val="24"/>
        </w:rPr>
        <w:t>……………..</w:t>
      </w:r>
      <w:r w:rsidR="00AA79A1" w:rsidRPr="00E92DCC">
        <w:rPr>
          <w:sz w:val="24"/>
          <w:szCs w:val="24"/>
        </w:rPr>
        <w:t>…</w:t>
      </w:r>
      <w:r w:rsidR="009C2BA1">
        <w:rPr>
          <w:sz w:val="24"/>
          <w:szCs w:val="24"/>
        </w:rPr>
        <w:t>……..</w:t>
      </w:r>
      <w:r w:rsidR="00AA79A1" w:rsidRPr="00E92DCC">
        <w:rPr>
          <w:sz w:val="24"/>
          <w:szCs w:val="24"/>
        </w:rPr>
        <w:t>.</w:t>
      </w:r>
      <w:r w:rsidR="007067E0">
        <w:rPr>
          <w:sz w:val="24"/>
          <w:szCs w:val="24"/>
        </w:rPr>
        <w:t xml:space="preserve">  </w:t>
      </w:r>
      <w:r w:rsidR="00831A76">
        <w:rPr>
          <w:sz w:val="24"/>
          <w:szCs w:val="24"/>
        </w:rPr>
        <w:tab/>
      </w:r>
      <w:r w:rsidR="00BE34A1">
        <w:rPr>
          <w:sz w:val="24"/>
          <w:szCs w:val="24"/>
        </w:rPr>
        <w:t xml:space="preserve">  </w:t>
      </w:r>
      <w:r w:rsidR="007C7E4B">
        <w:rPr>
          <w:sz w:val="24"/>
          <w:szCs w:val="24"/>
        </w:rPr>
        <w:t>9</w:t>
      </w:r>
    </w:p>
    <w:p w:rsidR="00653DDA" w:rsidRPr="00E92DCC" w:rsidRDefault="00653DDA" w:rsidP="00355732">
      <w:pPr>
        <w:pStyle w:val="ListeParagraf"/>
        <w:numPr>
          <w:ilvl w:val="0"/>
          <w:numId w:val="6"/>
        </w:numPr>
        <w:spacing w:line="240" w:lineRule="auto"/>
        <w:jc w:val="both"/>
        <w:rPr>
          <w:sz w:val="24"/>
          <w:szCs w:val="24"/>
        </w:rPr>
      </w:pPr>
      <w:r w:rsidRPr="00E92DCC">
        <w:rPr>
          <w:sz w:val="24"/>
          <w:szCs w:val="24"/>
        </w:rPr>
        <w:t>Solvent Girdilerinin Hesaplanması</w:t>
      </w:r>
      <w:r w:rsidR="00AA79A1" w:rsidRPr="00E92DCC">
        <w:rPr>
          <w:sz w:val="24"/>
          <w:szCs w:val="24"/>
        </w:rPr>
        <w:t xml:space="preserve">     ……………………………………………………</w:t>
      </w:r>
      <w:r w:rsidR="00E92DCC" w:rsidRPr="00E92DCC">
        <w:rPr>
          <w:sz w:val="24"/>
          <w:szCs w:val="24"/>
        </w:rPr>
        <w:t>……….</w:t>
      </w:r>
      <w:r w:rsidR="00AA79A1" w:rsidRPr="00E92DCC">
        <w:rPr>
          <w:sz w:val="24"/>
          <w:szCs w:val="24"/>
        </w:rPr>
        <w:t>…</w:t>
      </w:r>
      <w:r w:rsidR="007067E0">
        <w:rPr>
          <w:sz w:val="24"/>
          <w:szCs w:val="24"/>
        </w:rPr>
        <w:t xml:space="preserve">  </w:t>
      </w:r>
      <w:r w:rsidR="00831A76">
        <w:rPr>
          <w:sz w:val="24"/>
          <w:szCs w:val="24"/>
        </w:rPr>
        <w:tab/>
      </w:r>
      <w:r w:rsidR="00BE34A1">
        <w:rPr>
          <w:sz w:val="24"/>
          <w:szCs w:val="24"/>
        </w:rPr>
        <w:t xml:space="preserve"> </w:t>
      </w:r>
      <w:r w:rsidR="00337FE3">
        <w:rPr>
          <w:sz w:val="24"/>
          <w:szCs w:val="24"/>
        </w:rPr>
        <w:t xml:space="preserve"> </w:t>
      </w:r>
      <w:r w:rsidR="007C7E4B">
        <w:rPr>
          <w:sz w:val="24"/>
          <w:szCs w:val="24"/>
        </w:rPr>
        <w:t>9</w:t>
      </w:r>
    </w:p>
    <w:p w:rsidR="00653DDA" w:rsidRPr="00E92DCC" w:rsidRDefault="00653DDA" w:rsidP="00355732">
      <w:pPr>
        <w:pStyle w:val="ListeParagraf"/>
        <w:numPr>
          <w:ilvl w:val="0"/>
          <w:numId w:val="6"/>
        </w:numPr>
        <w:spacing w:line="240" w:lineRule="auto"/>
        <w:jc w:val="both"/>
        <w:rPr>
          <w:sz w:val="24"/>
          <w:szCs w:val="24"/>
        </w:rPr>
      </w:pPr>
      <w:r w:rsidRPr="00E92DCC">
        <w:rPr>
          <w:sz w:val="24"/>
          <w:szCs w:val="24"/>
        </w:rPr>
        <w:t>Solvent Çıktılarının Hesaplanması</w:t>
      </w:r>
      <w:r w:rsidR="00AA79A1" w:rsidRPr="00E92DCC">
        <w:rPr>
          <w:sz w:val="24"/>
          <w:szCs w:val="24"/>
        </w:rPr>
        <w:t xml:space="preserve">      ……………………………………………………</w:t>
      </w:r>
      <w:r w:rsidR="00E92DCC" w:rsidRPr="00E92DCC">
        <w:rPr>
          <w:sz w:val="24"/>
          <w:szCs w:val="24"/>
        </w:rPr>
        <w:t>……….</w:t>
      </w:r>
      <w:r w:rsidR="00AA79A1" w:rsidRPr="00E92DCC">
        <w:rPr>
          <w:sz w:val="24"/>
          <w:szCs w:val="24"/>
        </w:rPr>
        <w:t>…</w:t>
      </w:r>
      <w:r w:rsidR="007067E0">
        <w:rPr>
          <w:sz w:val="24"/>
          <w:szCs w:val="24"/>
        </w:rPr>
        <w:t xml:space="preserve">  </w:t>
      </w:r>
      <w:r w:rsidR="00831A76">
        <w:rPr>
          <w:sz w:val="24"/>
          <w:szCs w:val="24"/>
        </w:rPr>
        <w:tab/>
      </w:r>
      <w:r w:rsidR="00BE34A1">
        <w:rPr>
          <w:sz w:val="24"/>
          <w:szCs w:val="24"/>
        </w:rPr>
        <w:t xml:space="preserve"> </w:t>
      </w:r>
      <w:r w:rsidR="00337FE3">
        <w:rPr>
          <w:sz w:val="24"/>
          <w:szCs w:val="24"/>
        </w:rPr>
        <w:t xml:space="preserve"> </w:t>
      </w:r>
      <w:r w:rsidR="00090814">
        <w:rPr>
          <w:sz w:val="24"/>
          <w:szCs w:val="24"/>
        </w:rPr>
        <w:t>10</w:t>
      </w:r>
    </w:p>
    <w:p w:rsidR="00AA79A1" w:rsidRPr="00E92DCC" w:rsidRDefault="00D46465" w:rsidP="00355732">
      <w:pPr>
        <w:pStyle w:val="ListeParagraf"/>
        <w:numPr>
          <w:ilvl w:val="0"/>
          <w:numId w:val="6"/>
        </w:numPr>
        <w:spacing w:line="240" w:lineRule="auto"/>
        <w:jc w:val="both"/>
        <w:rPr>
          <w:sz w:val="24"/>
          <w:szCs w:val="24"/>
        </w:rPr>
      </w:pPr>
      <w:r w:rsidRPr="00E92DCC">
        <w:rPr>
          <w:sz w:val="24"/>
          <w:szCs w:val="24"/>
        </w:rPr>
        <w:t>Yüzey Alanının Hesaplanması</w:t>
      </w:r>
      <w:r w:rsidR="00AA79A1" w:rsidRPr="00E92DCC">
        <w:rPr>
          <w:sz w:val="24"/>
          <w:szCs w:val="24"/>
        </w:rPr>
        <w:t xml:space="preserve">              ……………………………………………………………… </w:t>
      </w:r>
      <w:r w:rsidR="007067E0">
        <w:rPr>
          <w:sz w:val="24"/>
          <w:szCs w:val="24"/>
        </w:rPr>
        <w:t xml:space="preserve"> </w:t>
      </w:r>
      <w:r w:rsidR="00831A76">
        <w:rPr>
          <w:sz w:val="24"/>
          <w:szCs w:val="24"/>
        </w:rPr>
        <w:tab/>
      </w:r>
      <w:r w:rsidR="00BE34A1">
        <w:rPr>
          <w:sz w:val="24"/>
          <w:szCs w:val="24"/>
        </w:rPr>
        <w:t xml:space="preserve"> </w:t>
      </w:r>
      <w:r w:rsidR="00337FE3">
        <w:rPr>
          <w:sz w:val="24"/>
          <w:szCs w:val="24"/>
        </w:rPr>
        <w:t xml:space="preserve"> </w:t>
      </w:r>
      <w:r w:rsidR="00090814">
        <w:rPr>
          <w:sz w:val="24"/>
          <w:szCs w:val="24"/>
        </w:rPr>
        <w:t>13</w:t>
      </w:r>
    </w:p>
    <w:p w:rsidR="00D46465" w:rsidRDefault="009F0FDA" w:rsidP="00355732">
      <w:pPr>
        <w:pStyle w:val="ListeParagraf"/>
        <w:numPr>
          <w:ilvl w:val="0"/>
          <w:numId w:val="6"/>
        </w:numPr>
        <w:spacing w:line="240" w:lineRule="auto"/>
        <w:jc w:val="both"/>
        <w:rPr>
          <w:sz w:val="24"/>
          <w:szCs w:val="24"/>
        </w:rPr>
      </w:pPr>
      <w:r>
        <w:rPr>
          <w:sz w:val="24"/>
          <w:szCs w:val="24"/>
        </w:rPr>
        <w:t xml:space="preserve">Kütle Bilanço Hesaplamaları </w:t>
      </w:r>
      <w:r w:rsidR="00D46465" w:rsidRPr="00E92DCC">
        <w:rPr>
          <w:sz w:val="24"/>
          <w:szCs w:val="24"/>
        </w:rPr>
        <w:t>Değerlendirme</w:t>
      </w:r>
      <w:r w:rsidR="00E92DCC" w:rsidRPr="00E92DCC">
        <w:rPr>
          <w:sz w:val="24"/>
          <w:szCs w:val="24"/>
        </w:rPr>
        <w:t xml:space="preserve"> </w:t>
      </w:r>
      <w:r>
        <w:rPr>
          <w:sz w:val="24"/>
          <w:szCs w:val="24"/>
        </w:rPr>
        <w:t>Raporu</w:t>
      </w:r>
      <w:r w:rsidR="00E92DCC" w:rsidRPr="00E92DCC">
        <w:rPr>
          <w:sz w:val="24"/>
          <w:szCs w:val="24"/>
        </w:rPr>
        <w:t xml:space="preserve">  …………</w:t>
      </w:r>
      <w:r w:rsidR="00A630BA">
        <w:rPr>
          <w:sz w:val="24"/>
          <w:szCs w:val="24"/>
        </w:rPr>
        <w:t>………</w:t>
      </w:r>
      <w:r>
        <w:rPr>
          <w:sz w:val="24"/>
          <w:szCs w:val="24"/>
        </w:rPr>
        <w:t>…………………….</w:t>
      </w:r>
      <w:r w:rsidR="007067E0">
        <w:rPr>
          <w:sz w:val="24"/>
          <w:szCs w:val="24"/>
        </w:rPr>
        <w:t xml:space="preserve">  </w:t>
      </w:r>
      <w:r w:rsidR="00831A76">
        <w:rPr>
          <w:sz w:val="24"/>
          <w:szCs w:val="24"/>
        </w:rPr>
        <w:tab/>
      </w:r>
      <w:r w:rsidR="00BE34A1">
        <w:rPr>
          <w:sz w:val="24"/>
          <w:szCs w:val="24"/>
        </w:rPr>
        <w:t xml:space="preserve"> </w:t>
      </w:r>
      <w:r w:rsidR="00831A76">
        <w:rPr>
          <w:sz w:val="24"/>
          <w:szCs w:val="24"/>
        </w:rPr>
        <w:t xml:space="preserve"> </w:t>
      </w:r>
      <w:r w:rsidR="000813C7">
        <w:rPr>
          <w:sz w:val="24"/>
          <w:szCs w:val="24"/>
        </w:rPr>
        <w:t>1</w:t>
      </w:r>
      <w:r w:rsidR="00090814">
        <w:rPr>
          <w:sz w:val="24"/>
          <w:szCs w:val="24"/>
        </w:rPr>
        <w:t>4</w:t>
      </w:r>
    </w:p>
    <w:p w:rsidR="00E12432" w:rsidRDefault="00E12432" w:rsidP="00355732">
      <w:pPr>
        <w:pStyle w:val="ListeParagraf"/>
        <w:numPr>
          <w:ilvl w:val="0"/>
          <w:numId w:val="6"/>
        </w:numPr>
        <w:spacing w:line="240" w:lineRule="auto"/>
        <w:jc w:val="both"/>
        <w:rPr>
          <w:sz w:val="24"/>
          <w:szCs w:val="24"/>
        </w:rPr>
      </w:pPr>
      <w:r>
        <w:rPr>
          <w:sz w:val="24"/>
          <w:szCs w:val="24"/>
        </w:rPr>
        <w:t>Yasal Düzenlemelere Göre Değerlen</w:t>
      </w:r>
      <w:r w:rsidR="00BE34A1">
        <w:rPr>
          <w:sz w:val="24"/>
          <w:szCs w:val="24"/>
        </w:rPr>
        <w:t xml:space="preserve">dirme ……………………………………………………… </w:t>
      </w:r>
      <w:r w:rsidR="00BE34A1">
        <w:rPr>
          <w:sz w:val="24"/>
          <w:szCs w:val="24"/>
        </w:rPr>
        <w:tab/>
        <w:t xml:space="preserve">  </w:t>
      </w:r>
      <w:r w:rsidR="00090814">
        <w:rPr>
          <w:sz w:val="24"/>
          <w:szCs w:val="24"/>
        </w:rPr>
        <w:t>16</w:t>
      </w:r>
    </w:p>
    <w:p w:rsidR="00D41771" w:rsidRDefault="00D41771" w:rsidP="00355732">
      <w:pPr>
        <w:pStyle w:val="ListeParagraf"/>
        <w:numPr>
          <w:ilvl w:val="0"/>
          <w:numId w:val="6"/>
        </w:numPr>
        <w:spacing w:line="240" w:lineRule="auto"/>
        <w:jc w:val="both"/>
        <w:rPr>
          <w:sz w:val="24"/>
          <w:szCs w:val="24"/>
        </w:rPr>
      </w:pPr>
      <w:r>
        <w:rPr>
          <w:sz w:val="24"/>
          <w:szCs w:val="24"/>
        </w:rPr>
        <w:t>Kaynaklar   ………………………………………………………………………………………………………...</w:t>
      </w:r>
      <w:r>
        <w:rPr>
          <w:sz w:val="24"/>
          <w:szCs w:val="24"/>
        </w:rPr>
        <w:tab/>
      </w:r>
      <w:r w:rsidR="00BE34A1">
        <w:rPr>
          <w:sz w:val="24"/>
          <w:szCs w:val="24"/>
        </w:rPr>
        <w:t xml:space="preserve"> </w:t>
      </w:r>
      <w:r>
        <w:rPr>
          <w:sz w:val="24"/>
          <w:szCs w:val="24"/>
        </w:rPr>
        <w:t xml:space="preserve"> 18</w:t>
      </w:r>
    </w:p>
    <w:p w:rsidR="00815260" w:rsidRPr="00A630BA" w:rsidRDefault="00815260" w:rsidP="00355732">
      <w:pPr>
        <w:spacing w:line="240" w:lineRule="auto"/>
        <w:ind w:firstLine="227"/>
        <w:contextualSpacing/>
        <w:jc w:val="both"/>
        <w:rPr>
          <w:b/>
          <w:sz w:val="24"/>
          <w:szCs w:val="24"/>
        </w:rPr>
      </w:pPr>
      <w:r w:rsidRPr="00A630BA">
        <w:rPr>
          <w:b/>
          <w:sz w:val="24"/>
          <w:szCs w:val="24"/>
        </w:rPr>
        <w:t>Şekiller</w:t>
      </w:r>
    </w:p>
    <w:p w:rsidR="00815260" w:rsidRDefault="00815260" w:rsidP="00355732">
      <w:pPr>
        <w:spacing w:line="240" w:lineRule="auto"/>
        <w:ind w:firstLine="227"/>
        <w:contextualSpacing/>
        <w:jc w:val="both"/>
        <w:rPr>
          <w:sz w:val="24"/>
          <w:szCs w:val="24"/>
        </w:rPr>
      </w:pPr>
      <w:r w:rsidRPr="00815260">
        <w:rPr>
          <w:sz w:val="24"/>
          <w:szCs w:val="24"/>
        </w:rPr>
        <w:t>Şekil 1 : Boya kaplama prosesleri ve VOC emisyonu kaynakları</w:t>
      </w:r>
      <w:r w:rsidR="00831A76">
        <w:rPr>
          <w:sz w:val="24"/>
          <w:szCs w:val="24"/>
        </w:rPr>
        <w:t xml:space="preserve">  ……………………</w:t>
      </w:r>
      <w:r w:rsidR="00AF3AC6">
        <w:rPr>
          <w:sz w:val="24"/>
          <w:szCs w:val="24"/>
        </w:rPr>
        <w:t>...</w:t>
      </w:r>
      <w:r w:rsidR="00AF3AC6">
        <w:rPr>
          <w:sz w:val="24"/>
          <w:szCs w:val="24"/>
        </w:rPr>
        <w:tab/>
      </w:r>
      <w:r w:rsidR="00831A76">
        <w:rPr>
          <w:sz w:val="24"/>
          <w:szCs w:val="24"/>
        </w:rPr>
        <w:t xml:space="preserve"> </w:t>
      </w:r>
      <w:r w:rsidR="00BE34A1">
        <w:rPr>
          <w:sz w:val="24"/>
          <w:szCs w:val="24"/>
        </w:rPr>
        <w:t xml:space="preserve"> </w:t>
      </w:r>
      <w:r w:rsidR="00090814">
        <w:rPr>
          <w:sz w:val="24"/>
          <w:szCs w:val="24"/>
        </w:rPr>
        <w:t>5</w:t>
      </w:r>
    </w:p>
    <w:p w:rsidR="00815260" w:rsidRDefault="00815260" w:rsidP="00355732">
      <w:pPr>
        <w:spacing w:line="240" w:lineRule="auto"/>
        <w:ind w:firstLine="227"/>
        <w:contextualSpacing/>
        <w:jc w:val="both"/>
        <w:rPr>
          <w:sz w:val="24"/>
          <w:szCs w:val="24"/>
        </w:rPr>
      </w:pPr>
      <w:r w:rsidRPr="00815260">
        <w:rPr>
          <w:sz w:val="24"/>
          <w:szCs w:val="24"/>
        </w:rPr>
        <w:t xml:space="preserve">Şekil 2 : </w:t>
      </w:r>
      <w:r w:rsidR="002E0F11">
        <w:rPr>
          <w:sz w:val="24"/>
          <w:szCs w:val="24"/>
        </w:rPr>
        <w:t xml:space="preserve">Otomotiv Sektöründe </w:t>
      </w:r>
      <w:r w:rsidRPr="00815260">
        <w:rPr>
          <w:sz w:val="24"/>
          <w:szCs w:val="24"/>
        </w:rPr>
        <w:t xml:space="preserve">Solvent Yönetim Planı </w:t>
      </w:r>
      <w:r w:rsidR="002E0F11">
        <w:rPr>
          <w:sz w:val="24"/>
          <w:szCs w:val="24"/>
        </w:rPr>
        <w:t>(</w:t>
      </w:r>
      <w:r w:rsidRPr="00815260">
        <w:rPr>
          <w:sz w:val="24"/>
          <w:szCs w:val="24"/>
        </w:rPr>
        <w:t>Kütle Denge Modeli</w:t>
      </w:r>
      <w:r w:rsidR="002E0F11">
        <w:rPr>
          <w:sz w:val="24"/>
          <w:szCs w:val="24"/>
        </w:rPr>
        <w:t>)  …</w:t>
      </w:r>
      <w:r w:rsidR="002E0F11">
        <w:rPr>
          <w:sz w:val="24"/>
          <w:szCs w:val="24"/>
        </w:rPr>
        <w:tab/>
        <w:t>….</w:t>
      </w:r>
      <w:r w:rsidR="00AF3AC6">
        <w:rPr>
          <w:sz w:val="24"/>
          <w:szCs w:val="24"/>
        </w:rPr>
        <w:tab/>
      </w:r>
      <w:r w:rsidR="00831A76">
        <w:rPr>
          <w:sz w:val="24"/>
          <w:szCs w:val="24"/>
        </w:rPr>
        <w:t xml:space="preserve"> </w:t>
      </w:r>
      <w:r w:rsidR="00BE34A1">
        <w:rPr>
          <w:sz w:val="24"/>
          <w:szCs w:val="24"/>
        </w:rPr>
        <w:t xml:space="preserve"> </w:t>
      </w:r>
      <w:r w:rsidR="00090814">
        <w:rPr>
          <w:sz w:val="24"/>
          <w:szCs w:val="24"/>
        </w:rPr>
        <w:t>6</w:t>
      </w:r>
    </w:p>
    <w:p w:rsidR="00D41771" w:rsidRDefault="004D7D41" w:rsidP="00D41771">
      <w:pPr>
        <w:spacing w:line="240" w:lineRule="auto"/>
        <w:ind w:firstLine="227"/>
        <w:contextualSpacing/>
        <w:jc w:val="both"/>
        <w:rPr>
          <w:sz w:val="24"/>
          <w:szCs w:val="24"/>
        </w:rPr>
      </w:pPr>
      <w:r w:rsidRPr="004D7D41">
        <w:rPr>
          <w:sz w:val="24"/>
          <w:szCs w:val="24"/>
        </w:rPr>
        <w:t>Şekil 3 :  Bi</w:t>
      </w:r>
      <w:r w:rsidR="00A860DC">
        <w:rPr>
          <w:sz w:val="24"/>
          <w:szCs w:val="24"/>
        </w:rPr>
        <w:t>nek otomobil ve ticari araç üre</w:t>
      </w:r>
      <w:r w:rsidRPr="004D7D41">
        <w:rPr>
          <w:sz w:val="24"/>
          <w:szCs w:val="24"/>
        </w:rPr>
        <w:t>tim tesisi- VOC paretosu örneği</w:t>
      </w:r>
      <w:r>
        <w:rPr>
          <w:sz w:val="24"/>
          <w:szCs w:val="24"/>
        </w:rPr>
        <w:t xml:space="preserve">  ……</w:t>
      </w:r>
      <w:r w:rsidR="00D41771">
        <w:rPr>
          <w:sz w:val="24"/>
          <w:szCs w:val="24"/>
        </w:rPr>
        <w:t>…</w:t>
      </w:r>
      <w:r w:rsidR="00251835">
        <w:rPr>
          <w:sz w:val="24"/>
          <w:szCs w:val="24"/>
        </w:rPr>
        <w:t xml:space="preserve"> </w:t>
      </w:r>
      <w:r w:rsidR="00251835">
        <w:rPr>
          <w:sz w:val="24"/>
          <w:szCs w:val="24"/>
        </w:rPr>
        <w:tab/>
      </w:r>
      <w:r w:rsidR="00BE34A1">
        <w:rPr>
          <w:sz w:val="24"/>
          <w:szCs w:val="24"/>
        </w:rPr>
        <w:t xml:space="preserve">  </w:t>
      </w:r>
      <w:r w:rsidR="00251835">
        <w:rPr>
          <w:sz w:val="24"/>
          <w:szCs w:val="24"/>
        </w:rPr>
        <w:t>16</w:t>
      </w:r>
    </w:p>
    <w:p w:rsidR="00355732" w:rsidRDefault="00355732" w:rsidP="00355732">
      <w:pPr>
        <w:spacing w:line="240" w:lineRule="auto"/>
        <w:ind w:firstLine="227"/>
        <w:contextualSpacing/>
        <w:jc w:val="both"/>
        <w:rPr>
          <w:b/>
          <w:sz w:val="24"/>
          <w:szCs w:val="24"/>
        </w:rPr>
      </w:pPr>
    </w:p>
    <w:p w:rsidR="00815260" w:rsidRPr="00A630BA" w:rsidRDefault="00815260" w:rsidP="00355732">
      <w:pPr>
        <w:spacing w:line="240" w:lineRule="auto"/>
        <w:ind w:firstLine="227"/>
        <w:contextualSpacing/>
        <w:jc w:val="both"/>
        <w:rPr>
          <w:b/>
          <w:sz w:val="24"/>
          <w:szCs w:val="24"/>
        </w:rPr>
      </w:pPr>
      <w:r w:rsidRPr="00A630BA">
        <w:rPr>
          <w:b/>
          <w:sz w:val="24"/>
          <w:szCs w:val="24"/>
        </w:rPr>
        <w:t>Tab</w:t>
      </w:r>
      <w:r w:rsidRPr="00A630BA">
        <w:rPr>
          <w:b/>
          <w:i/>
          <w:sz w:val="24"/>
          <w:szCs w:val="24"/>
        </w:rPr>
        <w:t>l</w:t>
      </w:r>
      <w:r w:rsidRPr="00A630BA">
        <w:rPr>
          <w:b/>
          <w:sz w:val="24"/>
          <w:szCs w:val="24"/>
        </w:rPr>
        <w:t>olar</w:t>
      </w:r>
    </w:p>
    <w:p w:rsidR="00815260" w:rsidRDefault="00815260" w:rsidP="00355732">
      <w:pPr>
        <w:spacing w:line="240" w:lineRule="auto"/>
        <w:ind w:firstLine="227"/>
        <w:contextualSpacing/>
        <w:jc w:val="both"/>
        <w:rPr>
          <w:sz w:val="24"/>
          <w:szCs w:val="24"/>
        </w:rPr>
      </w:pPr>
      <w:r w:rsidRPr="00815260">
        <w:rPr>
          <w:sz w:val="24"/>
          <w:szCs w:val="24"/>
        </w:rPr>
        <w:t>Tablo 1 : Tipik VOC bileşikleri TOC / VOC dönüşüm katsayıları</w:t>
      </w:r>
      <w:r w:rsidR="00831A76">
        <w:rPr>
          <w:sz w:val="24"/>
          <w:szCs w:val="24"/>
        </w:rPr>
        <w:t xml:space="preserve">   …………………………</w:t>
      </w:r>
      <w:r w:rsidR="00831A76">
        <w:rPr>
          <w:sz w:val="24"/>
          <w:szCs w:val="24"/>
        </w:rPr>
        <w:tab/>
      </w:r>
      <w:r w:rsidR="00BE34A1">
        <w:rPr>
          <w:sz w:val="24"/>
          <w:szCs w:val="24"/>
        </w:rPr>
        <w:t xml:space="preserve">  </w:t>
      </w:r>
      <w:r w:rsidR="00090814">
        <w:rPr>
          <w:sz w:val="24"/>
          <w:szCs w:val="24"/>
        </w:rPr>
        <w:t>9</w:t>
      </w:r>
    </w:p>
    <w:p w:rsidR="00815260" w:rsidRDefault="00815260" w:rsidP="00355732">
      <w:pPr>
        <w:spacing w:line="240" w:lineRule="auto"/>
        <w:ind w:firstLine="227"/>
        <w:contextualSpacing/>
        <w:jc w:val="both"/>
        <w:rPr>
          <w:sz w:val="24"/>
          <w:szCs w:val="24"/>
        </w:rPr>
      </w:pPr>
      <w:r w:rsidRPr="00815260">
        <w:rPr>
          <w:sz w:val="24"/>
          <w:szCs w:val="24"/>
        </w:rPr>
        <w:t>Tablo 2: Tipik boya prosesleri, TOC/VOC dönüşüm katsayıları</w:t>
      </w:r>
      <w:r w:rsidR="00831A76">
        <w:rPr>
          <w:sz w:val="24"/>
          <w:szCs w:val="24"/>
        </w:rPr>
        <w:t xml:space="preserve">     ………………………</w:t>
      </w:r>
      <w:r w:rsidR="00AF3AC6">
        <w:rPr>
          <w:sz w:val="24"/>
          <w:szCs w:val="24"/>
        </w:rPr>
        <w:tab/>
      </w:r>
      <w:r w:rsidR="00BE34A1">
        <w:rPr>
          <w:sz w:val="24"/>
          <w:szCs w:val="24"/>
        </w:rPr>
        <w:t xml:space="preserve">  </w:t>
      </w:r>
      <w:r w:rsidR="00090814">
        <w:rPr>
          <w:sz w:val="24"/>
          <w:szCs w:val="24"/>
        </w:rPr>
        <w:t>9</w:t>
      </w:r>
    </w:p>
    <w:p w:rsidR="00815260" w:rsidRDefault="00815260" w:rsidP="00355732">
      <w:pPr>
        <w:spacing w:line="240" w:lineRule="auto"/>
        <w:ind w:firstLine="227"/>
        <w:contextualSpacing/>
        <w:jc w:val="both"/>
        <w:rPr>
          <w:sz w:val="24"/>
          <w:szCs w:val="24"/>
        </w:rPr>
      </w:pPr>
      <w:r w:rsidRPr="00815260">
        <w:rPr>
          <w:sz w:val="24"/>
          <w:szCs w:val="24"/>
        </w:rPr>
        <w:t>Tablo 3 :  Solvent Girdileri (I) Hesaplama Tablosu</w:t>
      </w:r>
      <w:r w:rsidR="00831A76">
        <w:rPr>
          <w:sz w:val="24"/>
          <w:szCs w:val="24"/>
        </w:rPr>
        <w:t xml:space="preserve">    …………………………………………</w:t>
      </w:r>
      <w:r w:rsidR="00AF3AC6">
        <w:rPr>
          <w:sz w:val="24"/>
          <w:szCs w:val="24"/>
        </w:rPr>
        <w:tab/>
      </w:r>
      <w:r w:rsidR="00BE34A1">
        <w:rPr>
          <w:sz w:val="24"/>
          <w:szCs w:val="24"/>
        </w:rPr>
        <w:t xml:space="preserve">  </w:t>
      </w:r>
      <w:r w:rsidR="00090814">
        <w:rPr>
          <w:sz w:val="24"/>
          <w:szCs w:val="24"/>
        </w:rPr>
        <w:t>10</w:t>
      </w:r>
    </w:p>
    <w:p w:rsidR="00815260" w:rsidRDefault="00ED0608" w:rsidP="00355732">
      <w:pPr>
        <w:spacing w:line="240" w:lineRule="auto"/>
        <w:ind w:firstLine="227"/>
        <w:contextualSpacing/>
        <w:jc w:val="both"/>
        <w:rPr>
          <w:sz w:val="24"/>
          <w:szCs w:val="24"/>
        </w:rPr>
      </w:pPr>
      <w:r w:rsidRPr="00ED0608">
        <w:rPr>
          <w:sz w:val="24"/>
          <w:szCs w:val="24"/>
        </w:rPr>
        <w:t>Tablo 4 : Atıksuya geçen Solvent (O2) Hesaplama Tablosu</w:t>
      </w:r>
      <w:r w:rsidR="00831A76">
        <w:rPr>
          <w:sz w:val="24"/>
          <w:szCs w:val="24"/>
        </w:rPr>
        <w:t xml:space="preserve">   ………………………………</w:t>
      </w:r>
      <w:r w:rsidR="00AF3AC6">
        <w:rPr>
          <w:sz w:val="24"/>
          <w:szCs w:val="24"/>
        </w:rPr>
        <w:tab/>
      </w:r>
      <w:r w:rsidR="00BE34A1">
        <w:rPr>
          <w:sz w:val="24"/>
          <w:szCs w:val="24"/>
        </w:rPr>
        <w:t xml:space="preserve">  </w:t>
      </w:r>
      <w:r w:rsidR="00090814">
        <w:rPr>
          <w:sz w:val="24"/>
          <w:szCs w:val="24"/>
        </w:rPr>
        <w:t>11</w:t>
      </w:r>
    </w:p>
    <w:p w:rsidR="00ED0608" w:rsidRDefault="00ED0608" w:rsidP="00355732">
      <w:pPr>
        <w:spacing w:line="240" w:lineRule="auto"/>
        <w:ind w:firstLine="227"/>
        <w:contextualSpacing/>
        <w:jc w:val="both"/>
        <w:rPr>
          <w:sz w:val="24"/>
          <w:szCs w:val="24"/>
        </w:rPr>
      </w:pPr>
      <w:r w:rsidRPr="00ED0608">
        <w:rPr>
          <w:sz w:val="24"/>
          <w:szCs w:val="24"/>
        </w:rPr>
        <w:t>Tablo 5 : Yakılarak bertaraf edilen solvent ( O5) hesaplama Tablosu- TOC metodu</w:t>
      </w:r>
      <w:r w:rsidR="00831A76">
        <w:rPr>
          <w:sz w:val="24"/>
          <w:szCs w:val="24"/>
        </w:rPr>
        <w:t xml:space="preserve"> </w:t>
      </w:r>
      <w:r w:rsidR="00A630BA">
        <w:rPr>
          <w:sz w:val="24"/>
          <w:szCs w:val="24"/>
        </w:rPr>
        <w:tab/>
      </w:r>
      <w:r w:rsidR="00BE34A1">
        <w:rPr>
          <w:sz w:val="24"/>
          <w:szCs w:val="24"/>
        </w:rPr>
        <w:t xml:space="preserve">  </w:t>
      </w:r>
      <w:r w:rsidR="00090814">
        <w:rPr>
          <w:sz w:val="24"/>
          <w:szCs w:val="24"/>
        </w:rPr>
        <w:t>12</w:t>
      </w:r>
    </w:p>
    <w:p w:rsidR="00ED0608" w:rsidRDefault="00ED0608" w:rsidP="00355732">
      <w:pPr>
        <w:spacing w:line="240" w:lineRule="auto"/>
        <w:ind w:firstLine="227"/>
        <w:contextualSpacing/>
        <w:jc w:val="both"/>
        <w:rPr>
          <w:sz w:val="24"/>
          <w:szCs w:val="24"/>
        </w:rPr>
      </w:pPr>
      <w:r w:rsidRPr="00ED0608">
        <w:rPr>
          <w:sz w:val="24"/>
          <w:szCs w:val="24"/>
        </w:rPr>
        <w:t>Tablo 6 : Yakılarak B</w:t>
      </w:r>
      <w:r w:rsidR="00831A76">
        <w:rPr>
          <w:sz w:val="24"/>
          <w:szCs w:val="24"/>
        </w:rPr>
        <w:t>ertaraf Edilen Solvent Hesap Tablosu- Taşınma</w:t>
      </w:r>
      <w:r w:rsidRPr="00ED0608">
        <w:rPr>
          <w:sz w:val="24"/>
          <w:szCs w:val="24"/>
        </w:rPr>
        <w:t xml:space="preserve"> Metodu</w:t>
      </w:r>
      <w:r w:rsidR="00831A76">
        <w:rPr>
          <w:sz w:val="24"/>
          <w:szCs w:val="24"/>
        </w:rPr>
        <w:t xml:space="preserve">   …</w:t>
      </w:r>
      <w:r w:rsidR="00AF3AC6">
        <w:rPr>
          <w:sz w:val="24"/>
          <w:szCs w:val="24"/>
        </w:rPr>
        <w:t>..</w:t>
      </w:r>
      <w:r w:rsidR="00AF3AC6">
        <w:rPr>
          <w:sz w:val="24"/>
          <w:szCs w:val="24"/>
        </w:rPr>
        <w:tab/>
      </w:r>
      <w:r w:rsidR="00BE34A1">
        <w:rPr>
          <w:sz w:val="24"/>
          <w:szCs w:val="24"/>
        </w:rPr>
        <w:t xml:space="preserve">  </w:t>
      </w:r>
      <w:r w:rsidR="00090814">
        <w:rPr>
          <w:sz w:val="24"/>
          <w:szCs w:val="24"/>
        </w:rPr>
        <w:t>12</w:t>
      </w:r>
    </w:p>
    <w:p w:rsidR="00815260" w:rsidRDefault="00ED0608" w:rsidP="00355732">
      <w:pPr>
        <w:spacing w:line="240" w:lineRule="auto"/>
        <w:ind w:firstLine="227"/>
        <w:contextualSpacing/>
        <w:jc w:val="both"/>
        <w:rPr>
          <w:sz w:val="24"/>
          <w:szCs w:val="24"/>
        </w:rPr>
      </w:pPr>
      <w:r w:rsidRPr="00ED0608">
        <w:rPr>
          <w:sz w:val="24"/>
          <w:szCs w:val="24"/>
        </w:rPr>
        <w:t>Tablo 7 : Atık olarak bertaraf edilen Solvent Hesaplama Tablosu</w:t>
      </w:r>
      <w:r w:rsidR="00831A76">
        <w:rPr>
          <w:sz w:val="24"/>
          <w:szCs w:val="24"/>
        </w:rPr>
        <w:t xml:space="preserve">  ……………………</w:t>
      </w:r>
      <w:r w:rsidR="00AF3AC6">
        <w:rPr>
          <w:sz w:val="24"/>
          <w:szCs w:val="24"/>
        </w:rPr>
        <w:tab/>
      </w:r>
      <w:r w:rsidR="00BE34A1">
        <w:rPr>
          <w:sz w:val="24"/>
          <w:szCs w:val="24"/>
        </w:rPr>
        <w:t xml:space="preserve">  </w:t>
      </w:r>
      <w:r w:rsidR="00090814">
        <w:rPr>
          <w:sz w:val="24"/>
          <w:szCs w:val="24"/>
        </w:rPr>
        <w:t>13</w:t>
      </w:r>
    </w:p>
    <w:p w:rsidR="00815260" w:rsidRPr="00815260" w:rsidRDefault="00ED0608" w:rsidP="00355732">
      <w:pPr>
        <w:spacing w:line="240" w:lineRule="auto"/>
        <w:ind w:firstLine="227"/>
        <w:contextualSpacing/>
        <w:jc w:val="both"/>
        <w:rPr>
          <w:sz w:val="24"/>
          <w:szCs w:val="24"/>
        </w:rPr>
      </w:pPr>
      <w:r w:rsidRPr="00ED0608">
        <w:rPr>
          <w:sz w:val="24"/>
          <w:szCs w:val="24"/>
        </w:rPr>
        <w:t>Tablo 8 : Boyanan Yüzey Alanı Hesaplama Tablosu</w:t>
      </w:r>
      <w:r w:rsidR="00831A76">
        <w:rPr>
          <w:sz w:val="24"/>
          <w:szCs w:val="24"/>
        </w:rPr>
        <w:t xml:space="preserve">   ………………………………………</w:t>
      </w:r>
      <w:r w:rsidR="00AF3AC6">
        <w:rPr>
          <w:sz w:val="24"/>
          <w:szCs w:val="24"/>
        </w:rPr>
        <w:t>..</w:t>
      </w:r>
      <w:r w:rsidR="00AF3AC6">
        <w:rPr>
          <w:sz w:val="24"/>
          <w:szCs w:val="24"/>
        </w:rPr>
        <w:tab/>
      </w:r>
      <w:r w:rsidR="00BE34A1">
        <w:rPr>
          <w:sz w:val="24"/>
          <w:szCs w:val="24"/>
        </w:rPr>
        <w:t xml:space="preserve">  </w:t>
      </w:r>
      <w:r w:rsidR="00090814">
        <w:rPr>
          <w:sz w:val="24"/>
          <w:szCs w:val="24"/>
        </w:rPr>
        <w:t>14</w:t>
      </w:r>
    </w:p>
    <w:p w:rsidR="00653DDA" w:rsidRDefault="00ED0608" w:rsidP="00355732">
      <w:pPr>
        <w:spacing w:line="240" w:lineRule="auto"/>
        <w:ind w:firstLine="227"/>
        <w:contextualSpacing/>
        <w:jc w:val="both"/>
      </w:pPr>
      <w:r w:rsidRPr="00ED0608">
        <w:t xml:space="preserve">Tablo 9 : </w:t>
      </w:r>
      <w:r w:rsidR="00E1653C">
        <w:t xml:space="preserve"> </w:t>
      </w:r>
      <w:r w:rsidRPr="00ED0608">
        <w:t>Solvent Yönetim Planı (Kütle Bilanço Sistemi) Değerlendirme  Tablosu</w:t>
      </w:r>
      <w:r w:rsidR="00AF3AC6">
        <w:t xml:space="preserve">   …………</w:t>
      </w:r>
      <w:r w:rsidR="00AF3AC6">
        <w:tab/>
      </w:r>
      <w:r w:rsidR="00BE34A1">
        <w:t xml:space="preserve">  </w:t>
      </w:r>
      <w:r w:rsidR="00090814">
        <w:t>15</w:t>
      </w:r>
    </w:p>
    <w:p w:rsidR="00663E3D" w:rsidRDefault="00663E3D" w:rsidP="00355732">
      <w:pPr>
        <w:spacing w:line="240" w:lineRule="auto"/>
        <w:ind w:firstLine="227"/>
        <w:contextualSpacing/>
        <w:jc w:val="both"/>
      </w:pPr>
      <w:r w:rsidRPr="00663E3D">
        <w:t>Tablo 10 : Araç Boyama Endüstrisi için uyulması gereken sınır değerler</w:t>
      </w:r>
      <w:r>
        <w:t>…………………………..</w:t>
      </w:r>
      <w:r>
        <w:tab/>
      </w:r>
      <w:r w:rsidR="00BE34A1">
        <w:t xml:space="preserve">  </w:t>
      </w:r>
      <w:r w:rsidR="00090814">
        <w:t>16</w:t>
      </w:r>
    </w:p>
    <w:p w:rsidR="00E12432" w:rsidRPr="00ED0608" w:rsidRDefault="00E12432" w:rsidP="00355732">
      <w:pPr>
        <w:spacing w:line="240" w:lineRule="auto"/>
        <w:ind w:firstLine="227"/>
        <w:contextualSpacing/>
        <w:jc w:val="both"/>
      </w:pPr>
      <w:r>
        <w:t>Tablo 11</w:t>
      </w:r>
      <w:r w:rsidRPr="00E12432">
        <w:t xml:space="preserve">: </w:t>
      </w:r>
      <w:r w:rsidR="00E1653C">
        <w:t xml:space="preserve"> </w:t>
      </w:r>
      <w:r w:rsidRPr="00E12432">
        <w:t>STS Solvent BREF- MET’lere Dayalı Emisyon Seviyeleri</w:t>
      </w:r>
      <w:r>
        <w:t xml:space="preserve">  …………………………………..</w:t>
      </w:r>
      <w:r>
        <w:tab/>
      </w:r>
      <w:r w:rsidR="00BE34A1">
        <w:t xml:space="preserve">  </w:t>
      </w:r>
      <w:r w:rsidR="00090814">
        <w:t>17</w:t>
      </w:r>
    </w:p>
    <w:p w:rsidR="005A55D6" w:rsidRDefault="005A55D6" w:rsidP="00EC6317">
      <w:pPr>
        <w:jc w:val="both"/>
        <w:rPr>
          <w:b/>
        </w:rPr>
      </w:pPr>
    </w:p>
    <w:p w:rsidR="00E12432" w:rsidRDefault="00E12432" w:rsidP="00EC6317">
      <w:pPr>
        <w:jc w:val="both"/>
        <w:rPr>
          <w:b/>
        </w:rPr>
      </w:pPr>
    </w:p>
    <w:p w:rsidR="00355732" w:rsidRDefault="00355732" w:rsidP="00EC6317">
      <w:pPr>
        <w:jc w:val="both"/>
        <w:rPr>
          <w:b/>
          <w:sz w:val="24"/>
          <w:szCs w:val="24"/>
        </w:rPr>
      </w:pPr>
    </w:p>
    <w:p w:rsidR="00403124" w:rsidRDefault="00403124" w:rsidP="00EC6317">
      <w:pPr>
        <w:jc w:val="both"/>
        <w:rPr>
          <w:b/>
          <w:sz w:val="24"/>
          <w:szCs w:val="24"/>
        </w:rPr>
      </w:pPr>
    </w:p>
    <w:p w:rsidR="00403124" w:rsidRDefault="00403124" w:rsidP="00EC6317">
      <w:pPr>
        <w:jc w:val="both"/>
        <w:rPr>
          <w:b/>
          <w:sz w:val="24"/>
          <w:szCs w:val="24"/>
        </w:rPr>
      </w:pPr>
    </w:p>
    <w:p w:rsidR="00342922" w:rsidRDefault="00342922" w:rsidP="00EC6317">
      <w:pPr>
        <w:jc w:val="both"/>
        <w:rPr>
          <w:b/>
          <w:sz w:val="24"/>
          <w:szCs w:val="24"/>
        </w:rPr>
      </w:pPr>
    </w:p>
    <w:p w:rsidR="006C695F" w:rsidRPr="00610B62" w:rsidRDefault="00F841AE" w:rsidP="00EC6317">
      <w:pPr>
        <w:jc w:val="both"/>
        <w:rPr>
          <w:sz w:val="24"/>
          <w:szCs w:val="24"/>
        </w:rPr>
      </w:pPr>
      <w:r w:rsidRPr="00610B62">
        <w:rPr>
          <w:b/>
          <w:sz w:val="24"/>
          <w:szCs w:val="24"/>
        </w:rPr>
        <w:lastRenderedPageBreak/>
        <w:t>1. Tanımlar</w:t>
      </w:r>
    </w:p>
    <w:p w:rsidR="009C2BA1" w:rsidRPr="00610B62" w:rsidRDefault="009C2BA1" w:rsidP="00150C2D">
      <w:pPr>
        <w:rPr>
          <w:sz w:val="24"/>
          <w:szCs w:val="24"/>
        </w:rPr>
      </w:pPr>
      <w:r w:rsidRPr="00610B62">
        <w:rPr>
          <w:sz w:val="24"/>
          <w:szCs w:val="24"/>
        </w:rPr>
        <w:t>‘Solvent Yönetim Planı’ VOC emisyonunu, boya prosesinin girdileri ile çıktıları arasındaki farkı tespit ederek belirlemeye çalışan bir analiz yöntemidir.</w:t>
      </w:r>
    </w:p>
    <w:p w:rsidR="009B30C6" w:rsidRPr="00610B62" w:rsidRDefault="00150C2D" w:rsidP="00150C2D">
      <w:pPr>
        <w:rPr>
          <w:sz w:val="24"/>
          <w:szCs w:val="24"/>
        </w:rPr>
      </w:pPr>
      <w:r w:rsidRPr="00610B62">
        <w:rPr>
          <w:sz w:val="24"/>
          <w:szCs w:val="24"/>
        </w:rPr>
        <w:t>'organik bileş</w:t>
      </w:r>
      <w:r w:rsidR="009B30C6" w:rsidRPr="00610B62">
        <w:rPr>
          <w:sz w:val="24"/>
          <w:szCs w:val="24"/>
        </w:rPr>
        <w:t>ik' en azından karbon elementini ve hidrojen, halojen, oksije</w:t>
      </w:r>
      <w:r w:rsidRPr="00610B62">
        <w:rPr>
          <w:sz w:val="24"/>
          <w:szCs w:val="24"/>
        </w:rPr>
        <w:t xml:space="preserve">n, sülfür, fosfor, silikon veya </w:t>
      </w:r>
      <w:r w:rsidR="009B30C6" w:rsidRPr="00610B62">
        <w:rPr>
          <w:sz w:val="24"/>
          <w:szCs w:val="24"/>
        </w:rPr>
        <w:t>nitrojenden birini veya birden fazlasını içeren ama karbon oksitl</w:t>
      </w:r>
      <w:r w:rsidRPr="00610B62">
        <w:rPr>
          <w:sz w:val="24"/>
          <w:szCs w:val="24"/>
        </w:rPr>
        <w:t>er ile inorganik karbonatlar ve bikarbonatları içermeyen bileş</w:t>
      </w:r>
      <w:r w:rsidR="009B30C6" w:rsidRPr="00610B62">
        <w:rPr>
          <w:sz w:val="24"/>
          <w:szCs w:val="24"/>
        </w:rPr>
        <w:t>ikler anlamındadır,</w:t>
      </w:r>
    </w:p>
    <w:p w:rsidR="00F841AE" w:rsidRPr="00610B62" w:rsidRDefault="00150C2D" w:rsidP="009B30C6">
      <w:pPr>
        <w:jc w:val="both"/>
        <w:rPr>
          <w:sz w:val="24"/>
          <w:szCs w:val="24"/>
        </w:rPr>
      </w:pPr>
      <w:r w:rsidRPr="00610B62">
        <w:rPr>
          <w:sz w:val="24"/>
          <w:szCs w:val="24"/>
        </w:rPr>
        <w:t>'uçucu organik bileş</w:t>
      </w:r>
      <w:r w:rsidR="009B30C6" w:rsidRPr="00610B62">
        <w:rPr>
          <w:sz w:val="24"/>
          <w:szCs w:val="24"/>
        </w:rPr>
        <w:t xml:space="preserve">ik' 293,15 K değerde 0,01 </w:t>
      </w:r>
      <w:r w:rsidR="005A55D6" w:rsidRPr="00610B62">
        <w:rPr>
          <w:sz w:val="24"/>
          <w:szCs w:val="24"/>
        </w:rPr>
        <w:t>kPa</w:t>
      </w:r>
      <w:r w:rsidR="009B30C6" w:rsidRPr="00610B62">
        <w:rPr>
          <w:sz w:val="24"/>
          <w:szCs w:val="24"/>
        </w:rPr>
        <w:t xml:space="preserve"> veya daha fazla buhar ba</w:t>
      </w:r>
      <w:r w:rsidRPr="00610B62">
        <w:rPr>
          <w:sz w:val="24"/>
          <w:szCs w:val="24"/>
        </w:rPr>
        <w:t>sıncına ya da belirli kullanım ş</w:t>
      </w:r>
      <w:r w:rsidR="009B30C6" w:rsidRPr="00610B62">
        <w:rPr>
          <w:sz w:val="24"/>
          <w:szCs w:val="24"/>
        </w:rPr>
        <w:t>ar</w:t>
      </w:r>
      <w:r w:rsidR="00035DF8">
        <w:rPr>
          <w:sz w:val="24"/>
          <w:szCs w:val="24"/>
        </w:rPr>
        <w:t>tlarında benzer</w:t>
      </w:r>
      <w:r w:rsidRPr="00610B62">
        <w:rPr>
          <w:sz w:val="24"/>
          <w:szCs w:val="24"/>
        </w:rPr>
        <w:t xml:space="preserve"> uçuculuğa sahip organik bileş</w:t>
      </w:r>
      <w:r w:rsidR="009B30C6" w:rsidRPr="00610B62">
        <w:rPr>
          <w:sz w:val="24"/>
          <w:szCs w:val="24"/>
        </w:rPr>
        <w:t>ikler ve kreozot kesitleri anlamındadır.</w:t>
      </w:r>
    </w:p>
    <w:p w:rsidR="00150C2D" w:rsidRPr="00610B62" w:rsidRDefault="00150C2D" w:rsidP="009B30C6">
      <w:pPr>
        <w:jc w:val="both"/>
        <w:rPr>
          <w:sz w:val="24"/>
          <w:szCs w:val="24"/>
        </w:rPr>
      </w:pPr>
      <w:r w:rsidRPr="00610B62">
        <w:rPr>
          <w:sz w:val="24"/>
          <w:szCs w:val="24"/>
        </w:rPr>
        <w:t>'organik solvent' aş</w:t>
      </w:r>
      <w:r w:rsidR="009B30C6" w:rsidRPr="00610B62">
        <w:rPr>
          <w:sz w:val="24"/>
          <w:szCs w:val="24"/>
        </w:rPr>
        <w:t>ağıdaki amaçlarla kullanı</w:t>
      </w:r>
      <w:r w:rsidR="00941F34" w:rsidRPr="00610B62">
        <w:rPr>
          <w:sz w:val="24"/>
          <w:szCs w:val="24"/>
        </w:rPr>
        <w:t>lan herhangi uçucu organik bileş</w:t>
      </w:r>
      <w:r w:rsidR="009B30C6" w:rsidRPr="00610B62">
        <w:rPr>
          <w:sz w:val="24"/>
          <w:szCs w:val="24"/>
        </w:rPr>
        <w:t xml:space="preserve">ik anlamındadır: </w:t>
      </w:r>
    </w:p>
    <w:p w:rsidR="00150C2D" w:rsidRPr="00610B62" w:rsidRDefault="009B30C6" w:rsidP="009B30C6">
      <w:pPr>
        <w:jc w:val="both"/>
        <w:rPr>
          <w:sz w:val="24"/>
          <w:szCs w:val="24"/>
        </w:rPr>
      </w:pPr>
      <w:r w:rsidRPr="00610B62">
        <w:rPr>
          <w:sz w:val="24"/>
          <w:szCs w:val="24"/>
        </w:rPr>
        <w:t>(a) Ham maddeleri, ürünleri veya a</w:t>
      </w:r>
      <w:r w:rsidR="00150C2D" w:rsidRPr="00610B62">
        <w:rPr>
          <w:sz w:val="24"/>
          <w:szCs w:val="24"/>
        </w:rPr>
        <w:t>tıkları çözündürmek için tek baş</w:t>
      </w:r>
      <w:r w:rsidRPr="00610B62">
        <w:rPr>
          <w:sz w:val="24"/>
          <w:szCs w:val="24"/>
        </w:rPr>
        <w:t>ına veya diğer madde</w:t>
      </w:r>
      <w:r w:rsidR="00941F34" w:rsidRPr="00610B62">
        <w:rPr>
          <w:sz w:val="24"/>
          <w:szCs w:val="24"/>
        </w:rPr>
        <w:t>lerle birlikte ve kimyasal değiş</w:t>
      </w:r>
      <w:r w:rsidRPr="00610B62">
        <w:rPr>
          <w:sz w:val="24"/>
          <w:szCs w:val="24"/>
        </w:rPr>
        <w:t xml:space="preserve">ime uğramaksızın, </w:t>
      </w:r>
    </w:p>
    <w:p w:rsidR="00150C2D" w:rsidRPr="00610B62" w:rsidRDefault="009B30C6" w:rsidP="009B30C6">
      <w:pPr>
        <w:jc w:val="both"/>
        <w:rPr>
          <w:sz w:val="24"/>
          <w:szCs w:val="24"/>
        </w:rPr>
      </w:pPr>
      <w:r w:rsidRPr="00610B62">
        <w:rPr>
          <w:sz w:val="24"/>
          <w:szCs w:val="24"/>
        </w:rPr>
        <w:t xml:space="preserve">(b) Kirletici maddeleri çözündürerek gidermek için, </w:t>
      </w:r>
    </w:p>
    <w:p w:rsidR="00941F34" w:rsidRPr="00610B62" w:rsidRDefault="006F784F" w:rsidP="009B30C6">
      <w:pPr>
        <w:jc w:val="both"/>
        <w:rPr>
          <w:sz w:val="24"/>
          <w:szCs w:val="24"/>
        </w:rPr>
      </w:pPr>
      <w:r>
        <w:rPr>
          <w:sz w:val="24"/>
          <w:szCs w:val="24"/>
        </w:rPr>
        <w:t>(c) Çözücü, dağıtıcı, kıvam ayarlayıcı, yüzey gerilimi ayarlayıcı, plastikleştirici, koruyucu madde olarak</w:t>
      </w:r>
    </w:p>
    <w:p w:rsidR="005A55D6" w:rsidRPr="00610B62" w:rsidRDefault="006F784F" w:rsidP="009B30C6">
      <w:pPr>
        <w:jc w:val="both"/>
        <w:rPr>
          <w:sz w:val="24"/>
          <w:szCs w:val="24"/>
        </w:rPr>
      </w:pPr>
      <w:r w:rsidRPr="00610B62">
        <w:rPr>
          <w:sz w:val="24"/>
          <w:szCs w:val="24"/>
        </w:rPr>
        <w:t xml:space="preserve"> </w:t>
      </w:r>
      <w:r w:rsidR="005A55D6" w:rsidRPr="00610B62">
        <w:rPr>
          <w:sz w:val="24"/>
          <w:szCs w:val="24"/>
        </w:rPr>
        <w:t xml:space="preserve">‘kataforez alanı’ tamamlanmış bir araç gövdesinin, boya prosesinde yer alan daldırma elektrokaplama tankına giren tüm iç ve dış yüzeyini ifade </w:t>
      </w:r>
      <w:r w:rsidR="009C2BA1" w:rsidRPr="00610B62">
        <w:rPr>
          <w:sz w:val="24"/>
          <w:szCs w:val="24"/>
        </w:rPr>
        <w:t>e</w:t>
      </w:r>
      <w:r w:rsidR="005A55D6" w:rsidRPr="00610B62">
        <w:rPr>
          <w:sz w:val="24"/>
          <w:szCs w:val="24"/>
        </w:rPr>
        <w:t>der.</w:t>
      </w:r>
    </w:p>
    <w:p w:rsidR="00941F34" w:rsidRPr="00610B62" w:rsidRDefault="009C2BA1" w:rsidP="00EC6317">
      <w:pPr>
        <w:jc w:val="both"/>
        <w:rPr>
          <w:sz w:val="24"/>
          <w:szCs w:val="24"/>
        </w:rPr>
      </w:pPr>
      <w:r w:rsidRPr="00610B62">
        <w:rPr>
          <w:sz w:val="24"/>
          <w:szCs w:val="24"/>
        </w:rPr>
        <w:t xml:space="preserve">‘Katı Madde Girdisi ‘ boya malzemeleri içinde, </w:t>
      </w:r>
      <w:r w:rsidR="00643755">
        <w:rPr>
          <w:sz w:val="24"/>
          <w:szCs w:val="24"/>
        </w:rPr>
        <w:t xml:space="preserve">su, </w:t>
      </w:r>
      <w:r w:rsidRPr="00610B62">
        <w:rPr>
          <w:sz w:val="24"/>
          <w:szCs w:val="24"/>
        </w:rPr>
        <w:t>solvent</w:t>
      </w:r>
      <w:r w:rsidR="00643755">
        <w:rPr>
          <w:sz w:val="24"/>
          <w:szCs w:val="24"/>
        </w:rPr>
        <w:t xml:space="preserve"> vb buharlaşabilen uçucu maddeler dışında kalan katı maddelerin</w:t>
      </w:r>
      <w:r w:rsidRPr="00610B62">
        <w:rPr>
          <w:sz w:val="24"/>
          <w:szCs w:val="24"/>
        </w:rPr>
        <w:t xml:space="preserve"> toplamıdır.</w:t>
      </w:r>
    </w:p>
    <w:p w:rsidR="009C2BA1" w:rsidRPr="00610B62" w:rsidRDefault="009C2BA1" w:rsidP="00EC6317">
      <w:pPr>
        <w:jc w:val="both"/>
        <w:rPr>
          <w:sz w:val="24"/>
          <w:szCs w:val="24"/>
        </w:rPr>
      </w:pPr>
      <w:r w:rsidRPr="00610B62">
        <w:rPr>
          <w:sz w:val="24"/>
          <w:szCs w:val="24"/>
        </w:rPr>
        <w:t>‘</w:t>
      </w:r>
      <w:r w:rsidR="00035DF8">
        <w:rPr>
          <w:sz w:val="24"/>
          <w:szCs w:val="24"/>
        </w:rPr>
        <w:t xml:space="preserve">Rekuperatif/Rejeneratif </w:t>
      </w:r>
      <w:r w:rsidRPr="00610B62">
        <w:rPr>
          <w:sz w:val="24"/>
          <w:szCs w:val="24"/>
        </w:rPr>
        <w:t xml:space="preserve">RTO’ ısı geri kazanımı da yapabilen termal oksitleyici. </w:t>
      </w:r>
    </w:p>
    <w:p w:rsidR="00610B62" w:rsidRPr="00610B62" w:rsidRDefault="00610B62" w:rsidP="00EC6317">
      <w:pPr>
        <w:jc w:val="both"/>
        <w:rPr>
          <w:sz w:val="24"/>
          <w:szCs w:val="24"/>
        </w:rPr>
      </w:pPr>
      <w:r w:rsidRPr="00610B62">
        <w:rPr>
          <w:sz w:val="24"/>
          <w:szCs w:val="24"/>
        </w:rPr>
        <w:t>‘ Toplam Solvent Girdisi’ boya kaplama işlemlerinde kullanılan tüm malzemelerin solvent içeriklerinin yıllık kütlesel toplamıdır.</w:t>
      </w:r>
    </w:p>
    <w:p w:rsidR="00EC6317" w:rsidRPr="00610B62" w:rsidRDefault="00F841AE" w:rsidP="00EC6317">
      <w:pPr>
        <w:jc w:val="both"/>
        <w:rPr>
          <w:b/>
          <w:sz w:val="24"/>
          <w:szCs w:val="24"/>
        </w:rPr>
      </w:pPr>
      <w:r w:rsidRPr="00610B62">
        <w:rPr>
          <w:b/>
          <w:sz w:val="24"/>
          <w:szCs w:val="24"/>
        </w:rPr>
        <w:t>2</w:t>
      </w:r>
      <w:r w:rsidR="001F5B08" w:rsidRPr="00610B62">
        <w:rPr>
          <w:b/>
          <w:sz w:val="24"/>
          <w:szCs w:val="24"/>
        </w:rPr>
        <w:t xml:space="preserve">. </w:t>
      </w:r>
      <w:r w:rsidR="00EC6317" w:rsidRPr="00610B62">
        <w:rPr>
          <w:b/>
          <w:sz w:val="24"/>
          <w:szCs w:val="24"/>
        </w:rPr>
        <w:t>Kılavuzun Amacı</w:t>
      </w:r>
      <w:r w:rsidR="003B0E31" w:rsidRPr="00610B62">
        <w:rPr>
          <w:b/>
          <w:sz w:val="24"/>
          <w:szCs w:val="24"/>
        </w:rPr>
        <w:t xml:space="preserve"> ve Yasal Dayanağı</w:t>
      </w:r>
    </w:p>
    <w:p w:rsidR="00605854" w:rsidRPr="00610B62" w:rsidRDefault="00605854" w:rsidP="00EC6317">
      <w:pPr>
        <w:jc w:val="both"/>
        <w:rPr>
          <w:sz w:val="24"/>
          <w:szCs w:val="24"/>
        </w:rPr>
      </w:pPr>
      <w:r w:rsidRPr="00610B62">
        <w:rPr>
          <w:sz w:val="24"/>
          <w:szCs w:val="24"/>
        </w:rPr>
        <w:t>Solvent yönetim planı;</w:t>
      </w:r>
    </w:p>
    <w:p w:rsidR="00EC6317" w:rsidRPr="00610B62" w:rsidRDefault="00EC6317" w:rsidP="00EC6317">
      <w:pPr>
        <w:jc w:val="both"/>
        <w:rPr>
          <w:sz w:val="24"/>
          <w:szCs w:val="24"/>
        </w:rPr>
      </w:pPr>
      <w:r w:rsidRPr="00610B62">
        <w:rPr>
          <w:sz w:val="24"/>
          <w:szCs w:val="24"/>
        </w:rPr>
        <w:t xml:space="preserve">(a) </w:t>
      </w:r>
      <w:r w:rsidR="00605854" w:rsidRPr="00610B62">
        <w:rPr>
          <w:sz w:val="24"/>
          <w:szCs w:val="24"/>
        </w:rPr>
        <w:t>Endüstr</w:t>
      </w:r>
      <w:r w:rsidR="00035DF8">
        <w:rPr>
          <w:sz w:val="24"/>
          <w:szCs w:val="24"/>
        </w:rPr>
        <w:t xml:space="preserve">iyel Emisyonlar Direktifine </w:t>
      </w:r>
      <w:r w:rsidR="000143D9">
        <w:rPr>
          <w:sz w:val="24"/>
          <w:szCs w:val="24"/>
        </w:rPr>
        <w:t xml:space="preserve">( EED) </w:t>
      </w:r>
      <w:r w:rsidR="00035DF8">
        <w:rPr>
          <w:sz w:val="24"/>
          <w:szCs w:val="24"/>
        </w:rPr>
        <w:t>uygunluğun</w:t>
      </w:r>
      <w:r w:rsidRPr="00610B62">
        <w:rPr>
          <w:sz w:val="24"/>
          <w:szCs w:val="24"/>
        </w:rPr>
        <w:t xml:space="preserve"> denetlenmesi, </w:t>
      </w:r>
    </w:p>
    <w:p w:rsidR="00EC6317" w:rsidRPr="00610B62" w:rsidRDefault="00EC6317" w:rsidP="00EC6317">
      <w:pPr>
        <w:jc w:val="both"/>
        <w:rPr>
          <w:sz w:val="24"/>
          <w:szCs w:val="24"/>
        </w:rPr>
      </w:pPr>
      <w:r w:rsidRPr="00610B62">
        <w:rPr>
          <w:sz w:val="24"/>
          <w:szCs w:val="24"/>
        </w:rPr>
        <w:t xml:space="preserve">(b) </w:t>
      </w:r>
      <w:r w:rsidR="00035DF8">
        <w:rPr>
          <w:sz w:val="24"/>
          <w:szCs w:val="24"/>
        </w:rPr>
        <w:t>Firmaların  azaltma hedeflerinin</w:t>
      </w:r>
      <w:r w:rsidRPr="00610B62">
        <w:rPr>
          <w:sz w:val="24"/>
          <w:szCs w:val="24"/>
        </w:rPr>
        <w:t xml:space="preserve"> tespit edilmesi, </w:t>
      </w:r>
    </w:p>
    <w:p w:rsidR="00EC6317" w:rsidRPr="00610B62" w:rsidRDefault="00EC6317" w:rsidP="00EC6317">
      <w:pPr>
        <w:jc w:val="both"/>
        <w:rPr>
          <w:sz w:val="24"/>
          <w:szCs w:val="24"/>
        </w:rPr>
      </w:pPr>
      <w:r w:rsidRPr="00610B62">
        <w:rPr>
          <w:sz w:val="24"/>
          <w:szCs w:val="24"/>
        </w:rPr>
        <w:t xml:space="preserve">(c) Solvent tüketimi, solvent salımların ve </w:t>
      </w:r>
      <w:r w:rsidR="00035DF8">
        <w:rPr>
          <w:sz w:val="24"/>
          <w:szCs w:val="24"/>
        </w:rPr>
        <w:t xml:space="preserve">EED- </w:t>
      </w:r>
      <w:r w:rsidRPr="00610B62">
        <w:rPr>
          <w:sz w:val="24"/>
          <w:szCs w:val="24"/>
        </w:rPr>
        <w:t>Bölüm V hük</w:t>
      </w:r>
      <w:r w:rsidR="00035DF8">
        <w:rPr>
          <w:sz w:val="24"/>
          <w:szCs w:val="24"/>
        </w:rPr>
        <w:t>ümlerine uygunluk konularında resmi otoriteye</w:t>
      </w:r>
      <w:r w:rsidRPr="00610B62">
        <w:rPr>
          <w:sz w:val="24"/>
          <w:szCs w:val="24"/>
        </w:rPr>
        <w:t xml:space="preserve"> sunulacak bilgilerin sağlanması.  </w:t>
      </w:r>
    </w:p>
    <w:p w:rsidR="00605854" w:rsidRPr="00610B62" w:rsidRDefault="00605854" w:rsidP="00605854">
      <w:pPr>
        <w:jc w:val="both"/>
        <w:rPr>
          <w:sz w:val="24"/>
          <w:szCs w:val="24"/>
        </w:rPr>
      </w:pPr>
      <w:r w:rsidRPr="00610B62">
        <w:rPr>
          <w:sz w:val="24"/>
          <w:szCs w:val="24"/>
        </w:rPr>
        <w:t xml:space="preserve">(d)  </w:t>
      </w:r>
      <w:r w:rsidR="005A55D6" w:rsidRPr="00610B62">
        <w:rPr>
          <w:sz w:val="24"/>
          <w:szCs w:val="24"/>
        </w:rPr>
        <w:t xml:space="preserve">Sanayii Kaynaklı Hava Kirliliği Kontrol Yönetmeliğine </w:t>
      </w:r>
      <w:r w:rsidRPr="00610B62">
        <w:rPr>
          <w:sz w:val="24"/>
          <w:szCs w:val="24"/>
        </w:rPr>
        <w:t xml:space="preserve">uyumun kontrol edilmesi, doğrulanması </w:t>
      </w:r>
    </w:p>
    <w:p w:rsidR="003B0E31" w:rsidRPr="00610B62" w:rsidRDefault="003B0E31" w:rsidP="00EC6317">
      <w:pPr>
        <w:jc w:val="both"/>
        <w:rPr>
          <w:sz w:val="24"/>
          <w:szCs w:val="24"/>
        </w:rPr>
      </w:pPr>
      <w:r w:rsidRPr="00610B62">
        <w:rPr>
          <w:sz w:val="24"/>
          <w:szCs w:val="24"/>
        </w:rPr>
        <w:t>Bu kılavuzun hazırlanmasında, aşağıdaki dokümanlar esas alınmıştır.</w:t>
      </w:r>
    </w:p>
    <w:p w:rsidR="003B0E31" w:rsidRPr="00610B62" w:rsidRDefault="00F26F71" w:rsidP="003B0E31">
      <w:pPr>
        <w:pStyle w:val="ListeParagraf"/>
        <w:numPr>
          <w:ilvl w:val="0"/>
          <w:numId w:val="1"/>
        </w:numPr>
        <w:jc w:val="both"/>
        <w:rPr>
          <w:sz w:val="24"/>
          <w:szCs w:val="24"/>
        </w:rPr>
      </w:pPr>
      <w:r>
        <w:rPr>
          <w:sz w:val="24"/>
          <w:szCs w:val="24"/>
        </w:rPr>
        <w:t>Endüstriyel Emisyonlar D</w:t>
      </w:r>
      <w:r w:rsidR="003B0E31" w:rsidRPr="00610B62">
        <w:rPr>
          <w:sz w:val="24"/>
          <w:szCs w:val="24"/>
        </w:rPr>
        <w:t>irektifi (Ek-7, Kısım 7)</w:t>
      </w:r>
    </w:p>
    <w:p w:rsidR="00605854" w:rsidRPr="00610B62" w:rsidRDefault="00F26F71" w:rsidP="003B0E31">
      <w:pPr>
        <w:pStyle w:val="ListeParagraf"/>
        <w:numPr>
          <w:ilvl w:val="0"/>
          <w:numId w:val="1"/>
        </w:numPr>
        <w:jc w:val="both"/>
        <w:rPr>
          <w:sz w:val="24"/>
          <w:szCs w:val="24"/>
        </w:rPr>
      </w:pPr>
      <w:r>
        <w:rPr>
          <w:sz w:val="24"/>
          <w:szCs w:val="24"/>
        </w:rPr>
        <w:lastRenderedPageBreak/>
        <w:t>Solvent BREF</w:t>
      </w:r>
      <w:r w:rsidR="003B0E31" w:rsidRPr="00610B62">
        <w:rPr>
          <w:sz w:val="24"/>
          <w:szCs w:val="24"/>
        </w:rPr>
        <w:t xml:space="preserve"> </w:t>
      </w:r>
      <w:r>
        <w:rPr>
          <w:sz w:val="24"/>
          <w:szCs w:val="24"/>
        </w:rPr>
        <w:t xml:space="preserve"> (STS-2007, </w:t>
      </w:r>
      <w:r w:rsidR="003B0E31" w:rsidRPr="00610B62">
        <w:rPr>
          <w:sz w:val="24"/>
          <w:szCs w:val="24"/>
        </w:rPr>
        <w:t>Bölüm 24 )</w:t>
      </w:r>
    </w:p>
    <w:p w:rsidR="003B0E31" w:rsidRPr="00610B62" w:rsidRDefault="005A55D6" w:rsidP="003B0E31">
      <w:pPr>
        <w:jc w:val="both"/>
        <w:rPr>
          <w:b/>
          <w:sz w:val="24"/>
          <w:szCs w:val="24"/>
        </w:rPr>
      </w:pPr>
      <w:r w:rsidRPr="00610B62">
        <w:rPr>
          <w:b/>
          <w:sz w:val="24"/>
          <w:szCs w:val="24"/>
        </w:rPr>
        <w:t xml:space="preserve">3. </w:t>
      </w:r>
      <w:r w:rsidR="000143D9">
        <w:rPr>
          <w:b/>
          <w:sz w:val="24"/>
          <w:szCs w:val="24"/>
        </w:rPr>
        <w:t>Otomotiv Sektöründe Solvent Yönetim Planına Yönelik</w:t>
      </w:r>
      <w:r w:rsidR="006C695F" w:rsidRPr="00610B62">
        <w:rPr>
          <w:b/>
          <w:sz w:val="24"/>
          <w:szCs w:val="24"/>
        </w:rPr>
        <w:t xml:space="preserve"> T</w:t>
      </w:r>
      <w:r w:rsidR="00470330" w:rsidRPr="00610B62">
        <w:rPr>
          <w:b/>
          <w:sz w:val="24"/>
          <w:szCs w:val="24"/>
        </w:rPr>
        <w:t>emel Prensipler</w:t>
      </w:r>
    </w:p>
    <w:p w:rsidR="00ED549A" w:rsidRDefault="00ED549A" w:rsidP="00470330">
      <w:pPr>
        <w:jc w:val="both"/>
        <w:rPr>
          <w:sz w:val="24"/>
          <w:szCs w:val="24"/>
        </w:rPr>
      </w:pPr>
      <w:r>
        <w:rPr>
          <w:sz w:val="24"/>
          <w:szCs w:val="24"/>
        </w:rPr>
        <w:t>Tipik bir boya prosesi, doğrudan ölçüm yapılamayacak kadar çok sayıda emisyon kaynağı içerir. Aşağıda tipik bir boya kaplama prosesi akım şeması verilmiştir:</w:t>
      </w:r>
    </w:p>
    <w:p w:rsidR="00ED549A" w:rsidRDefault="005B2E92" w:rsidP="00470330">
      <w:pPr>
        <w:jc w:val="both"/>
        <w:rPr>
          <w:sz w:val="24"/>
          <w:szCs w:val="24"/>
        </w:rPr>
      </w:pPr>
      <w:r>
        <w:rPr>
          <w:noProof/>
          <w:sz w:val="24"/>
          <w:szCs w:val="24"/>
          <w:lang w:eastAsia="tr-TR"/>
        </w:rPr>
        <w:drawing>
          <wp:inline distT="0" distB="0" distL="0" distR="0">
            <wp:extent cx="6413138" cy="2846112"/>
            <wp:effectExtent l="19050" t="19050" r="26035" b="1143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2154" cy="2850113"/>
                    </a:xfrm>
                    <a:prstGeom prst="rect">
                      <a:avLst/>
                    </a:prstGeom>
                    <a:noFill/>
                    <a:ln>
                      <a:solidFill>
                        <a:schemeClr val="tx1"/>
                      </a:solidFill>
                    </a:ln>
                  </pic:spPr>
                </pic:pic>
              </a:graphicData>
            </a:graphic>
          </wp:inline>
        </w:drawing>
      </w:r>
    </w:p>
    <w:p w:rsidR="00853146" w:rsidRDefault="00853146" w:rsidP="00470330">
      <w:pPr>
        <w:jc w:val="both"/>
        <w:rPr>
          <w:sz w:val="24"/>
          <w:szCs w:val="24"/>
        </w:rPr>
      </w:pPr>
      <w:r>
        <w:rPr>
          <w:sz w:val="24"/>
          <w:szCs w:val="24"/>
        </w:rPr>
        <w:t>Şekil 1 : Boya kaplama prosesleri ve VOC emisyonu kaynakları</w:t>
      </w:r>
    </w:p>
    <w:p w:rsidR="00470330" w:rsidRPr="00610B62" w:rsidRDefault="00470330" w:rsidP="00470330">
      <w:pPr>
        <w:jc w:val="both"/>
        <w:rPr>
          <w:sz w:val="24"/>
          <w:szCs w:val="24"/>
        </w:rPr>
      </w:pPr>
      <w:r w:rsidRPr="00610B62">
        <w:rPr>
          <w:sz w:val="24"/>
          <w:szCs w:val="24"/>
        </w:rPr>
        <w:t>Araç boyahanelerinden kaynaklanan organik m</w:t>
      </w:r>
      <w:r w:rsidR="006C695F" w:rsidRPr="00610B62">
        <w:rPr>
          <w:sz w:val="24"/>
          <w:szCs w:val="24"/>
        </w:rPr>
        <w:t>addelere ait limit değerleri (</w:t>
      </w:r>
      <w:r w:rsidRPr="00610B62">
        <w:rPr>
          <w:sz w:val="24"/>
          <w:szCs w:val="24"/>
        </w:rPr>
        <w:t>VOC</w:t>
      </w:r>
      <w:r w:rsidR="006C695F" w:rsidRPr="00610B62">
        <w:rPr>
          <w:sz w:val="24"/>
          <w:szCs w:val="24"/>
        </w:rPr>
        <w:t>);  tesisin, boyanan araların yüz</w:t>
      </w:r>
      <w:r w:rsidRPr="00610B62">
        <w:rPr>
          <w:sz w:val="24"/>
          <w:szCs w:val="24"/>
        </w:rPr>
        <w:t>eyleri ile bağlantılı olan toplam uçucu organik bileşen emis</w:t>
      </w:r>
      <w:r w:rsidR="00F46B91">
        <w:rPr>
          <w:sz w:val="24"/>
          <w:szCs w:val="24"/>
        </w:rPr>
        <w:t>yonları tanımlanır.</w:t>
      </w:r>
      <w:r w:rsidRPr="00610B62">
        <w:rPr>
          <w:sz w:val="24"/>
          <w:szCs w:val="24"/>
        </w:rPr>
        <w:t xml:space="preserve">  </w:t>
      </w:r>
    </w:p>
    <w:p w:rsidR="003B0E31" w:rsidRDefault="00470330" w:rsidP="00470330">
      <w:pPr>
        <w:jc w:val="both"/>
        <w:rPr>
          <w:sz w:val="24"/>
          <w:szCs w:val="24"/>
        </w:rPr>
      </w:pPr>
      <w:r w:rsidRPr="00610B62">
        <w:rPr>
          <w:sz w:val="24"/>
          <w:szCs w:val="24"/>
        </w:rPr>
        <w:t xml:space="preserve">  Bu değerlerin tespit edilmesi, boyahaneden kaynaklanan emisyon kütle akışının ve boyanacak araların yüzey alanlarının eşzamanlı olarak tespit edilmesini sağlar.</w:t>
      </w:r>
    </w:p>
    <w:p w:rsidR="00F46B91" w:rsidRPr="00610B62" w:rsidRDefault="00F46B91" w:rsidP="00470330">
      <w:pPr>
        <w:jc w:val="both"/>
        <w:rPr>
          <w:sz w:val="24"/>
          <w:szCs w:val="24"/>
        </w:rPr>
      </w:pPr>
      <w:r>
        <w:rPr>
          <w:sz w:val="24"/>
          <w:szCs w:val="24"/>
        </w:rPr>
        <w:t>Boya proseslerinde, tüketilen boya malzemeleri miktarı ile VOC emisyonu a</w:t>
      </w:r>
      <w:r w:rsidR="000143D9">
        <w:rPr>
          <w:sz w:val="24"/>
          <w:szCs w:val="24"/>
        </w:rPr>
        <w:t>rasında doğru orantı vardır. VOC</w:t>
      </w:r>
      <w:r>
        <w:rPr>
          <w:sz w:val="24"/>
          <w:szCs w:val="24"/>
        </w:rPr>
        <w:t xml:space="preserve"> emisyonlarının tespitinde, doğrudan ölçümlerin doğruluk payı, proses değişkenlikleri, çok sayıda emisyon kaynağı olması ve kaçak emisyonlar nedeniyle</w:t>
      </w:r>
      <w:r w:rsidR="000143D9">
        <w:rPr>
          <w:sz w:val="24"/>
          <w:szCs w:val="24"/>
        </w:rPr>
        <w:t>,</w:t>
      </w:r>
      <w:r>
        <w:rPr>
          <w:sz w:val="24"/>
          <w:szCs w:val="24"/>
        </w:rPr>
        <w:t xml:space="preserve"> kütle bilanço dengesi yapılarak hesaplanan emisyon değerleri</w:t>
      </w:r>
      <w:r w:rsidR="000143D9">
        <w:rPr>
          <w:sz w:val="24"/>
          <w:szCs w:val="24"/>
        </w:rPr>
        <w:t>ne göre daha düşüktür.</w:t>
      </w:r>
      <w:r>
        <w:rPr>
          <w:sz w:val="24"/>
          <w:szCs w:val="24"/>
        </w:rPr>
        <w:t xml:space="preserve"> </w:t>
      </w:r>
    </w:p>
    <w:p w:rsidR="00470330" w:rsidRPr="00610B62" w:rsidRDefault="00470330" w:rsidP="00470330">
      <w:pPr>
        <w:jc w:val="both"/>
        <w:rPr>
          <w:sz w:val="24"/>
          <w:szCs w:val="24"/>
        </w:rPr>
      </w:pPr>
      <w:r w:rsidRPr="00610B62">
        <w:rPr>
          <w:sz w:val="24"/>
          <w:szCs w:val="24"/>
        </w:rPr>
        <w:t>Boyahanelerden kaynaklanan VOC emisyonlarını</w:t>
      </w:r>
      <w:r w:rsidR="00BE2AC3">
        <w:rPr>
          <w:sz w:val="24"/>
          <w:szCs w:val="24"/>
        </w:rPr>
        <w:t>n periyodik ölçümler</w:t>
      </w:r>
      <w:r w:rsidRPr="00610B62">
        <w:rPr>
          <w:sz w:val="24"/>
          <w:szCs w:val="24"/>
        </w:rPr>
        <w:t xml:space="preserve"> ile tespit edilmesi, düzenli izleme yapılması için </w:t>
      </w:r>
      <w:r w:rsidR="000B0A24">
        <w:rPr>
          <w:sz w:val="24"/>
          <w:szCs w:val="24"/>
        </w:rPr>
        <w:t>yeterli veri sağlayamamaktadır. Solvent Yönetim planı uygulanması ile firmalar düzenli periyotlarla (örneğin aylık) emisyon seviyelerini her proses için ayrı ayrı belirleyebilmekte, pareto analizi yapabilmekte ve azaltma hedeflerini tespit edebilmektedirler.</w:t>
      </w:r>
    </w:p>
    <w:p w:rsidR="00BE2AC3" w:rsidRPr="00610B62" w:rsidRDefault="00470330" w:rsidP="00470330">
      <w:pPr>
        <w:jc w:val="both"/>
        <w:rPr>
          <w:sz w:val="24"/>
          <w:szCs w:val="24"/>
        </w:rPr>
      </w:pPr>
      <w:r w:rsidRPr="00610B62">
        <w:rPr>
          <w:sz w:val="24"/>
          <w:szCs w:val="24"/>
        </w:rPr>
        <w:t>VOC emisyonlarının d</w:t>
      </w:r>
      <w:r w:rsidR="0039751C" w:rsidRPr="00610B62">
        <w:rPr>
          <w:sz w:val="24"/>
          <w:szCs w:val="24"/>
        </w:rPr>
        <w:t>ü</w:t>
      </w:r>
      <w:r w:rsidRPr="00610B62">
        <w:rPr>
          <w:sz w:val="24"/>
          <w:szCs w:val="24"/>
        </w:rPr>
        <w:t>zenli olarak izlenmesi i</w:t>
      </w:r>
      <w:r w:rsidR="0039751C" w:rsidRPr="00610B62">
        <w:rPr>
          <w:sz w:val="24"/>
          <w:szCs w:val="24"/>
        </w:rPr>
        <w:t>ç</w:t>
      </w:r>
      <w:r w:rsidRPr="00610B62">
        <w:rPr>
          <w:sz w:val="24"/>
          <w:szCs w:val="24"/>
        </w:rPr>
        <w:t xml:space="preserve">in, </w:t>
      </w:r>
      <w:r w:rsidR="0039751C" w:rsidRPr="00610B62">
        <w:rPr>
          <w:sz w:val="24"/>
          <w:szCs w:val="24"/>
        </w:rPr>
        <w:t xml:space="preserve">EED Direktifinde </w:t>
      </w:r>
      <w:r w:rsidRPr="00610B62">
        <w:rPr>
          <w:sz w:val="24"/>
          <w:szCs w:val="24"/>
        </w:rPr>
        <w:t xml:space="preserve"> yer alan plana dayalı bir k</w:t>
      </w:r>
      <w:r w:rsidR="0039751C" w:rsidRPr="00610B62">
        <w:rPr>
          <w:sz w:val="24"/>
          <w:szCs w:val="24"/>
        </w:rPr>
        <w:t>ü</w:t>
      </w:r>
      <w:r w:rsidRPr="00610B62">
        <w:rPr>
          <w:sz w:val="24"/>
          <w:szCs w:val="24"/>
        </w:rPr>
        <w:t>tle denge y</w:t>
      </w:r>
      <w:r w:rsidR="0039751C" w:rsidRPr="00610B62">
        <w:rPr>
          <w:sz w:val="24"/>
          <w:szCs w:val="24"/>
        </w:rPr>
        <w:t>ö</w:t>
      </w:r>
      <w:r w:rsidR="00BE2AC3">
        <w:rPr>
          <w:sz w:val="24"/>
          <w:szCs w:val="24"/>
        </w:rPr>
        <w:t xml:space="preserve">ntemi kullanılmalıdır. </w:t>
      </w:r>
    </w:p>
    <w:p w:rsidR="0039751C" w:rsidRPr="00610B62" w:rsidRDefault="006C695F" w:rsidP="0039751C">
      <w:pPr>
        <w:jc w:val="both"/>
        <w:rPr>
          <w:sz w:val="24"/>
          <w:szCs w:val="24"/>
        </w:rPr>
      </w:pPr>
      <w:r w:rsidRPr="00610B62">
        <w:rPr>
          <w:sz w:val="24"/>
          <w:szCs w:val="24"/>
        </w:rPr>
        <w:lastRenderedPageBreak/>
        <w:t>VOC girdi verileri (I</w:t>
      </w:r>
      <w:r w:rsidR="00F509A8" w:rsidRPr="00610B62">
        <w:rPr>
          <w:sz w:val="24"/>
          <w:szCs w:val="24"/>
        </w:rPr>
        <w:t>1</w:t>
      </w:r>
      <w:r w:rsidRPr="00610B62">
        <w:rPr>
          <w:sz w:val="24"/>
          <w:szCs w:val="24"/>
        </w:rPr>
        <w:t>-Input</w:t>
      </w:r>
      <w:r w:rsidR="00F509A8" w:rsidRPr="00610B62">
        <w:rPr>
          <w:sz w:val="24"/>
          <w:szCs w:val="24"/>
        </w:rPr>
        <w:t xml:space="preserve"> 1</w:t>
      </w:r>
      <w:r w:rsidR="0039751C" w:rsidRPr="00610B62">
        <w:rPr>
          <w:sz w:val="24"/>
          <w:szCs w:val="24"/>
        </w:rPr>
        <w:t xml:space="preserve">) doğruluk düzeyi en yüksekte olacak şekilde belirlenmelidir. Bu da aşağıdakilerden birinin uygulanması ile gerçekleştirilebilir: </w:t>
      </w:r>
    </w:p>
    <w:p w:rsidR="0039751C" w:rsidRPr="00610B62" w:rsidRDefault="0039751C" w:rsidP="005A55D6">
      <w:pPr>
        <w:pStyle w:val="ListeParagraf"/>
        <w:numPr>
          <w:ilvl w:val="0"/>
          <w:numId w:val="10"/>
        </w:numPr>
        <w:jc w:val="both"/>
        <w:rPr>
          <w:sz w:val="24"/>
          <w:szCs w:val="24"/>
        </w:rPr>
      </w:pPr>
      <w:r w:rsidRPr="00610B62">
        <w:rPr>
          <w:sz w:val="24"/>
          <w:szCs w:val="24"/>
        </w:rPr>
        <w:t>Solvent içeren t</w:t>
      </w:r>
      <w:r w:rsidR="005A55D6" w:rsidRPr="00610B62">
        <w:rPr>
          <w:sz w:val="24"/>
          <w:szCs w:val="24"/>
        </w:rPr>
        <w:t>ü</w:t>
      </w:r>
      <w:r w:rsidRPr="00610B62">
        <w:rPr>
          <w:sz w:val="24"/>
          <w:szCs w:val="24"/>
        </w:rPr>
        <w:t xml:space="preserve">m bileşiklerin (boya, tiner, vs.) tüketiminin direkt olarak ölçülmesi, </w:t>
      </w:r>
    </w:p>
    <w:p w:rsidR="0039751C" w:rsidRPr="00610B62" w:rsidRDefault="0039751C" w:rsidP="005A55D6">
      <w:pPr>
        <w:pStyle w:val="ListeParagraf"/>
        <w:numPr>
          <w:ilvl w:val="0"/>
          <w:numId w:val="10"/>
        </w:numPr>
        <w:jc w:val="both"/>
        <w:rPr>
          <w:sz w:val="24"/>
          <w:szCs w:val="24"/>
        </w:rPr>
      </w:pPr>
      <w:r w:rsidRPr="00610B62">
        <w:rPr>
          <w:sz w:val="24"/>
          <w:szCs w:val="24"/>
        </w:rPr>
        <w:t xml:space="preserve">Tedarik veri tabanlarının kullanılmasıyla solvent girdisinin hesaplanması.  </w:t>
      </w:r>
    </w:p>
    <w:p w:rsidR="003B0E31" w:rsidRPr="00610B62" w:rsidRDefault="0039751C" w:rsidP="0039751C">
      <w:pPr>
        <w:jc w:val="both"/>
        <w:rPr>
          <w:sz w:val="24"/>
          <w:szCs w:val="24"/>
        </w:rPr>
      </w:pPr>
      <w:r w:rsidRPr="00610B62">
        <w:rPr>
          <w:sz w:val="24"/>
          <w:szCs w:val="24"/>
        </w:rPr>
        <w:t xml:space="preserve">Solventlere </w:t>
      </w:r>
      <w:r w:rsidR="00BE2AC3">
        <w:rPr>
          <w:sz w:val="24"/>
          <w:szCs w:val="24"/>
        </w:rPr>
        <w:t xml:space="preserve">tesis içinde geri kazanım </w:t>
      </w:r>
      <w:r w:rsidRPr="00610B62">
        <w:rPr>
          <w:sz w:val="24"/>
          <w:szCs w:val="24"/>
        </w:rPr>
        <w:t xml:space="preserve">işlemi uygulanması halinde, I2 </w:t>
      </w:r>
      <w:r w:rsidR="00F509A8" w:rsidRPr="00610B62">
        <w:rPr>
          <w:sz w:val="24"/>
          <w:szCs w:val="24"/>
        </w:rPr>
        <w:t xml:space="preserve">(Input 2) </w:t>
      </w:r>
      <w:r w:rsidRPr="00610B62">
        <w:rPr>
          <w:sz w:val="24"/>
          <w:szCs w:val="24"/>
        </w:rPr>
        <w:t xml:space="preserve">belirlenmelidir.  </w:t>
      </w:r>
    </w:p>
    <w:p w:rsidR="0039751C" w:rsidRPr="00610B62" w:rsidRDefault="0039751C" w:rsidP="0039751C">
      <w:pPr>
        <w:jc w:val="both"/>
        <w:rPr>
          <w:sz w:val="24"/>
          <w:szCs w:val="24"/>
        </w:rPr>
      </w:pPr>
      <w:r w:rsidRPr="00610B62">
        <w:rPr>
          <w:sz w:val="24"/>
          <w:szCs w:val="24"/>
        </w:rPr>
        <w:t>Bertaraf edilen VOC (O5</w:t>
      </w:r>
      <w:r w:rsidR="00F509A8" w:rsidRPr="00610B62">
        <w:rPr>
          <w:sz w:val="24"/>
          <w:szCs w:val="24"/>
        </w:rPr>
        <w:t>- Output 5)</w:t>
      </w:r>
      <w:r w:rsidRPr="00610B62">
        <w:rPr>
          <w:sz w:val="24"/>
          <w:szCs w:val="24"/>
        </w:rPr>
        <w:t xml:space="preserve"> miktarı atık gaz arıtma ünitesine giren ve bu üniteden çıkan kütle akışlarının ölçülmesi ile hesaplanabilir. </w:t>
      </w:r>
      <w:r w:rsidR="00C161E5">
        <w:rPr>
          <w:sz w:val="24"/>
          <w:szCs w:val="24"/>
        </w:rPr>
        <w:t>Bir başka yöntem olarak, yakma ünitesine bağlı kurutma sistemine taşınan solvent miktarı deneysel olarak bulunabilir. Taşıma faktörü boya kabinindeki robotik ve/veya manuel uygulama verimi ile doğru orantılıdır. B</w:t>
      </w:r>
      <w:r w:rsidRPr="00610B62">
        <w:rPr>
          <w:sz w:val="24"/>
          <w:szCs w:val="24"/>
        </w:rPr>
        <w:t xml:space="preserve">u ölçümler sonucunda: </w:t>
      </w:r>
    </w:p>
    <w:p w:rsidR="0039751C" w:rsidRPr="00610B62" w:rsidRDefault="00C161E5" w:rsidP="004E445B">
      <w:pPr>
        <w:pStyle w:val="ListeParagraf"/>
        <w:numPr>
          <w:ilvl w:val="0"/>
          <w:numId w:val="11"/>
        </w:numPr>
        <w:jc w:val="both"/>
        <w:rPr>
          <w:sz w:val="24"/>
          <w:szCs w:val="24"/>
        </w:rPr>
      </w:pPr>
      <w:r>
        <w:rPr>
          <w:sz w:val="24"/>
          <w:szCs w:val="24"/>
        </w:rPr>
        <w:t>Yakma verimliliği ve</w:t>
      </w:r>
      <w:r w:rsidR="0039751C" w:rsidRPr="00610B62">
        <w:rPr>
          <w:sz w:val="24"/>
          <w:szCs w:val="24"/>
        </w:rPr>
        <w:t xml:space="preserve"> sıcaklığa ne derece bağlı olduğu tespit edilir. </w:t>
      </w:r>
    </w:p>
    <w:p w:rsidR="00665CB0" w:rsidRPr="00610B62" w:rsidRDefault="0039751C" w:rsidP="004E445B">
      <w:pPr>
        <w:pStyle w:val="ListeParagraf"/>
        <w:numPr>
          <w:ilvl w:val="0"/>
          <w:numId w:val="11"/>
        </w:numPr>
        <w:jc w:val="both"/>
        <w:rPr>
          <w:sz w:val="24"/>
          <w:szCs w:val="24"/>
        </w:rPr>
      </w:pPr>
      <w:r w:rsidRPr="00610B62">
        <w:rPr>
          <w:sz w:val="24"/>
          <w:szCs w:val="24"/>
        </w:rPr>
        <w:t>Taşıma faktör</w:t>
      </w:r>
      <w:r w:rsidR="00665CB0" w:rsidRPr="00610B62">
        <w:rPr>
          <w:sz w:val="24"/>
          <w:szCs w:val="24"/>
        </w:rPr>
        <w:t>ü</w:t>
      </w:r>
      <w:r w:rsidRPr="00610B62">
        <w:rPr>
          <w:sz w:val="24"/>
          <w:szCs w:val="24"/>
        </w:rPr>
        <w:t xml:space="preserve"> belirlenir. Bu katsayı boya kabininde a</w:t>
      </w:r>
      <w:r w:rsidR="00665CB0" w:rsidRPr="00610B62">
        <w:rPr>
          <w:sz w:val="24"/>
          <w:szCs w:val="24"/>
        </w:rPr>
        <w:t>ç</w:t>
      </w:r>
      <w:r w:rsidRPr="00610B62">
        <w:rPr>
          <w:sz w:val="24"/>
          <w:szCs w:val="24"/>
        </w:rPr>
        <w:t xml:space="preserve">ığa </w:t>
      </w:r>
      <w:r w:rsidR="00665CB0" w:rsidRPr="00610B62">
        <w:rPr>
          <w:sz w:val="24"/>
          <w:szCs w:val="24"/>
        </w:rPr>
        <w:t>ç</w:t>
      </w:r>
      <w:r w:rsidRPr="00610B62">
        <w:rPr>
          <w:sz w:val="24"/>
          <w:szCs w:val="24"/>
        </w:rPr>
        <w:t xml:space="preserve">ıkan ve atık gaz arıtma </w:t>
      </w:r>
      <w:r w:rsidR="00665CB0" w:rsidRPr="00610B62">
        <w:rPr>
          <w:sz w:val="24"/>
          <w:szCs w:val="24"/>
        </w:rPr>
        <w:t>ü</w:t>
      </w:r>
      <w:r w:rsidRPr="00610B62">
        <w:rPr>
          <w:sz w:val="24"/>
          <w:szCs w:val="24"/>
        </w:rPr>
        <w:t>niteli kurutucu fırına g</w:t>
      </w:r>
      <w:r w:rsidR="00665CB0" w:rsidRPr="00610B62">
        <w:rPr>
          <w:sz w:val="24"/>
          <w:szCs w:val="24"/>
        </w:rPr>
        <w:t>ö</w:t>
      </w:r>
      <w:r w:rsidRPr="00610B62">
        <w:rPr>
          <w:sz w:val="24"/>
          <w:szCs w:val="24"/>
        </w:rPr>
        <w:t>nderilen VOC miktarını a</w:t>
      </w:r>
      <w:r w:rsidR="00665CB0" w:rsidRPr="00610B62">
        <w:rPr>
          <w:sz w:val="24"/>
          <w:szCs w:val="24"/>
        </w:rPr>
        <w:t>ç</w:t>
      </w:r>
      <w:r w:rsidRPr="00610B62">
        <w:rPr>
          <w:sz w:val="24"/>
          <w:szCs w:val="24"/>
        </w:rPr>
        <w:t xml:space="preserve">ıklar.  </w:t>
      </w:r>
    </w:p>
    <w:p w:rsidR="00665CB0" w:rsidRPr="00610B62" w:rsidRDefault="0039751C" w:rsidP="004E445B">
      <w:pPr>
        <w:pStyle w:val="ListeParagraf"/>
        <w:numPr>
          <w:ilvl w:val="0"/>
          <w:numId w:val="11"/>
        </w:numPr>
        <w:jc w:val="both"/>
        <w:rPr>
          <w:sz w:val="24"/>
          <w:szCs w:val="24"/>
        </w:rPr>
      </w:pPr>
      <w:r w:rsidRPr="00610B62">
        <w:rPr>
          <w:sz w:val="24"/>
          <w:szCs w:val="24"/>
        </w:rPr>
        <w:t xml:space="preserve">Bu </w:t>
      </w:r>
      <w:r w:rsidR="00665CB0" w:rsidRPr="00610B62">
        <w:rPr>
          <w:sz w:val="24"/>
          <w:szCs w:val="24"/>
        </w:rPr>
        <w:t>ölçü</w:t>
      </w:r>
      <w:r w:rsidRPr="00610B62">
        <w:rPr>
          <w:sz w:val="24"/>
          <w:szCs w:val="24"/>
        </w:rPr>
        <w:t>mler her bir boya kabini ya da</w:t>
      </w:r>
      <w:r w:rsidR="00665CB0" w:rsidRPr="00610B62">
        <w:rPr>
          <w:sz w:val="24"/>
          <w:szCs w:val="24"/>
        </w:rPr>
        <w:t xml:space="preserve"> fırın atık gaz arıtma sistemi içi</w:t>
      </w:r>
      <w:r w:rsidRPr="00610B62">
        <w:rPr>
          <w:sz w:val="24"/>
          <w:szCs w:val="24"/>
        </w:rPr>
        <w:t xml:space="preserve">n bir kez yapılmalıdır. Yakma verimliliği ve taşıma katsayısı yalnızca uygulama </w:t>
      </w:r>
      <w:r w:rsidR="00665CB0" w:rsidRPr="00610B62">
        <w:rPr>
          <w:sz w:val="24"/>
          <w:szCs w:val="24"/>
        </w:rPr>
        <w:t xml:space="preserve">prosesi, kabin tasarımı ya da atık gaz yakma sistemi değiştirildiğinde yeniden hesaplanmalıdır.  </w:t>
      </w:r>
    </w:p>
    <w:p w:rsidR="00665CB0" w:rsidRPr="00610B62" w:rsidRDefault="00665CB0" w:rsidP="0039751C">
      <w:pPr>
        <w:jc w:val="both"/>
        <w:rPr>
          <w:sz w:val="24"/>
          <w:szCs w:val="24"/>
        </w:rPr>
      </w:pPr>
      <w:r w:rsidRPr="00610B62">
        <w:rPr>
          <w:sz w:val="24"/>
          <w:szCs w:val="24"/>
        </w:rPr>
        <w:t>Atık gaz ünitesinin performansı yakma sisteminin sıcaklığının kesintisiz olarak ölçüm ile izlenebilir. Atık gaz arıtma ünitesinin verimliliği bu ölçüm ile doğrulanabilir.</w:t>
      </w:r>
    </w:p>
    <w:p w:rsidR="00355732" w:rsidRDefault="00665CB0" w:rsidP="003B0E31">
      <w:pPr>
        <w:jc w:val="both"/>
        <w:rPr>
          <w:sz w:val="24"/>
          <w:szCs w:val="24"/>
        </w:rPr>
      </w:pPr>
      <w:r w:rsidRPr="00610B62">
        <w:rPr>
          <w:sz w:val="24"/>
          <w:szCs w:val="24"/>
        </w:rPr>
        <w:t>Üretim prosesinin zamanla değişiklik göstermesi nedeniyle, izleme için ayrılan zaman ölçeğinin yeterince uzun olması gerekir. Kütle dengesi hesaplamaları</w:t>
      </w:r>
      <w:r w:rsidR="00BE2AC3">
        <w:rPr>
          <w:sz w:val="24"/>
          <w:szCs w:val="24"/>
        </w:rPr>
        <w:t xml:space="preserve"> fabrikaların hedef performans takibi ve iç izlemeleri açısından</w:t>
      </w:r>
      <w:r w:rsidRPr="00610B62">
        <w:rPr>
          <w:sz w:val="24"/>
          <w:szCs w:val="24"/>
        </w:rPr>
        <w:t xml:space="preserve"> </w:t>
      </w:r>
      <w:r w:rsidR="00C161E5">
        <w:rPr>
          <w:sz w:val="24"/>
          <w:szCs w:val="24"/>
        </w:rPr>
        <w:t>1 aylık periyod</w:t>
      </w:r>
      <w:r w:rsidR="002271DC" w:rsidRPr="00610B62">
        <w:rPr>
          <w:sz w:val="24"/>
          <w:szCs w:val="24"/>
        </w:rPr>
        <w:t xml:space="preserve">larla yapılmalı ve </w:t>
      </w:r>
      <w:r w:rsidR="00BE2AC3">
        <w:rPr>
          <w:sz w:val="24"/>
          <w:szCs w:val="24"/>
        </w:rPr>
        <w:t xml:space="preserve">yasal yönden ise </w:t>
      </w:r>
      <w:r w:rsidR="002271DC" w:rsidRPr="00610B62">
        <w:rPr>
          <w:sz w:val="24"/>
          <w:szCs w:val="24"/>
        </w:rPr>
        <w:t xml:space="preserve">yılda bir kez </w:t>
      </w:r>
      <w:r w:rsidR="00BE2AC3">
        <w:rPr>
          <w:sz w:val="24"/>
          <w:szCs w:val="24"/>
        </w:rPr>
        <w:t xml:space="preserve">yetkili ve yetkin bir kurum/firma tarafından </w:t>
      </w:r>
      <w:r w:rsidR="002271DC" w:rsidRPr="00610B62">
        <w:rPr>
          <w:sz w:val="24"/>
          <w:szCs w:val="24"/>
        </w:rPr>
        <w:t>doğrulanmalıdır.</w:t>
      </w: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Default="00342922" w:rsidP="003B0E31">
      <w:pPr>
        <w:jc w:val="both"/>
        <w:rPr>
          <w:sz w:val="24"/>
          <w:szCs w:val="24"/>
        </w:rPr>
      </w:pPr>
    </w:p>
    <w:p w:rsidR="00342922" w:rsidRPr="00610B62" w:rsidRDefault="00342922" w:rsidP="003B0E31">
      <w:pPr>
        <w:jc w:val="both"/>
        <w:rPr>
          <w:sz w:val="24"/>
          <w:szCs w:val="24"/>
        </w:rPr>
      </w:pPr>
    </w:p>
    <w:p w:rsidR="00342922" w:rsidRDefault="004E445B" w:rsidP="003B0E31">
      <w:pPr>
        <w:jc w:val="both"/>
        <w:rPr>
          <w:b/>
          <w:sz w:val="24"/>
          <w:szCs w:val="24"/>
        </w:rPr>
      </w:pPr>
      <w:r w:rsidRPr="00610B62">
        <w:rPr>
          <w:b/>
          <w:sz w:val="24"/>
          <w:szCs w:val="24"/>
        </w:rPr>
        <w:lastRenderedPageBreak/>
        <w:t xml:space="preserve">4. </w:t>
      </w:r>
      <w:r w:rsidR="003B0E31" w:rsidRPr="00610B62">
        <w:rPr>
          <w:b/>
          <w:sz w:val="24"/>
          <w:szCs w:val="24"/>
        </w:rPr>
        <w:t>S</w:t>
      </w:r>
      <w:r w:rsidR="002271DC" w:rsidRPr="00610B62">
        <w:rPr>
          <w:b/>
          <w:sz w:val="24"/>
          <w:szCs w:val="24"/>
        </w:rPr>
        <w:t xml:space="preserve">olvent </w:t>
      </w:r>
      <w:r w:rsidR="003B0E31" w:rsidRPr="00610B62">
        <w:rPr>
          <w:b/>
          <w:sz w:val="24"/>
          <w:szCs w:val="24"/>
        </w:rPr>
        <w:t>Y</w:t>
      </w:r>
      <w:r w:rsidR="002271DC" w:rsidRPr="00610B62">
        <w:rPr>
          <w:b/>
          <w:sz w:val="24"/>
          <w:szCs w:val="24"/>
        </w:rPr>
        <w:t xml:space="preserve">önetim </w:t>
      </w:r>
      <w:r w:rsidR="003B0E31" w:rsidRPr="00610B62">
        <w:rPr>
          <w:b/>
          <w:sz w:val="24"/>
          <w:szCs w:val="24"/>
        </w:rPr>
        <w:t>P</w:t>
      </w:r>
      <w:r w:rsidR="002271DC" w:rsidRPr="00610B62">
        <w:rPr>
          <w:b/>
          <w:sz w:val="24"/>
          <w:szCs w:val="24"/>
        </w:rPr>
        <w:t xml:space="preserve">lanı </w:t>
      </w:r>
      <w:r w:rsidR="003B0E31" w:rsidRPr="00610B62">
        <w:rPr>
          <w:b/>
          <w:sz w:val="24"/>
          <w:szCs w:val="24"/>
        </w:rPr>
        <w:t xml:space="preserve"> Model</w:t>
      </w:r>
      <w:r w:rsidR="00342922">
        <w:rPr>
          <w:b/>
          <w:sz w:val="24"/>
          <w:szCs w:val="24"/>
        </w:rPr>
        <w:t>i</w:t>
      </w:r>
    </w:p>
    <w:p w:rsidR="003B0E31" w:rsidRDefault="003B0E31" w:rsidP="003B0E31">
      <w:pPr>
        <w:jc w:val="both"/>
      </w:pPr>
      <w:r>
        <w:rPr>
          <w:noProof/>
          <w:lang w:eastAsia="tr-TR"/>
        </w:rPr>
        <w:drawing>
          <wp:inline distT="0" distB="0" distL="0" distR="0">
            <wp:extent cx="5735048" cy="3766413"/>
            <wp:effectExtent l="0" t="0" r="0" b="5715"/>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9260" cy="3769179"/>
                    </a:xfrm>
                    <a:prstGeom prst="rect">
                      <a:avLst/>
                    </a:prstGeom>
                    <a:noFill/>
                  </pic:spPr>
                </pic:pic>
              </a:graphicData>
            </a:graphic>
          </wp:inline>
        </w:drawing>
      </w:r>
    </w:p>
    <w:p w:rsidR="003B0E31" w:rsidRDefault="00853146" w:rsidP="003B0E31">
      <w:pPr>
        <w:jc w:val="both"/>
      </w:pPr>
      <w:r>
        <w:t xml:space="preserve">Şekil 2 : </w:t>
      </w:r>
      <w:r w:rsidR="002E0F11">
        <w:t xml:space="preserve">Otomotiv Sektöründe </w:t>
      </w:r>
      <w:r>
        <w:t xml:space="preserve">Solvent Yönetim Planı </w:t>
      </w:r>
      <w:r w:rsidR="002E0F11">
        <w:t>(</w:t>
      </w:r>
      <w:r>
        <w:t>Kütle Denge Modeli</w:t>
      </w:r>
      <w:r w:rsidR="002E0F11">
        <w:t>)</w:t>
      </w:r>
    </w:p>
    <w:p w:rsidR="003B0E31" w:rsidRPr="00610B62" w:rsidRDefault="00DB1A88" w:rsidP="003B0E31">
      <w:pPr>
        <w:jc w:val="both"/>
        <w:rPr>
          <w:sz w:val="24"/>
          <w:szCs w:val="24"/>
        </w:rPr>
      </w:pPr>
      <w:r w:rsidRPr="00610B62">
        <w:rPr>
          <w:sz w:val="24"/>
          <w:szCs w:val="24"/>
        </w:rPr>
        <w:t>Aş</w:t>
      </w:r>
      <w:r w:rsidR="00610B62" w:rsidRPr="00610B62">
        <w:rPr>
          <w:sz w:val="24"/>
          <w:szCs w:val="24"/>
        </w:rPr>
        <w:t>ağıdaki tanımlar kü</w:t>
      </w:r>
      <w:r w:rsidR="003B0E31" w:rsidRPr="00610B62">
        <w:rPr>
          <w:sz w:val="24"/>
          <w:szCs w:val="24"/>
        </w:rPr>
        <w:t xml:space="preserve">tle </w:t>
      </w:r>
      <w:r w:rsidRPr="00610B62">
        <w:rPr>
          <w:sz w:val="24"/>
          <w:szCs w:val="24"/>
        </w:rPr>
        <w:t>dengesi işlemi için çerçeve oluş</w:t>
      </w:r>
      <w:r w:rsidR="003B0E31" w:rsidRPr="00610B62">
        <w:rPr>
          <w:sz w:val="24"/>
          <w:szCs w:val="24"/>
        </w:rPr>
        <w:t xml:space="preserve">turmaktadır. </w:t>
      </w:r>
    </w:p>
    <w:p w:rsidR="003B0E31" w:rsidRPr="00610B62" w:rsidRDefault="002D4E4A" w:rsidP="003B0E31">
      <w:pPr>
        <w:jc w:val="both"/>
        <w:rPr>
          <w:b/>
          <w:sz w:val="24"/>
          <w:szCs w:val="24"/>
        </w:rPr>
      </w:pPr>
      <w:r w:rsidRPr="00610B62">
        <w:rPr>
          <w:b/>
          <w:sz w:val="24"/>
          <w:szCs w:val="24"/>
        </w:rPr>
        <w:t xml:space="preserve">4.1 </w:t>
      </w:r>
      <w:r w:rsidR="001F5B08" w:rsidRPr="00610B62">
        <w:rPr>
          <w:b/>
          <w:sz w:val="24"/>
          <w:szCs w:val="24"/>
        </w:rPr>
        <w:t>Organik solvent girdileri (I)</w:t>
      </w:r>
    </w:p>
    <w:p w:rsidR="003E61C5" w:rsidRPr="00610B62" w:rsidRDefault="004E445B" w:rsidP="003B0E31">
      <w:pPr>
        <w:jc w:val="both"/>
        <w:rPr>
          <w:sz w:val="24"/>
          <w:szCs w:val="24"/>
        </w:rPr>
      </w:pPr>
      <w:r w:rsidRPr="00610B62">
        <w:rPr>
          <w:sz w:val="24"/>
          <w:szCs w:val="24"/>
        </w:rPr>
        <w:t xml:space="preserve"> </w:t>
      </w:r>
      <w:r w:rsidRPr="00501987">
        <w:rPr>
          <w:b/>
          <w:sz w:val="24"/>
          <w:szCs w:val="24"/>
        </w:rPr>
        <w:t>I1:</w:t>
      </w:r>
      <w:r w:rsidRPr="00610B62">
        <w:rPr>
          <w:sz w:val="24"/>
          <w:szCs w:val="24"/>
        </w:rPr>
        <w:t xml:space="preserve"> Kü</w:t>
      </w:r>
      <w:r w:rsidR="003B0E31" w:rsidRPr="00610B62">
        <w:rPr>
          <w:sz w:val="24"/>
          <w:szCs w:val="24"/>
        </w:rPr>
        <w:t>tle dengesin</w:t>
      </w:r>
      <w:r w:rsidR="00653DDA" w:rsidRPr="00610B62">
        <w:rPr>
          <w:sz w:val="24"/>
          <w:szCs w:val="24"/>
        </w:rPr>
        <w:t>in hesaplandığı dönem boyunca iş</w:t>
      </w:r>
      <w:r w:rsidR="003B0E31" w:rsidRPr="00610B62">
        <w:rPr>
          <w:sz w:val="24"/>
          <w:szCs w:val="24"/>
        </w:rPr>
        <w:t xml:space="preserve">lemlerde girdi </w:t>
      </w:r>
      <w:r w:rsidR="00653DDA" w:rsidRPr="00610B62">
        <w:rPr>
          <w:sz w:val="24"/>
          <w:szCs w:val="24"/>
        </w:rPr>
        <w:t>olarak kullanılan satın alınmış</w:t>
      </w:r>
      <w:r w:rsidR="003B0E31" w:rsidRPr="00610B62">
        <w:rPr>
          <w:sz w:val="24"/>
          <w:szCs w:val="24"/>
        </w:rPr>
        <w:t xml:space="preserve"> organik solventlerin</w:t>
      </w:r>
      <w:r w:rsidR="00653DDA" w:rsidRPr="00610B62">
        <w:rPr>
          <w:sz w:val="24"/>
          <w:szCs w:val="24"/>
        </w:rPr>
        <w:t xml:space="preserve"> miktarı veya satın alınan karış</w:t>
      </w:r>
      <w:r w:rsidR="003B0E31" w:rsidRPr="00610B62">
        <w:rPr>
          <w:sz w:val="24"/>
          <w:szCs w:val="24"/>
        </w:rPr>
        <w:t xml:space="preserve">ımlar içinde </w:t>
      </w:r>
      <w:r w:rsidR="001F5B08" w:rsidRPr="00610B62">
        <w:rPr>
          <w:sz w:val="24"/>
          <w:szCs w:val="24"/>
        </w:rPr>
        <w:t xml:space="preserve">bu solventlerin miktarı.  </w:t>
      </w:r>
    </w:p>
    <w:p w:rsidR="003B0E31" w:rsidRPr="00610B62" w:rsidRDefault="001F5B08" w:rsidP="003B0E31">
      <w:pPr>
        <w:jc w:val="both"/>
        <w:rPr>
          <w:sz w:val="24"/>
          <w:szCs w:val="24"/>
        </w:rPr>
      </w:pPr>
      <w:r w:rsidRPr="00610B62">
        <w:rPr>
          <w:sz w:val="24"/>
          <w:szCs w:val="24"/>
        </w:rPr>
        <w:t xml:space="preserve"> </w:t>
      </w:r>
      <w:r w:rsidRPr="00501987">
        <w:rPr>
          <w:b/>
          <w:sz w:val="24"/>
          <w:szCs w:val="24"/>
        </w:rPr>
        <w:t>I2</w:t>
      </w:r>
      <w:r w:rsidR="004E445B" w:rsidRPr="00501987">
        <w:rPr>
          <w:b/>
          <w:sz w:val="24"/>
          <w:szCs w:val="24"/>
        </w:rPr>
        <w:t>:</w:t>
      </w:r>
      <w:r w:rsidRPr="00610B62">
        <w:rPr>
          <w:sz w:val="24"/>
          <w:szCs w:val="24"/>
        </w:rPr>
        <w:t xml:space="preserve"> İş</w:t>
      </w:r>
      <w:r w:rsidR="003B0E31" w:rsidRPr="00610B62">
        <w:rPr>
          <w:sz w:val="24"/>
          <w:szCs w:val="24"/>
        </w:rPr>
        <w:t>lemlerde girdi olarak yeniden kazanılan ve tekrar kullanılan organik</w:t>
      </w:r>
      <w:r w:rsidR="003E61C5" w:rsidRPr="00610B62">
        <w:rPr>
          <w:sz w:val="24"/>
          <w:szCs w:val="24"/>
        </w:rPr>
        <w:t xml:space="preserve"> solventlerin miktarı veya karış</w:t>
      </w:r>
      <w:r w:rsidR="003B0E31" w:rsidRPr="00610B62">
        <w:rPr>
          <w:sz w:val="24"/>
          <w:szCs w:val="24"/>
        </w:rPr>
        <w:t>ımlar içinde bu solventleri</w:t>
      </w:r>
      <w:r w:rsidR="003E61C5" w:rsidRPr="00610B62">
        <w:rPr>
          <w:sz w:val="24"/>
          <w:szCs w:val="24"/>
        </w:rPr>
        <w:t>n miktarı. Geri dönüştürülmüş</w:t>
      </w:r>
      <w:r w:rsidR="003B0E31" w:rsidRPr="00610B62">
        <w:rPr>
          <w:sz w:val="24"/>
          <w:szCs w:val="24"/>
        </w:rPr>
        <w:t xml:space="preserve"> solventler faaliyet yürütü</w:t>
      </w:r>
      <w:r w:rsidR="003E61C5" w:rsidRPr="00610B62">
        <w:rPr>
          <w:sz w:val="24"/>
          <w:szCs w:val="24"/>
        </w:rPr>
        <w:t>lürken her kullanımlarında hesab</w:t>
      </w:r>
      <w:r w:rsidR="003B0E31" w:rsidRPr="00610B62">
        <w:rPr>
          <w:sz w:val="24"/>
          <w:szCs w:val="24"/>
        </w:rPr>
        <w:t xml:space="preserve">a katılacaklardır.  </w:t>
      </w:r>
    </w:p>
    <w:p w:rsidR="003B0E31" w:rsidRPr="00610B62" w:rsidRDefault="002D4E4A" w:rsidP="003B0E31">
      <w:pPr>
        <w:jc w:val="both"/>
        <w:rPr>
          <w:b/>
          <w:sz w:val="24"/>
          <w:szCs w:val="24"/>
        </w:rPr>
      </w:pPr>
      <w:r w:rsidRPr="00610B62">
        <w:rPr>
          <w:b/>
          <w:sz w:val="24"/>
          <w:szCs w:val="24"/>
        </w:rPr>
        <w:t xml:space="preserve">4.2 </w:t>
      </w:r>
      <w:r w:rsidR="001F5B08" w:rsidRPr="00610B62">
        <w:rPr>
          <w:b/>
          <w:sz w:val="24"/>
          <w:szCs w:val="24"/>
        </w:rPr>
        <w:t>Organik solvent çıktıları (O)</w:t>
      </w:r>
    </w:p>
    <w:p w:rsidR="003B0E31" w:rsidRPr="00610B62" w:rsidRDefault="00DB1A88" w:rsidP="003B0E31">
      <w:pPr>
        <w:jc w:val="both"/>
        <w:rPr>
          <w:sz w:val="24"/>
          <w:szCs w:val="24"/>
        </w:rPr>
      </w:pPr>
      <w:r w:rsidRPr="00501987">
        <w:rPr>
          <w:b/>
          <w:sz w:val="24"/>
          <w:szCs w:val="24"/>
        </w:rPr>
        <w:t>O1:</w:t>
      </w:r>
      <w:r w:rsidRPr="00610B62">
        <w:rPr>
          <w:sz w:val="24"/>
          <w:szCs w:val="24"/>
        </w:rPr>
        <w:t xml:space="preserve"> Atık gazlardaki salımlar.</w:t>
      </w:r>
    </w:p>
    <w:p w:rsidR="003E61C5" w:rsidRPr="00610B62" w:rsidRDefault="00DB1A88" w:rsidP="003B0E31">
      <w:pPr>
        <w:jc w:val="both"/>
        <w:rPr>
          <w:sz w:val="24"/>
          <w:szCs w:val="24"/>
        </w:rPr>
      </w:pPr>
      <w:r w:rsidRPr="00501987">
        <w:rPr>
          <w:b/>
          <w:sz w:val="24"/>
          <w:szCs w:val="24"/>
        </w:rPr>
        <w:t>O2:</w:t>
      </w:r>
      <w:r w:rsidRPr="00610B62">
        <w:rPr>
          <w:sz w:val="24"/>
          <w:szCs w:val="24"/>
        </w:rPr>
        <w:t xml:space="preserve"> </w:t>
      </w:r>
      <w:r w:rsidR="003B0E31" w:rsidRPr="00610B62">
        <w:rPr>
          <w:sz w:val="24"/>
          <w:szCs w:val="24"/>
        </w:rPr>
        <w:t>Su</w:t>
      </w:r>
      <w:r w:rsidR="004E445B" w:rsidRPr="00610B62">
        <w:rPr>
          <w:sz w:val="24"/>
          <w:szCs w:val="24"/>
        </w:rPr>
        <w:t>da yok olan organik solventler.</w:t>
      </w:r>
    </w:p>
    <w:p w:rsidR="003E61C5" w:rsidRPr="00610B62" w:rsidRDefault="00F509A8" w:rsidP="003B0E31">
      <w:pPr>
        <w:jc w:val="both"/>
        <w:rPr>
          <w:sz w:val="24"/>
          <w:szCs w:val="24"/>
        </w:rPr>
      </w:pPr>
      <w:r w:rsidRPr="00501987">
        <w:rPr>
          <w:b/>
          <w:sz w:val="24"/>
          <w:szCs w:val="24"/>
        </w:rPr>
        <w:t>O3</w:t>
      </w:r>
      <w:r w:rsidR="004E445B" w:rsidRPr="00501987">
        <w:rPr>
          <w:b/>
          <w:sz w:val="24"/>
          <w:szCs w:val="24"/>
        </w:rPr>
        <w:t>:</w:t>
      </w:r>
      <w:r w:rsidR="004E445B" w:rsidRPr="00610B62">
        <w:rPr>
          <w:sz w:val="24"/>
          <w:szCs w:val="24"/>
        </w:rPr>
        <w:t xml:space="preserve"> </w:t>
      </w:r>
      <w:r w:rsidRPr="00610B62">
        <w:rPr>
          <w:sz w:val="24"/>
          <w:szCs w:val="24"/>
        </w:rPr>
        <w:t>İş</w:t>
      </w:r>
      <w:r w:rsidR="003B0E31" w:rsidRPr="00610B62">
        <w:rPr>
          <w:sz w:val="24"/>
          <w:szCs w:val="24"/>
        </w:rPr>
        <w:t xml:space="preserve">lemden geçen ürünlerde kirlilik veya artık olarak kalan organik solventlerin miktarı. </w:t>
      </w:r>
    </w:p>
    <w:p w:rsidR="003E61C5" w:rsidRPr="00610B62" w:rsidRDefault="003B0E31" w:rsidP="003B0E31">
      <w:pPr>
        <w:jc w:val="both"/>
        <w:rPr>
          <w:sz w:val="24"/>
          <w:szCs w:val="24"/>
        </w:rPr>
      </w:pPr>
      <w:r w:rsidRPr="00501987">
        <w:rPr>
          <w:b/>
          <w:sz w:val="24"/>
          <w:szCs w:val="24"/>
        </w:rPr>
        <w:t>O4</w:t>
      </w:r>
      <w:r w:rsidR="004E445B" w:rsidRPr="00501987">
        <w:rPr>
          <w:b/>
          <w:sz w:val="24"/>
          <w:szCs w:val="24"/>
        </w:rPr>
        <w:t>:</w:t>
      </w:r>
      <w:r w:rsidR="004E445B" w:rsidRPr="00610B62">
        <w:rPr>
          <w:sz w:val="24"/>
          <w:szCs w:val="24"/>
        </w:rPr>
        <w:t xml:space="preserve"> </w:t>
      </w:r>
      <w:r w:rsidRPr="00610B62">
        <w:rPr>
          <w:sz w:val="24"/>
          <w:szCs w:val="24"/>
        </w:rPr>
        <w:t>Organik solventlerden havaya yapılan ve yakalanam</w:t>
      </w:r>
      <w:r w:rsidR="003E61C5" w:rsidRPr="00610B62">
        <w:rPr>
          <w:sz w:val="24"/>
          <w:szCs w:val="24"/>
        </w:rPr>
        <w:t>ayan salımlar. Buna odaların dış</w:t>
      </w:r>
      <w:r w:rsidRPr="00610B62">
        <w:rPr>
          <w:sz w:val="24"/>
          <w:szCs w:val="24"/>
        </w:rPr>
        <w:t xml:space="preserve"> ortamlara pencereler, kapılar, havalandırma delikleri veya benzer açıklıklar kanalıyla hava salınması yoluyla genel havalandırılması dâhildir.  </w:t>
      </w:r>
    </w:p>
    <w:p w:rsidR="003B0E31" w:rsidRPr="00610B62" w:rsidRDefault="004E445B" w:rsidP="003B0E31">
      <w:pPr>
        <w:jc w:val="both"/>
        <w:rPr>
          <w:sz w:val="24"/>
          <w:szCs w:val="24"/>
        </w:rPr>
      </w:pPr>
      <w:r w:rsidRPr="00501987">
        <w:rPr>
          <w:b/>
          <w:sz w:val="24"/>
          <w:szCs w:val="24"/>
        </w:rPr>
        <w:lastRenderedPageBreak/>
        <w:t>O5:</w:t>
      </w:r>
      <w:r w:rsidRPr="00610B62">
        <w:rPr>
          <w:sz w:val="24"/>
          <w:szCs w:val="24"/>
        </w:rPr>
        <w:t xml:space="preserve"> </w:t>
      </w:r>
      <w:r w:rsidR="003B0E31" w:rsidRPr="00610B62">
        <w:rPr>
          <w:sz w:val="24"/>
          <w:szCs w:val="24"/>
        </w:rPr>
        <w:t xml:space="preserve">Kimyasal veya fiziksel reaksiyonlar sonucunda kaybolan organik </w:t>
      </w:r>
      <w:r w:rsidR="003E61C5" w:rsidRPr="00610B62">
        <w:rPr>
          <w:sz w:val="24"/>
          <w:szCs w:val="24"/>
        </w:rPr>
        <w:t>solventler ve/veya organik bileş</w:t>
      </w:r>
      <w:r w:rsidR="003B0E31" w:rsidRPr="00610B62">
        <w:rPr>
          <w:sz w:val="24"/>
          <w:szCs w:val="24"/>
        </w:rPr>
        <w:t>ikler (yakma veya</w:t>
      </w:r>
      <w:r w:rsidR="003E61C5" w:rsidRPr="00610B62">
        <w:rPr>
          <w:sz w:val="24"/>
          <w:szCs w:val="24"/>
        </w:rPr>
        <w:t xml:space="preserve"> diğer atık gaz ya da atık su iş</w:t>
      </w:r>
      <w:r w:rsidR="003B0E31" w:rsidRPr="00610B62">
        <w:rPr>
          <w:sz w:val="24"/>
          <w:szCs w:val="24"/>
        </w:rPr>
        <w:t>leme yöntemleriyle yok edilenler veya yakalananlar O6, O7 veya O8 olmadıkları sürece dâhildir).</w:t>
      </w:r>
    </w:p>
    <w:p w:rsidR="00DB1A88" w:rsidRPr="00610B62" w:rsidRDefault="004E445B" w:rsidP="00DB1A88">
      <w:pPr>
        <w:jc w:val="both"/>
        <w:rPr>
          <w:sz w:val="24"/>
          <w:szCs w:val="24"/>
        </w:rPr>
      </w:pPr>
      <w:r w:rsidRPr="00501987">
        <w:rPr>
          <w:b/>
          <w:sz w:val="24"/>
          <w:szCs w:val="24"/>
        </w:rPr>
        <w:t>O6:</w:t>
      </w:r>
      <w:r w:rsidRPr="00610B62">
        <w:rPr>
          <w:sz w:val="24"/>
          <w:szCs w:val="24"/>
        </w:rPr>
        <w:t xml:space="preserve"> </w:t>
      </w:r>
      <w:r w:rsidR="003E61C5" w:rsidRPr="00610B62">
        <w:rPr>
          <w:sz w:val="24"/>
          <w:szCs w:val="24"/>
        </w:rPr>
        <w:t>Toplanmış</w:t>
      </w:r>
      <w:r w:rsidR="00DB1A88" w:rsidRPr="00610B62">
        <w:rPr>
          <w:sz w:val="24"/>
          <w:szCs w:val="24"/>
        </w:rPr>
        <w:t xml:space="preserve"> atıklarda var olan organik solventler. </w:t>
      </w:r>
    </w:p>
    <w:p w:rsidR="00DB1A88" w:rsidRPr="00610B62" w:rsidRDefault="004E445B" w:rsidP="00DB1A88">
      <w:pPr>
        <w:jc w:val="both"/>
        <w:rPr>
          <w:sz w:val="24"/>
          <w:szCs w:val="24"/>
        </w:rPr>
      </w:pPr>
      <w:r w:rsidRPr="00501987">
        <w:rPr>
          <w:b/>
          <w:sz w:val="24"/>
          <w:szCs w:val="24"/>
        </w:rPr>
        <w:t>O7:</w:t>
      </w:r>
      <w:r w:rsidRPr="00610B62">
        <w:rPr>
          <w:sz w:val="24"/>
          <w:szCs w:val="24"/>
        </w:rPr>
        <w:t xml:space="preserve"> </w:t>
      </w:r>
      <w:r w:rsidR="00DB1A88" w:rsidRPr="00610B62">
        <w:rPr>
          <w:sz w:val="24"/>
          <w:szCs w:val="24"/>
        </w:rPr>
        <w:t>Ekonomik değeri olan ürünler sıfatıyla satılan veya satılmak isten</w:t>
      </w:r>
      <w:r w:rsidR="003E61C5" w:rsidRPr="00610B62">
        <w:rPr>
          <w:sz w:val="24"/>
          <w:szCs w:val="24"/>
        </w:rPr>
        <w:t>en organik solventler veya karış</w:t>
      </w:r>
      <w:r w:rsidR="00DB1A88" w:rsidRPr="00610B62">
        <w:rPr>
          <w:sz w:val="24"/>
          <w:szCs w:val="24"/>
        </w:rPr>
        <w:t xml:space="preserve">ımlar içindeki organik solventler. </w:t>
      </w:r>
    </w:p>
    <w:p w:rsidR="00DB1A88" w:rsidRPr="00610B62" w:rsidRDefault="004E445B" w:rsidP="00DB1A88">
      <w:pPr>
        <w:jc w:val="both"/>
        <w:rPr>
          <w:sz w:val="24"/>
          <w:szCs w:val="24"/>
        </w:rPr>
      </w:pPr>
      <w:r w:rsidRPr="00501987">
        <w:rPr>
          <w:b/>
          <w:sz w:val="24"/>
          <w:szCs w:val="24"/>
        </w:rPr>
        <w:t>O8:</w:t>
      </w:r>
      <w:r w:rsidRPr="00610B62">
        <w:rPr>
          <w:sz w:val="24"/>
          <w:szCs w:val="24"/>
        </w:rPr>
        <w:t xml:space="preserve"> </w:t>
      </w:r>
      <w:r w:rsidR="00DB1A88" w:rsidRPr="00610B62">
        <w:rPr>
          <w:sz w:val="24"/>
          <w:szCs w:val="24"/>
        </w:rPr>
        <w:t>Tekrar kullanma</w:t>
      </w:r>
      <w:r w:rsidR="003E61C5" w:rsidRPr="00610B62">
        <w:rPr>
          <w:sz w:val="24"/>
          <w:szCs w:val="24"/>
        </w:rPr>
        <w:t>k üzere yeniden kazanılan ama işleme girdi olarak sokulmamış karış</w:t>
      </w:r>
      <w:r w:rsidR="00DB1A88" w:rsidRPr="00610B62">
        <w:rPr>
          <w:sz w:val="24"/>
          <w:szCs w:val="24"/>
        </w:rPr>
        <w:t xml:space="preserve">ımlardaki organik solventler (O7 tanımında yer almadıkları sürece).  </w:t>
      </w:r>
    </w:p>
    <w:p w:rsidR="003B0E31" w:rsidRPr="00610B62" w:rsidRDefault="004E445B" w:rsidP="00DB1A88">
      <w:pPr>
        <w:jc w:val="both"/>
        <w:rPr>
          <w:sz w:val="24"/>
          <w:szCs w:val="24"/>
        </w:rPr>
      </w:pPr>
      <w:r w:rsidRPr="00501987">
        <w:rPr>
          <w:b/>
          <w:sz w:val="24"/>
          <w:szCs w:val="24"/>
        </w:rPr>
        <w:t>O9:</w:t>
      </w:r>
      <w:r w:rsidRPr="00610B62">
        <w:rPr>
          <w:sz w:val="24"/>
          <w:szCs w:val="24"/>
        </w:rPr>
        <w:t xml:space="preserve"> </w:t>
      </w:r>
      <w:r w:rsidR="00DB1A88" w:rsidRPr="00610B62">
        <w:rPr>
          <w:sz w:val="24"/>
          <w:szCs w:val="24"/>
        </w:rPr>
        <w:t xml:space="preserve"> Diğer biçimlerde elden çıkan organik solventler.</w:t>
      </w:r>
    </w:p>
    <w:p w:rsidR="00DB1A88" w:rsidRPr="00610B62" w:rsidRDefault="002D4E4A" w:rsidP="00DB1A88">
      <w:pPr>
        <w:jc w:val="both"/>
        <w:rPr>
          <w:b/>
          <w:sz w:val="24"/>
          <w:szCs w:val="24"/>
        </w:rPr>
      </w:pPr>
      <w:r w:rsidRPr="00610B62">
        <w:rPr>
          <w:b/>
          <w:sz w:val="24"/>
          <w:szCs w:val="24"/>
        </w:rPr>
        <w:t xml:space="preserve">4.3 </w:t>
      </w:r>
      <w:r w:rsidR="00501987">
        <w:rPr>
          <w:b/>
          <w:sz w:val="24"/>
          <w:szCs w:val="24"/>
        </w:rPr>
        <w:t>Boyanan Yüzey A</w:t>
      </w:r>
      <w:r w:rsidR="00DB1A88" w:rsidRPr="00610B62">
        <w:rPr>
          <w:b/>
          <w:sz w:val="24"/>
          <w:szCs w:val="24"/>
        </w:rPr>
        <w:t xml:space="preserve">lanı  </w:t>
      </w:r>
    </w:p>
    <w:p w:rsidR="004E445B" w:rsidRPr="00610B62" w:rsidRDefault="003E61C5" w:rsidP="00DB1A88">
      <w:pPr>
        <w:jc w:val="both"/>
        <w:rPr>
          <w:sz w:val="24"/>
          <w:szCs w:val="24"/>
        </w:rPr>
      </w:pPr>
      <w:r w:rsidRPr="00610B62">
        <w:rPr>
          <w:sz w:val="24"/>
          <w:szCs w:val="24"/>
        </w:rPr>
        <w:t>EED göre ilgili yüzey alanı şu şekilde</w:t>
      </w:r>
      <w:r w:rsidR="00DB1A88" w:rsidRPr="00610B62">
        <w:rPr>
          <w:sz w:val="24"/>
          <w:szCs w:val="24"/>
        </w:rPr>
        <w:t xml:space="preserve"> tanımlanmaktadır: </w:t>
      </w:r>
    </w:p>
    <w:p w:rsidR="00DB1A88" w:rsidRPr="00610B62" w:rsidRDefault="004E445B" w:rsidP="00DB1A88">
      <w:pPr>
        <w:jc w:val="both"/>
        <w:rPr>
          <w:sz w:val="24"/>
          <w:szCs w:val="24"/>
        </w:rPr>
      </w:pPr>
      <w:r w:rsidRPr="00610B62">
        <w:rPr>
          <w:sz w:val="24"/>
          <w:szCs w:val="24"/>
        </w:rPr>
        <w:t>“</w:t>
      </w:r>
      <w:r w:rsidR="00DB1A88" w:rsidRPr="00610B62">
        <w:rPr>
          <w:sz w:val="24"/>
          <w:szCs w:val="24"/>
        </w:rPr>
        <w:t>Toplam elektroforetik kaplama alanına g</w:t>
      </w:r>
      <w:r w:rsidR="003E61C5" w:rsidRPr="00610B62">
        <w:rPr>
          <w:sz w:val="24"/>
          <w:szCs w:val="24"/>
        </w:rPr>
        <w:t>ö</w:t>
      </w:r>
      <w:r w:rsidR="00DB1A88" w:rsidRPr="00610B62">
        <w:rPr>
          <w:sz w:val="24"/>
          <w:szCs w:val="24"/>
        </w:rPr>
        <w:t>re hesaplanan y</w:t>
      </w:r>
      <w:r w:rsidR="003E61C5" w:rsidRPr="00610B62">
        <w:rPr>
          <w:sz w:val="24"/>
          <w:szCs w:val="24"/>
        </w:rPr>
        <w:t>ü</w:t>
      </w:r>
      <w:r w:rsidR="00DB1A88" w:rsidRPr="00610B62">
        <w:rPr>
          <w:sz w:val="24"/>
          <w:szCs w:val="24"/>
        </w:rPr>
        <w:t>zey alanı ve boya kaplama prosesinin daha sonraki aşamalarında eklenen ve s</w:t>
      </w:r>
      <w:r w:rsidR="003E61C5" w:rsidRPr="00610B62">
        <w:rPr>
          <w:sz w:val="24"/>
          <w:szCs w:val="24"/>
        </w:rPr>
        <w:t>ö</w:t>
      </w:r>
      <w:r w:rsidR="00DB1A88" w:rsidRPr="00610B62">
        <w:rPr>
          <w:sz w:val="24"/>
          <w:szCs w:val="24"/>
        </w:rPr>
        <w:t xml:space="preserve">z konusu </w:t>
      </w:r>
      <w:r w:rsidR="003E61C5" w:rsidRPr="00610B62">
        <w:rPr>
          <w:sz w:val="24"/>
          <w:szCs w:val="24"/>
        </w:rPr>
        <w:t>ü</w:t>
      </w:r>
      <w:r w:rsidR="00DB1A88" w:rsidRPr="00610B62">
        <w:rPr>
          <w:sz w:val="24"/>
          <w:szCs w:val="24"/>
        </w:rPr>
        <w:t>r</w:t>
      </w:r>
      <w:r w:rsidR="003E61C5" w:rsidRPr="00610B62">
        <w:rPr>
          <w:sz w:val="24"/>
          <w:szCs w:val="24"/>
        </w:rPr>
        <w:t>ü</w:t>
      </w:r>
      <w:r w:rsidR="00DB1A88" w:rsidRPr="00610B62">
        <w:rPr>
          <w:sz w:val="24"/>
          <w:szCs w:val="24"/>
        </w:rPr>
        <w:t>nle aynı kaplama kullanılarak boyanan herhangi bir paranın y</w:t>
      </w:r>
      <w:r w:rsidR="003E61C5" w:rsidRPr="00610B62">
        <w:rPr>
          <w:sz w:val="24"/>
          <w:szCs w:val="24"/>
        </w:rPr>
        <w:t>ü</w:t>
      </w:r>
      <w:r w:rsidR="00DB1A88" w:rsidRPr="00610B62">
        <w:rPr>
          <w:sz w:val="24"/>
          <w:szCs w:val="24"/>
        </w:rPr>
        <w:t xml:space="preserve">zey alanı ya da tesiste boya kaplaması yapılan </w:t>
      </w:r>
      <w:r w:rsidR="003E61C5" w:rsidRPr="00610B62">
        <w:rPr>
          <w:sz w:val="24"/>
          <w:szCs w:val="24"/>
        </w:rPr>
        <w:t>ü</w:t>
      </w:r>
      <w:r w:rsidR="00DB1A88" w:rsidRPr="00610B62">
        <w:rPr>
          <w:sz w:val="24"/>
          <w:szCs w:val="24"/>
        </w:rPr>
        <w:t>r</w:t>
      </w:r>
      <w:r w:rsidR="003E61C5" w:rsidRPr="00610B62">
        <w:rPr>
          <w:sz w:val="24"/>
          <w:szCs w:val="24"/>
        </w:rPr>
        <w:t>ü</w:t>
      </w:r>
      <w:r w:rsidR="00DB1A88" w:rsidRPr="00610B62">
        <w:rPr>
          <w:sz w:val="24"/>
          <w:szCs w:val="24"/>
        </w:rPr>
        <w:t>n</w:t>
      </w:r>
      <w:r w:rsidR="003E61C5" w:rsidRPr="00610B62">
        <w:rPr>
          <w:sz w:val="24"/>
          <w:szCs w:val="24"/>
        </w:rPr>
        <w:t>ü</w:t>
      </w:r>
      <w:r w:rsidR="00DB1A88" w:rsidRPr="00610B62">
        <w:rPr>
          <w:sz w:val="24"/>
          <w:szCs w:val="24"/>
        </w:rPr>
        <w:t>n toplam y</w:t>
      </w:r>
      <w:r w:rsidR="003E61C5" w:rsidRPr="00610B62">
        <w:rPr>
          <w:sz w:val="24"/>
          <w:szCs w:val="24"/>
        </w:rPr>
        <w:t>ü</w:t>
      </w:r>
      <w:r w:rsidR="00DB1A88" w:rsidRPr="00610B62">
        <w:rPr>
          <w:sz w:val="24"/>
          <w:szCs w:val="24"/>
        </w:rPr>
        <w:t xml:space="preserve">zey alanı. </w:t>
      </w:r>
      <w:r w:rsidRPr="00610B62">
        <w:rPr>
          <w:sz w:val="24"/>
          <w:szCs w:val="24"/>
        </w:rPr>
        <w:t>“</w:t>
      </w:r>
      <w:r w:rsidR="00DB1A88" w:rsidRPr="00610B62">
        <w:rPr>
          <w:sz w:val="24"/>
          <w:szCs w:val="24"/>
        </w:rPr>
        <w:t xml:space="preserve">  </w:t>
      </w:r>
    </w:p>
    <w:p w:rsidR="00ED549A" w:rsidRPr="00ED549A" w:rsidRDefault="00ED549A" w:rsidP="00ED549A">
      <w:pPr>
        <w:jc w:val="both"/>
        <w:rPr>
          <w:sz w:val="24"/>
          <w:szCs w:val="24"/>
        </w:rPr>
      </w:pPr>
      <w:r w:rsidRPr="00ED549A">
        <w:rPr>
          <w:sz w:val="24"/>
          <w:szCs w:val="24"/>
        </w:rPr>
        <w:t>Elektroforetik</w:t>
      </w:r>
      <w:r>
        <w:rPr>
          <w:sz w:val="24"/>
          <w:szCs w:val="24"/>
        </w:rPr>
        <w:t xml:space="preserve"> (kataforez) kaplama alanı aş</w:t>
      </w:r>
      <w:r w:rsidRPr="00ED549A">
        <w:rPr>
          <w:sz w:val="24"/>
          <w:szCs w:val="24"/>
        </w:rPr>
        <w:t xml:space="preserve">ağıdaki formüle göre hesaplanır: </w:t>
      </w:r>
    </w:p>
    <w:p w:rsidR="00ED549A" w:rsidRPr="00ED549A" w:rsidRDefault="00ED549A" w:rsidP="00ED549A">
      <w:pPr>
        <w:jc w:val="center"/>
        <w:rPr>
          <w:sz w:val="24"/>
          <w:szCs w:val="24"/>
        </w:rPr>
      </w:pPr>
      <w:r>
        <w:rPr>
          <w:sz w:val="24"/>
          <w:szCs w:val="24"/>
        </w:rPr>
        <w:t xml:space="preserve">( </w:t>
      </w:r>
      <w:r w:rsidRPr="00ED549A">
        <w:rPr>
          <w:sz w:val="24"/>
          <w:szCs w:val="24"/>
        </w:rPr>
        <w:t>2 x ürün kaportasının toplam ağırlığı</w:t>
      </w:r>
      <w:r>
        <w:rPr>
          <w:sz w:val="24"/>
          <w:szCs w:val="24"/>
        </w:rPr>
        <w:t xml:space="preserve"> )  /</w:t>
      </w:r>
    </w:p>
    <w:p w:rsidR="00ED549A" w:rsidRDefault="00ED549A" w:rsidP="00ED549A">
      <w:pPr>
        <w:jc w:val="center"/>
        <w:rPr>
          <w:sz w:val="24"/>
          <w:szCs w:val="24"/>
        </w:rPr>
      </w:pPr>
      <w:r>
        <w:rPr>
          <w:sz w:val="24"/>
          <w:szCs w:val="24"/>
        </w:rPr>
        <w:t>(</w:t>
      </w:r>
      <w:r w:rsidRPr="00ED549A">
        <w:rPr>
          <w:sz w:val="24"/>
          <w:szCs w:val="24"/>
        </w:rPr>
        <w:t>Metal</w:t>
      </w:r>
      <w:r>
        <w:rPr>
          <w:sz w:val="24"/>
          <w:szCs w:val="24"/>
        </w:rPr>
        <w:t xml:space="preserve"> plakanın ortalama kalınlığı * M</w:t>
      </w:r>
      <w:r w:rsidRPr="00ED549A">
        <w:rPr>
          <w:sz w:val="24"/>
          <w:szCs w:val="24"/>
        </w:rPr>
        <w:t>etal plakanın yoğunluğ</w:t>
      </w:r>
      <w:r>
        <w:rPr>
          <w:sz w:val="24"/>
          <w:szCs w:val="24"/>
        </w:rPr>
        <w:t>u )</w:t>
      </w:r>
    </w:p>
    <w:p w:rsidR="00DB1A88" w:rsidRPr="00610B62" w:rsidRDefault="00DB1A88" w:rsidP="00DB1A88">
      <w:pPr>
        <w:jc w:val="both"/>
        <w:rPr>
          <w:sz w:val="24"/>
          <w:szCs w:val="24"/>
        </w:rPr>
      </w:pPr>
      <w:r w:rsidRPr="00610B62">
        <w:rPr>
          <w:sz w:val="24"/>
          <w:szCs w:val="24"/>
        </w:rPr>
        <w:t>Bu y</w:t>
      </w:r>
      <w:r w:rsidR="00A301FF" w:rsidRPr="00610B62">
        <w:rPr>
          <w:sz w:val="24"/>
          <w:szCs w:val="24"/>
        </w:rPr>
        <w:t>ö</w:t>
      </w:r>
      <w:r w:rsidRPr="00610B62">
        <w:rPr>
          <w:sz w:val="24"/>
          <w:szCs w:val="24"/>
        </w:rPr>
        <w:t>ntem boya kaplama yapılan diğer par</w:t>
      </w:r>
      <w:r w:rsidR="00D62F4D" w:rsidRPr="00610B62">
        <w:rPr>
          <w:sz w:val="24"/>
          <w:szCs w:val="24"/>
        </w:rPr>
        <w:t>ç</w:t>
      </w:r>
      <w:r w:rsidRPr="00610B62">
        <w:rPr>
          <w:sz w:val="24"/>
          <w:szCs w:val="24"/>
        </w:rPr>
        <w:t>alarda da uygulanabilir. Alternatif y</w:t>
      </w:r>
      <w:r w:rsidR="00A301FF" w:rsidRPr="00610B62">
        <w:rPr>
          <w:sz w:val="24"/>
          <w:szCs w:val="24"/>
        </w:rPr>
        <w:t>ö</w:t>
      </w:r>
      <w:r w:rsidRPr="00610B62">
        <w:rPr>
          <w:sz w:val="24"/>
          <w:szCs w:val="24"/>
        </w:rPr>
        <w:t>ntemler de (</w:t>
      </w:r>
      <w:r w:rsidR="00D62F4D" w:rsidRPr="00610B62">
        <w:rPr>
          <w:sz w:val="24"/>
          <w:szCs w:val="24"/>
        </w:rPr>
        <w:t>ö</w:t>
      </w:r>
      <w:r w:rsidR="000B0A24">
        <w:rPr>
          <w:sz w:val="24"/>
          <w:szCs w:val="24"/>
        </w:rPr>
        <w:t>rn. Bilgisayar Destekli T</w:t>
      </w:r>
      <w:r w:rsidR="00944C53">
        <w:rPr>
          <w:sz w:val="24"/>
          <w:szCs w:val="24"/>
        </w:rPr>
        <w:t>asarım</w:t>
      </w:r>
      <w:r w:rsidRPr="00610B62">
        <w:rPr>
          <w:sz w:val="24"/>
          <w:szCs w:val="24"/>
        </w:rPr>
        <w:t xml:space="preserve"> verileri kullanılarak) uygulanabilir.   </w:t>
      </w:r>
    </w:p>
    <w:p w:rsidR="003B0E31" w:rsidRPr="00610B62" w:rsidRDefault="00DB1A88" w:rsidP="003B0E31">
      <w:pPr>
        <w:jc w:val="both"/>
        <w:rPr>
          <w:sz w:val="24"/>
          <w:szCs w:val="24"/>
        </w:rPr>
      </w:pPr>
      <w:r w:rsidRPr="00610B62">
        <w:rPr>
          <w:sz w:val="24"/>
          <w:szCs w:val="24"/>
        </w:rPr>
        <w:t>Her otomobil</w:t>
      </w:r>
      <w:r w:rsidR="00ED549A">
        <w:rPr>
          <w:sz w:val="24"/>
          <w:szCs w:val="24"/>
        </w:rPr>
        <w:t>/parça</w:t>
      </w:r>
      <w:r w:rsidRPr="00610B62">
        <w:rPr>
          <w:sz w:val="24"/>
          <w:szCs w:val="24"/>
        </w:rPr>
        <w:t xml:space="preserve"> modeli i</w:t>
      </w:r>
      <w:r w:rsidR="00A301FF" w:rsidRPr="00610B62">
        <w:rPr>
          <w:sz w:val="24"/>
          <w:szCs w:val="24"/>
        </w:rPr>
        <w:t>ç</w:t>
      </w:r>
      <w:r w:rsidRPr="00610B62">
        <w:rPr>
          <w:sz w:val="24"/>
          <w:szCs w:val="24"/>
        </w:rPr>
        <w:t xml:space="preserve">in gerekli olan e-kaplama alanının doğru bir şekilde tespit edilmesi </w:t>
      </w:r>
      <w:r w:rsidR="00A301FF" w:rsidRPr="00610B62">
        <w:rPr>
          <w:sz w:val="24"/>
          <w:szCs w:val="24"/>
        </w:rPr>
        <w:t>ç</w:t>
      </w:r>
      <w:r w:rsidRPr="00610B62">
        <w:rPr>
          <w:sz w:val="24"/>
          <w:szCs w:val="24"/>
        </w:rPr>
        <w:t xml:space="preserve">ok </w:t>
      </w:r>
      <w:r w:rsidR="00D62F4D" w:rsidRPr="00610B62">
        <w:rPr>
          <w:sz w:val="24"/>
          <w:szCs w:val="24"/>
        </w:rPr>
        <w:t>ö</w:t>
      </w:r>
      <w:r w:rsidRPr="00610B62">
        <w:rPr>
          <w:sz w:val="24"/>
          <w:szCs w:val="24"/>
        </w:rPr>
        <w:t xml:space="preserve">nemlidir. </w:t>
      </w:r>
      <w:r w:rsidR="00944C53">
        <w:rPr>
          <w:sz w:val="24"/>
          <w:szCs w:val="24"/>
        </w:rPr>
        <w:t>Buna yönelik veriler gerektiğinde doğrulayıcı kurum yada kuruluşların denetimine açık olmalıdır.</w:t>
      </w:r>
    </w:p>
    <w:p w:rsidR="003B0E31" w:rsidRPr="00610B62" w:rsidRDefault="00D62F4D" w:rsidP="003B0E31">
      <w:pPr>
        <w:jc w:val="both"/>
        <w:rPr>
          <w:sz w:val="24"/>
          <w:szCs w:val="24"/>
        </w:rPr>
      </w:pPr>
      <w:r w:rsidRPr="00610B62">
        <w:rPr>
          <w:sz w:val="24"/>
          <w:szCs w:val="24"/>
        </w:rPr>
        <w:t>Aynı tesis içerisinde y</w:t>
      </w:r>
      <w:r w:rsidR="00DB1A88" w:rsidRPr="00610B62">
        <w:rPr>
          <w:sz w:val="24"/>
          <w:szCs w:val="24"/>
        </w:rPr>
        <w:t>edek parça üretimi de yapılıyorsa, bu proseslerde kullanılan tüm boya ve solvent miktarı ile yüzey alanları solve</w:t>
      </w:r>
      <w:r w:rsidRPr="00610B62">
        <w:rPr>
          <w:sz w:val="24"/>
          <w:szCs w:val="24"/>
        </w:rPr>
        <w:t>nt yönetim planına dahil edilmelid</w:t>
      </w:r>
      <w:r w:rsidR="00DB1A88" w:rsidRPr="00610B62">
        <w:rPr>
          <w:sz w:val="24"/>
          <w:szCs w:val="24"/>
        </w:rPr>
        <w:t>ir.</w:t>
      </w:r>
    </w:p>
    <w:p w:rsidR="00610E3C" w:rsidRPr="00610B62" w:rsidRDefault="002D4E4A" w:rsidP="00610E3C">
      <w:pPr>
        <w:jc w:val="both"/>
        <w:rPr>
          <w:b/>
          <w:sz w:val="24"/>
          <w:szCs w:val="24"/>
        </w:rPr>
      </w:pPr>
      <w:r w:rsidRPr="00610B62">
        <w:rPr>
          <w:b/>
          <w:sz w:val="24"/>
          <w:szCs w:val="24"/>
        </w:rPr>
        <w:t xml:space="preserve">4.4 </w:t>
      </w:r>
      <w:r w:rsidR="00610E3C" w:rsidRPr="00610B62">
        <w:rPr>
          <w:b/>
          <w:sz w:val="24"/>
          <w:szCs w:val="24"/>
        </w:rPr>
        <w:t xml:space="preserve">Atık su ile taşınan solventler  </w:t>
      </w:r>
      <w:r w:rsidRPr="00610B62">
        <w:rPr>
          <w:b/>
          <w:sz w:val="24"/>
          <w:szCs w:val="24"/>
        </w:rPr>
        <w:t>(O2)</w:t>
      </w:r>
    </w:p>
    <w:p w:rsidR="00355732" w:rsidRPr="00862FCE" w:rsidRDefault="00610E3C" w:rsidP="00610E3C">
      <w:pPr>
        <w:jc w:val="both"/>
        <w:rPr>
          <w:sz w:val="24"/>
          <w:szCs w:val="24"/>
        </w:rPr>
      </w:pPr>
      <w:r w:rsidRPr="00610B62">
        <w:rPr>
          <w:sz w:val="24"/>
          <w:szCs w:val="24"/>
        </w:rPr>
        <w:t xml:space="preserve">Islak venturi yıkayıcı havuzundaki suda yalnızca boya partikülleri değil, aynı zamanda uçucu organik bileşikler de çözünmektedir. Bu sistemden boşaltılan atık suyun solvent konsantrasyonu, çözünebilirlik dengesine ulaşacak düzeydedir. Solvent yönetim planı, bu solventin kanalizasyon sistemi ile atıksu arıtma tesisine ulaştığını ve arıtıldığını varsaymaktadır. O1 veya O5 ile kıyaslandığında O2 </w:t>
      </w:r>
      <w:r w:rsidR="00F26F71">
        <w:rPr>
          <w:sz w:val="24"/>
          <w:szCs w:val="24"/>
        </w:rPr>
        <w:t>‘</w:t>
      </w:r>
      <w:r w:rsidRPr="00610B62">
        <w:rPr>
          <w:sz w:val="24"/>
          <w:szCs w:val="24"/>
        </w:rPr>
        <w:t>nin kütle akışı daha düş0k olduğundan, O2 ye atık su hacminin bir sabiti ya da fonksiyonu gibi işlem yapılması yeterlidir</w:t>
      </w:r>
      <w:r w:rsidR="00862FCE">
        <w:rPr>
          <w:sz w:val="24"/>
          <w:szCs w:val="24"/>
        </w:rPr>
        <w:t xml:space="preserve"> (1) </w:t>
      </w:r>
      <w:r w:rsidRPr="00610B62">
        <w:rPr>
          <w:sz w:val="24"/>
          <w:szCs w:val="24"/>
        </w:rPr>
        <w:t xml:space="preserve">.  O2 oranının tespitinde boya malzemeleri içindeki uçucu organik bileşiklerinin sudaki çözünürlüklerinin ortalaması esas alınabilir.  </w:t>
      </w:r>
    </w:p>
    <w:p w:rsidR="00610E3C" w:rsidRPr="00610B62" w:rsidRDefault="002D4E4A" w:rsidP="00610E3C">
      <w:pPr>
        <w:jc w:val="both"/>
        <w:rPr>
          <w:b/>
          <w:sz w:val="24"/>
          <w:szCs w:val="24"/>
        </w:rPr>
      </w:pPr>
      <w:r w:rsidRPr="00610B62">
        <w:rPr>
          <w:b/>
          <w:sz w:val="24"/>
          <w:szCs w:val="24"/>
        </w:rPr>
        <w:lastRenderedPageBreak/>
        <w:t xml:space="preserve">4.5 </w:t>
      </w:r>
      <w:r w:rsidR="00610E3C" w:rsidRPr="00610B62">
        <w:rPr>
          <w:b/>
          <w:sz w:val="24"/>
          <w:szCs w:val="24"/>
        </w:rPr>
        <w:t xml:space="preserve">Atık gaz arıtma işlemi ile yakalanan ve bertaraf edilen solventler  </w:t>
      </w:r>
      <w:r w:rsidRPr="00610B62">
        <w:rPr>
          <w:b/>
          <w:sz w:val="24"/>
          <w:szCs w:val="24"/>
        </w:rPr>
        <w:t>(O5)</w:t>
      </w:r>
    </w:p>
    <w:p w:rsidR="00610E3C" w:rsidRPr="00610B62" w:rsidRDefault="00610E3C" w:rsidP="00610E3C">
      <w:pPr>
        <w:jc w:val="both"/>
        <w:rPr>
          <w:sz w:val="24"/>
          <w:szCs w:val="24"/>
        </w:rPr>
      </w:pPr>
      <w:r w:rsidRPr="00610B62">
        <w:rPr>
          <w:sz w:val="24"/>
          <w:szCs w:val="24"/>
        </w:rPr>
        <w:t>O5 in kütle akışı, herhangi bir atık gaz arıtma ekipmanından havaya salınan solvent artığı ve bu ekipmana giren işlenmemiş gaz akışın</w:t>
      </w:r>
      <w:r w:rsidR="000813C7">
        <w:rPr>
          <w:sz w:val="24"/>
          <w:szCs w:val="24"/>
        </w:rPr>
        <w:t xml:space="preserve">a gelen solvent girdisidir.    </w:t>
      </w:r>
      <w:r w:rsidRPr="00610B62">
        <w:rPr>
          <w:sz w:val="24"/>
          <w:szCs w:val="24"/>
        </w:rPr>
        <w:t>Atık gaz arıtma tesislerindeki atık gaz akışında bulunan u</w:t>
      </w:r>
      <w:r w:rsidR="00A301FF" w:rsidRPr="00610B62">
        <w:rPr>
          <w:sz w:val="24"/>
          <w:szCs w:val="24"/>
        </w:rPr>
        <w:t>ç</w:t>
      </w:r>
      <w:r w:rsidRPr="00610B62">
        <w:rPr>
          <w:sz w:val="24"/>
          <w:szCs w:val="24"/>
        </w:rPr>
        <w:t>ucu organik bileşikler kesintisiz ya da fasılalı y</w:t>
      </w:r>
      <w:r w:rsidR="00A301FF" w:rsidRPr="00610B62">
        <w:rPr>
          <w:sz w:val="24"/>
          <w:szCs w:val="24"/>
        </w:rPr>
        <w:t>ö</w:t>
      </w:r>
      <w:r w:rsidRPr="00610B62">
        <w:rPr>
          <w:sz w:val="24"/>
          <w:szCs w:val="24"/>
        </w:rPr>
        <w:t xml:space="preserve">ntemler ile </w:t>
      </w:r>
      <w:r w:rsidR="00A301FF" w:rsidRPr="00610B62">
        <w:rPr>
          <w:sz w:val="24"/>
          <w:szCs w:val="24"/>
        </w:rPr>
        <w:t>ö</w:t>
      </w:r>
      <w:r w:rsidRPr="00610B62">
        <w:rPr>
          <w:sz w:val="24"/>
          <w:szCs w:val="24"/>
        </w:rPr>
        <w:t>l</w:t>
      </w:r>
      <w:r w:rsidR="00A301FF" w:rsidRPr="00610B62">
        <w:rPr>
          <w:sz w:val="24"/>
          <w:szCs w:val="24"/>
        </w:rPr>
        <w:t>çülebilir.</w:t>
      </w:r>
      <w:r w:rsidR="00D62F4D" w:rsidRPr="00610B62">
        <w:rPr>
          <w:sz w:val="24"/>
          <w:szCs w:val="24"/>
        </w:rPr>
        <w:t xml:space="preserve"> </w:t>
      </w:r>
      <w:r w:rsidR="00A301FF" w:rsidRPr="00610B62">
        <w:rPr>
          <w:sz w:val="24"/>
          <w:szCs w:val="24"/>
        </w:rPr>
        <w:t xml:space="preserve">EED ‘ne </w:t>
      </w:r>
      <w:r w:rsidRPr="00610B62">
        <w:rPr>
          <w:sz w:val="24"/>
          <w:szCs w:val="24"/>
        </w:rPr>
        <w:t>g</w:t>
      </w:r>
      <w:r w:rsidR="00A301FF" w:rsidRPr="00610B62">
        <w:rPr>
          <w:sz w:val="24"/>
          <w:szCs w:val="24"/>
        </w:rPr>
        <w:t>ö</w:t>
      </w:r>
      <w:r w:rsidRPr="00610B62">
        <w:rPr>
          <w:sz w:val="24"/>
          <w:szCs w:val="24"/>
        </w:rPr>
        <w:t xml:space="preserve">re, </w:t>
      </w:r>
      <w:r w:rsidR="00C93A0A" w:rsidRPr="00610B62">
        <w:rPr>
          <w:sz w:val="24"/>
          <w:szCs w:val="24"/>
        </w:rPr>
        <w:t xml:space="preserve">termal son yakma tesisleri çıkışında </w:t>
      </w:r>
      <w:r w:rsidR="00D62F4D" w:rsidRPr="00610B62">
        <w:rPr>
          <w:sz w:val="24"/>
          <w:szCs w:val="24"/>
        </w:rPr>
        <w:t>50 mg C</w:t>
      </w:r>
      <w:r w:rsidRPr="00610B62">
        <w:rPr>
          <w:sz w:val="24"/>
          <w:szCs w:val="24"/>
        </w:rPr>
        <w:t xml:space="preserve">/m3 </w:t>
      </w:r>
      <w:r w:rsidR="00C93A0A" w:rsidRPr="00610B62">
        <w:rPr>
          <w:sz w:val="24"/>
          <w:szCs w:val="24"/>
        </w:rPr>
        <w:t>limit değerine ulaşılabilir.</w:t>
      </w:r>
    </w:p>
    <w:p w:rsidR="00610E3C" w:rsidRPr="00610B62" w:rsidRDefault="00610E3C" w:rsidP="00610E3C">
      <w:pPr>
        <w:jc w:val="both"/>
        <w:rPr>
          <w:sz w:val="24"/>
          <w:szCs w:val="24"/>
        </w:rPr>
      </w:pPr>
      <w:r w:rsidRPr="00610B62">
        <w:rPr>
          <w:sz w:val="24"/>
          <w:szCs w:val="24"/>
        </w:rPr>
        <w:t>Hava arıtma sistemlerinin verimliliği sıcaklığın izlenmesi ile kontrol edilmektedir. Limit değerlerinin t</w:t>
      </w:r>
      <w:r w:rsidR="00A301FF" w:rsidRPr="00610B62">
        <w:rPr>
          <w:sz w:val="24"/>
          <w:szCs w:val="24"/>
        </w:rPr>
        <w:t>ü</w:t>
      </w:r>
      <w:r w:rsidRPr="00610B62">
        <w:rPr>
          <w:sz w:val="24"/>
          <w:szCs w:val="24"/>
        </w:rPr>
        <w:t xml:space="preserve">m operasyonel koşullar altında izlenmesini garantileyen yakma sıcaklığı kalibrasyon </w:t>
      </w:r>
      <w:r w:rsidR="00C93A0A" w:rsidRPr="00610B62">
        <w:rPr>
          <w:sz w:val="24"/>
          <w:szCs w:val="24"/>
        </w:rPr>
        <w:t>ö</w:t>
      </w:r>
      <w:r w:rsidRPr="00610B62">
        <w:rPr>
          <w:sz w:val="24"/>
          <w:szCs w:val="24"/>
        </w:rPr>
        <w:t>l</w:t>
      </w:r>
      <w:r w:rsidR="00C93A0A" w:rsidRPr="00610B62">
        <w:rPr>
          <w:sz w:val="24"/>
          <w:szCs w:val="24"/>
        </w:rPr>
        <w:t>çü</w:t>
      </w:r>
      <w:r w:rsidRPr="00610B62">
        <w:rPr>
          <w:sz w:val="24"/>
          <w:szCs w:val="24"/>
        </w:rPr>
        <w:t xml:space="preserve">mleri tarafından belirlenmektedir.   </w:t>
      </w:r>
    </w:p>
    <w:p w:rsidR="00C93A0A" w:rsidRPr="00610B62" w:rsidRDefault="00610E3C" w:rsidP="00610E3C">
      <w:pPr>
        <w:jc w:val="both"/>
        <w:rPr>
          <w:sz w:val="24"/>
          <w:szCs w:val="24"/>
        </w:rPr>
      </w:pPr>
      <w:r w:rsidRPr="00610B62">
        <w:rPr>
          <w:sz w:val="24"/>
          <w:szCs w:val="24"/>
        </w:rPr>
        <w:t>Her bir uygulama alanından azaltma ekipmanına g</w:t>
      </w:r>
      <w:r w:rsidR="00A301FF" w:rsidRPr="00610B62">
        <w:rPr>
          <w:sz w:val="24"/>
          <w:szCs w:val="24"/>
        </w:rPr>
        <w:t>ö</w:t>
      </w:r>
      <w:r w:rsidRPr="00610B62">
        <w:rPr>
          <w:sz w:val="24"/>
          <w:szCs w:val="24"/>
        </w:rPr>
        <w:t>nderilen VOC k</w:t>
      </w:r>
      <w:r w:rsidR="00A301FF" w:rsidRPr="00610B62">
        <w:rPr>
          <w:sz w:val="24"/>
          <w:szCs w:val="24"/>
        </w:rPr>
        <w:t>ü</w:t>
      </w:r>
      <w:r w:rsidRPr="00610B62">
        <w:rPr>
          <w:sz w:val="24"/>
          <w:szCs w:val="24"/>
        </w:rPr>
        <w:t>tle akışı, kabindeki boyama prosesinde t</w:t>
      </w:r>
      <w:r w:rsidR="00A301FF" w:rsidRPr="00610B62">
        <w:rPr>
          <w:sz w:val="24"/>
          <w:szCs w:val="24"/>
        </w:rPr>
        <w:t>ü</w:t>
      </w:r>
      <w:r w:rsidRPr="00610B62">
        <w:rPr>
          <w:sz w:val="24"/>
          <w:szCs w:val="24"/>
        </w:rPr>
        <w:t xml:space="preserve">ketilen solvent ile orantılıdır. Bu nedenle </w:t>
      </w:r>
    </w:p>
    <w:p w:rsidR="00610E3C" w:rsidRPr="00610B62" w:rsidRDefault="00610E3C" w:rsidP="00610E3C">
      <w:pPr>
        <w:jc w:val="both"/>
        <w:rPr>
          <w:sz w:val="24"/>
          <w:szCs w:val="24"/>
        </w:rPr>
      </w:pPr>
      <w:r w:rsidRPr="00610B62">
        <w:rPr>
          <w:sz w:val="24"/>
          <w:szCs w:val="24"/>
        </w:rPr>
        <w:t>O5</w:t>
      </w:r>
      <w:r w:rsidR="00336BD3" w:rsidRPr="00610B62">
        <w:rPr>
          <w:sz w:val="24"/>
          <w:szCs w:val="24"/>
        </w:rPr>
        <w:t xml:space="preserve"> = Solvent Girdisi * f</w:t>
      </w:r>
      <w:r w:rsidRPr="00610B62">
        <w:rPr>
          <w:sz w:val="24"/>
          <w:szCs w:val="24"/>
        </w:rPr>
        <w:t xml:space="preserve">  </w:t>
      </w:r>
      <w:r w:rsidR="00336BD3" w:rsidRPr="00610B62">
        <w:rPr>
          <w:sz w:val="24"/>
          <w:szCs w:val="24"/>
        </w:rPr>
        <w:t>* RTO Verimi</w:t>
      </w:r>
    </w:p>
    <w:p w:rsidR="00610E3C" w:rsidRPr="00610B62" w:rsidRDefault="00610E3C" w:rsidP="00610E3C">
      <w:pPr>
        <w:jc w:val="both"/>
        <w:rPr>
          <w:sz w:val="24"/>
          <w:szCs w:val="24"/>
        </w:rPr>
      </w:pPr>
      <w:r w:rsidRPr="00610B62">
        <w:rPr>
          <w:sz w:val="24"/>
          <w:szCs w:val="24"/>
        </w:rPr>
        <w:t>Taşı</w:t>
      </w:r>
      <w:r w:rsidR="00336BD3" w:rsidRPr="00610B62">
        <w:rPr>
          <w:sz w:val="24"/>
          <w:szCs w:val="24"/>
        </w:rPr>
        <w:t>n</w:t>
      </w:r>
      <w:r w:rsidRPr="00610B62">
        <w:rPr>
          <w:sz w:val="24"/>
          <w:szCs w:val="24"/>
        </w:rPr>
        <w:t>ma fakt</w:t>
      </w:r>
      <w:r w:rsidR="00A301FF" w:rsidRPr="00610B62">
        <w:rPr>
          <w:sz w:val="24"/>
          <w:szCs w:val="24"/>
        </w:rPr>
        <w:t>ö</w:t>
      </w:r>
      <w:r w:rsidRPr="00610B62">
        <w:rPr>
          <w:sz w:val="24"/>
          <w:szCs w:val="24"/>
        </w:rPr>
        <w:t>r</w:t>
      </w:r>
      <w:r w:rsidR="00A301FF" w:rsidRPr="00610B62">
        <w:rPr>
          <w:sz w:val="24"/>
          <w:szCs w:val="24"/>
        </w:rPr>
        <w:t>ü</w:t>
      </w:r>
      <w:r w:rsidR="00336BD3" w:rsidRPr="00610B62">
        <w:rPr>
          <w:sz w:val="24"/>
          <w:szCs w:val="24"/>
        </w:rPr>
        <w:t xml:space="preserve"> f</w:t>
      </w:r>
      <w:r w:rsidRPr="00610B62">
        <w:rPr>
          <w:sz w:val="24"/>
          <w:szCs w:val="24"/>
        </w:rPr>
        <w:t>; uygulama alanındaki solvent t</w:t>
      </w:r>
      <w:r w:rsidR="00A301FF" w:rsidRPr="00610B62">
        <w:rPr>
          <w:sz w:val="24"/>
          <w:szCs w:val="24"/>
        </w:rPr>
        <w:t>ü</w:t>
      </w:r>
      <w:r w:rsidRPr="00610B62">
        <w:rPr>
          <w:sz w:val="24"/>
          <w:szCs w:val="24"/>
        </w:rPr>
        <w:t>ketiminin, kurutma fırınındaki atık gaz arıtma ekipmanına giren VOC miktarına oranını ifade etmektedir. Bu fakt</w:t>
      </w:r>
      <w:r w:rsidR="00A301FF" w:rsidRPr="00610B62">
        <w:rPr>
          <w:sz w:val="24"/>
          <w:szCs w:val="24"/>
        </w:rPr>
        <w:t>ö</w:t>
      </w:r>
      <w:r w:rsidRPr="00610B62">
        <w:rPr>
          <w:sz w:val="24"/>
          <w:szCs w:val="24"/>
        </w:rPr>
        <w:t>r, belli bir boya uygulama prosesi ve kabin şeklinin s</w:t>
      </w:r>
      <w:r w:rsidR="00A301FF" w:rsidRPr="00610B62">
        <w:rPr>
          <w:sz w:val="24"/>
          <w:szCs w:val="24"/>
        </w:rPr>
        <w:t>ö</w:t>
      </w:r>
      <w:r w:rsidRPr="00610B62">
        <w:rPr>
          <w:sz w:val="24"/>
          <w:szCs w:val="24"/>
        </w:rPr>
        <w:t>z konusu olduğu solvent t</w:t>
      </w:r>
      <w:r w:rsidR="00A301FF" w:rsidRPr="00610B62">
        <w:rPr>
          <w:sz w:val="24"/>
          <w:szCs w:val="24"/>
        </w:rPr>
        <w:t>ü</w:t>
      </w:r>
      <w:r w:rsidRPr="00610B62">
        <w:rPr>
          <w:sz w:val="24"/>
          <w:szCs w:val="24"/>
        </w:rPr>
        <w:t>ketimleri i</w:t>
      </w:r>
      <w:r w:rsidR="00A301FF" w:rsidRPr="00610B62">
        <w:rPr>
          <w:sz w:val="24"/>
          <w:szCs w:val="24"/>
        </w:rPr>
        <w:t>ç</w:t>
      </w:r>
      <w:r w:rsidRPr="00610B62">
        <w:rPr>
          <w:sz w:val="24"/>
          <w:szCs w:val="24"/>
        </w:rPr>
        <w:t xml:space="preserve">in sabittir.  Yalnızca uygulama prosesi, malzeme teknolojisi ya da kabin tasarımı (veya ilgili ekstraksiyon sistemi, vs.) değiştirildiğinde yeniden hesaplanmalıdır.   </w:t>
      </w:r>
    </w:p>
    <w:p w:rsidR="00853146" w:rsidRDefault="00C93A0A" w:rsidP="00610E3C">
      <w:pPr>
        <w:jc w:val="both"/>
        <w:rPr>
          <w:sz w:val="24"/>
          <w:szCs w:val="24"/>
        </w:rPr>
      </w:pPr>
      <w:r w:rsidRPr="00610B62">
        <w:rPr>
          <w:sz w:val="24"/>
          <w:szCs w:val="24"/>
        </w:rPr>
        <w:t>O5 hesaplanmasında bir başka yöntem olarak, termal son yakma tesisine giren ve çıkan baca gazında TOC ölçümü yapılmasıdır. Elde edilen ölçümlerin farkı ile baca debisi çarpılarak arıtılan kütlesel debi bulunabilir. Arıtılan kütlesel debi yıllık üretim zamanı ile çarpılarak O5 hesaplanabilir.</w:t>
      </w:r>
      <w:r w:rsidR="00545E4B">
        <w:rPr>
          <w:sz w:val="24"/>
          <w:szCs w:val="24"/>
        </w:rPr>
        <w:t xml:space="preserve"> Baca giriş ve çıkışlarında ölçülen TOC değerinin, solvent konsantrasyonuna dönüştürülmesi gerekir. Bunun için tüketilen boya malzemelerindeki ağırlıklı olarak hangi tür VOC Bileşiklerinin yer aldığının bilinmesi gerekmektedir. Bu bilgi MGBF’larından veya tedarikçilerden temin edilebilir. </w:t>
      </w:r>
    </w:p>
    <w:p w:rsidR="00545E4B" w:rsidRDefault="00545E4B" w:rsidP="00610E3C">
      <w:pPr>
        <w:jc w:val="both"/>
        <w:rPr>
          <w:sz w:val="24"/>
          <w:szCs w:val="24"/>
        </w:rPr>
      </w:pPr>
      <w:r>
        <w:rPr>
          <w:sz w:val="24"/>
          <w:szCs w:val="24"/>
        </w:rPr>
        <w:t>Boya proseslerinde ağırlıklı olarak buluna</w:t>
      </w:r>
      <w:r w:rsidR="00843506">
        <w:rPr>
          <w:sz w:val="24"/>
          <w:szCs w:val="24"/>
        </w:rPr>
        <w:t>n VOC bileşiklerinin mg TOC / mg</w:t>
      </w:r>
      <w:r>
        <w:rPr>
          <w:sz w:val="24"/>
          <w:szCs w:val="24"/>
        </w:rPr>
        <w:t xml:space="preserve"> VOC oranları aşağıda verilmiştir:</w:t>
      </w:r>
    </w:p>
    <w:tbl>
      <w:tblPr>
        <w:tblStyle w:val="TabloKlavuzu"/>
        <w:tblW w:w="0" w:type="auto"/>
        <w:tblLook w:val="04A0" w:firstRow="1" w:lastRow="0" w:firstColumn="1" w:lastColumn="0" w:noHBand="0" w:noVBand="1"/>
      </w:tblPr>
      <w:tblGrid>
        <w:gridCol w:w="2376"/>
        <w:gridCol w:w="1985"/>
        <w:gridCol w:w="283"/>
        <w:gridCol w:w="2694"/>
        <w:gridCol w:w="1950"/>
      </w:tblGrid>
      <w:tr w:rsidR="00F35047" w:rsidTr="00F35047">
        <w:tc>
          <w:tcPr>
            <w:tcW w:w="2376" w:type="dxa"/>
            <w:shd w:val="clear" w:color="auto" w:fill="FFFF00"/>
          </w:tcPr>
          <w:p w:rsidR="00F35047" w:rsidRPr="00F35047" w:rsidRDefault="00F35047" w:rsidP="00610E3C">
            <w:pPr>
              <w:jc w:val="both"/>
              <w:rPr>
                <w:b/>
                <w:sz w:val="24"/>
                <w:szCs w:val="24"/>
              </w:rPr>
            </w:pPr>
            <w:r w:rsidRPr="00F35047">
              <w:rPr>
                <w:b/>
                <w:sz w:val="24"/>
                <w:szCs w:val="24"/>
              </w:rPr>
              <w:t>VOC</w:t>
            </w:r>
            <w:r w:rsidR="00843506">
              <w:rPr>
                <w:b/>
                <w:sz w:val="24"/>
                <w:szCs w:val="24"/>
              </w:rPr>
              <w:t xml:space="preserve"> Bileşiği</w:t>
            </w:r>
          </w:p>
        </w:tc>
        <w:tc>
          <w:tcPr>
            <w:tcW w:w="1985" w:type="dxa"/>
            <w:shd w:val="clear" w:color="auto" w:fill="FFFF00"/>
          </w:tcPr>
          <w:p w:rsidR="00F35047" w:rsidRPr="00F35047" w:rsidRDefault="00843506" w:rsidP="00610E3C">
            <w:pPr>
              <w:jc w:val="both"/>
              <w:rPr>
                <w:b/>
                <w:sz w:val="24"/>
                <w:szCs w:val="24"/>
              </w:rPr>
            </w:pPr>
            <w:r>
              <w:rPr>
                <w:b/>
                <w:sz w:val="24"/>
                <w:szCs w:val="24"/>
              </w:rPr>
              <w:t>mg TOC/ mg</w:t>
            </w:r>
            <w:r w:rsidR="00F35047" w:rsidRPr="00F35047">
              <w:rPr>
                <w:b/>
                <w:sz w:val="24"/>
                <w:szCs w:val="24"/>
              </w:rPr>
              <w:t xml:space="preserve"> VOC</w:t>
            </w:r>
          </w:p>
        </w:tc>
        <w:tc>
          <w:tcPr>
            <w:tcW w:w="283" w:type="dxa"/>
            <w:shd w:val="clear" w:color="auto" w:fill="FFFFFF" w:themeFill="background1"/>
          </w:tcPr>
          <w:p w:rsidR="00F35047" w:rsidRPr="00F35047" w:rsidRDefault="00F35047" w:rsidP="00E12432">
            <w:pPr>
              <w:jc w:val="both"/>
              <w:rPr>
                <w:b/>
                <w:sz w:val="24"/>
                <w:szCs w:val="24"/>
              </w:rPr>
            </w:pPr>
          </w:p>
        </w:tc>
        <w:tc>
          <w:tcPr>
            <w:tcW w:w="2694" w:type="dxa"/>
            <w:shd w:val="clear" w:color="auto" w:fill="FFFF00"/>
          </w:tcPr>
          <w:p w:rsidR="00F35047" w:rsidRPr="00F35047" w:rsidRDefault="00F35047" w:rsidP="00E12432">
            <w:pPr>
              <w:jc w:val="both"/>
              <w:rPr>
                <w:b/>
                <w:sz w:val="24"/>
                <w:szCs w:val="24"/>
              </w:rPr>
            </w:pPr>
            <w:r w:rsidRPr="00F35047">
              <w:rPr>
                <w:b/>
                <w:sz w:val="24"/>
                <w:szCs w:val="24"/>
              </w:rPr>
              <w:t>VOC</w:t>
            </w:r>
            <w:r w:rsidR="00843506">
              <w:rPr>
                <w:b/>
                <w:sz w:val="24"/>
                <w:szCs w:val="24"/>
              </w:rPr>
              <w:t xml:space="preserve"> Bileşiği</w:t>
            </w:r>
          </w:p>
        </w:tc>
        <w:tc>
          <w:tcPr>
            <w:tcW w:w="1950" w:type="dxa"/>
            <w:shd w:val="clear" w:color="auto" w:fill="FFFF00"/>
          </w:tcPr>
          <w:p w:rsidR="00F35047" w:rsidRPr="00F35047" w:rsidRDefault="00843506" w:rsidP="00E12432">
            <w:pPr>
              <w:jc w:val="both"/>
              <w:rPr>
                <w:b/>
                <w:sz w:val="24"/>
                <w:szCs w:val="24"/>
              </w:rPr>
            </w:pPr>
            <w:r>
              <w:rPr>
                <w:b/>
                <w:sz w:val="24"/>
                <w:szCs w:val="24"/>
              </w:rPr>
              <w:t>mg TOC/ mg</w:t>
            </w:r>
            <w:r w:rsidR="00F35047" w:rsidRPr="00F35047">
              <w:rPr>
                <w:b/>
                <w:sz w:val="24"/>
                <w:szCs w:val="24"/>
              </w:rPr>
              <w:t xml:space="preserve"> VOC</w:t>
            </w:r>
          </w:p>
        </w:tc>
      </w:tr>
      <w:tr w:rsidR="00F35047" w:rsidTr="00F35047">
        <w:tc>
          <w:tcPr>
            <w:tcW w:w="2376" w:type="dxa"/>
          </w:tcPr>
          <w:p w:rsidR="00F35047" w:rsidRPr="00F35047" w:rsidRDefault="00F35047" w:rsidP="00610E3C">
            <w:pPr>
              <w:jc w:val="both"/>
              <w:rPr>
                <w:sz w:val="24"/>
                <w:szCs w:val="24"/>
              </w:rPr>
            </w:pPr>
            <w:r>
              <w:rPr>
                <w:sz w:val="24"/>
                <w:szCs w:val="24"/>
              </w:rPr>
              <w:t>Butanol</w:t>
            </w:r>
          </w:p>
        </w:tc>
        <w:tc>
          <w:tcPr>
            <w:tcW w:w="1985" w:type="dxa"/>
          </w:tcPr>
          <w:p w:rsidR="00F35047" w:rsidRPr="00F35047" w:rsidRDefault="00843506" w:rsidP="00610E3C">
            <w:pPr>
              <w:jc w:val="both"/>
              <w:rPr>
                <w:sz w:val="24"/>
                <w:szCs w:val="24"/>
              </w:rPr>
            </w:pPr>
            <w:r>
              <w:rPr>
                <w:sz w:val="24"/>
                <w:szCs w:val="24"/>
              </w:rPr>
              <w:t>0,</w:t>
            </w:r>
            <w:r w:rsidR="00F35047">
              <w:rPr>
                <w:sz w:val="24"/>
                <w:szCs w:val="24"/>
              </w:rPr>
              <w:t>649</w:t>
            </w:r>
          </w:p>
        </w:tc>
        <w:tc>
          <w:tcPr>
            <w:tcW w:w="283" w:type="dxa"/>
          </w:tcPr>
          <w:p w:rsidR="00F35047" w:rsidRPr="00F35047" w:rsidRDefault="00F35047" w:rsidP="00610E3C">
            <w:pPr>
              <w:jc w:val="both"/>
              <w:rPr>
                <w:sz w:val="24"/>
                <w:szCs w:val="24"/>
              </w:rPr>
            </w:pPr>
          </w:p>
        </w:tc>
        <w:tc>
          <w:tcPr>
            <w:tcW w:w="2694" w:type="dxa"/>
          </w:tcPr>
          <w:p w:rsidR="00F35047" w:rsidRPr="00F35047" w:rsidRDefault="0004135F" w:rsidP="00610E3C">
            <w:pPr>
              <w:jc w:val="both"/>
              <w:rPr>
                <w:sz w:val="24"/>
                <w:szCs w:val="24"/>
              </w:rPr>
            </w:pPr>
            <w:r>
              <w:rPr>
                <w:sz w:val="24"/>
                <w:szCs w:val="24"/>
              </w:rPr>
              <w:t>Methoxy Propanol</w:t>
            </w:r>
          </w:p>
        </w:tc>
        <w:tc>
          <w:tcPr>
            <w:tcW w:w="1950" w:type="dxa"/>
          </w:tcPr>
          <w:p w:rsidR="00F35047" w:rsidRPr="00F35047" w:rsidRDefault="00843506" w:rsidP="00610E3C">
            <w:pPr>
              <w:jc w:val="both"/>
              <w:rPr>
                <w:sz w:val="24"/>
                <w:szCs w:val="24"/>
              </w:rPr>
            </w:pPr>
            <w:r>
              <w:rPr>
                <w:sz w:val="24"/>
                <w:szCs w:val="24"/>
              </w:rPr>
              <w:t>0,</w:t>
            </w:r>
            <w:r w:rsidR="0004135F">
              <w:rPr>
                <w:sz w:val="24"/>
                <w:szCs w:val="24"/>
              </w:rPr>
              <w:t>533</w:t>
            </w:r>
          </w:p>
        </w:tc>
      </w:tr>
      <w:tr w:rsidR="00F35047" w:rsidTr="00F35047">
        <w:tc>
          <w:tcPr>
            <w:tcW w:w="2376" w:type="dxa"/>
          </w:tcPr>
          <w:p w:rsidR="00F35047" w:rsidRDefault="003E69F6" w:rsidP="00610E3C">
            <w:pPr>
              <w:jc w:val="both"/>
              <w:rPr>
                <w:sz w:val="24"/>
                <w:szCs w:val="24"/>
              </w:rPr>
            </w:pPr>
            <w:r>
              <w:rPr>
                <w:sz w:val="24"/>
                <w:szCs w:val="24"/>
              </w:rPr>
              <w:t>Butyl Ac</w:t>
            </w:r>
            <w:r w:rsidR="00F35047">
              <w:rPr>
                <w:sz w:val="24"/>
                <w:szCs w:val="24"/>
              </w:rPr>
              <w:t>etat</w:t>
            </w:r>
            <w:r>
              <w:rPr>
                <w:sz w:val="24"/>
                <w:szCs w:val="24"/>
              </w:rPr>
              <w:t>e</w:t>
            </w:r>
          </w:p>
        </w:tc>
        <w:tc>
          <w:tcPr>
            <w:tcW w:w="1985" w:type="dxa"/>
          </w:tcPr>
          <w:p w:rsidR="00F35047" w:rsidRDefault="00843506" w:rsidP="00610E3C">
            <w:pPr>
              <w:jc w:val="both"/>
              <w:rPr>
                <w:sz w:val="24"/>
                <w:szCs w:val="24"/>
              </w:rPr>
            </w:pPr>
            <w:r>
              <w:rPr>
                <w:sz w:val="24"/>
                <w:szCs w:val="24"/>
              </w:rPr>
              <w:t>0,</w:t>
            </w:r>
            <w:r w:rsidR="00F35047">
              <w:rPr>
                <w:sz w:val="24"/>
                <w:szCs w:val="24"/>
              </w:rPr>
              <w:t>621</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Metoxy Propyl Acetate</w:t>
            </w:r>
          </w:p>
        </w:tc>
        <w:tc>
          <w:tcPr>
            <w:tcW w:w="1950" w:type="dxa"/>
          </w:tcPr>
          <w:p w:rsidR="00F35047" w:rsidRDefault="00843506" w:rsidP="00610E3C">
            <w:pPr>
              <w:jc w:val="both"/>
              <w:rPr>
                <w:sz w:val="24"/>
                <w:szCs w:val="24"/>
              </w:rPr>
            </w:pPr>
            <w:r>
              <w:rPr>
                <w:sz w:val="24"/>
                <w:szCs w:val="24"/>
              </w:rPr>
              <w:t>0,</w:t>
            </w:r>
            <w:r w:rsidR="0004135F">
              <w:rPr>
                <w:sz w:val="24"/>
                <w:szCs w:val="24"/>
              </w:rPr>
              <w:t>545</w:t>
            </w:r>
          </w:p>
        </w:tc>
      </w:tr>
      <w:tr w:rsidR="00F35047" w:rsidTr="00F35047">
        <w:tc>
          <w:tcPr>
            <w:tcW w:w="2376" w:type="dxa"/>
          </w:tcPr>
          <w:p w:rsidR="00F35047" w:rsidRDefault="003E69F6" w:rsidP="00610E3C">
            <w:pPr>
              <w:jc w:val="both"/>
              <w:rPr>
                <w:sz w:val="24"/>
                <w:szCs w:val="24"/>
              </w:rPr>
            </w:pPr>
            <w:r>
              <w:rPr>
                <w:sz w:val="24"/>
                <w:szCs w:val="24"/>
              </w:rPr>
              <w:t>Butyl Glyc</w:t>
            </w:r>
            <w:r w:rsidR="00F35047">
              <w:rPr>
                <w:sz w:val="24"/>
                <w:szCs w:val="24"/>
              </w:rPr>
              <w:t>ol</w:t>
            </w:r>
          </w:p>
        </w:tc>
        <w:tc>
          <w:tcPr>
            <w:tcW w:w="1985" w:type="dxa"/>
          </w:tcPr>
          <w:p w:rsidR="00F35047" w:rsidRDefault="00843506" w:rsidP="00610E3C">
            <w:pPr>
              <w:jc w:val="both"/>
              <w:rPr>
                <w:sz w:val="24"/>
                <w:szCs w:val="24"/>
              </w:rPr>
            </w:pPr>
            <w:r>
              <w:rPr>
                <w:sz w:val="24"/>
                <w:szCs w:val="24"/>
              </w:rPr>
              <w:t>0,</w:t>
            </w:r>
            <w:r w:rsidR="00F35047">
              <w:rPr>
                <w:sz w:val="24"/>
                <w:szCs w:val="24"/>
              </w:rPr>
              <w:t>593</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Methyl Isobutyl ketone</w:t>
            </w:r>
          </w:p>
        </w:tc>
        <w:tc>
          <w:tcPr>
            <w:tcW w:w="1950" w:type="dxa"/>
          </w:tcPr>
          <w:p w:rsidR="00F35047" w:rsidRDefault="00843506" w:rsidP="00610E3C">
            <w:pPr>
              <w:jc w:val="both"/>
              <w:rPr>
                <w:sz w:val="24"/>
                <w:szCs w:val="24"/>
              </w:rPr>
            </w:pPr>
            <w:r>
              <w:rPr>
                <w:sz w:val="24"/>
                <w:szCs w:val="24"/>
              </w:rPr>
              <w:t>0,</w:t>
            </w:r>
            <w:r w:rsidR="0004135F">
              <w:rPr>
                <w:sz w:val="24"/>
                <w:szCs w:val="24"/>
              </w:rPr>
              <w:t>720</w:t>
            </w:r>
          </w:p>
        </w:tc>
      </w:tr>
      <w:tr w:rsidR="00F35047" w:rsidTr="00F35047">
        <w:tc>
          <w:tcPr>
            <w:tcW w:w="2376" w:type="dxa"/>
          </w:tcPr>
          <w:p w:rsidR="00F35047" w:rsidRDefault="003E69F6" w:rsidP="00610E3C">
            <w:pPr>
              <w:jc w:val="both"/>
              <w:rPr>
                <w:sz w:val="24"/>
                <w:szCs w:val="24"/>
              </w:rPr>
            </w:pPr>
            <w:r>
              <w:rPr>
                <w:sz w:val="24"/>
                <w:szCs w:val="24"/>
              </w:rPr>
              <w:t>Buty</w:t>
            </w:r>
            <w:r w:rsidR="00F35047">
              <w:rPr>
                <w:sz w:val="24"/>
                <w:szCs w:val="24"/>
              </w:rPr>
              <w:t>l Et</w:t>
            </w:r>
            <w:r>
              <w:rPr>
                <w:sz w:val="24"/>
                <w:szCs w:val="24"/>
              </w:rPr>
              <w:t>h</w:t>
            </w:r>
            <w:r w:rsidR="00F35047">
              <w:rPr>
                <w:sz w:val="24"/>
                <w:szCs w:val="24"/>
              </w:rPr>
              <w:t>anol</w:t>
            </w:r>
            <w:r w:rsidR="00F35047">
              <w:rPr>
                <w:sz w:val="24"/>
                <w:szCs w:val="24"/>
              </w:rPr>
              <w:tab/>
            </w:r>
          </w:p>
        </w:tc>
        <w:tc>
          <w:tcPr>
            <w:tcW w:w="1985" w:type="dxa"/>
          </w:tcPr>
          <w:p w:rsidR="00F35047" w:rsidRDefault="00843506" w:rsidP="00610E3C">
            <w:pPr>
              <w:jc w:val="both"/>
              <w:rPr>
                <w:sz w:val="24"/>
                <w:szCs w:val="24"/>
              </w:rPr>
            </w:pPr>
            <w:r>
              <w:rPr>
                <w:sz w:val="24"/>
                <w:szCs w:val="24"/>
              </w:rPr>
              <w:t>0,</w:t>
            </w:r>
            <w:r w:rsidR="00F35047">
              <w:rPr>
                <w:sz w:val="24"/>
                <w:szCs w:val="24"/>
              </w:rPr>
              <w:t>610</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Propanol</w:t>
            </w:r>
          </w:p>
        </w:tc>
        <w:tc>
          <w:tcPr>
            <w:tcW w:w="1950" w:type="dxa"/>
          </w:tcPr>
          <w:p w:rsidR="00F35047" w:rsidRDefault="00843506" w:rsidP="00610E3C">
            <w:pPr>
              <w:jc w:val="both"/>
              <w:rPr>
                <w:sz w:val="24"/>
                <w:szCs w:val="24"/>
              </w:rPr>
            </w:pPr>
            <w:r>
              <w:rPr>
                <w:sz w:val="24"/>
                <w:szCs w:val="24"/>
              </w:rPr>
              <w:t>0,</w:t>
            </w:r>
            <w:r w:rsidR="0004135F">
              <w:rPr>
                <w:sz w:val="24"/>
                <w:szCs w:val="24"/>
              </w:rPr>
              <w:t>600</w:t>
            </w:r>
          </w:p>
        </w:tc>
      </w:tr>
      <w:tr w:rsidR="00F35047" w:rsidTr="00F35047">
        <w:tc>
          <w:tcPr>
            <w:tcW w:w="2376" w:type="dxa"/>
          </w:tcPr>
          <w:p w:rsidR="00F35047" w:rsidRDefault="003E69F6" w:rsidP="00610E3C">
            <w:pPr>
              <w:jc w:val="both"/>
              <w:rPr>
                <w:sz w:val="24"/>
                <w:szCs w:val="24"/>
              </w:rPr>
            </w:pPr>
            <w:r>
              <w:rPr>
                <w:sz w:val="24"/>
                <w:szCs w:val="24"/>
              </w:rPr>
              <w:t>Butoxy Ethy</w:t>
            </w:r>
            <w:r w:rsidR="0004135F">
              <w:rPr>
                <w:sz w:val="24"/>
                <w:szCs w:val="24"/>
              </w:rPr>
              <w:t xml:space="preserve">l </w:t>
            </w:r>
            <w:r>
              <w:rPr>
                <w:sz w:val="24"/>
                <w:szCs w:val="24"/>
              </w:rPr>
              <w:t>Ac</w:t>
            </w:r>
            <w:r w:rsidR="0004135F">
              <w:rPr>
                <w:sz w:val="24"/>
                <w:szCs w:val="24"/>
              </w:rPr>
              <w:t>etat</w:t>
            </w:r>
            <w:r>
              <w:rPr>
                <w:sz w:val="24"/>
                <w:szCs w:val="24"/>
              </w:rPr>
              <w:t>e</w:t>
            </w:r>
          </w:p>
        </w:tc>
        <w:tc>
          <w:tcPr>
            <w:tcW w:w="1985" w:type="dxa"/>
          </w:tcPr>
          <w:p w:rsidR="00F35047" w:rsidRDefault="00843506" w:rsidP="00610E3C">
            <w:pPr>
              <w:jc w:val="both"/>
              <w:rPr>
                <w:sz w:val="24"/>
                <w:szCs w:val="24"/>
              </w:rPr>
            </w:pPr>
            <w:r>
              <w:rPr>
                <w:sz w:val="24"/>
                <w:szCs w:val="24"/>
              </w:rPr>
              <w:t>0,</w:t>
            </w:r>
            <w:r w:rsidR="0004135F">
              <w:rPr>
                <w:sz w:val="24"/>
                <w:szCs w:val="24"/>
              </w:rPr>
              <w:t>600</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Shellsol R</w:t>
            </w:r>
          </w:p>
        </w:tc>
        <w:tc>
          <w:tcPr>
            <w:tcW w:w="1950" w:type="dxa"/>
          </w:tcPr>
          <w:p w:rsidR="00F35047" w:rsidRDefault="00843506" w:rsidP="00610E3C">
            <w:pPr>
              <w:jc w:val="both"/>
              <w:rPr>
                <w:sz w:val="24"/>
                <w:szCs w:val="24"/>
              </w:rPr>
            </w:pPr>
            <w:r>
              <w:rPr>
                <w:sz w:val="24"/>
                <w:szCs w:val="24"/>
              </w:rPr>
              <w:t>0,</w:t>
            </w:r>
            <w:r w:rsidR="0004135F">
              <w:rPr>
                <w:sz w:val="24"/>
                <w:szCs w:val="24"/>
              </w:rPr>
              <w:t>882</w:t>
            </w:r>
          </w:p>
        </w:tc>
      </w:tr>
      <w:tr w:rsidR="00F35047" w:rsidTr="00F35047">
        <w:tc>
          <w:tcPr>
            <w:tcW w:w="2376" w:type="dxa"/>
          </w:tcPr>
          <w:p w:rsidR="00F35047" w:rsidRDefault="0004135F" w:rsidP="00610E3C">
            <w:pPr>
              <w:jc w:val="both"/>
              <w:rPr>
                <w:sz w:val="24"/>
                <w:szCs w:val="24"/>
              </w:rPr>
            </w:pPr>
            <w:r>
              <w:rPr>
                <w:sz w:val="24"/>
                <w:szCs w:val="24"/>
              </w:rPr>
              <w:t>Ethoxy Propanol</w:t>
            </w:r>
          </w:p>
        </w:tc>
        <w:tc>
          <w:tcPr>
            <w:tcW w:w="1985" w:type="dxa"/>
          </w:tcPr>
          <w:p w:rsidR="00F35047" w:rsidRDefault="00843506" w:rsidP="00610E3C">
            <w:pPr>
              <w:jc w:val="both"/>
              <w:rPr>
                <w:sz w:val="24"/>
                <w:szCs w:val="24"/>
              </w:rPr>
            </w:pPr>
            <w:r>
              <w:rPr>
                <w:sz w:val="24"/>
                <w:szCs w:val="24"/>
              </w:rPr>
              <w:t>0,</w:t>
            </w:r>
            <w:r w:rsidR="0004135F">
              <w:rPr>
                <w:sz w:val="24"/>
                <w:szCs w:val="24"/>
              </w:rPr>
              <w:t>577</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Solvesso</w:t>
            </w:r>
          </w:p>
        </w:tc>
        <w:tc>
          <w:tcPr>
            <w:tcW w:w="1950" w:type="dxa"/>
          </w:tcPr>
          <w:p w:rsidR="00F35047" w:rsidRDefault="00843506" w:rsidP="00610E3C">
            <w:pPr>
              <w:jc w:val="both"/>
              <w:rPr>
                <w:sz w:val="24"/>
                <w:szCs w:val="24"/>
              </w:rPr>
            </w:pPr>
            <w:r>
              <w:rPr>
                <w:sz w:val="24"/>
                <w:szCs w:val="24"/>
              </w:rPr>
              <w:t>0,</w:t>
            </w:r>
            <w:r w:rsidR="0004135F">
              <w:rPr>
                <w:sz w:val="24"/>
                <w:szCs w:val="24"/>
              </w:rPr>
              <w:t>892</w:t>
            </w:r>
            <w:r>
              <w:rPr>
                <w:sz w:val="24"/>
                <w:szCs w:val="24"/>
              </w:rPr>
              <w:t xml:space="preserve"> </w:t>
            </w:r>
            <w:r w:rsidR="0004135F">
              <w:rPr>
                <w:sz w:val="24"/>
                <w:szCs w:val="24"/>
              </w:rPr>
              <w:t>-</w:t>
            </w:r>
            <w:r>
              <w:rPr>
                <w:sz w:val="24"/>
                <w:szCs w:val="24"/>
              </w:rPr>
              <w:t xml:space="preserve"> 0,</w:t>
            </w:r>
            <w:r w:rsidR="0004135F">
              <w:rPr>
                <w:sz w:val="24"/>
                <w:szCs w:val="24"/>
              </w:rPr>
              <w:t>912</w:t>
            </w:r>
          </w:p>
        </w:tc>
      </w:tr>
      <w:tr w:rsidR="00F35047" w:rsidTr="00F35047">
        <w:tc>
          <w:tcPr>
            <w:tcW w:w="2376" w:type="dxa"/>
          </w:tcPr>
          <w:p w:rsidR="00F35047" w:rsidRDefault="0004135F" w:rsidP="00610E3C">
            <w:pPr>
              <w:jc w:val="both"/>
              <w:rPr>
                <w:sz w:val="24"/>
                <w:szCs w:val="24"/>
              </w:rPr>
            </w:pPr>
            <w:r>
              <w:rPr>
                <w:sz w:val="24"/>
                <w:szCs w:val="24"/>
              </w:rPr>
              <w:t>Ethoxy Propyl Acetate</w:t>
            </w:r>
          </w:p>
        </w:tc>
        <w:tc>
          <w:tcPr>
            <w:tcW w:w="1985" w:type="dxa"/>
          </w:tcPr>
          <w:p w:rsidR="00F35047" w:rsidRDefault="00843506" w:rsidP="00610E3C">
            <w:pPr>
              <w:jc w:val="both"/>
              <w:rPr>
                <w:sz w:val="24"/>
                <w:szCs w:val="24"/>
              </w:rPr>
            </w:pPr>
            <w:r>
              <w:rPr>
                <w:sz w:val="24"/>
                <w:szCs w:val="24"/>
              </w:rPr>
              <w:t>0,</w:t>
            </w:r>
            <w:r w:rsidR="0004135F">
              <w:rPr>
                <w:sz w:val="24"/>
                <w:szCs w:val="24"/>
              </w:rPr>
              <w:t>575</w:t>
            </w:r>
          </w:p>
        </w:tc>
        <w:tc>
          <w:tcPr>
            <w:tcW w:w="283" w:type="dxa"/>
          </w:tcPr>
          <w:p w:rsidR="00F35047" w:rsidRDefault="00F35047" w:rsidP="00610E3C">
            <w:pPr>
              <w:jc w:val="both"/>
              <w:rPr>
                <w:sz w:val="24"/>
                <w:szCs w:val="24"/>
              </w:rPr>
            </w:pPr>
          </w:p>
        </w:tc>
        <w:tc>
          <w:tcPr>
            <w:tcW w:w="2694" w:type="dxa"/>
          </w:tcPr>
          <w:p w:rsidR="00F35047" w:rsidRDefault="0004135F" w:rsidP="00610E3C">
            <w:pPr>
              <w:jc w:val="both"/>
              <w:rPr>
                <w:sz w:val="24"/>
                <w:szCs w:val="24"/>
              </w:rPr>
            </w:pPr>
            <w:r>
              <w:rPr>
                <w:sz w:val="24"/>
                <w:szCs w:val="24"/>
              </w:rPr>
              <w:t>Xylene</w:t>
            </w:r>
          </w:p>
        </w:tc>
        <w:tc>
          <w:tcPr>
            <w:tcW w:w="1950" w:type="dxa"/>
          </w:tcPr>
          <w:p w:rsidR="00F35047" w:rsidRDefault="00843506" w:rsidP="00610E3C">
            <w:pPr>
              <w:jc w:val="both"/>
              <w:rPr>
                <w:sz w:val="24"/>
                <w:szCs w:val="24"/>
              </w:rPr>
            </w:pPr>
            <w:r>
              <w:rPr>
                <w:sz w:val="24"/>
                <w:szCs w:val="24"/>
              </w:rPr>
              <w:t>0,</w:t>
            </w:r>
            <w:r w:rsidR="0004135F">
              <w:rPr>
                <w:sz w:val="24"/>
                <w:szCs w:val="24"/>
              </w:rPr>
              <w:t>906</w:t>
            </w:r>
          </w:p>
        </w:tc>
      </w:tr>
      <w:tr w:rsidR="00F35047" w:rsidTr="00F35047">
        <w:trPr>
          <w:trHeight w:val="112"/>
        </w:trPr>
        <w:tc>
          <w:tcPr>
            <w:tcW w:w="2376" w:type="dxa"/>
          </w:tcPr>
          <w:p w:rsidR="00F35047" w:rsidRDefault="0004135F" w:rsidP="00610E3C">
            <w:pPr>
              <w:jc w:val="both"/>
              <w:rPr>
                <w:sz w:val="24"/>
                <w:szCs w:val="24"/>
              </w:rPr>
            </w:pPr>
            <w:r>
              <w:rPr>
                <w:sz w:val="24"/>
                <w:szCs w:val="24"/>
              </w:rPr>
              <w:t>Ethyl Hexanol</w:t>
            </w:r>
          </w:p>
        </w:tc>
        <w:tc>
          <w:tcPr>
            <w:tcW w:w="1985" w:type="dxa"/>
          </w:tcPr>
          <w:p w:rsidR="00F35047" w:rsidRDefault="00843506" w:rsidP="00610E3C">
            <w:pPr>
              <w:jc w:val="both"/>
              <w:rPr>
                <w:sz w:val="24"/>
                <w:szCs w:val="24"/>
              </w:rPr>
            </w:pPr>
            <w:r>
              <w:rPr>
                <w:sz w:val="24"/>
                <w:szCs w:val="24"/>
              </w:rPr>
              <w:t>0,</w:t>
            </w:r>
            <w:r w:rsidR="0004135F">
              <w:rPr>
                <w:sz w:val="24"/>
                <w:szCs w:val="24"/>
              </w:rPr>
              <w:t>739</w:t>
            </w:r>
          </w:p>
        </w:tc>
        <w:tc>
          <w:tcPr>
            <w:tcW w:w="283" w:type="dxa"/>
          </w:tcPr>
          <w:p w:rsidR="00F35047" w:rsidRDefault="00F35047" w:rsidP="00610E3C">
            <w:pPr>
              <w:jc w:val="both"/>
              <w:rPr>
                <w:sz w:val="24"/>
                <w:szCs w:val="24"/>
              </w:rPr>
            </w:pPr>
          </w:p>
        </w:tc>
        <w:tc>
          <w:tcPr>
            <w:tcW w:w="2694" w:type="dxa"/>
          </w:tcPr>
          <w:p w:rsidR="00F35047" w:rsidRDefault="003E69F6" w:rsidP="00610E3C">
            <w:pPr>
              <w:jc w:val="both"/>
              <w:rPr>
                <w:sz w:val="24"/>
                <w:szCs w:val="24"/>
              </w:rPr>
            </w:pPr>
            <w:r>
              <w:rPr>
                <w:sz w:val="24"/>
                <w:szCs w:val="24"/>
              </w:rPr>
              <w:t>White Sprit</w:t>
            </w:r>
          </w:p>
        </w:tc>
        <w:tc>
          <w:tcPr>
            <w:tcW w:w="1950" w:type="dxa"/>
          </w:tcPr>
          <w:p w:rsidR="00F35047" w:rsidRDefault="00843506" w:rsidP="00610E3C">
            <w:pPr>
              <w:jc w:val="both"/>
              <w:rPr>
                <w:sz w:val="24"/>
                <w:szCs w:val="24"/>
              </w:rPr>
            </w:pPr>
            <w:r>
              <w:rPr>
                <w:sz w:val="24"/>
                <w:szCs w:val="24"/>
              </w:rPr>
              <w:t>0,</w:t>
            </w:r>
            <w:r w:rsidR="003E69F6">
              <w:rPr>
                <w:sz w:val="24"/>
                <w:szCs w:val="24"/>
              </w:rPr>
              <w:t>840</w:t>
            </w:r>
            <w:r>
              <w:rPr>
                <w:sz w:val="24"/>
                <w:szCs w:val="24"/>
              </w:rPr>
              <w:t xml:space="preserve"> – 0,</w:t>
            </w:r>
            <w:r w:rsidR="003E69F6">
              <w:rPr>
                <w:sz w:val="24"/>
                <w:szCs w:val="24"/>
              </w:rPr>
              <w:t>850</w:t>
            </w:r>
          </w:p>
        </w:tc>
      </w:tr>
    </w:tbl>
    <w:p w:rsidR="003E468A" w:rsidRDefault="00853146" w:rsidP="00610E3C">
      <w:pPr>
        <w:jc w:val="both"/>
        <w:rPr>
          <w:sz w:val="24"/>
          <w:szCs w:val="24"/>
        </w:rPr>
      </w:pPr>
      <w:r>
        <w:rPr>
          <w:sz w:val="24"/>
          <w:szCs w:val="24"/>
        </w:rPr>
        <w:t>Tablo 1 : Tipik VOC bileşikleri TOC / VOC dönüşüm katsayıları</w:t>
      </w:r>
      <w:r w:rsidR="00D41771">
        <w:rPr>
          <w:sz w:val="24"/>
          <w:szCs w:val="24"/>
        </w:rPr>
        <w:t xml:space="preserve"> (2)</w:t>
      </w:r>
    </w:p>
    <w:p w:rsidR="00355732" w:rsidRDefault="003E69F6" w:rsidP="00610E3C">
      <w:pPr>
        <w:jc w:val="both"/>
        <w:rPr>
          <w:sz w:val="24"/>
          <w:szCs w:val="24"/>
        </w:rPr>
      </w:pPr>
      <w:r>
        <w:rPr>
          <w:sz w:val="24"/>
          <w:szCs w:val="24"/>
        </w:rPr>
        <w:lastRenderedPageBreak/>
        <w:t>Çeşitli boya malzemesi türlerine göre mg TOC /</w:t>
      </w:r>
      <w:r w:rsidR="006A4809">
        <w:rPr>
          <w:sz w:val="24"/>
          <w:szCs w:val="24"/>
        </w:rPr>
        <w:t xml:space="preserve"> </w:t>
      </w:r>
      <w:r>
        <w:rPr>
          <w:sz w:val="24"/>
          <w:szCs w:val="24"/>
        </w:rPr>
        <w:t>gr VOC değerleri aş</w:t>
      </w:r>
      <w:r w:rsidR="003E468A">
        <w:rPr>
          <w:sz w:val="24"/>
          <w:szCs w:val="24"/>
        </w:rPr>
        <w:t>ağıda örnek olarak verilmiştir:</w:t>
      </w:r>
    </w:p>
    <w:tbl>
      <w:tblPr>
        <w:tblStyle w:val="TabloKlavuzu"/>
        <w:tblW w:w="0" w:type="auto"/>
        <w:tblLook w:val="04A0" w:firstRow="1" w:lastRow="0" w:firstColumn="1" w:lastColumn="0" w:noHBand="0" w:noVBand="1"/>
      </w:tblPr>
      <w:tblGrid>
        <w:gridCol w:w="3225"/>
        <w:gridCol w:w="3110"/>
        <w:gridCol w:w="2953"/>
      </w:tblGrid>
      <w:tr w:rsidR="003E69F6" w:rsidTr="003E69F6">
        <w:tc>
          <w:tcPr>
            <w:tcW w:w="3225" w:type="dxa"/>
            <w:shd w:val="clear" w:color="auto" w:fill="FFFF00"/>
          </w:tcPr>
          <w:p w:rsidR="003E69F6" w:rsidRPr="00843506" w:rsidRDefault="003E69F6" w:rsidP="00610E3C">
            <w:pPr>
              <w:jc w:val="both"/>
              <w:rPr>
                <w:b/>
                <w:sz w:val="24"/>
                <w:szCs w:val="24"/>
              </w:rPr>
            </w:pPr>
            <w:r w:rsidRPr="00843506">
              <w:rPr>
                <w:b/>
                <w:sz w:val="24"/>
                <w:szCs w:val="24"/>
              </w:rPr>
              <w:t>Boya Türü</w:t>
            </w:r>
          </w:p>
        </w:tc>
        <w:tc>
          <w:tcPr>
            <w:tcW w:w="3110" w:type="dxa"/>
            <w:shd w:val="clear" w:color="auto" w:fill="FFFF00"/>
          </w:tcPr>
          <w:p w:rsidR="003E69F6" w:rsidRPr="00843506" w:rsidRDefault="003E69F6" w:rsidP="00610E3C">
            <w:pPr>
              <w:jc w:val="both"/>
              <w:rPr>
                <w:b/>
                <w:sz w:val="24"/>
                <w:szCs w:val="24"/>
              </w:rPr>
            </w:pPr>
            <w:r w:rsidRPr="00843506">
              <w:rPr>
                <w:b/>
                <w:sz w:val="24"/>
                <w:szCs w:val="24"/>
              </w:rPr>
              <w:t xml:space="preserve">mg </w:t>
            </w:r>
            <w:r w:rsidR="00843506">
              <w:rPr>
                <w:b/>
                <w:sz w:val="24"/>
                <w:szCs w:val="24"/>
              </w:rPr>
              <w:t>TOC / mg</w:t>
            </w:r>
            <w:r w:rsidRPr="00843506">
              <w:rPr>
                <w:b/>
                <w:sz w:val="24"/>
                <w:szCs w:val="24"/>
              </w:rPr>
              <w:t xml:space="preserve"> VOC</w:t>
            </w:r>
          </w:p>
        </w:tc>
        <w:tc>
          <w:tcPr>
            <w:tcW w:w="2953" w:type="dxa"/>
            <w:shd w:val="clear" w:color="auto" w:fill="FFFF00"/>
          </w:tcPr>
          <w:p w:rsidR="003E69F6" w:rsidRPr="00843506" w:rsidRDefault="003E69F6" w:rsidP="00610E3C">
            <w:pPr>
              <w:jc w:val="both"/>
              <w:rPr>
                <w:b/>
                <w:sz w:val="24"/>
                <w:szCs w:val="24"/>
              </w:rPr>
            </w:pPr>
            <w:r w:rsidRPr="00843506">
              <w:rPr>
                <w:b/>
                <w:sz w:val="24"/>
                <w:szCs w:val="24"/>
              </w:rPr>
              <w:t>% Solvent Oranı</w:t>
            </w:r>
          </w:p>
        </w:tc>
      </w:tr>
      <w:tr w:rsidR="003E69F6" w:rsidTr="003E69F6">
        <w:tc>
          <w:tcPr>
            <w:tcW w:w="3225" w:type="dxa"/>
          </w:tcPr>
          <w:p w:rsidR="003E69F6" w:rsidRDefault="003E69F6" w:rsidP="00610E3C">
            <w:pPr>
              <w:jc w:val="both"/>
              <w:rPr>
                <w:sz w:val="24"/>
                <w:szCs w:val="24"/>
              </w:rPr>
            </w:pPr>
            <w:r>
              <w:rPr>
                <w:sz w:val="24"/>
                <w:szCs w:val="24"/>
              </w:rPr>
              <w:t>Solvent Bazlı Son kat- Silver</w:t>
            </w:r>
          </w:p>
        </w:tc>
        <w:tc>
          <w:tcPr>
            <w:tcW w:w="3110" w:type="dxa"/>
          </w:tcPr>
          <w:p w:rsidR="003E69F6" w:rsidRDefault="00843506" w:rsidP="00610E3C">
            <w:pPr>
              <w:jc w:val="both"/>
              <w:rPr>
                <w:sz w:val="24"/>
                <w:szCs w:val="24"/>
              </w:rPr>
            </w:pPr>
            <w:r>
              <w:rPr>
                <w:sz w:val="24"/>
                <w:szCs w:val="24"/>
              </w:rPr>
              <w:t>0,</w:t>
            </w:r>
            <w:r w:rsidR="003E69F6">
              <w:rPr>
                <w:sz w:val="24"/>
                <w:szCs w:val="24"/>
              </w:rPr>
              <w:t>700</w:t>
            </w:r>
          </w:p>
        </w:tc>
        <w:tc>
          <w:tcPr>
            <w:tcW w:w="2953" w:type="dxa"/>
          </w:tcPr>
          <w:p w:rsidR="003E69F6" w:rsidRDefault="003E69F6" w:rsidP="00610E3C">
            <w:pPr>
              <w:jc w:val="both"/>
              <w:rPr>
                <w:sz w:val="24"/>
                <w:szCs w:val="24"/>
              </w:rPr>
            </w:pPr>
            <w:r>
              <w:rPr>
                <w:sz w:val="24"/>
                <w:szCs w:val="24"/>
              </w:rPr>
              <w:t>% 82</w:t>
            </w:r>
          </w:p>
        </w:tc>
      </w:tr>
      <w:tr w:rsidR="003E69F6" w:rsidTr="003E69F6">
        <w:tc>
          <w:tcPr>
            <w:tcW w:w="3225" w:type="dxa"/>
          </w:tcPr>
          <w:p w:rsidR="003E69F6" w:rsidRDefault="003E69F6" w:rsidP="00610E3C">
            <w:pPr>
              <w:jc w:val="both"/>
              <w:rPr>
                <w:sz w:val="24"/>
                <w:szCs w:val="24"/>
              </w:rPr>
            </w:pPr>
            <w:r>
              <w:rPr>
                <w:sz w:val="24"/>
                <w:szCs w:val="24"/>
              </w:rPr>
              <w:t>Su Bazlı Son Kat Metalik Mavi</w:t>
            </w:r>
          </w:p>
        </w:tc>
        <w:tc>
          <w:tcPr>
            <w:tcW w:w="3110" w:type="dxa"/>
          </w:tcPr>
          <w:p w:rsidR="003E69F6" w:rsidRDefault="00843506" w:rsidP="00610E3C">
            <w:pPr>
              <w:jc w:val="both"/>
              <w:rPr>
                <w:sz w:val="24"/>
                <w:szCs w:val="24"/>
              </w:rPr>
            </w:pPr>
            <w:r>
              <w:rPr>
                <w:sz w:val="24"/>
                <w:szCs w:val="24"/>
              </w:rPr>
              <w:t>0,</w:t>
            </w:r>
            <w:r w:rsidR="003E69F6">
              <w:rPr>
                <w:sz w:val="24"/>
                <w:szCs w:val="24"/>
              </w:rPr>
              <w:t>620</w:t>
            </w:r>
          </w:p>
        </w:tc>
        <w:tc>
          <w:tcPr>
            <w:tcW w:w="2953" w:type="dxa"/>
          </w:tcPr>
          <w:p w:rsidR="003E69F6" w:rsidRDefault="003E69F6" w:rsidP="00610E3C">
            <w:pPr>
              <w:jc w:val="both"/>
              <w:rPr>
                <w:sz w:val="24"/>
                <w:szCs w:val="24"/>
              </w:rPr>
            </w:pPr>
            <w:r>
              <w:rPr>
                <w:sz w:val="24"/>
                <w:szCs w:val="24"/>
              </w:rPr>
              <w:t>% 15</w:t>
            </w:r>
          </w:p>
        </w:tc>
      </w:tr>
      <w:tr w:rsidR="003E69F6" w:rsidTr="003E69F6">
        <w:tc>
          <w:tcPr>
            <w:tcW w:w="3225" w:type="dxa"/>
          </w:tcPr>
          <w:p w:rsidR="003E69F6" w:rsidRDefault="003E69F6" w:rsidP="00610E3C">
            <w:pPr>
              <w:jc w:val="both"/>
              <w:rPr>
                <w:sz w:val="24"/>
                <w:szCs w:val="24"/>
              </w:rPr>
            </w:pPr>
            <w:r>
              <w:rPr>
                <w:sz w:val="24"/>
                <w:szCs w:val="24"/>
              </w:rPr>
              <w:t>Su Bazlı Son Kat Beyaz</w:t>
            </w:r>
          </w:p>
        </w:tc>
        <w:tc>
          <w:tcPr>
            <w:tcW w:w="3110" w:type="dxa"/>
          </w:tcPr>
          <w:p w:rsidR="003E69F6" w:rsidRDefault="00843506" w:rsidP="00610E3C">
            <w:pPr>
              <w:jc w:val="both"/>
              <w:rPr>
                <w:sz w:val="24"/>
                <w:szCs w:val="24"/>
              </w:rPr>
            </w:pPr>
            <w:r>
              <w:rPr>
                <w:sz w:val="24"/>
                <w:szCs w:val="24"/>
              </w:rPr>
              <w:t>0,</w:t>
            </w:r>
            <w:r w:rsidR="003E69F6">
              <w:rPr>
                <w:sz w:val="24"/>
                <w:szCs w:val="24"/>
              </w:rPr>
              <w:t>590</w:t>
            </w:r>
          </w:p>
        </w:tc>
        <w:tc>
          <w:tcPr>
            <w:tcW w:w="2953" w:type="dxa"/>
          </w:tcPr>
          <w:p w:rsidR="003E69F6" w:rsidRDefault="003E69F6" w:rsidP="00610E3C">
            <w:pPr>
              <w:jc w:val="both"/>
              <w:rPr>
                <w:sz w:val="24"/>
                <w:szCs w:val="24"/>
              </w:rPr>
            </w:pPr>
            <w:r>
              <w:rPr>
                <w:sz w:val="24"/>
                <w:szCs w:val="24"/>
              </w:rPr>
              <w:t>%</w:t>
            </w:r>
            <w:r w:rsidR="006A4809">
              <w:rPr>
                <w:sz w:val="24"/>
                <w:szCs w:val="24"/>
              </w:rPr>
              <w:t xml:space="preserve"> </w:t>
            </w:r>
            <w:r>
              <w:rPr>
                <w:sz w:val="24"/>
                <w:szCs w:val="24"/>
              </w:rPr>
              <w:t>14</w:t>
            </w:r>
          </w:p>
        </w:tc>
      </w:tr>
      <w:tr w:rsidR="003E69F6" w:rsidTr="003E69F6">
        <w:tc>
          <w:tcPr>
            <w:tcW w:w="3225" w:type="dxa"/>
          </w:tcPr>
          <w:p w:rsidR="003E69F6" w:rsidRDefault="003E69F6" w:rsidP="00610E3C">
            <w:pPr>
              <w:jc w:val="both"/>
              <w:rPr>
                <w:sz w:val="24"/>
                <w:szCs w:val="24"/>
              </w:rPr>
            </w:pPr>
            <w:r>
              <w:rPr>
                <w:sz w:val="24"/>
                <w:szCs w:val="24"/>
              </w:rPr>
              <w:t>Vernik Yüksek katı</w:t>
            </w:r>
          </w:p>
        </w:tc>
        <w:tc>
          <w:tcPr>
            <w:tcW w:w="3110" w:type="dxa"/>
          </w:tcPr>
          <w:p w:rsidR="003E69F6" w:rsidRDefault="00843506" w:rsidP="00610E3C">
            <w:pPr>
              <w:jc w:val="both"/>
              <w:rPr>
                <w:sz w:val="24"/>
                <w:szCs w:val="24"/>
              </w:rPr>
            </w:pPr>
            <w:r>
              <w:rPr>
                <w:sz w:val="24"/>
                <w:szCs w:val="24"/>
              </w:rPr>
              <w:t>0,</w:t>
            </w:r>
            <w:r w:rsidR="003E69F6">
              <w:rPr>
                <w:sz w:val="24"/>
                <w:szCs w:val="24"/>
              </w:rPr>
              <w:t>820</w:t>
            </w:r>
          </w:p>
        </w:tc>
        <w:tc>
          <w:tcPr>
            <w:tcW w:w="2953" w:type="dxa"/>
          </w:tcPr>
          <w:p w:rsidR="003E69F6" w:rsidRDefault="003E69F6" w:rsidP="00610E3C">
            <w:pPr>
              <w:jc w:val="both"/>
              <w:rPr>
                <w:sz w:val="24"/>
                <w:szCs w:val="24"/>
              </w:rPr>
            </w:pPr>
            <w:r>
              <w:rPr>
                <w:sz w:val="24"/>
                <w:szCs w:val="24"/>
              </w:rPr>
              <w:t>% 43</w:t>
            </w:r>
          </w:p>
        </w:tc>
      </w:tr>
    </w:tbl>
    <w:p w:rsidR="003E69F6" w:rsidRPr="00610B62" w:rsidRDefault="00853146" w:rsidP="00610E3C">
      <w:pPr>
        <w:jc w:val="both"/>
        <w:rPr>
          <w:sz w:val="24"/>
          <w:szCs w:val="24"/>
        </w:rPr>
      </w:pPr>
      <w:r>
        <w:rPr>
          <w:sz w:val="24"/>
          <w:szCs w:val="24"/>
        </w:rPr>
        <w:t>Tablo 2: Tipik boya prosesleri, TOC/VOC dönüşüm katsayıları</w:t>
      </w:r>
      <w:r w:rsidR="00D41771">
        <w:rPr>
          <w:sz w:val="24"/>
          <w:szCs w:val="24"/>
        </w:rPr>
        <w:t xml:space="preserve"> (2)</w:t>
      </w:r>
    </w:p>
    <w:p w:rsidR="00610E3C" w:rsidRPr="00610B62" w:rsidRDefault="002D4E4A" w:rsidP="00610E3C">
      <w:pPr>
        <w:jc w:val="both"/>
        <w:rPr>
          <w:b/>
          <w:sz w:val="24"/>
          <w:szCs w:val="24"/>
        </w:rPr>
      </w:pPr>
      <w:r w:rsidRPr="00610B62">
        <w:rPr>
          <w:b/>
          <w:sz w:val="24"/>
          <w:szCs w:val="24"/>
        </w:rPr>
        <w:t xml:space="preserve">4.6  </w:t>
      </w:r>
      <w:r w:rsidR="00610E3C" w:rsidRPr="00610B62">
        <w:rPr>
          <w:b/>
          <w:sz w:val="24"/>
          <w:szCs w:val="24"/>
        </w:rPr>
        <w:t xml:space="preserve">Atık olarak bertaraf edilen organik solventler  </w:t>
      </w:r>
      <w:r w:rsidRPr="00610B62">
        <w:rPr>
          <w:b/>
          <w:sz w:val="24"/>
          <w:szCs w:val="24"/>
        </w:rPr>
        <w:t>(O6)</w:t>
      </w:r>
    </w:p>
    <w:p w:rsidR="009451A7" w:rsidRPr="00610B62" w:rsidRDefault="00610E3C" w:rsidP="003B0E31">
      <w:pPr>
        <w:jc w:val="both"/>
        <w:rPr>
          <w:sz w:val="24"/>
          <w:szCs w:val="24"/>
        </w:rPr>
      </w:pPr>
      <w:r w:rsidRPr="00610B62">
        <w:rPr>
          <w:sz w:val="24"/>
          <w:szCs w:val="24"/>
        </w:rPr>
        <w:t>Bu kategorideki en fazla k</w:t>
      </w:r>
      <w:r w:rsidR="002D4E4A" w:rsidRPr="00610B62">
        <w:rPr>
          <w:sz w:val="24"/>
          <w:szCs w:val="24"/>
        </w:rPr>
        <w:t>ü</w:t>
      </w:r>
      <w:r w:rsidRPr="00610B62">
        <w:rPr>
          <w:sz w:val="24"/>
          <w:szCs w:val="24"/>
        </w:rPr>
        <w:t xml:space="preserve">tle akışı, arındırma ve temizleme proseslerinden (renk değişikliği, halka boru sisteminin arındırılması, genel temizlik) ayrı ayrı yakalanan solventlerden oluşur.  </w:t>
      </w:r>
      <w:r w:rsidR="00FB47C2" w:rsidRPr="00610B62">
        <w:rPr>
          <w:sz w:val="24"/>
          <w:szCs w:val="24"/>
        </w:rPr>
        <w:t>Atık içerisindeki solvent oranı ölçülerek bulunmalıdır. Solvent Yönetim Planına tehlikeli atık bertaraf bilgileri dahil edilerek toplam yıllık atık çıkışı belirlenir.</w:t>
      </w:r>
      <w:r w:rsidRPr="00610B62">
        <w:rPr>
          <w:sz w:val="24"/>
          <w:szCs w:val="24"/>
        </w:rPr>
        <w:t xml:space="preserve"> </w:t>
      </w:r>
    </w:p>
    <w:p w:rsidR="009451A7" w:rsidRPr="00610B62" w:rsidRDefault="00814C78" w:rsidP="00AA2E7D">
      <w:pPr>
        <w:pStyle w:val="ListeParagraf"/>
        <w:numPr>
          <w:ilvl w:val="0"/>
          <w:numId w:val="18"/>
        </w:numPr>
        <w:jc w:val="both"/>
        <w:rPr>
          <w:b/>
          <w:sz w:val="24"/>
          <w:szCs w:val="24"/>
        </w:rPr>
      </w:pPr>
      <w:r w:rsidRPr="00610B62">
        <w:rPr>
          <w:b/>
          <w:sz w:val="24"/>
          <w:szCs w:val="24"/>
        </w:rPr>
        <w:t>Girdilerin Hesaplanması</w:t>
      </w:r>
    </w:p>
    <w:p w:rsidR="00E13177" w:rsidRPr="00610B62" w:rsidRDefault="00E13177" w:rsidP="003B0E31">
      <w:pPr>
        <w:jc w:val="both"/>
        <w:rPr>
          <w:sz w:val="24"/>
          <w:szCs w:val="24"/>
        </w:rPr>
      </w:pPr>
      <w:r w:rsidRPr="00610B62">
        <w:rPr>
          <w:sz w:val="24"/>
          <w:szCs w:val="24"/>
        </w:rPr>
        <w:t>Solvent Yönetim planının temelini oluşturan kütle bil</w:t>
      </w:r>
      <w:r w:rsidR="00814C78" w:rsidRPr="00610B62">
        <w:rPr>
          <w:sz w:val="24"/>
          <w:szCs w:val="24"/>
        </w:rPr>
        <w:t xml:space="preserve">anço dengesi hesaplamalarında </w:t>
      </w:r>
      <w:r w:rsidRPr="00610B62">
        <w:rPr>
          <w:sz w:val="24"/>
          <w:szCs w:val="24"/>
        </w:rPr>
        <w:t>aşağıdaki sıra ile işlemler yapılır:</w:t>
      </w:r>
    </w:p>
    <w:p w:rsidR="00E13177" w:rsidRPr="00610B62" w:rsidRDefault="00E13177" w:rsidP="00336BD3">
      <w:pPr>
        <w:pStyle w:val="ListeParagraf"/>
        <w:numPr>
          <w:ilvl w:val="0"/>
          <w:numId w:val="16"/>
        </w:numPr>
        <w:jc w:val="both"/>
        <w:rPr>
          <w:sz w:val="24"/>
          <w:szCs w:val="24"/>
        </w:rPr>
      </w:pPr>
      <w:r w:rsidRPr="00610B62">
        <w:rPr>
          <w:sz w:val="24"/>
          <w:szCs w:val="24"/>
        </w:rPr>
        <w:t xml:space="preserve">Kütle Bilanço hesaplamalarında boya kaplama prosesinde kullanılan </w:t>
      </w:r>
      <w:r w:rsidRPr="00610B62">
        <w:rPr>
          <w:b/>
          <w:sz w:val="24"/>
          <w:szCs w:val="24"/>
        </w:rPr>
        <w:t>tüm ana ve yardımcı maddeler (envanter kodu ve ismi ile)</w:t>
      </w:r>
      <w:r w:rsidRPr="00610B62">
        <w:rPr>
          <w:sz w:val="24"/>
          <w:szCs w:val="24"/>
        </w:rPr>
        <w:t xml:space="preserve"> aşağıda örneği verilmiş bir formda listelenir.</w:t>
      </w:r>
    </w:p>
    <w:p w:rsidR="00C154AA" w:rsidRPr="00610B62" w:rsidRDefault="00C154AA" w:rsidP="00336BD3">
      <w:pPr>
        <w:pStyle w:val="ListeParagraf"/>
        <w:numPr>
          <w:ilvl w:val="0"/>
          <w:numId w:val="16"/>
        </w:numPr>
        <w:jc w:val="both"/>
        <w:rPr>
          <w:sz w:val="24"/>
          <w:szCs w:val="24"/>
        </w:rPr>
      </w:pPr>
      <w:r w:rsidRPr="00610B62">
        <w:rPr>
          <w:sz w:val="24"/>
          <w:szCs w:val="24"/>
        </w:rPr>
        <w:t xml:space="preserve">Envantere giren tüm maddelerin </w:t>
      </w:r>
      <w:r w:rsidRPr="00610B62">
        <w:rPr>
          <w:b/>
          <w:sz w:val="24"/>
          <w:szCs w:val="24"/>
        </w:rPr>
        <w:t>yıllık tüketimleri (kg)</w:t>
      </w:r>
    </w:p>
    <w:p w:rsidR="00C154AA" w:rsidRPr="00610B62" w:rsidRDefault="00E13177" w:rsidP="00336BD3">
      <w:pPr>
        <w:pStyle w:val="ListeParagraf"/>
        <w:numPr>
          <w:ilvl w:val="0"/>
          <w:numId w:val="16"/>
        </w:numPr>
        <w:jc w:val="both"/>
        <w:rPr>
          <w:sz w:val="24"/>
          <w:szCs w:val="24"/>
        </w:rPr>
      </w:pPr>
      <w:r w:rsidRPr="00610B62">
        <w:rPr>
          <w:sz w:val="24"/>
          <w:szCs w:val="24"/>
        </w:rPr>
        <w:t xml:space="preserve">Envantere giren tüm </w:t>
      </w:r>
      <w:r w:rsidR="00C154AA" w:rsidRPr="00610B62">
        <w:rPr>
          <w:sz w:val="24"/>
          <w:szCs w:val="24"/>
        </w:rPr>
        <w:t>maddelerin içeriğindeki,</w:t>
      </w:r>
      <w:r w:rsidRPr="00610B62">
        <w:rPr>
          <w:sz w:val="24"/>
          <w:szCs w:val="24"/>
        </w:rPr>
        <w:t xml:space="preserve"> tanımlar bölümünde verilen “uçucu organik bileşik”</w:t>
      </w:r>
      <w:r w:rsidR="00C154AA" w:rsidRPr="00610B62">
        <w:rPr>
          <w:sz w:val="24"/>
          <w:szCs w:val="24"/>
        </w:rPr>
        <w:t xml:space="preserve"> tanımına giren </w:t>
      </w:r>
      <w:r w:rsidR="00C154AA" w:rsidRPr="00610B62">
        <w:rPr>
          <w:b/>
          <w:sz w:val="24"/>
          <w:szCs w:val="24"/>
        </w:rPr>
        <w:t>(%) solvent oranı</w:t>
      </w:r>
      <w:r w:rsidR="00C154AA" w:rsidRPr="00610B62">
        <w:rPr>
          <w:sz w:val="24"/>
          <w:szCs w:val="24"/>
        </w:rPr>
        <w:t xml:space="preserve"> belirlenir. Bunun için aşağıdaki yöntemler kullanılabilir:</w:t>
      </w:r>
    </w:p>
    <w:p w:rsidR="00AD5AFF" w:rsidRDefault="00AD5AFF" w:rsidP="00AD5AFF">
      <w:pPr>
        <w:pStyle w:val="ListeParagraf"/>
        <w:numPr>
          <w:ilvl w:val="1"/>
          <w:numId w:val="17"/>
        </w:numPr>
        <w:jc w:val="both"/>
        <w:rPr>
          <w:sz w:val="24"/>
          <w:szCs w:val="24"/>
        </w:rPr>
      </w:pPr>
      <w:r w:rsidRPr="00AD5AFF">
        <w:rPr>
          <w:sz w:val="24"/>
          <w:szCs w:val="24"/>
        </w:rPr>
        <w:t>Tedarikçi Firmadan en az bir defaya mahsus; mümkünse her üretim lotu için alınacak analiz sonucu</w:t>
      </w:r>
    </w:p>
    <w:p w:rsidR="00E13177" w:rsidRPr="00610B62" w:rsidRDefault="00C154AA" w:rsidP="00336BD3">
      <w:pPr>
        <w:pStyle w:val="ListeParagraf"/>
        <w:numPr>
          <w:ilvl w:val="1"/>
          <w:numId w:val="17"/>
        </w:numPr>
        <w:jc w:val="both"/>
        <w:rPr>
          <w:sz w:val="24"/>
          <w:szCs w:val="24"/>
        </w:rPr>
      </w:pPr>
      <w:r w:rsidRPr="00610B62">
        <w:rPr>
          <w:sz w:val="24"/>
          <w:szCs w:val="24"/>
        </w:rPr>
        <w:t>Envanterdeki maddenin Malzeme Güvenlik Bilgi Formunda yazılı oran</w:t>
      </w:r>
    </w:p>
    <w:p w:rsidR="00C154AA" w:rsidRPr="00610B62" w:rsidRDefault="00C154AA" w:rsidP="00336BD3">
      <w:pPr>
        <w:pStyle w:val="ListeParagraf"/>
        <w:numPr>
          <w:ilvl w:val="1"/>
          <w:numId w:val="17"/>
        </w:numPr>
        <w:jc w:val="both"/>
        <w:rPr>
          <w:sz w:val="24"/>
          <w:szCs w:val="24"/>
        </w:rPr>
      </w:pPr>
      <w:r w:rsidRPr="00610B62">
        <w:rPr>
          <w:sz w:val="24"/>
          <w:szCs w:val="24"/>
        </w:rPr>
        <w:t>Laboratu</w:t>
      </w:r>
      <w:r w:rsidR="00814C78" w:rsidRPr="00610B62">
        <w:rPr>
          <w:sz w:val="24"/>
          <w:szCs w:val="24"/>
        </w:rPr>
        <w:t>v</w:t>
      </w:r>
      <w:r w:rsidRPr="00610B62">
        <w:rPr>
          <w:sz w:val="24"/>
          <w:szCs w:val="24"/>
        </w:rPr>
        <w:t>ar analizleri</w:t>
      </w:r>
    </w:p>
    <w:p w:rsidR="00814C78" w:rsidRPr="00610B62" w:rsidRDefault="00814C78" w:rsidP="00336BD3">
      <w:pPr>
        <w:pStyle w:val="ListeParagraf"/>
        <w:numPr>
          <w:ilvl w:val="0"/>
          <w:numId w:val="16"/>
        </w:numPr>
        <w:jc w:val="both"/>
        <w:rPr>
          <w:sz w:val="24"/>
          <w:szCs w:val="24"/>
        </w:rPr>
      </w:pPr>
      <w:r w:rsidRPr="00610B62">
        <w:rPr>
          <w:sz w:val="24"/>
          <w:szCs w:val="24"/>
        </w:rPr>
        <w:t>Katı Madde Oranı =( %100- % Solvent Oranı</w:t>
      </w:r>
      <w:r w:rsidR="007E5089">
        <w:rPr>
          <w:sz w:val="24"/>
          <w:szCs w:val="24"/>
        </w:rPr>
        <w:t xml:space="preserve"> - % Su Oranı</w:t>
      </w:r>
      <w:r w:rsidRPr="00610B62">
        <w:rPr>
          <w:sz w:val="24"/>
          <w:szCs w:val="24"/>
        </w:rPr>
        <w:t>) formülü ile hesaplanır.</w:t>
      </w:r>
    </w:p>
    <w:p w:rsidR="00814C78" w:rsidRPr="00610B62" w:rsidRDefault="00814C78" w:rsidP="00336BD3">
      <w:pPr>
        <w:pStyle w:val="ListeParagraf"/>
        <w:numPr>
          <w:ilvl w:val="0"/>
          <w:numId w:val="16"/>
        </w:numPr>
        <w:jc w:val="both"/>
        <w:rPr>
          <w:sz w:val="24"/>
          <w:szCs w:val="24"/>
        </w:rPr>
      </w:pPr>
      <w:r w:rsidRPr="00610B62">
        <w:rPr>
          <w:sz w:val="24"/>
          <w:szCs w:val="24"/>
        </w:rPr>
        <w:t>İşletme sahası içinde toplanan atık solventlerin distile ederek geri kazanılması durumunda, distilasyon sonucu üretilen “Geri Kazanılmış Solvent” ; I2 ( Input 2) girdisi olarak envantere dahil edilir.</w:t>
      </w:r>
      <w:r w:rsidR="0011733A" w:rsidRPr="00610B62">
        <w:rPr>
          <w:sz w:val="24"/>
          <w:szCs w:val="24"/>
        </w:rPr>
        <w:t xml:space="preserve"> Aynı şekilde yıllık toplam (kg) miktarı kaydedilir. Solvent oranı ise % 100 kabul edilir.</w:t>
      </w:r>
    </w:p>
    <w:p w:rsidR="00814C78" w:rsidRPr="00610B62" w:rsidRDefault="0011733A" w:rsidP="00336BD3">
      <w:pPr>
        <w:pStyle w:val="ListeParagraf"/>
        <w:numPr>
          <w:ilvl w:val="0"/>
          <w:numId w:val="16"/>
        </w:numPr>
        <w:jc w:val="both"/>
        <w:rPr>
          <w:sz w:val="24"/>
          <w:szCs w:val="24"/>
        </w:rPr>
      </w:pPr>
      <w:r w:rsidRPr="00610B62">
        <w:rPr>
          <w:sz w:val="24"/>
          <w:szCs w:val="24"/>
        </w:rPr>
        <w:t>Aşağıdaki örnek for</w:t>
      </w:r>
      <w:r w:rsidR="00F26F71">
        <w:rPr>
          <w:sz w:val="24"/>
          <w:szCs w:val="24"/>
        </w:rPr>
        <w:t>m</w:t>
      </w:r>
      <w:r w:rsidRPr="00610B62">
        <w:rPr>
          <w:sz w:val="24"/>
          <w:szCs w:val="24"/>
        </w:rPr>
        <w:t xml:space="preserve">da olduğu gibi; Yıllık toplam tüketimler ile Solvent oranları çarpılarak o maddeden kaynaklanan </w:t>
      </w:r>
      <w:r w:rsidR="008F6B4A" w:rsidRPr="00610B62">
        <w:rPr>
          <w:sz w:val="24"/>
          <w:szCs w:val="24"/>
        </w:rPr>
        <w:t xml:space="preserve">“toplam </w:t>
      </w:r>
      <w:r w:rsidRPr="00610B62">
        <w:rPr>
          <w:sz w:val="24"/>
          <w:szCs w:val="24"/>
        </w:rPr>
        <w:t>solvent girdisi</w:t>
      </w:r>
      <w:r w:rsidR="008F6B4A" w:rsidRPr="00610B62">
        <w:rPr>
          <w:sz w:val="24"/>
          <w:szCs w:val="24"/>
        </w:rPr>
        <w:t>”</w:t>
      </w:r>
      <w:r w:rsidRPr="00610B62">
        <w:rPr>
          <w:sz w:val="24"/>
          <w:szCs w:val="24"/>
        </w:rPr>
        <w:t xml:space="preserve"> hesaplanır.</w:t>
      </w:r>
    </w:p>
    <w:p w:rsidR="0011733A" w:rsidRPr="00610B62" w:rsidRDefault="0011733A" w:rsidP="00336BD3">
      <w:pPr>
        <w:pStyle w:val="ListeParagraf"/>
        <w:numPr>
          <w:ilvl w:val="0"/>
          <w:numId w:val="16"/>
        </w:numPr>
        <w:jc w:val="both"/>
        <w:rPr>
          <w:sz w:val="24"/>
          <w:szCs w:val="24"/>
        </w:rPr>
      </w:pPr>
      <w:r w:rsidRPr="00610B62">
        <w:rPr>
          <w:sz w:val="24"/>
          <w:szCs w:val="24"/>
        </w:rPr>
        <w:t>Tüm maddelerden kaynaklanan solvent girdileri toplanır.</w:t>
      </w:r>
    </w:p>
    <w:p w:rsidR="008F6B4A" w:rsidRPr="00610B62" w:rsidRDefault="008F6B4A" w:rsidP="00336BD3">
      <w:pPr>
        <w:pStyle w:val="ListeParagraf"/>
        <w:numPr>
          <w:ilvl w:val="0"/>
          <w:numId w:val="16"/>
        </w:numPr>
        <w:jc w:val="both"/>
        <w:rPr>
          <w:sz w:val="24"/>
          <w:szCs w:val="24"/>
        </w:rPr>
      </w:pPr>
      <w:r w:rsidRPr="00610B62">
        <w:rPr>
          <w:sz w:val="24"/>
          <w:szCs w:val="24"/>
        </w:rPr>
        <w:t>Aynı işlem katı madde oranı ile de yapılarak toplam “katı madde girdisi” hesaplanır.</w:t>
      </w:r>
    </w:p>
    <w:p w:rsidR="003E468A" w:rsidRDefault="003E468A" w:rsidP="00986922">
      <w:pPr>
        <w:jc w:val="both"/>
      </w:pPr>
    </w:p>
    <w:tbl>
      <w:tblPr>
        <w:tblW w:w="9928" w:type="dxa"/>
        <w:tblInd w:w="65" w:type="dxa"/>
        <w:tblCellMar>
          <w:left w:w="70" w:type="dxa"/>
          <w:right w:w="70" w:type="dxa"/>
        </w:tblCellMar>
        <w:tblLook w:val="04A0" w:firstRow="1" w:lastRow="0" w:firstColumn="1" w:lastColumn="0" w:noHBand="0" w:noVBand="1"/>
      </w:tblPr>
      <w:tblGrid>
        <w:gridCol w:w="1063"/>
        <w:gridCol w:w="1100"/>
        <w:gridCol w:w="1108"/>
        <w:gridCol w:w="1439"/>
        <w:gridCol w:w="1816"/>
        <w:gridCol w:w="1701"/>
        <w:gridCol w:w="1701"/>
      </w:tblGrid>
      <w:tr w:rsidR="007E2186" w:rsidRPr="00986922" w:rsidTr="007036CB">
        <w:trPr>
          <w:trHeight w:val="825"/>
        </w:trPr>
        <w:tc>
          <w:tcPr>
            <w:tcW w:w="0" w:type="auto"/>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lastRenderedPageBreak/>
              <w:t>Envanter No</w:t>
            </w:r>
          </w:p>
        </w:tc>
        <w:tc>
          <w:tcPr>
            <w:tcW w:w="0" w:type="auto"/>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Malzeme Adı</w:t>
            </w:r>
          </w:p>
        </w:tc>
        <w:tc>
          <w:tcPr>
            <w:tcW w:w="0" w:type="auto"/>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Tüketim  Kg/yıl</w:t>
            </w:r>
          </w:p>
        </w:tc>
        <w:tc>
          <w:tcPr>
            <w:tcW w:w="0" w:type="auto"/>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Solvent Oranı     % (kg/kg)</w:t>
            </w:r>
          </w:p>
        </w:tc>
        <w:tc>
          <w:tcPr>
            <w:tcW w:w="1816" w:type="dxa"/>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Katı Madde Oranı         % (kg/kg)</w:t>
            </w:r>
          </w:p>
        </w:tc>
        <w:tc>
          <w:tcPr>
            <w:tcW w:w="1701" w:type="dxa"/>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Katı Madde Girdisi</w:t>
            </w:r>
            <w:r w:rsidR="007E2186" w:rsidRPr="007036CB">
              <w:rPr>
                <w:rFonts w:ascii="Calibri" w:eastAsia="Times New Roman" w:hAnsi="Calibri" w:cs="Times New Roman"/>
                <w:bCs/>
                <w:color w:val="000000"/>
                <w:lang w:eastAsia="tr-TR"/>
              </w:rPr>
              <w:t>,</w:t>
            </w:r>
            <w:r w:rsidRPr="007036CB">
              <w:rPr>
                <w:rFonts w:ascii="Calibri" w:eastAsia="Times New Roman" w:hAnsi="Calibri" w:cs="Times New Roman"/>
                <w:bCs/>
                <w:color w:val="000000"/>
                <w:lang w:eastAsia="tr-TR"/>
              </w:rPr>
              <w:t xml:space="preserve"> kg/yıl</w:t>
            </w:r>
          </w:p>
        </w:tc>
        <w:tc>
          <w:tcPr>
            <w:tcW w:w="1701" w:type="dxa"/>
            <w:tcBorders>
              <w:top w:val="single" w:sz="4" w:space="0" w:color="000000"/>
              <w:left w:val="nil"/>
              <w:bottom w:val="single" w:sz="4" w:space="0" w:color="000000"/>
              <w:right w:val="single" w:sz="4" w:space="0" w:color="000000"/>
            </w:tcBorders>
            <w:shd w:val="clear" w:color="FFFF00" w:fill="FFFF00"/>
            <w:vAlign w:val="center"/>
            <w:hideMark/>
          </w:tcPr>
          <w:p w:rsidR="00986922" w:rsidRPr="007036CB" w:rsidRDefault="00986922"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Solvent Girdisi,          kg/yıl</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bCs/>
                <w:color w:val="FF0000"/>
                <w:lang w:eastAsia="tr-TR"/>
              </w:rPr>
            </w:pPr>
            <w:r w:rsidRPr="007036CB">
              <w:rPr>
                <w:rFonts w:ascii="Calibri" w:eastAsia="Times New Roman" w:hAnsi="Calibri" w:cs="Times New Roman"/>
                <w:bCs/>
                <w:color w:val="FF0000"/>
                <w:lang w:eastAsia="tr-TR"/>
              </w:rPr>
              <w:t>xx</w:t>
            </w:r>
          </w:p>
        </w:tc>
        <w:tc>
          <w:tcPr>
            <w:tcW w:w="0" w:type="auto"/>
            <w:tcBorders>
              <w:top w:val="single" w:sz="4" w:space="0" w:color="000000"/>
              <w:left w:val="nil"/>
              <w:bottom w:val="single" w:sz="4" w:space="0" w:color="000000"/>
              <w:right w:val="nil"/>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bCs/>
                <w:color w:val="FF0000"/>
                <w:lang w:eastAsia="tr-TR"/>
              </w:rPr>
            </w:pPr>
            <w:r w:rsidRPr="007036CB">
              <w:rPr>
                <w:rFonts w:ascii="Calibri" w:eastAsia="Times New Roman" w:hAnsi="Calibri" w:cs="Times New Roman"/>
                <w:bCs/>
                <w:color w:val="FF0000"/>
                <w:lang w:eastAsia="tr-TR"/>
              </w:rPr>
              <w:t>….Boya</w:t>
            </w:r>
          </w:p>
        </w:tc>
        <w:tc>
          <w:tcPr>
            <w:tcW w:w="0" w:type="auto"/>
            <w:tcBorders>
              <w:top w:val="single" w:sz="4" w:space="0" w:color="000000"/>
              <w:left w:val="single" w:sz="4" w:space="0" w:color="000000"/>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jc w:val="center"/>
              <w:rPr>
                <w:rFonts w:ascii="Calibri" w:eastAsia="Times New Roman" w:hAnsi="Calibri" w:cs="Times New Roman"/>
                <w:b/>
                <w:bCs/>
                <w:color w:val="FF0000"/>
                <w:lang w:eastAsia="tr-TR"/>
              </w:rPr>
            </w:pPr>
            <w:r w:rsidRPr="007036CB">
              <w:rPr>
                <w:rFonts w:ascii="Calibri" w:eastAsia="Times New Roman" w:hAnsi="Calibri" w:cs="Times New Roman"/>
                <w:b/>
                <w:bCs/>
                <w:color w:val="FF0000"/>
                <w:lang w:eastAsia="tr-TR"/>
              </w:rPr>
              <w:t>a</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jc w:val="center"/>
              <w:rPr>
                <w:rFonts w:ascii="Calibri" w:eastAsia="Times New Roman" w:hAnsi="Calibri" w:cs="Times New Roman"/>
                <w:b/>
                <w:bCs/>
                <w:color w:val="FF0000"/>
                <w:lang w:eastAsia="tr-TR"/>
              </w:rPr>
            </w:pPr>
            <w:r w:rsidRPr="007036CB">
              <w:rPr>
                <w:rFonts w:ascii="Calibri" w:eastAsia="Times New Roman" w:hAnsi="Calibri" w:cs="Times New Roman"/>
                <w:b/>
                <w:bCs/>
                <w:color w:val="FF0000"/>
                <w:lang w:eastAsia="tr-TR"/>
              </w:rPr>
              <w:t>b</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C16022" w:rsidP="00C16022">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c</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C16022" w:rsidP="00986922">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a x c</w:t>
            </w:r>
            <w:r w:rsidR="00986922" w:rsidRPr="007036CB">
              <w:rPr>
                <w:rFonts w:ascii="Calibri" w:eastAsia="Times New Roman" w:hAnsi="Calibri" w:cs="Times New Roman"/>
                <w:b/>
                <w:bCs/>
                <w:color w:val="FF0000"/>
                <w:lang w:eastAsia="tr-TR"/>
              </w:rPr>
              <w:t xml:space="preserve"> /100</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C16022" w:rsidP="00986922">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a x b /100</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A73259"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jc w:val="center"/>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jc w:val="center"/>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EAF1DD" w:fill="DAEEF3"/>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816"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701"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701"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r>
      <w:tr w:rsidR="00A73259"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jc w:val="center"/>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jc w:val="center"/>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000000" w:fill="DAEEF3"/>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0" w:type="auto"/>
            <w:tcBorders>
              <w:top w:val="single" w:sz="4" w:space="0" w:color="000000"/>
              <w:left w:val="nil"/>
              <w:bottom w:val="single" w:sz="4" w:space="0" w:color="000000"/>
              <w:right w:val="single" w:sz="4" w:space="0" w:color="000000"/>
            </w:tcBorders>
            <w:shd w:val="clear" w:color="EAF1DD" w:fill="DAEEF3"/>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816"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701"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c>
          <w:tcPr>
            <w:tcW w:w="1701" w:type="dxa"/>
            <w:tcBorders>
              <w:top w:val="single" w:sz="4" w:space="0" w:color="000000"/>
              <w:left w:val="nil"/>
              <w:bottom w:val="single" w:sz="4" w:space="0" w:color="000000"/>
              <w:right w:val="single" w:sz="4" w:space="0" w:color="000000"/>
            </w:tcBorders>
            <w:shd w:val="clear" w:color="EAF1DD" w:fill="EAF1DD"/>
            <w:vAlign w:val="center"/>
          </w:tcPr>
          <w:p w:rsidR="00A73259" w:rsidRPr="007036CB" w:rsidRDefault="00A73259" w:rsidP="00986922">
            <w:pPr>
              <w:spacing w:after="0" w:line="240" w:lineRule="auto"/>
              <w:rPr>
                <w:rFonts w:ascii="Calibri" w:eastAsia="Times New Roman" w:hAnsi="Calibri" w:cs="Times New Roman"/>
                <w:color w:val="000000"/>
                <w:lang w:eastAsia="tr-TR"/>
              </w:rPr>
            </w:pP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7E2186" w:rsidRPr="00986922" w:rsidTr="007036CB">
        <w:trPr>
          <w:trHeight w:val="402"/>
        </w:trPr>
        <w:tc>
          <w:tcPr>
            <w:tcW w:w="0" w:type="auto"/>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jc w:val="center"/>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000000"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0" w:type="auto"/>
            <w:tcBorders>
              <w:top w:val="single" w:sz="4" w:space="0" w:color="000000"/>
              <w:left w:val="nil"/>
              <w:bottom w:val="single" w:sz="4" w:space="0" w:color="000000"/>
              <w:right w:val="single" w:sz="4" w:space="0" w:color="000000"/>
            </w:tcBorders>
            <w:shd w:val="clear" w:color="EAF1DD" w:fill="DAEEF3"/>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c>
          <w:tcPr>
            <w:tcW w:w="1701" w:type="dxa"/>
            <w:tcBorders>
              <w:top w:val="single" w:sz="4" w:space="0" w:color="000000"/>
              <w:left w:val="nil"/>
              <w:bottom w:val="single" w:sz="4" w:space="0" w:color="000000"/>
              <w:right w:val="single" w:sz="4" w:space="0" w:color="000000"/>
            </w:tcBorders>
            <w:shd w:val="clear" w:color="EAF1DD" w:fill="EAF1DD"/>
            <w:vAlign w:val="center"/>
            <w:hideMark/>
          </w:tcPr>
          <w:p w:rsidR="00986922" w:rsidRPr="007036CB" w:rsidRDefault="00986922" w:rsidP="00986922">
            <w:pPr>
              <w:spacing w:after="0" w:line="240" w:lineRule="auto"/>
              <w:rPr>
                <w:rFonts w:ascii="Calibri" w:eastAsia="Times New Roman" w:hAnsi="Calibri" w:cs="Times New Roman"/>
                <w:color w:val="000000"/>
                <w:lang w:eastAsia="tr-TR"/>
              </w:rPr>
            </w:pPr>
            <w:r w:rsidRPr="007036CB">
              <w:rPr>
                <w:rFonts w:ascii="Calibri" w:eastAsia="Times New Roman" w:hAnsi="Calibri" w:cs="Times New Roman"/>
                <w:color w:val="000000"/>
                <w:lang w:eastAsia="tr-TR"/>
              </w:rPr>
              <w:t> </w:t>
            </w:r>
          </w:p>
        </w:tc>
      </w:tr>
      <w:tr w:rsidR="0056471B" w:rsidRPr="00986922" w:rsidTr="00E12432">
        <w:trPr>
          <w:trHeight w:val="402"/>
        </w:trPr>
        <w:tc>
          <w:tcPr>
            <w:tcW w:w="0" w:type="auto"/>
            <w:gridSpan w:val="2"/>
            <w:tcBorders>
              <w:top w:val="single" w:sz="4" w:space="0" w:color="000000"/>
              <w:left w:val="single" w:sz="4" w:space="0" w:color="000000"/>
              <w:bottom w:val="single" w:sz="4" w:space="0" w:color="000000"/>
              <w:right w:val="nil"/>
            </w:tcBorders>
            <w:shd w:val="clear" w:color="000000" w:fill="FFFF00"/>
            <w:vAlign w:val="center"/>
            <w:hideMark/>
          </w:tcPr>
          <w:p w:rsidR="0056471B" w:rsidRPr="007036CB" w:rsidRDefault="0056471B" w:rsidP="0056471B">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TOPLAM</w:t>
            </w:r>
            <w:r>
              <w:rPr>
                <w:rFonts w:ascii="Calibri" w:eastAsia="Times New Roman" w:hAnsi="Calibri" w:cs="Times New Roman"/>
                <w:bCs/>
                <w:color w:val="000000"/>
                <w:lang w:eastAsia="tr-TR"/>
              </w:rPr>
              <w:t xml:space="preserve"> ( Input )</w:t>
            </w:r>
            <w:r w:rsidRPr="007036CB">
              <w:rPr>
                <w:rFonts w:ascii="Calibri" w:eastAsia="Times New Roman" w:hAnsi="Calibri" w:cs="Times New Roman"/>
                <w:bCs/>
                <w:color w:val="000000"/>
                <w:lang w:eastAsia="tr-TR"/>
              </w:rPr>
              <w:t> </w:t>
            </w:r>
          </w:p>
        </w:tc>
        <w:tc>
          <w:tcPr>
            <w:tcW w:w="0" w:type="auto"/>
            <w:tcBorders>
              <w:top w:val="single" w:sz="4" w:space="0" w:color="000000"/>
              <w:left w:val="nil"/>
              <w:bottom w:val="single" w:sz="4" w:space="0" w:color="000000"/>
              <w:right w:val="nil"/>
            </w:tcBorders>
            <w:shd w:val="clear" w:color="000000" w:fill="FFFF00"/>
            <w:vAlign w:val="center"/>
            <w:hideMark/>
          </w:tcPr>
          <w:p w:rsidR="0056471B" w:rsidRPr="007036CB" w:rsidRDefault="0056471B"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 </w:t>
            </w:r>
          </w:p>
        </w:tc>
        <w:tc>
          <w:tcPr>
            <w:tcW w:w="0" w:type="auto"/>
            <w:tcBorders>
              <w:top w:val="single" w:sz="4" w:space="0" w:color="000000"/>
              <w:left w:val="nil"/>
              <w:bottom w:val="single" w:sz="4" w:space="0" w:color="000000"/>
              <w:right w:val="nil"/>
            </w:tcBorders>
            <w:shd w:val="clear" w:color="EAF1DD" w:fill="FFFF00"/>
            <w:vAlign w:val="center"/>
            <w:hideMark/>
          </w:tcPr>
          <w:p w:rsidR="0056471B" w:rsidRPr="007036CB" w:rsidRDefault="0056471B" w:rsidP="00986922">
            <w:pPr>
              <w:spacing w:after="0" w:line="240" w:lineRule="auto"/>
              <w:rPr>
                <w:rFonts w:ascii="Calibri" w:eastAsia="Times New Roman" w:hAnsi="Calibri" w:cs="Times New Roman"/>
                <w:b/>
                <w:bCs/>
                <w:color w:val="000000"/>
                <w:lang w:eastAsia="tr-TR"/>
              </w:rPr>
            </w:pPr>
            <w:r w:rsidRPr="007036CB">
              <w:rPr>
                <w:rFonts w:ascii="Calibri" w:eastAsia="Times New Roman" w:hAnsi="Calibri" w:cs="Times New Roman"/>
                <w:b/>
                <w:bCs/>
                <w:color w:val="000000"/>
                <w:lang w:eastAsia="tr-TR"/>
              </w:rPr>
              <w:t> </w:t>
            </w:r>
          </w:p>
        </w:tc>
        <w:tc>
          <w:tcPr>
            <w:tcW w:w="1816" w:type="dxa"/>
            <w:tcBorders>
              <w:top w:val="single" w:sz="4" w:space="0" w:color="000000"/>
              <w:left w:val="nil"/>
              <w:bottom w:val="single" w:sz="4" w:space="0" w:color="000000"/>
              <w:right w:val="single" w:sz="4" w:space="0" w:color="000000"/>
            </w:tcBorders>
            <w:shd w:val="clear" w:color="EAF1DD" w:fill="FFFF00"/>
            <w:vAlign w:val="center"/>
            <w:hideMark/>
          </w:tcPr>
          <w:p w:rsidR="0056471B" w:rsidRPr="007036CB" w:rsidRDefault="0056471B" w:rsidP="00986922">
            <w:pPr>
              <w:spacing w:after="0" w:line="240" w:lineRule="auto"/>
              <w:rPr>
                <w:rFonts w:ascii="Calibri" w:eastAsia="Times New Roman" w:hAnsi="Calibri" w:cs="Times New Roman"/>
                <w:b/>
                <w:bCs/>
                <w:color w:val="000000"/>
                <w:lang w:eastAsia="tr-TR"/>
              </w:rPr>
            </w:pPr>
            <w:r w:rsidRPr="007036CB">
              <w:rPr>
                <w:rFonts w:ascii="Calibri" w:eastAsia="Times New Roman" w:hAnsi="Calibri" w:cs="Times New Roman"/>
                <w:b/>
                <w:bCs/>
                <w:color w:val="000000"/>
                <w:lang w:eastAsia="tr-TR"/>
              </w:rPr>
              <w:t> </w:t>
            </w:r>
          </w:p>
        </w:tc>
        <w:tc>
          <w:tcPr>
            <w:tcW w:w="1701" w:type="dxa"/>
            <w:tcBorders>
              <w:top w:val="single" w:sz="4" w:space="0" w:color="000000"/>
              <w:left w:val="nil"/>
              <w:bottom w:val="single" w:sz="4" w:space="0" w:color="000000"/>
              <w:right w:val="nil"/>
            </w:tcBorders>
            <w:shd w:val="clear" w:color="EAF1DD" w:fill="FFFF00"/>
            <w:vAlign w:val="center"/>
            <w:hideMark/>
          </w:tcPr>
          <w:p w:rsidR="0056471B" w:rsidRPr="007036CB" w:rsidRDefault="0056471B"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0</w:t>
            </w:r>
          </w:p>
        </w:tc>
        <w:tc>
          <w:tcPr>
            <w:tcW w:w="1701" w:type="dxa"/>
            <w:tcBorders>
              <w:top w:val="single" w:sz="4" w:space="0" w:color="000000"/>
              <w:left w:val="single" w:sz="4" w:space="0" w:color="000000"/>
              <w:bottom w:val="single" w:sz="4" w:space="0" w:color="000000"/>
              <w:right w:val="single" w:sz="4" w:space="0" w:color="000000"/>
            </w:tcBorders>
            <w:shd w:val="clear" w:color="EAF1DD" w:fill="FFFF00"/>
            <w:vAlign w:val="center"/>
            <w:hideMark/>
          </w:tcPr>
          <w:p w:rsidR="0056471B" w:rsidRPr="007036CB" w:rsidRDefault="0056471B" w:rsidP="00986922">
            <w:pPr>
              <w:spacing w:after="0" w:line="240" w:lineRule="auto"/>
              <w:rPr>
                <w:rFonts w:ascii="Calibri" w:eastAsia="Times New Roman" w:hAnsi="Calibri" w:cs="Times New Roman"/>
                <w:bCs/>
                <w:color w:val="000000"/>
                <w:lang w:eastAsia="tr-TR"/>
              </w:rPr>
            </w:pPr>
            <w:r w:rsidRPr="007036CB">
              <w:rPr>
                <w:rFonts w:ascii="Calibri" w:eastAsia="Times New Roman" w:hAnsi="Calibri" w:cs="Times New Roman"/>
                <w:bCs/>
                <w:color w:val="000000"/>
                <w:lang w:eastAsia="tr-TR"/>
              </w:rPr>
              <w:t>0</w:t>
            </w:r>
          </w:p>
        </w:tc>
      </w:tr>
    </w:tbl>
    <w:p w:rsidR="005A004C" w:rsidRDefault="00853146" w:rsidP="00986922">
      <w:pPr>
        <w:jc w:val="both"/>
      </w:pPr>
      <w:r>
        <w:t xml:space="preserve">Tablo 3 : </w:t>
      </w:r>
      <w:r w:rsidR="0056471B">
        <w:t xml:space="preserve"> Solvent Girdi</w:t>
      </w:r>
      <w:r w:rsidR="00815260">
        <w:t>leri (I)</w:t>
      </w:r>
      <w:r w:rsidR="0056471B">
        <w:t xml:space="preserve"> Hesaplama Tablosu</w:t>
      </w:r>
    </w:p>
    <w:p w:rsidR="005A004C" w:rsidRPr="0037565B" w:rsidRDefault="005A004C" w:rsidP="00336BD3">
      <w:pPr>
        <w:pStyle w:val="ListeParagraf"/>
        <w:numPr>
          <w:ilvl w:val="0"/>
          <w:numId w:val="15"/>
        </w:numPr>
        <w:jc w:val="both"/>
        <w:rPr>
          <w:b/>
          <w:sz w:val="24"/>
          <w:szCs w:val="24"/>
        </w:rPr>
      </w:pPr>
      <w:r w:rsidRPr="0037565B">
        <w:rPr>
          <w:b/>
          <w:sz w:val="24"/>
          <w:szCs w:val="24"/>
        </w:rPr>
        <w:t>Çıktıların Hesaplanması</w:t>
      </w:r>
    </w:p>
    <w:p w:rsidR="005A004C" w:rsidRPr="0037565B" w:rsidRDefault="005A004C" w:rsidP="00986922">
      <w:pPr>
        <w:jc w:val="both"/>
        <w:rPr>
          <w:sz w:val="24"/>
          <w:szCs w:val="24"/>
        </w:rPr>
      </w:pPr>
      <w:r w:rsidRPr="0037565B">
        <w:rPr>
          <w:sz w:val="24"/>
          <w:szCs w:val="24"/>
        </w:rPr>
        <w:t>Kütle bilanço sisteminin çıktılarının hesaplanmasında aşağıdaki yöntemler izlenir:</w:t>
      </w:r>
    </w:p>
    <w:p w:rsidR="00342922" w:rsidRDefault="005A004C" w:rsidP="00347149">
      <w:pPr>
        <w:pStyle w:val="ListeParagraf"/>
        <w:numPr>
          <w:ilvl w:val="0"/>
          <w:numId w:val="9"/>
        </w:numPr>
        <w:ind w:firstLine="696"/>
        <w:jc w:val="both"/>
        <w:rPr>
          <w:sz w:val="24"/>
          <w:szCs w:val="24"/>
        </w:rPr>
      </w:pPr>
      <w:r w:rsidRPr="00342922">
        <w:rPr>
          <w:sz w:val="24"/>
          <w:szCs w:val="24"/>
        </w:rPr>
        <w:t>O2 – Suya geçen solvent hesaplanabilmesi için boya boya kaplama prosesi kabin ıslak yıkayıcı havuzlarından atıksu arıtma tesisine gönderilen toplam atıksu miktarı m3 olarak ölçülür yada hesaplanır. Hesaplama toplam havuz hacmi ile bir yılda yapılan toplam boşaltım sayısı çarpılır. Atıksu içerisindeki çözünmüş solvent bileşiklerinin oranı laboratuar testleri ile belirlenir. Ölçüm yapılamayan durumlarda, envanterdeki malzemelerin içeriğinde bulunan uçucu organik bileşiklerin su içindeki çözünürlükleri belirlenerek ortalaması alınabili</w:t>
      </w:r>
      <w:r w:rsidR="00347149" w:rsidRPr="00342922">
        <w:rPr>
          <w:sz w:val="24"/>
          <w:szCs w:val="24"/>
        </w:rPr>
        <w:t xml:space="preserve">r. </w:t>
      </w:r>
      <w:r w:rsidR="00862FCE" w:rsidRPr="00342922">
        <w:rPr>
          <w:sz w:val="24"/>
          <w:szCs w:val="24"/>
        </w:rPr>
        <w:t>Kabine özel bir çalışma yapıl</w:t>
      </w:r>
      <w:r w:rsidR="00C5175A" w:rsidRPr="00342922">
        <w:rPr>
          <w:sz w:val="24"/>
          <w:szCs w:val="24"/>
        </w:rPr>
        <w:t>a</w:t>
      </w:r>
      <w:r w:rsidR="00862FCE" w:rsidRPr="00342922">
        <w:rPr>
          <w:sz w:val="24"/>
          <w:szCs w:val="24"/>
        </w:rPr>
        <w:t>madığı taktirde, genel kabul olarak çözünürlük oranı 0,5 wt/wt % alınabilir.</w:t>
      </w:r>
    </w:p>
    <w:p w:rsidR="003B0E31" w:rsidRPr="00342922" w:rsidRDefault="00347149" w:rsidP="00342922">
      <w:pPr>
        <w:pStyle w:val="ListeParagraf"/>
        <w:ind w:left="1416"/>
        <w:jc w:val="both"/>
        <w:rPr>
          <w:sz w:val="24"/>
          <w:szCs w:val="24"/>
        </w:rPr>
      </w:pPr>
      <w:r w:rsidRPr="00342922">
        <w:rPr>
          <w:sz w:val="24"/>
          <w:szCs w:val="24"/>
        </w:rPr>
        <w:t>O2 = Atıksu Miktarı (m3) x % Solvent Oranı x ( 1000 kg/m3)</w:t>
      </w:r>
    </w:p>
    <w:p w:rsidR="00403124" w:rsidRPr="0037565B" w:rsidRDefault="002555C7" w:rsidP="002555C7">
      <w:pPr>
        <w:jc w:val="both"/>
        <w:rPr>
          <w:sz w:val="24"/>
          <w:szCs w:val="24"/>
        </w:rPr>
      </w:pPr>
      <w:r w:rsidRPr="0037565B">
        <w:rPr>
          <w:sz w:val="24"/>
          <w:szCs w:val="24"/>
        </w:rPr>
        <w:t>Hesaplamalarda aşağıdaki form kullanılabilir:</w:t>
      </w:r>
    </w:p>
    <w:tbl>
      <w:tblPr>
        <w:tblW w:w="8820" w:type="dxa"/>
        <w:tblInd w:w="65" w:type="dxa"/>
        <w:tblCellMar>
          <w:left w:w="70" w:type="dxa"/>
          <w:right w:w="70" w:type="dxa"/>
        </w:tblCellMar>
        <w:tblLook w:val="04A0" w:firstRow="1" w:lastRow="0" w:firstColumn="1" w:lastColumn="0" w:noHBand="0" w:noVBand="1"/>
      </w:tblPr>
      <w:tblGrid>
        <w:gridCol w:w="2100"/>
        <w:gridCol w:w="1440"/>
        <w:gridCol w:w="1340"/>
        <w:gridCol w:w="1580"/>
        <w:gridCol w:w="2360"/>
      </w:tblGrid>
      <w:tr w:rsidR="002555C7" w:rsidRPr="002555C7" w:rsidTr="002555C7">
        <w:trPr>
          <w:trHeight w:val="825"/>
        </w:trPr>
        <w:tc>
          <w:tcPr>
            <w:tcW w:w="21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Islak Yıkayıcı Havuz</w:t>
            </w:r>
          </w:p>
        </w:tc>
        <w:tc>
          <w:tcPr>
            <w:tcW w:w="1440" w:type="dxa"/>
            <w:tcBorders>
              <w:top w:val="single" w:sz="4" w:space="0" w:color="000000"/>
              <w:left w:val="nil"/>
              <w:bottom w:val="single" w:sz="4" w:space="0" w:color="000000"/>
              <w:right w:val="single" w:sz="4" w:space="0" w:color="000000"/>
            </w:tcBorders>
            <w:shd w:val="clear" w:color="FFFF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Havuz Hacmi, m3</w:t>
            </w:r>
          </w:p>
        </w:tc>
        <w:tc>
          <w:tcPr>
            <w:tcW w:w="1340" w:type="dxa"/>
            <w:tcBorders>
              <w:top w:val="single" w:sz="4" w:space="0" w:color="000000"/>
              <w:left w:val="nil"/>
              <w:bottom w:val="single" w:sz="4" w:space="0" w:color="000000"/>
              <w:right w:val="single" w:sz="4" w:space="0" w:color="000000"/>
            </w:tcBorders>
            <w:shd w:val="clear" w:color="FFFF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Boşaltma Sayısı / yıl</w:t>
            </w:r>
          </w:p>
        </w:tc>
        <w:tc>
          <w:tcPr>
            <w:tcW w:w="1580" w:type="dxa"/>
            <w:tcBorders>
              <w:top w:val="single" w:sz="4" w:space="0" w:color="000000"/>
              <w:left w:val="nil"/>
              <w:bottom w:val="single" w:sz="4" w:space="0" w:color="000000"/>
              <w:right w:val="single" w:sz="4" w:space="0" w:color="000000"/>
            </w:tcBorders>
            <w:shd w:val="clear" w:color="FFFF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Atıksu Solvent Oranı, %</w:t>
            </w:r>
          </w:p>
        </w:tc>
        <w:tc>
          <w:tcPr>
            <w:tcW w:w="2360" w:type="dxa"/>
            <w:tcBorders>
              <w:top w:val="single" w:sz="4" w:space="0" w:color="000000"/>
              <w:left w:val="nil"/>
              <w:bottom w:val="single" w:sz="4" w:space="0" w:color="000000"/>
              <w:right w:val="single" w:sz="4" w:space="0" w:color="000000"/>
            </w:tcBorders>
            <w:shd w:val="clear" w:color="FFFF00" w:fill="FFFF00"/>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O2- Atıksuya</w:t>
            </w:r>
            <w:r w:rsidR="00862FCE">
              <w:rPr>
                <w:rFonts w:ascii="Calibri" w:eastAsia="Times New Roman" w:hAnsi="Calibri" w:cs="Times New Roman"/>
                <w:bCs/>
                <w:color w:val="000000"/>
                <w:lang w:eastAsia="tr-TR"/>
              </w:rPr>
              <w:t xml:space="preserve"> Geçen Solvent, kg /yıl</w:t>
            </w:r>
          </w:p>
        </w:tc>
      </w:tr>
      <w:tr w:rsidR="002555C7" w:rsidRPr="002555C7" w:rsidTr="00A202D0">
        <w:trPr>
          <w:trHeight w:val="304"/>
        </w:trPr>
        <w:tc>
          <w:tcPr>
            <w:tcW w:w="2100" w:type="dxa"/>
            <w:tcBorders>
              <w:top w:val="nil"/>
              <w:left w:val="single" w:sz="4" w:space="0" w:color="000000"/>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Astar</w:t>
            </w:r>
          </w:p>
        </w:tc>
        <w:tc>
          <w:tcPr>
            <w:tcW w:w="1440" w:type="dxa"/>
            <w:tcBorders>
              <w:top w:val="nil"/>
              <w:left w:val="nil"/>
              <w:bottom w:val="single" w:sz="4" w:space="0" w:color="000000"/>
              <w:right w:val="single" w:sz="4" w:space="0" w:color="000000"/>
            </w:tcBorders>
            <w:shd w:val="clear" w:color="000000" w:fill="DAEEF3"/>
            <w:vAlign w:val="center"/>
            <w:hideMark/>
          </w:tcPr>
          <w:p w:rsidR="002555C7" w:rsidRPr="003E468A" w:rsidRDefault="003E468A" w:rsidP="002555C7">
            <w:pPr>
              <w:spacing w:after="0" w:line="240" w:lineRule="auto"/>
              <w:jc w:val="center"/>
              <w:rPr>
                <w:rFonts w:ascii="Calibri" w:eastAsia="Times New Roman" w:hAnsi="Calibri" w:cs="Times New Roman"/>
                <w:b/>
                <w:bCs/>
                <w:color w:val="FF0000"/>
                <w:lang w:eastAsia="tr-TR"/>
              </w:rPr>
            </w:pPr>
            <w:r w:rsidRPr="003E468A">
              <w:rPr>
                <w:rFonts w:ascii="Calibri" w:eastAsia="Times New Roman" w:hAnsi="Calibri" w:cs="Times New Roman"/>
                <w:b/>
                <w:bCs/>
                <w:color w:val="FF0000"/>
                <w:lang w:eastAsia="tr-TR"/>
              </w:rPr>
              <w:t>a</w:t>
            </w:r>
            <w:r w:rsidR="002555C7" w:rsidRPr="003E468A">
              <w:rPr>
                <w:rFonts w:ascii="Calibri" w:eastAsia="Times New Roman" w:hAnsi="Calibri" w:cs="Times New Roman"/>
                <w:b/>
                <w:bCs/>
                <w:color w:val="FF0000"/>
                <w:lang w:eastAsia="tr-TR"/>
              </w:rPr>
              <w:t> </w:t>
            </w:r>
          </w:p>
        </w:tc>
        <w:tc>
          <w:tcPr>
            <w:tcW w:w="1340" w:type="dxa"/>
            <w:tcBorders>
              <w:top w:val="nil"/>
              <w:left w:val="nil"/>
              <w:bottom w:val="single" w:sz="4" w:space="0" w:color="000000"/>
              <w:right w:val="single" w:sz="4" w:space="0" w:color="000000"/>
            </w:tcBorders>
            <w:shd w:val="clear" w:color="000000" w:fill="DAEEF3"/>
            <w:vAlign w:val="center"/>
            <w:hideMark/>
          </w:tcPr>
          <w:p w:rsidR="002555C7" w:rsidRPr="003E468A" w:rsidRDefault="002555C7" w:rsidP="002555C7">
            <w:pPr>
              <w:spacing w:after="0" w:line="240" w:lineRule="auto"/>
              <w:jc w:val="center"/>
              <w:rPr>
                <w:rFonts w:ascii="Calibri" w:eastAsia="Times New Roman" w:hAnsi="Calibri" w:cs="Times New Roman"/>
                <w:b/>
                <w:bCs/>
                <w:color w:val="FF0000"/>
                <w:lang w:eastAsia="tr-TR"/>
              </w:rPr>
            </w:pPr>
            <w:r w:rsidRPr="003E468A">
              <w:rPr>
                <w:rFonts w:ascii="Calibri" w:eastAsia="Times New Roman" w:hAnsi="Calibri" w:cs="Times New Roman"/>
                <w:b/>
                <w:bCs/>
                <w:color w:val="FF0000"/>
                <w:lang w:eastAsia="tr-TR"/>
              </w:rPr>
              <w:t> </w:t>
            </w:r>
            <w:r w:rsidR="003E468A" w:rsidRPr="003E468A">
              <w:rPr>
                <w:rFonts w:ascii="Calibri" w:eastAsia="Times New Roman" w:hAnsi="Calibri" w:cs="Times New Roman"/>
                <w:b/>
                <w:bCs/>
                <w:color w:val="FF0000"/>
                <w:lang w:eastAsia="tr-TR"/>
              </w:rPr>
              <w:t>b</w:t>
            </w:r>
          </w:p>
        </w:tc>
        <w:tc>
          <w:tcPr>
            <w:tcW w:w="1580" w:type="dxa"/>
            <w:tcBorders>
              <w:top w:val="nil"/>
              <w:left w:val="nil"/>
              <w:bottom w:val="single" w:sz="4" w:space="0" w:color="000000"/>
              <w:right w:val="single" w:sz="4" w:space="0" w:color="000000"/>
            </w:tcBorders>
            <w:shd w:val="clear" w:color="000000" w:fill="DAEEF3"/>
            <w:vAlign w:val="center"/>
            <w:hideMark/>
          </w:tcPr>
          <w:p w:rsidR="002555C7" w:rsidRPr="00862FCE" w:rsidRDefault="002555C7" w:rsidP="002555C7">
            <w:pPr>
              <w:spacing w:after="0" w:line="240" w:lineRule="auto"/>
              <w:jc w:val="center"/>
              <w:rPr>
                <w:rFonts w:ascii="Calibri" w:eastAsia="Times New Roman" w:hAnsi="Calibri" w:cs="Times New Roman"/>
                <w:b/>
                <w:bCs/>
                <w:color w:val="FF0000"/>
                <w:lang w:eastAsia="tr-TR"/>
              </w:rPr>
            </w:pPr>
            <w:r w:rsidRPr="00862FCE">
              <w:rPr>
                <w:rFonts w:ascii="Calibri" w:eastAsia="Times New Roman" w:hAnsi="Calibri" w:cs="Times New Roman"/>
                <w:b/>
                <w:bCs/>
                <w:color w:val="FF0000"/>
                <w:lang w:eastAsia="tr-TR"/>
              </w:rPr>
              <w:t> </w:t>
            </w:r>
            <w:r w:rsidR="00862FCE" w:rsidRPr="00862FCE">
              <w:rPr>
                <w:rFonts w:ascii="Calibri" w:eastAsia="Times New Roman" w:hAnsi="Calibri" w:cs="Times New Roman"/>
                <w:b/>
                <w:bCs/>
                <w:color w:val="FF0000"/>
                <w:lang w:eastAsia="tr-TR"/>
              </w:rPr>
              <w:t>0,5</w:t>
            </w:r>
          </w:p>
        </w:tc>
        <w:tc>
          <w:tcPr>
            <w:tcW w:w="2360" w:type="dxa"/>
            <w:tcBorders>
              <w:top w:val="nil"/>
              <w:left w:val="nil"/>
              <w:bottom w:val="single" w:sz="4" w:space="0" w:color="000000"/>
              <w:right w:val="single" w:sz="4" w:space="0" w:color="000000"/>
            </w:tcBorders>
            <w:shd w:val="clear" w:color="000000" w:fill="DAEEF3"/>
            <w:vAlign w:val="center"/>
            <w:hideMark/>
          </w:tcPr>
          <w:p w:rsidR="002555C7" w:rsidRPr="003E468A" w:rsidRDefault="003E468A" w:rsidP="002555C7">
            <w:pPr>
              <w:spacing w:after="0" w:line="240" w:lineRule="auto"/>
              <w:jc w:val="center"/>
              <w:rPr>
                <w:rFonts w:ascii="Calibri" w:eastAsia="Times New Roman" w:hAnsi="Calibri" w:cs="Times New Roman"/>
                <w:b/>
                <w:bCs/>
                <w:color w:val="FF0000"/>
                <w:lang w:eastAsia="tr-TR"/>
              </w:rPr>
            </w:pPr>
            <w:r w:rsidRPr="003E468A">
              <w:rPr>
                <w:rFonts w:ascii="Calibri" w:eastAsia="Times New Roman" w:hAnsi="Calibri" w:cs="Times New Roman"/>
                <w:b/>
                <w:bCs/>
                <w:color w:val="FF0000"/>
                <w:lang w:eastAsia="tr-TR"/>
              </w:rPr>
              <w:t>a * b * 0,005</w:t>
            </w:r>
            <w:r w:rsidR="002555C7" w:rsidRPr="003E468A">
              <w:rPr>
                <w:rFonts w:ascii="Calibri" w:eastAsia="Times New Roman" w:hAnsi="Calibri" w:cs="Times New Roman"/>
                <w:b/>
                <w:bCs/>
                <w:color w:val="FF0000"/>
                <w:lang w:eastAsia="tr-TR"/>
              </w:rPr>
              <w:t> </w:t>
            </w:r>
          </w:p>
        </w:tc>
      </w:tr>
      <w:tr w:rsidR="002555C7" w:rsidRPr="002555C7" w:rsidTr="00A202D0">
        <w:trPr>
          <w:trHeight w:val="422"/>
        </w:trPr>
        <w:tc>
          <w:tcPr>
            <w:tcW w:w="2100" w:type="dxa"/>
            <w:tcBorders>
              <w:top w:val="nil"/>
              <w:left w:val="single" w:sz="4" w:space="0" w:color="000000"/>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Son Kat</w:t>
            </w:r>
          </w:p>
        </w:tc>
        <w:tc>
          <w:tcPr>
            <w:tcW w:w="14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p>
        </w:tc>
        <w:tc>
          <w:tcPr>
            <w:tcW w:w="13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p>
        </w:tc>
        <w:tc>
          <w:tcPr>
            <w:tcW w:w="1580" w:type="dxa"/>
            <w:tcBorders>
              <w:top w:val="nil"/>
              <w:left w:val="nil"/>
              <w:bottom w:val="single" w:sz="4" w:space="0" w:color="000000"/>
              <w:right w:val="single" w:sz="4" w:space="0" w:color="000000"/>
            </w:tcBorders>
            <w:shd w:val="clear" w:color="000000" w:fill="DAEEF3"/>
            <w:vAlign w:val="center"/>
            <w:hideMark/>
          </w:tcPr>
          <w:p w:rsidR="002555C7" w:rsidRPr="00862FCE" w:rsidRDefault="002555C7" w:rsidP="002555C7">
            <w:pPr>
              <w:spacing w:after="0" w:line="240" w:lineRule="auto"/>
              <w:jc w:val="center"/>
              <w:rPr>
                <w:rFonts w:ascii="Calibri" w:eastAsia="Times New Roman" w:hAnsi="Calibri" w:cs="Times New Roman"/>
                <w:b/>
                <w:bCs/>
                <w:color w:val="FF0000"/>
                <w:lang w:eastAsia="tr-TR"/>
              </w:rPr>
            </w:pPr>
          </w:p>
        </w:tc>
        <w:tc>
          <w:tcPr>
            <w:tcW w:w="236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r w:rsidRPr="002555C7">
              <w:rPr>
                <w:rFonts w:ascii="Calibri" w:eastAsia="Times New Roman" w:hAnsi="Calibri" w:cs="Times New Roman"/>
                <w:bCs/>
                <w:color w:val="FF0000"/>
                <w:lang w:eastAsia="tr-TR"/>
              </w:rPr>
              <w:t> </w:t>
            </w:r>
          </w:p>
        </w:tc>
      </w:tr>
      <w:tr w:rsidR="002555C7" w:rsidRPr="002555C7" w:rsidTr="00A202D0">
        <w:trPr>
          <w:trHeight w:val="414"/>
        </w:trPr>
        <w:tc>
          <w:tcPr>
            <w:tcW w:w="2100" w:type="dxa"/>
            <w:tcBorders>
              <w:top w:val="nil"/>
              <w:left w:val="single" w:sz="4" w:space="0" w:color="000000"/>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Vernik</w:t>
            </w:r>
          </w:p>
        </w:tc>
        <w:tc>
          <w:tcPr>
            <w:tcW w:w="14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r w:rsidRPr="002555C7">
              <w:rPr>
                <w:rFonts w:ascii="Calibri" w:eastAsia="Times New Roman" w:hAnsi="Calibri" w:cs="Times New Roman"/>
                <w:bCs/>
                <w:color w:val="FF0000"/>
                <w:lang w:eastAsia="tr-TR"/>
              </w:rPr>
              <w:t> </w:t>
            </w:r>
          </w:p>
        </w:tc>
        <w:tc>
          <w:tcPr>
            <w:tcW w:w="13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p>
        </w:tc>
        <w:tc>
          <w:tcPr>
            <w:tcW w:w="1580" w:type="dxa"/>
            <w:tcBorders>
              <w:top w:val="nil"/>
              <w:left w:val="nil"/>
              <w:bottom w:val="single" w:sz="4" w:space="0" w:color="000000"/>
              <w:right w:val="single" w:sz="4" w:space="0" w:color="000000"/>
            </w:tcBorders>
            <w:shd w:val="clear" w:color="000000" w:fill="DAEEF3"/>
            <w:vAlign w:val="center"/>
            <w:hideMark/>
          </w:tcPr>
          <w:p w:rsidR="002555C7" w:rsidRPr="00862FCE" w:rsidRDefault="002555C7" w:rsidP="002555C7">
            <w:pPr>
              <w:spacing w:after="0" w:line="240" w:lineRule="auto"/>
              <w:jc w:val="center"/>
              <w:rPr>
                <w:rFonts w:ascii="Calibri" w:eastAsia="Times New Roman" w:hAnsi="Calibri" w:cs="Times New Roman"/>
                <w:b/>
                <w:bCs/>
                <w:color w:val="FF0000"/>
                <w:lang w:eastAsia="tr-TR"/>
              </w:rPr>
            </w:pPr>
          </w:p>
        </w:tc>
        <w:tc>
          <w:tcPr>
            <w:tcW w:w="236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r w:rsidRPr="002555C7">
              <w:rPr>
                <w:rFonts w:ascii="Calibri" w:eastAsia="Times New Roman" w:hAnsi="Calibri" w:cs="Times New Roman"/>
                <w:bCs/>
                <w:color w:val="FF0000"/>
                <w:lang w:eastAsia="tr-TR"/>
              </w:rPr>
              <w:t> </w:t>
            </w:r>
          </w:p>
        </w:tc>
      </w:tr>
      <w:tr w:rsidR="002555C7" w:rsidRPr="002555C7" w:rsidTr="002555C7">
        <w:trPr>
          <w:trHeight w:val="405"/>
        </w:trPr>
        <w:tc>
          <w:tcPr>
            <w:tcW w:w="2100" w:type="dxa"/>
            <w:tcBorders>
              <w:top w:val="nil"/>
              <w:left w:val="single" w:sz="4" w:space="0" w:color="000000"/>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c>
          <w:tcPr>
            <w:tcW w:w="14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c>
          <w:tcPr>
            <w:tcW w:w="134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c>
          <w:tcPr>
            <w:tcW w:w="158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c>
          <w:tcPr>
            <w:tcW w:w="2360" w:type="dxa"/>
            <w:tcBorders>
              <w:top w:val="nil"/>
              <w:left w:val="nil"/>
              <w:bottom w:val="single" w:sz="4" w:space="0" w:color="000000"/>
              <w:right w:val="single" w:sz="4" w:space="0" w:color="000000"/>
            </w:tcBorders>
            <w:shd w:val="clear" w:color="000000" w:fill="DAEEF3"/>
            <w:vAlign w:val="center"/>
            <w:hideMark/>
          </w:tcPr>
          <w:p w:rsidR="002555C7" w:rsidRPr="002555C7" w:rsidRDefault="002555C7" w:rsidP="002555C7">
            <w:pPr>
              <w:spacing w:after="0" w:line="240" w:lineRule="auto"/>
              <w:jc w:val="center"/>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r>
      <w:tr w:rsidR="002555C7" w:rsidRPr="002555C7" w:rsidTr="002555C7">
        <w:trPr>
          <w:trHeight w:val="402"/>
        </w:trPr>
        <w:tc>
          <w:tcPr>
            <w:tcW w:w="4880" w:type="dxa"/>
            <w:gridSpan w:val="3"/>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TOPLAM</w:t>
            </w:r>
          </w:p>
        </w:tc>
        <w:tc>
          <w:tcPr>
            <w:tcW w:w="1580" w:type="dxa"/>
            <w:tcBorders>
              <w:top w:val="nil"/>
              <w:left w:val="nil"/>
              <w:bottom w:val="single" w:sz="4" w:space="0" w:color="000000"/>
              <w:right w:val="single" w:sz="4" w:space="0" w:color="000000"/>
            </w:tcBorders>
            <w:shd w:val="clear" w:color="000000" w:fill="FFFF00"/>
            <w:vAlign w:val="center"/>
            <w:hideMark/>
          </w:tcPr>
          <w:p w:rsidR="002555C7" w:rsidRPr="002555C7" w:rsidRDefault="002555C7" w:rsidP="002555C7">
            <w:pPr>
              <w:spacing w:after="0" w:line="240" w:lineRule="auto"/>
              <w:rPr>
                <w:rFonts w:ascii="Calibri" w:eastAsia="Times New Roman" w:hAnsi="Calibri" w:cs="Times New Roman"/>
                <w:bCs/>
                <w:color w:val="000000"/>
                <w:lang w:eastAsia="tr-TR"/>
              </w:rPr>
            </w:pPr>
            <w:r w:rsidRPr="002555C7">
              <w:rPr>
                <w:rFonts w:ascii="Calibri" w:eastAsia="Times New Roman" w:hAnsi="Calibri" w:cs="Times New Roman"/>
                <w:bCs/>
                <w:color w:val="000000"/>
                <w:lang w:eastAsia="tr-TR"/>
              </w:rPr>
              <w:t> </w:t>
            </w:r>
          </w:p>
        </w:tc>
        <w:tc>
          <w:tcPr>
            <w:tcW w:w="2360" w:type="dxa"/>
            <w:tcBorders>
              <w:top w:val="nil"/>
              <w:left w:val="nil"/>
              <w:bottom w:val="single" w:sz="4" w:space="0" w:color="000000"/>
              <w:right w:val="single" w:sz="4" w:space="0" w:color="000000"/>
            </w:tcBorders>
            <w:shd w:val="clear" w:color="EAF1DD" w:fill="FFFF00"/>
            <w:vAlign w:val="center"/>
            <w:hideMark/>
          </w:tcPr>
          <w:p w:rsidR="002555C7" w:rsidRPr="002555C7" w:rsidRDefault="002555C7" w:rsidP="002555C7">
            <w:pPr>
              <w:spacing w:after="0" w:line="240" w:lineRule="auto"/>
              <w:jc w:val="center"/>
              <w:rPr>
                <w:rFonts w:ascii="Calibri" w:eastAsia="Times New Roman" w:hAnsi="Calibri" w:cs="Times New Roman"/>
                <w:bCs/>
                <w:color w:val="FF0000"/>
                <w:lang w:eastAsia="tr-TR"/>
              </w:rPr>
            </w:pPr>
            <w:r w:rsidRPr="002555C7">
              <w:rPr>
                <w:rFonts w:ascii="Calibri" w:eastAsia="Times New Roman" w:hAnsi="Calibri" w:cs="Times New Roman"/>
                <w:bCs/>
                <w:color w:val="FF0000"/>
                <w:lang w:eastAsia="tr-TR"/>
              </w:rPr>
              <w:t> </w:t>
            </w:r>
          </w:p>
        </w:tc>
      </w:tr>
    </w:tbl>
    <w:p w:rsidR="003E468A" w:rsidRPr="001B2944" w:rsidRDefault="0056471B" w:rsidP="002555C7">
      <w:pPr>
        <w:jc w:val="both"/>
        <w:rPr>
          <w:sz w:val="24"/>
          <w:szCs w:val="24"/>
        </w:rPr>
      </w:pPr>
      <w:r w:rsidRPr="001B2944">
        <w:rPr>
          <w:sz w:val="24"/>
          <w:szCs w:val="24"/>
        </w:rPr>
        <w:t>Tablo 4 : Atıksuya geçen Solvent (O2) Hesaplama Tablosu</w:t>
      </w:r>
    </w:p>
    <w:p w:rsidR="00B332A9" w:rsidRPr="001B2944" w:rsidRDefault="00347149" w:rsidP="00347149">
      <w:pPr>
        <w:pStyle w:val="ListeParagraf"/>
        <w:numPr>
          <w:ilvl w:val="0"/>
          <w:numId w:val="9"/>
        </w:numPr>
        <w:jc w:val="both"/>
        <w:rPr>
          <w:sz w:val="24"/>
          <w:szCs w:val="24"/>
        </w:rPr>
      </w:pPr>
      <w:r w:rsidRPr="001B2944">
        <w:rPr>
          <w:sz w:val="24"/>
          <w:szCs w:val="24"/>
        </w:rPr>
        <w:lastRenderedPageBreak/>
        <w:t>O5 – Yakılarak arıtılan solvent miktarının hesaplanması için</w:t>
      </w:r>
      <w:r w:rsidR="00B332A9" w:rsidRPr="001B2944">
        <w:rPr>
          <w:sz w:val="24"/>
          <w:szCs w:val="24"/>
        </w:rPr>
        <w:t xml:space="preserve"> iki yöntem kullanılabilir:</w:t>
      </w:r>
    </w:p>
    <w:p w:rsidR="00C37A25" w:rsidRPr="001B2944" w:rsidRDefault="00C37A25" w:rsidP="00B332A9">
      <w:pPr>
        <w:pStyle w:val="ListeParagraf"/>
        <w:numPr>
          <w:ilvl w:val="1"/>
          <w:numId w:val="9"/>
        </w:numPr>
        <w:jc w:val="both"/>
        <w:rPr>
          <w:sz w:val="24"/>
          <w:szCs w:val="24"/>
        </w:rPr>
      </w:pPr>
      <w:r w:rsidRPr="001B2944">
        <w:rPr>
          <w:sz w:val="24"/>
          <w:szCs w:val="24"/>
        </w:rPr>
        <w:t>TOC Ö</w:t>
      </w:r>
      <w:r w:rsidR="00B332A9" w:rsidRPr="001B2944">
        <w:rPr>
          <w:sz w:val="24"/>
          <w:szCs w:val="24"/>
        </w:rPr>
        <w:t xml:space="preserve">lçümü </w:t>
      </w:r>
      <w:r w:rsidRPr="001B2944">
        <w:rPr>
          <w:sz w:val="24"/>
          <w:szCs w:val="24"/>
        </w:rPr>
        <w:t>Yöntemi</w:t>
      </w:r>
    </w:p>
    <w:p w:rsidR="003B0E31" w:rsidRDefault="00C37A25" w:rsidP="00C37A25">
      <w:pPr>
        <w:pStyle w:val="ListeParagraf"/>
        <w:ind w:left="1440"/>
        <w:jc w:val="both"/>
        <w:rPr>
          <w:sz w:val="24"/>
          <w:szCs w:val="24"/>
        </w:rPr>
      </w:pPr>
      <w:r w:rsidRPr="001B2944">
        <w:rPr>
          <w:sz w:val="24"/>
          <w:szCs w:val="24"/>
        </w:rPr>
        <w:t xml:space="preserve"> T</w:t>
      </w:r>
      <w:r w:rsidR="00347149" w:rsidRPr="001B2944">
        <w:rPr>
          <w:sz w:val="24"/>
          <w:szCs w:val="24"/>
        </w:rPr>
        <w:t>ermal son yakma öncesi ve sonrasında periyodik TOC ölçümü yapılır ve ortalama son yakma verimi tespit edilir. Arıtılan gaz debisi ile yıllık çalışma zamanı çarpılarak “Arıtılan toplam debi</w:t>
      </w:r>
      <w:r w:rsidR="00AE345E" w:rsidRPr="001B2944">
        <w:rPr>
          <w:sz w:val="24"/>
          <w:szCs w:val="24"/>
        </w:rPr>
        <w:t>”</w:t>
      </w:r>
      <w:r w:rsidR="00347149" w:rsidRPr="001B2944">
        <w:rPr>
          <w:sz w:val="24"/>
          <w:szCs w:val="24"/>
        </w:rPr>
        <w:t xml:space="preserve"> hesaplanır.</w:t>
      </w:r>
      <w:r w:rsidR="00AE345E" w:rsidRPr="001B2944">
        <w:rPr>
          <w:sz w:val="24"/>
          <w:szCs w:val="24"/>
        </w:rPr>
        <w:t xml:space="preserve"> Son</w:t>
      </w:r>
      <w:r w:rsidR="00E47195" w:rsidRPr="001B2944">
        <w:rPr>
          <w:sz w:val="24"/>
          <w:szCs w:val="24"/>
        </w:rPr>
        <w:t xml:space="preserve"> </w:t>
      </w:r>
      <w:r w:rsidR="00AE345E" w:rsidRPr="001B2944">
        <w:rPr>
          <w:sz w:val="24"/>
          <w:szCs w:val="24"/>
        </w:rPr>
        <w:t>yakma tesisi girişinde ölçülen TOC değeri ; uçucu organik bileşiklerin içeriğindeki toplam Karbon atom ağırlığı düzeltmesi yapılır.</w:t>
      </w:r>
      <w:r w:rsidR="00A95B3B" w:rsidRPr="001B2944">
        <w:rPr>
          <w:sz w:val="24"/>
          <w:szCs w:val="24"/>
        </w:rPr>
        <w:t xml:space="preserve"> </w:t>
      </w:r>
    </w:p>
    <w:p w:rsidR="002F1B50" w:rsidRPr="001B2944" w:rsidRDefault="002F1B50" w:rsidP="00C37A25">
      <w:pPr>
        <w:pStyle w:val="ListeParagraf"/>
        <w:ind w:left="1440"/>
        <w:jc w:val="both"/>
        <w:rPr>
          <w:sz w:val="24"/>
          <w:szCs w:val="24"/>
        </w:rPr>
      </w:pPr>
      <w:r>
        <w:rPr>
          <w:sz w:val="24"/>
          <w:szCs w:val="24"/>
        </w:rPr>
        <w:t xml:space="preserve">RTO ünitelerinde literatüre göre yakma verimi % 90-96 arasında olup,( </w:t>
      </w:r>
      <w:r w:rsidR="007D076F">
        <w:rPr>
          <w:sz w:val="24"/>
          <w:szCs w:val="24"/>
        </w:rPr>
        <w:t xml:space="preserve"> ortalama </w:t>
      </w:r>
      <w:r>
        <w:rPr>
          <w:sz w:val="24"/>
          <w:szCs w:val="24"/>
        </w:rPr>
        <w:t xml:space="preserve">% 95 alınabilir) bu değerin sağlanması için yakma odası sıcaklığının 720  </w:t>
      </w:r>
      <w:r w:rsidRPr="002F1B50">
        <w:rPr>
          <w:sz w:val="24"/>
          <w:szCs w:val="24"/>
          <w:vertAlign w:val="superscript"/>
        </w:rPr>
        <w:t>o</w:t>
      </w:r>
      <w:r>
        <w:rPr>
          <w:sz w:val="24"/>
          <w:szCs w:val="24"/>
        </w:rPr>
        <w:t>C ‘ye çıkarılması gerekir.</w:t>
      </w:r>
    </w:p>
    <w:p w:rsidR="00AE345E" w:rsidRPr="001B2944" w:rsidRDefault="00AE345E" w:rsidP="00AE345E">
      <w:pPr>
        <w:pStyle w:val="ListeParagraf"/>
        <w:ind w:left="1416"/>
        <w:jc w:val="both"/>
        <w:rPr>
          <w:sz w:val="24"/>
          <w:szCs w:val="24"/>
        </w:rPr>
      </w:pPr>
    </w:p>
    <w:p w:rsidR="00AE345E" w:rsidRPr="001B2944" w:rsidRDefault="00AE345E" w:rsidP="00AE345E">
      <w:pPr>
        <w:pStyle w:val="ListeParagraf"/>
        <w:ind w:left="1416"/>
        <w:jc w:val="both"/>
        <w:rPr>
          <w:sz w:val="24"/>
          <w:szCs w:val="24"/>
        </w:rPr>
      </w:pPr>
      <w:r w:rsidRPr="001B2944">
        <w:rPr>
          <w:sz w:val="24"/>
          <w:szCs w:val="24"/>
        </w:rPr>
        <w:t>O5 = To</w:t>
      </w:r>
      <w:r w:rsidR="00990E1D" w:rsidRPr="001B2944">
        <w:rPr>
          <w:sz w:val="24"/>
          <w:szCs w:val="24"/>
        </w:rPr>
        <w:t>p. Arıtılan Debi (Nm3/yıl) *</w:t>
      </w:r>
      <w:r w:rsidRPr="001B2944">
        <w:rPr>
          <w:sz w:val="24"/>
          <w:szCs w:val="24"/>
        </w:rPr>
        <w:t xml:space="preserve"> Solve</w:t>
      </w:r>
      <w:r w:rsidR="00990E1D" w:rsidRPr="001B2944">
        <w:rPr>
          <w:sz w:val="24"/>
          <w:szCs w:val="24"/>
        </w:rPr>
        <w:t>nt Kons.</w:t>
      </w:r>
      <w:r w:rsidR="000916B1" w:rsidRPr="001B2944">
        <w:rPr>
          <w:sz w:val="24"/>
          <w:szCs w:val="24"/>
        </w:rPr>
        <w:t xml:space="preserve"> </w:t>
      </w:r>
      <w:r w:rsidR="00990E1D" w:rsidRPr="001B2944">
        <w:rPr>
          <w:sz w:val="24"/>
          <w:szCs w:val="24"/>
        </w:rPr>
        <w:t xml:space="preserve"> (mg/m3) * Yakma Verimi</w:t>
      </w:r>
    </w:p>
    <w:p w:rsidR="00AE345E" w:rsidRPr="001B2944" w:rsidRDefault="00AE345E" w:rsidP="00AE345E">
      <w:pPr>
        <w:pStyle w:val="ListeParagraf"/>
        <w:ind w:left="1416"/>
        <w:jc w:val="both"/>
        <w:rPr>
          <w:sz w:val="24"/>
          <w:szCs w:val="24"/>
        </w:rPr>
      </w:pPr>
      <w:r w:rsidRPr="001B2944">
        <w:rPr>
          <w:sz w:val="24"/>
          <w:szCs w:val="24"/>
        </w:rPr>
        <w:t>Toplam Arıtılan Debi= Ölçüle</w:t>
      </w:r>
      <w:r w:rsidR="00990E1D" w:rsidRPr="001B2944">
        <w:rPr>
          <w:sz w:val="24"/>
          <w:szCs w:val="24"/>
        </w:rPr>
        <w:t>n Debi (Nm3/h) *</w:t>
      </w:r>
      <w:r w:rsidR="000916B1" w:rsidRPr="001B2944">
        <w:rPr>
          <w:sz w:val="24"/>
          <w:szCs w:val="24"/>
        </w:rPr>
        <w:t xml:space="preserve"> Yıllık Üretim Z</w:t>
      </w:r>
      <w:r w:rsidRPr="001B2944">
        <w:rPr>
          <w:sz w:val="24"/>
          <w:szCs w:val="24"/>
        </w:rPr>
        <w:t>aman (h/yıl)</w:t>
      </w:r>
    </w:p>
    <w:p w:rsidR="00AE345E" w:rsidRPr="001B2944" w:rsidRDefault="00AE345E" w:rsidP="00AE345E">
      <w:pPr>
        <w:pStyle w:val="ListeParagraf"/>
        <w:ind w:left="1416"/>
        <w:jc w:val="both"/>
        <w:rPr>
          <w:sz w:val="24"/>
          <w:szCs w:val="24"/>
        </w:rPr>
      </w:pPr>
      <w:r w:rsidRPr="001B2944">
        <w:rPr>
          <w:sz w:val="24"/>
          <w:szCs w:val="24"/>
        </w:rPr>
        <w:t>Solvent Kons</w:t>
      </w:r>
      <w:r w:rsidR="00843506" w:rsidRPr="001B2944">
        <w:rPr>
          <w:sz w:val="24"/>
          <w:szCs w:val="24"/>
        </w:rPr>
        <w:t xml:space="preserve">antrasyonu = Giriş TOC (mg/m3) </w:t>
      </w:r>
      <w:r w:rsidR="00990E1D" w:rsidRPr="001B2944">
        <w:rPr>
          <w:sz w:val="24"/>
          <w:szCs w:val="24"/>
        </w:rPr>
        <w:t>*</w:t>
      </w:r>
      <w:r w:rsidRPr="001B2944">
        <w:rPr>
          <w:sz w:val="24"/>
          <w:szCs w:val="24"/>
        </w:rPr>
        <w:t xml:space="preserve"> </w:t>
      </w:r>
      <w:r w:rsidR="00843506" w:rsidRPr="001B2944">
        <w:rPr>
          <w:sz w:val="24"/>
          <w:szCs w:val="24"/>
        </w:rPr>
        <w:t>(mg TOC /mg VOC)</w:t>
      </w:r>
    </w:p>
    <w:p w:rsidR="00990E1D" w:rsidRPr="001B2944" w:rsidRDefault="00990E1D" w:rsidP="00AE345E">
      <w:pPr>
        <w:pStyle w:val="ListeParagraf"/>
        <w:ind w:left="1416"/>
        <w:jc w:val="both"/>
        <w:rPr>
          <w:sz w:val="24"/>
          <w:szCs w:val="24"/>
        </w:rPr>
      </w:pPr>
      <w:r w:rsidRPr="001B2944">
        <w:rPr>
          <w:sz w:val="24"/>
          <w:szCs w:val="24"/>
        </w:rPr>
        <w:t>Yakma (RTO) Verimi = (Giriş TOC - Çıkış TOC ) / (Giriş TOC)</w:t>
      </w:r>
    </w:p>
    <w:p w:rsidR="000916B1" w:rsidRPr="001B2944" w:rsidRDefault="000916B1" w:rsidP="000916B1">
      <w:pPr>
        <w:pStyle w:val="ListeParagraf"/>
        <w:ind w:left="1416"/>
        <w:jc w:val="both"/>
        <w:rPr>
          <w:sz w:val="24"/>
          <w:szCs w:val="24"/>
        </w:rPr>
      </w:pPr>
    </w:p>
    <w:p w:rsidR="000916B1" w:rsidRPr="001B2944" w:rsidRDefault="000916B1" w:rsidP="000916B1">
      <w:pPr>
        <w:pStyle w:val="ListeParagraf"/>
        <w:ind w:left="1416"/>
        <w:jc w:val="both"/>
        <w:rPr>
          <w:sz w:val="24"/>
          <w:szCs w:val="24"/>
        </w:rPr>
      </w:pPr>
      <w:r w:rsidRPr="001B2944">
        <w:rPr>
          <w:sz w:val="24"/>
          <w:szCs w:val="24"/>
        </w:rPr>
        <w:t xml:space="preserve">Bu yöntem yılda 1 kez yapılan kütle bilanço hesaplamalarının doğrulanması amacıyla kullanılabilir. Ancak Otomotiv firmalarının </w:t>
      </w:r>
      <w:r w:rsidR="002F1B50">
        <w:rPr>
          <w:sz w:val="24"/>
          <w:szCs w:val="24"/>
        </w:rPr>
        <w:t xml:space="preserve">iç izlemeleri için </w:t>
      </w:r>
      <w:r w:rsidRPr="001B2944">
        <w:rPr>
          <w:sz w:val="24"/>
          <w:szCs w:val="24"/>
        </w:rPr>
        <w:t>VOC emisyonlarını her ay belirlemeleri ve hedefleri il</w:t>
      </w:r>
      <w:r w:rsidR="002F1B50">
        <w:rPr>
          <w:sz w:val="24"/>
          <w:szCs w:val="24"/>
        </w:rPr>
        <w:t>e kontrol etmeleri çok faydalıdır</w:t>
      </w:r>
      <w:r w:rsidRPr="001B2944">
        <w:rPr>
          <w:sz w:val="24"/>
          <w:szCs w:val="24"/>
        </w:rPr>
        <w:t>. Bu nedenle TOC ölçümü ihtiyacını ortadan kaldıracak bir yönteme ihtiyaç duyulmuştur.</w:t>
      </w:r>
    </w:p>
    <w:p w:rsidR="000916B1" w:rsidRPr="003425E6" w:rsidRDefault="002555C7" w:rsidP="0056471B">
      <w:pPr>
        <w:ind w:left="708" w:firstLine="708"/>
        <w:jc w:val="both"/>
        <w:rPr>
          <w:szCs w:val="24"/>
        </w:rPr>
      </w:pPr>
      <w:r w:rsidRPr="003425E6">
        <w:rPr>
          <w:szCs w:val="24"/>
        </w:rPr>
        <w:t>Hesaplamalarda aşağıdaki form kullanılabilir:</w:t>
      </w:r>
    </w:p>
    <w:tbl>
      <w:tblPr>
        <w:tblW w:w="9980" w:type="dxa"/>
        <w:tblInd w:w="428" w:type="dxa"/>
        <w:tblCellMar>
          <w:left w:w="70" w:type="dxa"/>
          <w:right w:w="70" w:type="dxa"/>
        </w:tblCellMar>
        <w:tblLook w:val="04A0" w:firstRow="1" w:lastRow="0" w:firstColumn="1" w:lastColumn="0" w:noHBand="0" w:noVBand="1"/>
      </w:tblPr>
      <w:tblGrid>
        <w:gridCol w:w="1340"/>
        <w:gridCol w:w="1100"/>
        <w:gridCol w:w="1140"/>
        <w:gridCol w:w="1220"/>
        <w:gridCol w:w="1380"/>
        <w:gridCol w:w="2080"/>
        <w:gridCol w:w="1720"/>
      </w:tblGrid>
      <w:tr w:rsidR="00B03DBB" w:rsidRPr="003425E6" w:rsidTr="00B03DBB">
        <w:trPr>
          <w:trHeight w:val="825"/>
        </w:trPr>
        <w:tc>
          <w:tcPr>
            <w:tcW w:w="13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03DBB" w:rsidRPr="003425E6" w:rsidRDefault="00B03DBB" w:rsidP="00B03DBB">
            <w:pPr>
              <w:spacing w:after="0" w:line="240" w:lineRule="auto"/>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Ölçüm Değeri</w:t>
            </w:r>
          </w:p>
        </w:tc>
        <w:tc>
          <w:tcPr>
            <w:tcW w:w="110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B03DBB" w:rsidP="00B03DBB">
            <w:pPr>
              <w:spacing w:after="0" w:line="240" w:lineRule="auto"/>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RTO Giriş mg C/m</w:t>
            </w:r>
            <w:r w:rsidRPr="003425E6">
              <w:rPr>
                <w:rFonts w:ascii="Calibri" w:eastAsia="Times New Roman" w:hAnsi="Calibri" w:cs="Times New Roman"/>
                <w:bCs/>
                <w:color w:val="000000"/>
                <w:sz w:val="20"/>
                <w:vertAlign w:val="superscript"/>
                <w:lang w:eastAsia="tr-TR"/>
              </w:rPr>
              <w:t>3</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B03DBB" w:rsidP="00B03DBB">
            <w:pPr>
              <w:spacing w:after="0" w:line="240" w:lineRule="auto"/>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RTO Çıkış mg C/m</w:t>
            </w:r>
            <w:r w:rsidRPr="003425E6">
              <w:rPr>
                <w:rFonts w:ascii="Calibri" w:eastAsia="Times New Roman" w:hAnsi="Calibri" w:cs="Times New Roman"/>
                <w:bCs/>
                <w:color w:val="000000"/>
                <w:sz w:val="20"/>
                <w:vertAlign w:val="superscript"/>
                <w:lang w:eastAsia="tr-TR"/>
              </w:rPr>
              <w:t>3</w:t>
            </w:r>
          </w:p>
        </w:tc>
        <w:tc>
          <w:tcPr>
            <w:tcW w:w="122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B03DBB" w:rsidP="00CC7100">
            <w:pPr>
              <w:spacing w:after="0" w:line="240" w:lineRule="auto"/>
              <w:jc w:val="center"/>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 xml:space="preserve">Fark     </w:t>
            </w:r>
            <w:r w:rsidR="00CC7100" w:rsidRPr="003425E6">
              <w:rPr>
                <w:rFonts w:ascii="Calibri" w:eastAsia="Times New Roman" w:hAnsi="Calibri" w:cs="Times New Roman"/>
                <w:bCs/>
                <w:color w:val="000000"/>
                <w:sz w:val="20"/>
                <w:lang w:eastAsia="tr-TR"/>
              </w:rPr>
              <w:t xml:space="preserve"> </w:t>
            </w:r>
            <w:r w:rsidR="007036CB" w:rsidRPr="003425E6">
              <w:rPr>
                <w:rFonts w:ascii="Calibri" w:eastAsia="Times New Roman" w:hAnsi="Calibri" w:cs="Times New Roman"/>
                <w:bCs/>
                <w:color w:val="000000"/>
                <w:sz w:val="20"/>
                <w:lang w:eastAsia="tr-TR"/>
              </w:rPr>
              <w:t xml:space="preserve">  </w:t>
            </w:r>
            <w:r w:rsidRPr="003425E6">
              <w:rPr>
                <w:rFonts w:ascii="Calibri" w:eastAsia="Times New Roman" w:hAnsi="Calibri" w:cs="Times New Roman"/>
                <w:bCs/>
                <w:color w:val="000000"/>
                <w:sz w:val="20"/>
                <w:lang w:eastAsia="tr-TR"/>
              </w:rPr>
              <w:t xml:space="preserve"> mg</w:t>
            </w:r>
            <w:r w:rsidR="00CC7100" w:rsidRPr="003425E6">
              <w:rPr>
                <w:rFonts w:ascii="Calibri" w:eastAsia="Times New Roman" w:hAnsi="Calibri" w:cs="Times New Roman"/>
                <w:bCs/>
                <w:color w:val="000000"/>
                <w:sz w:val="20"/>
                <w:lang w:eastAsia="tr-TR"/>
              </w:rPr>
              <w:t xml:space="preserve"> </w:t>
            </w:r>
            <w:r w:rsidRPr="003425E6">
              <w:rPr>
                <w:rFonts w:ascii="Calibri" w:eastAsia="Times New Roman" w:hAnsi="Calibri" w:cs="Times New Roman"/>
                <w:bCs/>
                <w:color w:val="000000"/>
                <w:sz w:val="20"/>
                <w:lang w:eastAsia="tr-TR"/>
              </w:rPr>
              <w:t>C /m</w:t>
            </w:r>
            <w:r w:rsidRPr="003425E6">
              <w:rPr>
                <w:rFonts w:ascii="Calibri" w:eastAsia="Times New Roman" w:hAnsi="Calibri" w:cs="Times New Roman"/>
                <w:bCs/>
                <w:color w:val="000000"/>
                <w:sz w:val="20"/>
                <w:vertAlign w:val="superscript"/>
                <w:lang w:eastAsia="tr-TR"/>
              </w:rPr>
              <w:t>3</w:t>
            </w:r>
          </w:p>
        </w:tc>
        <w:tc>
          <w:tcPr>
            <w:tcW w:w="138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B03DBB" w:rsidP="00B03DBB">
            <w:pPr>
              <w:spacing w:after="0" w:line="240" w:lineRule="auto"/>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 xml:space="preserve">RTO Verimi </w:t>
            </w:r>
            <w:r w:rsidR="007036CB" w:rsidRPr="003425E6">
              <w:rPr>
                <w:rFonts w:ascii="Calibri" w:eastAsia="Times New Roman" w:hAnsi="Calibri" w:cs="Times New Roman"/>
                <w:bCs/>
                <w:color w:val="000000"/>
                <w:sz w:val="20"/>
                <w:lang w:eastAsia="tr-TR"/>
              </w:rPr>
              <w:t xml:space="preserve"> </w:t>
            </w:r>
            <w:r w:rsidR="0067589E" w:rsidRPr="003425E6">
              <w:rPr>
                <w:rFonts w:ascii="Calibri" w:eastAsia="Times New Roman" w:hAnsi="Calibri" w:cs="Times New Roman"/>
                <w:bCs/>
                <w:color w:val="000000"/>
                <w:sz w:val="20"/>
                <w:lang w:eastAsia="tr-TR"/>
              </w:rPr>
              <w:t>%</w:t>
            </w:r>
          </w:p>
        </w:tc>
        <w:tc>
          <w:tcPr>
            <w:tcW w:w="208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F46B91" w:rsidP="007722BB">
            <w:pPr>
              <w:spacing w:after="0" w:line="240" w:lineRule="auto"/>
              <w:rPr>
                <w:rFonts w:ascii="Calibri" w:eastAsia="Times New Roman" w:hAnsi="Calibri" w:cs="Times New Roman"/>
                <w:bCs/>
                <w:color w:val="000000"/>
                <w:sz w:val="20"/>
                <w:lang w:eastAsia="tr-TR"/>
              </w:rPr>
            </w:pPr>
            <w:r w:rsidRPr="003425E6">
              <w:rPr>
                <w:rFonts w:ascii="Calibri" w:eastAsia="Times New Roman" w:hAnsi="Calibri" w:cs="Times New Roman"/>
                <w:bCs/>
                <w:color w:val="000000"/>
                <w:sz w:val="20"/>
                <w:lang w:eastAsia="tr-TR"/>
              </w:rPr>
              <w:t>m</w:t>
            </w:r>
            <w:r w:rsidR="007722BB" w:rsidRPr="003425E6">
              <w:rPr>
                <w:rFonts w:ascii="Calibri" w:eastAsia="Times New Roman" w:hAnsi="Calibri" w:cs="Times New Roman"/>
                <w:bCs/>
                <w:color w:val="000000"/>
                <w:sz w:val="20"/>
                <w:lang w:eastAsia="tr-TR"/>
              </w:rPr>
              <w:t xml:space="preserve">g </w:t>
            </w:r>
            <w:r w:rsidRPr="003425E6">
              <w:rPr>
                <w:rFonts w:ascii="Calibri" w:eastAsia="Times New Roman" w:hAnsi="Calibri" w:cs="Times New Roman"/>
                <w:bCs/>
                <w:color w:val="000000"/>
                <w:sz w:val="20"/>
                <w:lang w:eastAsia="tr-TR"/>
              </w:rPr>
              <w:t>TOC /mg  VOC  Dönüşüm Faktör</w:t>
            </w:r>
            <w:r w:rsidR="007722BB" w:rsidRPr="003425E6">
              <w:rPr>
                <w:rFonts w:ascii="Calibri" w:eastAsia="Times New Roman" w:hAnsi="Calibri" w:cs="Times New Roman"/>
                <w:bCs/>
                <w:color w:val="000000"/>
                <w:sz w:val="20"/>
                <w:lang w:eastAsia="tr-TR"/>
              </w:rPr>
              <w:t>ü</w:t>
            </w:r>
          </w:p>
        </w:tc>
        <w:tc>
          <w:tcPr>
            <w:tcW w:w="172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3425E6" w:rsidRDefault="00B03DBB" w:rsidP="00B03DBB">
            <w:pPr>
              <w:spacing w:after="0" w:line="240" w:lineRule="auto"/>
              <w:rPr>
                <w:rFonts w:ascii="Calibri" w:eastAsia="Times New Roman" w:hAnsi="Calibri" w:cs="Times New Roman"/>
                <w:bCs/>
                <w:color w:val="000000"/>
                <w:szCs w:val="24"/>
                <w:lang w:eastAsia="tr-TR"/>
              </w:rPr>
            </w:pPr>
            <w:r w:rsidRPr="003425E6">
              <w:rPr>
                <w:rFonts w:ascii="Calibri" w:eastAsia="Times New Roman" w:hAnsi="Calibri" w:cs="Times New Roman"/>
                <w:bCs/>
                <w:color w:val="000000"/>
                <w:szCs w:val="24"/>
                <w:lang w:eastAsia="tr-TR"/>
              </w:rPr>
              <w:t>Arıtılan Solvent mg/m</w:t>
            </w:r>
            <w:r w:rsidRPr="003425E6">
              <w:rPr>
                <w:rFonts w:ascii="Calibri" w:eastAsia="Times New Roman" w:hAnsi="Calibri" w:cs="Times New Roman"/>
                <w:bCs/>
                <w:color w:val="000000"/>
                <w:szCs w:val="24"/>
                <w:vertAlign w:val="superscript"/>
                <w:lang w:eastAsia="tr-TR"/>
              </w:rPr>
              <w:t>3</w:t>
            </w:r>
          </w:p>
        </w:tc>
      </w:tr>
      <w:tr w:rsidR="00B03DBB" w:rsidRPr="00B03DBB" w:rsidTr="00B03DBB">
        <w:trPr>
          <w:trHeight w:val="402"/>
        </w:trPr>
        <w:tc>
          <w:tcPr>
            <w:tcW w:w="1340" w:type="dxa"/>
            <w:tcBorders>
              <w:top w:val="nil"/>
              <w:left w:val="single" w:sz="4" w:space="0" w:color="000000"/>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 xml:space="preserve">TOC </w:t>
            </w:r>
          </w:p>
        </w:tc>
        <w:tc>
          <w:tcPr>
            <w:tcW w:w="1100" w:type="dxa"/>
            <w:tcBorders>
              <w:top w:val="nil"/>
              <w:left w:val="nil"/>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a</w:t>
            </w:r>
          </w:p>
        </w:tc>
        <w:tc>
          <w:tcPr>
            <w:tcW w:w="1140" w:type="dxa"/>
            <w:tcBorders>
              <w:top w:val="nil"/>
              <w:left w:val="nil"/>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b</w:t>
            </w:r>
          </w:p>
        </w:tc>
        <w:tc>
          <w:tcPr>
            <w:tcW w:w="1220" w:type="dxa"/>
            <w:tcBorders>
              <w:top w:val="nil"/>
              <w:left w:val="nil"/>
              <w:bottom w:val="single" w:sz="4" w:space="0" w:color="000000"/>
              <w:right w:val="single" w:sz="4" w:space="0" w:color="000000"/>
            </w:tcBorders>
            <w:shd w:val="clear" w:color="EAF1DD"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a-b</w:t>
            </w:r>
          </w:p>
        </w:tc>
        <w:tc>
          <w:tcPr>
            <w:tcW w:w="1380" w:type="dxa"/>
            <w:tcBorders>
              <w:top w:val="nil"/>
              <w:left w:val="nil"/>
              <w:bottom w:val="single" w:sz="4" w:space="0" w:color="000000"/>
              <w:right w:val="single" w:sz="4" w:space="0" w:color="000000"/>
            </w:tcBorders>
            <w:shd w:val="clear" w:color="EAF1DD" w:fill="EAF1DD"/>
            <w:vAlign w:val="center"/>
            <w:hideMark/>
          </w:tcPr>
          <w:p w:rsidR="00B03DBB" w:rsidRPr="00B03DBB" w:rsidRDefault="007722BB" w:rsidP="00B03DBB">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 xml:space="preserve">(a-b)/a </w:t>
            </w:r>
            <w:r w:rsidR="0067589E">
              <w:rPr>
                <w:rFonts w:ascii="Calibri" w:eastAsia="Times New Roman" w:hAnsi="Calibri" w:cs="Times New Roman"/>
                <w:b/>
                <w:bCs/>
                <w:color w:val="FF0000"/>
                <w:lang w:eastAsia="tr-TR"/>
              </w:rPr>
              <w:t>*100</w:t>
            </w:r>
          </w:p>
        </w:tc>
        <w:tc>
          <w:tcPr>
            <w:tcW w:w="2080" w:type="dxa"/>
            <w:tcBorders>
              <w:top w:val="nil"/>
              <w:left w:val="nil"/>
              <w:bottom w:val="single" w:sz="4" w:space="0" w:color="000000"/>
              <w:right w:val="single" w:sz="4" w:space="0" w:color="000000"/>
            </w:tcBorders>
            <w:shd w:val="clear" w:color="EAF1DD"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f</w:t>
            </w:r>
          </w:p>
        </w:tc>
        <w:tc>
          <w:tcPr>
            <w:tcW w:w="1720" w:type="dxa"/>
            <w:tcBorders>
              <w:top w:val="nil"/>
              <w:left w:val="nil"/>
              <w:bottom w:val="single" w:sz="4" w:space="0" w:color="000000"/>
              <w:right w:val="single" w:sz="4" w:space="0" w:color="000000"/>
            </w:tcBorders>
            <w:shd w:val="clear" w:color="EAF1DD" w:fill="DAEEF3"/>
            <w:vAlign w:val="center"/>
            <w:hideMark/>
          </w:tcPr>
          <w:p w:rsidR="00B03DBB" w:rsidRPr="00B03DBB" w:rsidRDefault="007722BB" w:rsidP="00B03DBB">
            <w:pPr>
              <w:spacing w:after="0" w:line="240" w:lineRule="auto"/>
              <w:jc w:val="center"/>
              <w:rPr>
                <w:rFonts w:ascii="Calibri" w:eastAsia="Times New Roman" w:hAnsi="Calibri" w:cs="Times New Roman"/>
                <w:b/>
                <w:bCs/>
                <w:color w:val="FF0000"/>
                <w:sz w:val="24"/>
                <w:szCs w:val="24"/>
                <w:lang w:eastAsia="tr-TR"/>
              </w:rPr>
            </w:pPr>
            <w:r>
              <w:rPr>
                <w:rFonts w:ascii="Calibri" w:eastAsia="Times New Roman" w:hAnsi="Calibri" w:cs="Times New Roman"/>
                <w:b/>
                <w:bCs/>
                <w:color w:val="FF0000"/>
                <w:sz w:val="24"/>
                <w:szCs w:val="24"/>
                <w:lang w:eastAsia="tr-TR"/>
              </w:rPr>
              <w:t>(a-b) /</w:t>
            </w:r>
            <w:r w:rsidR="00B03DBB" w:rsidRPr="00B03DBB">
              <w:rPr>
                <w:rFonts w:ascii="Calibri" w:eastAsia="Times New Roman" w:hAnsi="Calibri" w:cs="Times New Roman"/>
                <w:b/>
                <w:bCs/>
                <w:color w:val="FF0000"/>
                <w:sz w:val="24"/>
                <w:szCs w:val="24"/>
                <w:lang w:eastAsia="tr-TR"/>
              </w:rPr>
              <w:t xml:space="preserve"> f</w:t>
            </w:r>
          </w:p>
        </w:tc>
      </w:tr>
      <w:tr w:rsidR="00B03DBB" w:rsidRPr="00B03DBB" w:rsidTr="00B03DBB">
        <w:trPr>
          <w:trHeight w:val="120"/>
        </w:trPr>
        <w:tc>
          <w:tcPr>
            <w:tcW w:w="134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14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2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208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r w:rsidR="00B03DBB" w:rsidRPr="00B03DBB" w:rsidTr="00B03DBB">
        <w:trPr>
          <w:trHeight w:val="825"/>
        </w:trPr>
        <w:tc>
          <w:tcPr>
            <w:tcW w:w="13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Baca Çapı m2</w:t>
            </w:r>
          </w:p>
        </w:tc>
        <w:tc>
          <w:tcPr>
            <w:tcW w:w="110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Baca Hızı m/h</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 xml:space="preserve"> Debi m3/h </w:t>
            </w:r>
          </w:p>
        </w:tc>
        <w:tc>
          <w:tcPr>
            <w:tcW w:w="1220" w:type="dxa"/>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Arıtılan Solvent</w:t>
            </w:r>
          </w:p>
        </w:tc>
        <w:tc>
          <w:tcPr>
            <w:tcW w:w="3460" w:type="dxa"/>
            <w:gridSpan w:val="2"/>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jc w:val="center"/>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 xml:space="preserve">Arıtılan Kütlesel Debi               </w:t>
            </w:r>
            <w:r w:rsidR="007036CB">
              <w:rPr>
                <w:rFonts w:ascii="Calibri" w:eastAsia="Times New Roman" w:hAnsi="Calibri" w:cs="Times New Roman"/>
                <w:bCs/>
                <w:color w:val="000000"/>
                <w:lang w:eastAsia="tr-TR"/>
              </w:rPr>
              <w:t xml:space="preserve">        </w:t>
            </w:r>
            <w:r w:rsidRPr="00B03DBB">
              <w:rPr>
                <w:rFonts w:ascii="Calibri" w:eastAsia="Times New Roman" w:hAnsi="Calibri" w:cs="Times New Roman"/>
                <w:bCs/>
                <w:color w:val="000000"/>
                <w:lang w:eastAsia="tr-TR"/>
              </w:rPr>
              <w:t>kg/h</w:t>
            </w: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r w:rsidR="00B03DBB" w:rsidRPr="00B03DBB" w:rsidTr="00B03DBB">
        <w:trPr>
          <w:trHeight w:val="402"/>
        </w:trPr>
        <w:tc>
          <w:tcPr>
            <w:tcW w:w="1340" w:type="dxa"/>
            <w:tcBorders>
              <w:top w:val="nil"/>
              <w:left w:val="single" w:sz="4" w:space="0" w:color="000000"/>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color w:val="000000"/>
                <w:lang w:eastAsia="tr-TR"/>
              </w:rPr>
            </w:pPr>
            <w:r w:rsidRPr="00B03DBB">
              <w:rPr>
                <w:rFonts w:ascii="Calibri" w:eastAsia="Times New Roman" w:hAnsi="Calibri" w:cs="Times New Roman"/>
                <w:color w:val="000000"/>
                <w:lang w:eastAsia="tr-TR"/>
              </w:rPr>
              <w:t> </w:t>
            </w:r>
          </w:p>
        </w:tc>
        <w:tc>
          <w:tcPr>
            <w:tcW w:w="1100" w:type="dxa"/>
            <w:tcBorders>
              <w:top w:val="nil"/>
              <w:left w:val="nil"/>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 </w:t>
            </w:r>
          </w:p>
        </w:tc>
        <w:tc>
          <w:tcPr>
            <w:tcW w:w="1140" w:type="dxa"/>
            <w:tcBorders>
              <w:top w:val="nil"/>
              <w:left w:val="nil"/>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 </w:t>
            </w:r>
          </w:p>
        </w:tc>
        <w:tc>
          <w:tcPr>
            <w:tcW w:w="1220" w:type="dxa"/>
            <w:tcBorders>
              <w:top w:val="nil"/>
              <w:left w:val="nil"/>
              <w:bottom w:val="single" w:sz="4" w:space="0" w:color="000000"/>
              <w:right w:val="single" w:sz="4" w:space="0" w:color="000000"/>
            </w:tcBorders>
            <w:shd w:val="clear" w:color="EAF1DD" w:fill="DAEEF3"/>
            <w:vAlign w:val="center"/>
            <w:hideMark/>
          </w:tcPr>
          <w:p w:rsidR="00B03DBB" w:rsidRPr="00B03DBB" w:rsidRDefault="007722BB" w:rsidP="00B03DBB">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(a-b)</w:t>
            </w:r>
            <w:r w:rsidR="00B03DBB" w:rsidRPr="00B03DBB">
              <w:rPr>
                <w:rFonts w:ascii="Calibri" w:eastAsia="Times New Roman" w:hAnsi="Calibri" w:cs="Times New Roman"/>
                <w:b/>
                <w:bCs/>
                <w:color w:val="FF0000"/>
                <w:lang w:eastAsia="tr-TR"/>
              </w:rPr>
              <w:t xml:space="preserve"> </w:t>
            </w:r>
            <w:r>
              <w:rPr>
                <w:rFonts w:ascii="Calibri" w:eastAsia="Times New Roman" w:hAnsi="Calibri" w:cs="Times New Roman"/>
                <w:b/>
                <w:bCs/>
                <w:color w:val="FF0000"/>
                <w:lang w:eastAsia="tr-TR"/>
              </w:rPr>
              <w:t xml:space="preserve">/ </w:t>
            </w:r>
            <w:r w:rsidR="00B03DBB" w:rsidRPr="00B03DBB">
              <w:rPr>
                <w:rFonts w:ascii="Calibri" w:eastAsia="Times New Roman" w:hAnsi="Calibri" w:cs="Times New Roman"/>
                <w:b/>
                <w:bCs/>
                <w:color w:val="FF0000"/>
                <w:lang w:eastAsia="tr-TR"/>
              </w:rPr>
              <w:t>f</w:t>
            </w:r>
          </w:p>
        </w:tc>
        <w:tc>
          <w:tcPr>
            <w:tcW w:w="3460" w:type="dxa"/>
            <w:gridSpan w:val="2"/>
            <w:tcBorders>
              <w:top w:val="single" w:sz="4" w:space="0" w:color="000000"/>
              <w:left w:val="nil"/>
              <w:bottom w:val="single" w:sz="4" w:space="0" w:color="000000"/>
              <w:right w:val="single" w:sz="4" w:space="0" w:color="000000"/>
            </w:tcBorders>
            <w:shd w:val="clear" w:color="EAF1DD" w:fill="EAF1DD"/>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(a-b)</w:t>
            </w:r>
            <w:r w:rsidR="007722BB">
              <w:rPr>
                <w:rFonts w:ascii="Calibri" w:eastAsia="Times New Roman" w:hAnsi="Calibri" w:cs="Times New Roman"/>
                <w:b/>
                <w:bCs/>
                <w:color w:val="FF0000"/>
                <w:lang w:eastAsia="tr-TR"/>
              </w:rPr>
              <w:t xml:space="preserve"> /</w:t>
            </w:r>
            <w:r w:rsidR="0067589E">
              <w:rPr>
                <w:rFonts w:ascii="Calibri" w:eastAsia="Times New Roman" w:hAnsi="Calibri" w:cs="Times New Roman"/>
                <w:b/>
                <w:bCs/>
                <w:color w:val="FF0000"/>
                <w:lang w:eastAsia="tr-TR"/>
              </w:rPr>
              <w:t xml:space="preserve"> f *</w:t>
            </w:r>
            <w:r w:rsidRPr="00B03DBB">
              <w:rPr>
                <w:rFonts w:ascii="Calibri" w:eastAsia="Times New Roman" w:hAnsi="Calibri" w:cs="Times New Roman"/>
                <w:b/>
                <w:bCs/>
                <w:color w:val="FF0000"/>
                <w:lang w:eastAsia="tr-TR"/>
              </w:rPr>
              <w:t xml:space="preserve"> Debi</w:t>
            </w: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r w:rsidR="00B03DBB" w:rsidRPr="00B03DBB" w:rsidTr="00B03DBB">
        <w:trPr>
          <w:trHeight w:val="120"/>
        </w:trPr>
        <w:tc>
          <w:tcPr>
            <w:tcW w:w="134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14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2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208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r w:rsidR="00B03DBB" w:rsidRPr="00B03DBB" w:rsidTr="00B03DBB">
        <w:trPr>
          <w:trHeight w:val="945"/>
        </w:trPr>
        <w:tc>
          <w:tcPr>
            <w:tcW w:w="2440" w:type="dxa"/>
            <w:gridSpan w:val="2"/>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jc w:val="center"/>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 xml:space="preserve">Yıllık Üretim Saati,      </w:t>
            </w:r>
            <w:r w:rsidR="007036CB">
              <w:rPr>
                <w:rFonts w:ascii="Calibri" w:eastAsia="Times New Roman" w:hAnsi="Calibri" w:cs="Times New Roman"/>
                <w:bCs/>
                <w:color w:val="000000"/>
                <w:lang w:eastAsia="tr-TR"/>
              </w:rPr>
              <w:t xml:space="preserve">     </w:t>
            </w:r>
            <w:r w:rsidRPr="00B03DBB">
              <w:rPr>
                <w:rFonts w:ascii="Calibri" w:eastAsia="Times New Roman" w:hAnsi="Calibri" w:cs="Times New Roman"/>
                <w:bCs/>
                <w:color w:val="000000"/>
                <w:lang w:eastAsia="tr-TR"/>
              </w:rPr>
              <w:t xml:space="preserve"> </w:t>
            </w:r>
            <w:r w:rsidR="007036CB">
              <w:rPr>
                <w:rFonts w:ascii="Calibri" w:eastAsia="Times New Roman" w:hAnsi="Calibri" w:cs="Times New Roman"/>
                <w:bCs/>
                <w:color w:val="000000"/>
                <w:lang w:eastAsia="tr-TR"/>
              </w:rPr>
              <w:t>h/</w:t>
            </w:r>
            <w:r w:rsidRPr="00B03DBB">
              <w:rPr>
                <w:rFonts w:ascii="Calibri" w:eastAsia="Times New Roman" w:hAnsi="Calibri" w:cs="Times New Roman"/>
                <w:bCs/>
                <w:color w:val="000000"/>
                <w:lang w:eastAsia="tr-TR"/>
              </w:rPr>
              <w:t>yıl</w:t>
            </w:r>
          </w:p>
        </w:tc>
        <w:tc>
          <w:tcPr>
            <w:tcW w:w="2360" w:type="dxa"/>
            <w:gridSpan w:val="2"/>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B03DBB">
            <w:pPr>
              <w:spacing w:after="0" w:line="240" w:lineRule="auto"/>
              <w:jc w:val="center"/>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Arıtılan Kütlesel Debi kg/h</w:t>
            </w:r>
          </w:p>
        </w:tc>
        <w:tc>
          <w:tcPr>
            <w:tcW w:w="3460" w:type="dxa"/>
            <w:gridSpan w:val="2"/>
            <w:tcBorders>
              <w:top w:val="single" w:sz="4" w:space="0" w:color="000000"/>
              <w:left w:val="nil"/>
              <w:bottom w:val="single" w:sz="4" w:space="0" w:color="000000"/>
              <w:right w:val="single" w:sz="4" w:space="0" w:color="000000"/>
            </w:tcBorders>
            <w:shd w:val="clear" w:color="FFFF00" w:fill="FFFF00"/>
            <w:vAlign w:val="center"/>
            <w:hideMark/>
          </w:tcPr>
          <w:p w:rsidR="00B03DBB" w:rsidRPr="00B03DBB" w:rsidRDefault="00B03DBB" w:rsidP="007036CB">
            <w:pPr>
              <w:spacing w:after="0" w:line="240" w:lineRule="auto"/>
              <w:jc w:val="center"/>
              <w:rPr>
                <w:rFonts w:ascii="Calibri" w:eastAsia="Times New Roman" w:hAnsi="Calibri" w:cs="Times New Roman"/>
                <w:bCs/>
                <w:color w:val="000000"/>
                <w:lang w:eastAsia="tr-TR"/>
              </w:rPr>
            </w:pPr>
            <w:r w:rsidRPr="00B03DBB">
              <w:rPr>
                <w:rFonts w:ascii="Calibri" w:eastAsia="Times New Roman" w:hAnsi="Calibri" w:cs="Times New Roman"/>
                <w:bCs/>
                <w:color w:val="000000"/>
                <w:lang w:eastAsia="tr-TR"/>
              </w:rPr>
              <w:t xml:space="preserve">Arıtılan Kütlesel Debi          </w:t>
            </w:r>
            <w:r w:rsidR="007036CB">
              <w:rPr>
                <w:rFonts w:ascii="Calibri" w:eastAsia="Times New Roman" w:hAnsi="Calibri" w:cs="Times New Roman"/>
                <w:bCs/>
                <w:color w:val="000000"/>
                <w:lang w:eastAsia="tr-TR"/>
              </w:rPr>
              <w:t xml:space="preserve">         </w:t>
            </w:r>
            <w:r w:rsidRPr="00B03DBB">
              <w:rPr>
                <w:rFonts w:ascii="Calibri" w:eastAsia="Times New Roman" w:hAnsi="Calibri" w:cs="Times New Roman"/>
                <w:bCs/>
                <w:color w:val="000000"/>
                <w:lang w:eastAsia="tr-TR"/>
              </w:rPr>
              <w:t xml:space="preserve">  kg/yıl</w:t>
            </w: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r w:rsidR="00B03DBB" w:rsidRPr="00B03DBB" w:rsidTr="00B03DBB">
        <w:trPr>
          <w:trHeight w:val="402"/>
        </w:trPr>
        <w:tc>
          <w:tcPr>
            <w:tcW w:w="2440" w:type="dxa"/>
            <w:gridSpan w:val="2"/>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B03DBB" w:rsidRPr="00B03DBB" w:rsidRDefault="00B03DBB" w:rsidP="00B03DBB">
            <w:pPr>
              <w:spacing w:after="0" w:line="240" w:lineRule="auto"/>
              <w:jc w:val="center"/>
              <w:rPr>
                <w:rFonts w:ascii="Calibri" w:eastAsia="Times New Roman" w:hAnsi="Calibri" w:cs="Times New Roman"/>
                <w:b/>
                <w:bCs/>
                <w:color w:val="FF0000"/>
                <w:lang w:eastAsia="tr-TR"/>
              </w:rPr>
            </w:pPr>
            <w:r w:rsidRPr="00B03DBB">
              <w:rPr>
                <w:rFonts w:ascii="Calibri" w:eastAsia="Times New Roman" w:hAnsi="Calibri" w:cs="Times New Roman"/>
                <w:b/>
                <w:bCs/>
                <w:color w:val="FF0000"/>
                <w:lang w:eastAsia="tr-TR"/>
              </w:rPr>
              <w:t>h / yıl</w:t>
            </w:r>
          </w:p>
        </w:tc>
        <w:tc>
          <w:tcPr>
            <w:tcW w:w="2360" w:type="dxa"/>
            <w:gridSpan w:val="2"/>
            <w:tcBorders>
              <w:top w:val="single" w:sz="4" w:space="0" w:color="000000"/>
              <w:left w:val="nil"/>
              <w:bottom w:val="single" w:sz="4" w:space="0" w:color="000000"/>
              <w:right w:val="single" w:sz="4" w:space="0" w:color="000000"/>
            </w:tcBorders>
            <w:shd w:val="clear" w:color="EAF1DD" w:fill="EAF1DD"/>
            <w:vAlign w:val="center"/>
            <w:hideMark/>
          </w:tcPr>
          <w:p w:rsidR="00B03DBB" w:rsidRPr="00B03DBB" w:rsidRDefault="0067589E" w:rsidP="00B03DBB">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(a-b) * f *</w:t>
            </w:r>
            <w:r w:rsidR="00B03DBB" w:rsidRPr="00B03DBB">
              <w:rPr>
                <w:rFonts w:ascii="Calibri" w:eastAsia="Times New Roman" w:hAnsi="Calibri" w:cs="Times New Roman"/>
                <w:b/>
                <w:bCs/>
                <w:color w:val="FF0000"/>
                <w:lang w:eastAsia="tr-TR"/>
              </w:rPr>
              <w:t xml:space="preserve"> Debi</w:t>
            </w:r>
          </w:p>
        </w:tc>
        <w:tc>
          <w:tcPr>
            <w:tcW w:w="3460" w:type="dxa"/>
            <w:gridSpan w:val="2"/>
            <w:tcBorders>
              <w:top w:val="single" w:sz="4" w:space="0" w:color="000000"/>
              <w:left w:val="nil"/>
              <w:bottom w:val="single" w:sz="4" w:space="0" w:color="000000"/>
              <w:right w:val="single" w:sz="4" w:space="0" w:color="000000"/>
            </w:tcBorders>
            <w:shd w:val="clear" w:color="EAF1DD" w:fill="EAF1DD"/>
            <w:vAlign w:val="center"/>
            <w:hideMark/>
          </w:tcPr>
          <w:p w:rsidR="00B03DBB" w:rsidRPr="00B03DBB" w:rsidRDefault="0067589E" w:rsidP="00B03DBB">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(a-b) * f * Debi *</w:t>
            </w:r>
            <w:r w:rsidR="00B03DBB" w:rsidRPr="00B03DBB">
              <w:rPr>
                <w:rFonts w:ascii="Calibri" w:eastAsia="Times New Roman" w:hAnsi="Calibri" w:cs="Times New Roman"/>
                <w:b/>
                <w:bCs/>
                <w:color w:val="FF0000"/>
                <w:lang w:eastAsia="tr-TR"/>
              </w:rPr>
              <w:t xml:space="preserve"> h /yıl</w:t>
            </w:r>
          </w:p>
        </w:tc>
        <w:tc>
          <w:tcPr>
            <w:tcW w:w="1720" w:type="dxa"/>
            <w:tcBorders>
              <w:top w:val="nil"/>
              <w:left w:val="nil"/>
              <w:bottom w:val="nil"/>
              <w:right w:val="nil"/>
            </w:tcBorders>
            <w:shd w:val="clear" w:color="auto" w:fill="auto"/>
            <w:noWrap/>
            <w:vAlign w:val="bottom"/>
            <w:hideMark/>
          </w:tcPr>
          <w:p w:rsidR="00B03DBB" w:rsidRPr="00B03DBB" w:rsidRDefault="00B03DBB" w:rsidP="00B03DBB">
            <w:pPr>
              <w:spacing w:after="0" w:line="240" w:lineRule="auto"/>
              <w:rPr>
                <w:rFonts w:ascii="Calibri" w:eastAsia="Times New Roman" w:hAnsi="Calibri" w:cs="Times New Roman"/>
                <w:color w:val="000000"/>
                <w:lang w:eastAsia="tr-TR"/>
              </w:rPr>
            </w:pPr>
          </w:p>
        </w:tc>
      </w:tr>
    </w:tbl>
    <w:p w:rsidR="002555C7" w:rsidRDefault="0056471B" w:rsidP="00AE345E">
      <w:pPr>
        <w:pStyle w:val="ListeParagraf"/>
        <w:ind w:left="1416"/>
        <w:jc w:val="both"/>
      </w:pPr>
      <w:r>
        <w:t>Tablo 5 : Yakılarak bertaraf edilen solvent ( O5) hesaplama Tablosu- TOC metodu</w:t>
      </w:r>
    </w:p>
    <w:p w:rsidR="000916B1" w:rsidRPr="000916B1" w:rsidRDefault="000916B1" w:rsidP="00AE345E">
      <w:pPr>
        <w:pStyle w:val="ListeParagraf"/>
        <w:ind w:left="1416"/>
        <w:jc w:val="both"/>
        <w:rPr>
          <w:sz w:val="24"/>
          <w:szCs w:val="24"/>
        </w:rPr>
      </w:pPr>
    </w:p>
    <w:p w:rsidR="00C37A25" w:rsidRPr="000916B1" w:rsidRDefault="00C37A25" w:rsidP="00C37A25">
      <w:pPr>
        <w:pStyle w:val="ListeParagraf"/>
        <w:numPr>
          <w:ilvl w:val="1"/>
          <w:numId w:val="9"/>
        </w:numPr>
        <w:jc w:val="both"/>
        <w:rPr>
          <w:sz w:val="24"/>
          <w:szCs w:val="24"/>
        </w:rPr>
      </w:pPr>
      <w:r w:rsidRPr="000916B1">
        <w:rPr>
          <w:sz w:val="24"/>
          <w:szCs w:val="24"/>
        </w:rPr>
        <w:t>Taşınma Faktörü Yöntemi</w:t>
      </w:r>
    </w:p>
    <w:p w:rsidR="00C37A25" w:rsidRPr="000916B1" w:rsidRDefault="00C37A25" w:rsidP="00C37A25">
      <w:pPr>
        <w:pStyle w:val="ListeParagraf"/>
        <w:ind w:left="1440"/>
        <w:jc w:val="both"/>
        <w:rPr>
          <w:sz w:val="24"/>
          <w:szCs w:val="24"/>
        </w:rPr>
      </w:pPr>
      <w:r w:rsidRPr="000916B1">
        <w:rPr>
          <w:sz w:val="24"/>
          <w:szCs w:val="24"/>
        </w:rPr>
        <w:t>Termal son yakma tesisi giriş ve çıkışında on-line TOC analizi yoksa, bir ölçüm sonucun</w:t>
      </w:r>
      <w:r w:rsidR="00995344">
        <w:rPr>
          <w:sz w:val="24"/>
          <w:szCs w:val="24"/>
        </w:rPr>
        <w:t>da</w:t>
      </w:r>
      <w:r w:rsidRPr="000916B1">
        <w:rPr>
          <w:sz w:val="24"/>
          <w:szCs w:val="24"/>
        </w:rPr>
        <w:t xml:space="preserve"> bulunacak kütlesel debi gerçeği büyük oranda yansıtmayacaktır. Ayrıca bu kütlesel debinin, yıllık üretim saati ile çarpımı hata oranını artırır. Bir </w:t>
      </w:r>
      <w:r w:rsidRPr="000916B1">
        <w:rPr>
          <w:sz w:val="24"/>
          <w:szCs w:val="24"/>
        </w:rPr>
        <w:lastRenderedPageBreak/>
        <w:t>hata payı da ölçülen TOC değerinden Solvent Konsantrasyonu dönüşümü sonucu oluşur.</w:t>
      </w:r>
      <w:r w:rsidR="000813C7">
        <w:rPr>
          <w:sz w:val="24"/>
          <w:szCs w:val="24"/>
        </w:rPr>
        <w:t xml:space="preserve"> TOC/VOC dönüşüm oranı konusunda güvenilir veriye ulaşılamazsa, hata payı göz önünde bulundurularak sadece TOC ölçümleri dikkate alınabilir.</w:t>
      </w:r>
    </w:p>
    <w:p w:rsidR="00C37A25" w:rsidRPr="000916B1" w:rsidRDefault="00C37A25" w:rsidP="00C37A25">
      <w:pPr>
        <w:pStyle w:val="ListeParagraf"/>
        <w:ind w:left="1440"/>
        <w:jc w:val="both"/>
        <w:rPr>
          <w:sz w:val="24"/>
          <w:szCs w:val="24"/>
        </w:rPr>
      </w:pPr>
      <w:r w:rsidRPr="000916B1">
        <w:rPr>
          <w:sz w:val="24"/>
          <w:szCs w:val="24"/>
        </w:rPr>
        <w:t xml:space="preserve">Bu hatalar göz önüne alınarak taşınma faktörü yöntemi, </w:t>
      </w:r>
      <w:r w:rsidR="00995344">
        <w:rPr>
          <w:sz w:val="24"/>
          <w:szCs w:val="24"/>
        </w:rPr>
        <w:t>Alman VDI 3455 standardında (Emission Reduction Voluma-Production Car Body Painting Plants)</w:t>
      </w:r>
      <w:r w:rsidR="00344BE9">
        <w:rPr>
          <w:sz w:val="24"/>
          <w:szCs w:val="24"/>
        </w:rPr>
        <w:t xml:space="preserve"> ve Solvent BREF dökümanında</w:t>
      </w:r>
      <w:r w:rsidR="00995344">
        <w:rPr>
          <w:sz w:val="24"/>
          <w:szCs w:val="24"/>
        </w:rPr>
        <w:t xml:space="preserve"> tanımlanmış olup, </w:t>
      </w:r>
      <w:r w:rsidRPr="000916B1">
        <w:rPr>
          <w:sz w:val="24"/>
          <w:szCs w:val="24"/>
        </w:rPr>
        <w:t xml:space="preserve">ACEA </w:t>
      </w:r>
      <w:r w:rsidR="00344BE9">
        <w:rPr>
          <w:sz w:val="24"/>
          <w:szCs w:val="24"/>
        </w:rPr>
        <w:t xml:space="preserve">üyesi </w:t>
      </w:r>
      <w:r w:rsidRPr="000916B1">
        <w:rPr>
          <w:sz w:val="24"/>
          <w:szCs w:val="24"/>
        </w:rPr>
        <w:t>otomotiv ana sanayi tarafından benimsenmiştir.</w:t>
      </w:r>
    </w:p>
    <w:p w:rsidR="00AC3F20" w:rsidRPr="000916B1" w:rsidRDefault="00AC3F20" w:rsidP="00C37A25">
      <w:pPr>
        <w:pStyle w:val="ListeParagraf"/>
        <w:ind w:left="1440"/>
        <w:jc w:val="both"/>
        <w:rPr>
          <w:sz w:val="24"/>
          <w:szCs w:val="24"/>
        </w:rPr>
      </w:pPr>
      <w:r w:rsidRPr="000916B1">
        <w:rPr>
          <w:sz w:val="24"/>
          <w:szCs w:val="24"/>
        </w:rPr>
        <w:t>Otomotiv firmaları VOC emisyonlarını her ay ölçüp hedefleri ile karşılaştırdığından, TOC ölçüm ihtiyacı olmadan tekrarlanabilir bir yönteme ihtiyaç duymaktadır.</w:t>
      </w:r>
    </w:p>
    <w:p w:rsidR="00674CE1" w:rsidRPr="000916B1" w:rsidRDefault="007355AB" w:rsidP="00C37A25">
      <w:pPr>
        <w:pStyle w:val="ListeParagraf"/>
        <w:ind w:left="1440"/>
        <w:jc w:val="both"/>
        <w:rPr>
          <w:sz w:val="24"/>
          <w:szCs w:val="24"/>
        </w:rPr>
      </w:pPr>
      <w:r w:rsidRPr="000916B1">
        <w:rPr>
          <w:sz w:val="24"/>
          <w:szCs w:val="24"/>
        </w:rPr>
        <w:t>Bu yönteme göre ter</w:t>
      </w:r>
      <w:r w:rsidR="00305C47" w:rsidRPr="000916B1">
        <w:rPr>
          <w:sz w:val="24"/>
          <w:szCs w:val="24"/>
        </w:rPr>
        <w:t xml:space="preserve">mal son yakma tesisinin bağlı olduğu kurutma fırını öncesi, son boya kabininde (genellikle vernik kabini) taşınma faktörünü belirlemek üzere bir test yapılır. Bu kabinden </w:t>
      </w:r>
      <w:r w:rsidR="00454787">
        <w:rPr>
          <w:sz w:val="24"/>
          <w:szCs w:val="24"/>
        </w:rPr>
        <w:t xml:space="preserve">üzeri alüminyum folyo kaplı </w:t>
      </w:r>
      <w:r w:rsidR="00305C47" w:rsidRPr="000916B1">
        <w:rPr>
          <w:sz w:val="24"/>
          <w:szCs w:val="24"/>
        </w:rPr>
        <w:t xml:space="preserve">bir boya test plakası geçirilir. Plaka boyandıktan sonra üzerindeki yaş boya ile birlikte </w:t>
      </w:r>
      <w:r w:rsidR="008E3A64" w:rsidRPr="000916B1">
        <w:rPr>
          <w:sz w:val="24"/>
          <w:szCs w:val="24"/>
        </w:rPr>
        <w:t>tartılır. Plaka kurutma fırınından sonra tekrar tartılarak aradaki fark hesaplanır. Bu fark, termal son yakma tesisine giden solvent miktarını gösterir. Bu yöntemde ayrıca, son boya prosesinde yapılan robotik veya manuel boya uygulama verimi de dikkate alınmak durumundadır. Bu iki veri dikkate alınarak, son boyama prosesinden kurutma fırınına, dolayısıyla son yakma tesisine taşınan sol</w:t>
      </w:r>
      <w:r w:rsidR="00674CE1" w:rsidRPr="000916B1">
        <w:rPr>
          <w:sz w:val="24"/>
          <w:szCs w:val="24"/>
        </w:rPr>
        <w:t xml:space="preserve">vent % oran olarak belirlenir. </w:t>
      </w:r>
      <w:r w:rsidR="008E3A64" w:rsidRPr="000916B1">
        <w:rPr>
          <w:sz w:val="24"/>
          <w:szCs w:val="24"/>
        </w:rPr>
        <w:t xml:space="preserve">Örnek: </w:t>
      </w:r>
    </w:p>
    <w:p w:rsidR="00674CE1" w:rsidRPr="000916B1" w:rsidRDefault="00674CE1" w:rsidP="00674CE1">
      <w:pPr>
        <w:pStyle w:val="ListeParagraf"/>
        <w:ind w:left="1440"/>
        <w:jc w:val="both"/>
        <w:rPr>
          <w:sz w:val="24"/>
          <w:szCs w:val="24"/>
        </w:rPr>
      </w:pPr>
      <w:r w:rsidRPr="000916B1">
        <w:rPr>
          <w:sz w:val="24"/>
          <w:szCs w:val="24"/>
        </w:rPr>
        <w:t>Yıllık Vernik tüketimi: 100000 kg</w:t>
      </w:r>
    </w:p>
    <w:p w:rsidR="00674CE1" w:rsidRPr="000916B1" w:rsidRDefault="00674CE1" w:rsidP="00674CE1">
      <w:pPr>
        <w:pStyle w:val="ListeParagraf"/>
        <w:ind w:left="1440"/>
        <w:jc w:val="both"/>
        <w:rPr>
          <w:sz w:val="24"/>
          <w:szCs w:val="24"/>
        </w:rPr>
      </w:pPr>
      <w:r w:rsidRPr="000916B1">
        <w:rPr>
          <w:sz w:val="24"/>
          <w:szCs w:val="24"/>
        </w:rPr>
        <w:t>Solvent oranı : % 50</w:t>
      </w:r>
    </w:p>
    <w:p w:rsidR="00674CE1" w:rsidRPr="000916B1" w:rsidRDefault="00674CE1" w:rsidP="00674CE1">
      <w:pPr>
        <w:pStyle w:val="ListeParagraf"/>
        <w:ind w:left="1440"/>
        <w:jc w:val="both"/>
        <w:rPr>
          <w:sz w:val="24"/>
          <w:szCs w:val="24"/>
        </w:rPr>
      </w:pPr>
      <w:r w:rsidRPr="000916B1">
        <w:rPr>
          <w:sz w:val="24"/>
          <w:szCs w:val="24"/>
        </w:rPr>
        <w:t>Yıl</w:t>
      </w:r>
      <w:r w:rsidR="003C38E0" w:rsidRPr="000916B1">
        <w:rPr>
          <w:sz w:val="24"/>
          <w:szCs w:val="24"/>
        </w:rPr>
        <w:t xml:space="preserve">lık solvent girdisi = 100000 x %50= </w:t>
      </w:r>
      <w:r w:rsidRPr="000916B1">
        <w:rPr>
          <w:sz w:val="24"/>
          <w:szCs w:val="24"/>
        </w:rPr>
        <w:t xml:space="preserve"> 50000 kg</w:t>
      </w:r>
    </w:p>
    <w:p w:rsidR="00674CE1" w:rsidRPr="000916B1" w:rsidRDefault="008E3A64" w:rsidP="00674CE1">
      <w:pPr>
        <w:pStyle w:val="ListeParagraf"/>
        <w:ind w:left="1440"/>
        <w:jc w:val="both"/>
        <w:rPr>
          <w:sz w:val="24"/>
          <w:szCs w:val="24"/>
        </w:rPr>
      </w:pPr>
      <w:r w:rsidRPr="000916B1">
        <w:rPr>
          <w:sz w:val="24"/>
          <w:szCs w:val="24"/>
        </w:rPr>
        <w:t>Vernik kabini uygulama verimi</w:t>
      </w:r>
      <w:r w:rsidR="00674CE1" w:rsidRPr="000916B1">
        <w:rPr>
          <w:sz w:val="24"/>
          <w:szCs w:val="24"/>
        </w:rPr>
        <w:t xml:space="preserve"> : % 70</w:t>
      </w:r>
    </w:p>
    <w:p w:rsidR="00674CE1" w:rsidRPr="000916B1" w:rsidRDefault="003C38E0" w:rsidP="00674CE1">
      <w:pPr>
        <w:pStyle w:val="ListeParagraf"/>
        <w:ind w:left="1440"/>
        <w:jc w:val="both"/>
        <w:rPr>
          <w:sz w:val="24"/>
          <w:szCs w:val="24"/>
        </w:rPr>
      </w:pPr>
      <w:r w:rsidRPr="000916B1">
        <w:rPr>
          <w:sz w:val="24"/>
          <w:szCs w:val="24"/>
        </w:rPr>
        <w:t>Araç üzer</w:t>
      </w:r>
      <w:r w:rsidR="00AC3F20" w:rsidRPr="000916B1">
        <w:rPr>
          <w:sz w:val="24"/>
          <w:szCs w:val="24"/>
        </w:rPr>
        <w:t>ine uygulanan solvent</w:t>
      </w:r>
      <w:r w:rsidRPr="000916B1">
        <w:rPr>
          <w:sz w:val="24"/>
          <w:szCs w:val="24"/>
        </w:rPr>
        <w:t xml:space="preserve">= 50000 x%70= </w:t>
      </w:r>
      <w:r w:rsidR="00674CE1" w:rsidRPr="000916B1">
        <w:rPr>
          <w:sz w:val="24"/>
          <w:szCs w:val="24"/>
        </w:rPr>
        <w:t xml:space="preserve"> 35000 kg</w:t>
      </w:r>
    </w:p>
    <w:p w:rsidR="00674CE1" w:rsidRPr="000916B1" w:rsidRDefault="003C38E0" w:rsidP="00C37A25">
      <w:pPr>
        <w:pStyle w:val="ListeParagraf"/>
        <w:ind w:left="1440"/>
        <w:jc w:val="both"/>
        <w:rPr>
          <w:sz w:val="24"/>
          <w:szCs w:val="24"/>
        </w:rPr>
      </w:pPr>
      <w:r w:rsidRPr="000916B1">
        <w:rPr>
          <w:sz w:val="24"/>
          <w:szCs w:val="24"/>
        </w:rPr>
        <w:t>Vernik kabinde buharlaşan</w:t>
      </w:r>
      <w:r w:rsidR="00AC3F20" w:rsidRPr="000916B1">
        <w:rPr>
          <w:sz w:val="24"/>
          <w:szCs w:val="24"/>
        </w:rPr>
        <w:t xml:space="preserve"> </w:t>
      </w:r>
      <w:r w:rsidR="00674CE1" w:rsidRPr="000916B1">
        <w:rPr>
          <w:sz w:val="24"/>
          <w:szCs w:val="24"/>
        </w:rPr>
        <w:t>solvent oranı : % 70</w:t>
      </w:r>
      <w:r w:rsidR="00AC3F20" w:rsidRPr="000916B1">
        <w:rPr>
          <w:sz w:val="24"/>
          <w:szCs w:val="24"/>
        </w:rPr>
        <w:t xml:space="preserve"> (araç üzerine uygulanan miktarın)</w:t>
      </w:r>
    </w:p>
    <w:p w:rsidR="00674CE1" w:rsidRPr="000916B1" w:rsidRDefault="003C38E0" w:rsidP="00C37A25">
      <w:pPr>
        <w:pStyle w:val="ListeParagraf"/>
        <w:ind w:left="1440"/>
        <w:jc w:val="both"/>
        <w:rPr>
          <w:sz w:val="24"/>
          <w:szCs w:val="24"/>
        </w:rPr>
      </w:pPr>
      <w:r w:rsidRPr="000916B1">
        <w:rPr>
          <w:sz w:val="24"/>
          <w:szCs w:val="24"/>
        </w:rPr>
        <w:t xml:space="preserve">Kurutma Fırınına </w:t>
      </w:r>
      <w:r w:rsidR="00AC3F20" w:rsidRPr="000916B1">
        <w:rPr>
          <w:sz w:val="24"/>
          <w:szCs w:val="24"/>
        </w:rPr>
        <w:t xml:space="preserve">gövde ile </w:t>
      </w:r>
      <w:r w:rsidRPr="000916B1">
        <w:rPr>
          <w:sz w:val="24"/>
          <w:szCs w:val="24"/>
        </w:rPr>
        <w:t>taşınan solvent oranı : % 30</w:t>
      </w:r>
    </w:p>
    <w:p w:rsidR="003C38E0" w:rsidRPr="000916B1" w:rsidRDefault="003C38E0" w:rsidP="00C37A25">
      <w:pPr>
        <w:pStyle w:val="ListeParagraf"/>
        <w:ind w:left="1440"/>
        <w:jc w:val="both"/>
        <w:rPr>
          <w:sz w:val="24"/>
          <w:szCs w:val="24"/>
        </w:rPr>
      </w:pPr>
      <w:r w:rsidRPr="000916B1">
        <w:rPr>
          <w:sz w:val="24"/>
          <w:szCs w:val="24"/>
        </w:rPr>
        <w:t>Kurutma fırınına giren yıllık solvent miktarı = 35000 x % 30 =10500kg</w:t>
      </w:r>
    </w:p>
    <w:p w:rsidR="00674CE1" w:rsidRPr="002F1B50" w:rsidRDefault="003C38E0" w:rsidP="002F1B50">
      <w:pPr>
        <w:pStyle w:val="ListeParagraf"/>
        <w:ind w:left="1440"/>
        <w:jc w:val="both"/>
        <w:rPr>
          <w:sz w:val="24"/>
          <w:szCs w:val="24"/>
        </w:rPr>
      </w:pPr>
      <w:r w:rsidRPr="000916B1">
        <w:rPr>
          <w:sz w:val="24"/>
          <w:szCs w:val="24"/>
        </w:rPr>
        <w:t>Term</w:t>
      </w:r>
      <w:r w:rsidR="002F1B50">
        <w:rPr>
          <w:sz w:val="24"/>
          <w:szCs w:val="24"/>
        </w:rPr>
        <w:t>al son yakma tesisi verim: %</w:t>
      </w:r>
      <w:r w:rsidR="007E5089">
        <w:rPr>
          <w:sz w:val="24"/>
          <w:szCs w:val="24"/>
        </w:rPr>
        <w:t xml:space="preserve"> </w:t>
      </w:r>
      <w:r w:rsidR="002F1B50">
        <w:rPr>
          <w:sz w:val="24"/>
          <w:szCs w:val="24"/>
        </w:rPr>
        <w:t>95</w:t>
      </w:r>
    </w:p>
    <w:p w:rsidR="003C38E0" w:rsidRPr="000916B1" w:rsidRDefault="003C38E0" w:rsidP="00C37A25">
      <w:pPr>
        <w:pStyle w:val="ListeParagraf"/>
        <w:ind w:left="1440"/>
        <w:jc w:val="both"/>
        <w:rPr>
          <w:sz w:val="24"/>
          <w:szCs w:val="24"/>
        </w:rPr>
      </w:pPr>
      <w:r w:rsidRPr="000916B1">
        <w:rPr>
          <w:sz w:val="24"/>
          <w:szCs w:val="24"/>
        </w:rPr>
        <w:t>O5 Yak</w:t>
      </w:r>
      <w:r w:rsidR="00E47195" w:rsidRPr="000916B1">
        <w:rPr>
          <w:sz w:val="24"/>
          <w:szCs w:val="24"/>
        </w:rPr>
        <w:t>ılarak bertaraf edilen solvent =</w:t>
      </w:r>
      <w:r w:rsidRPr="000916B1">
        <w:rPr>
          <w:sz w:val="24"/>
          <w:szCs w:val="24"/>
        </w:rPr>
        <w:t xml:space="preserve"> 10500</w:t>
      </w:r>
      <w:r w:rsidR="00E47195" w:rsidRPr="000916B1">
        <w:rPr>
          <w:sz w:val="24"/>
          <w:szCs w:val="24"/>
        </w:rPr>
        <w:t xml:space="preserve"> </w:t>
      </w:r>
      <w:r w:rsidR="002F1B50">
        <w:rPr>
          <w:sz w:val="24"/>
          <w:szCs w:val="24"/>
        </w:rPr>
        <w:t>kg x %95 = 9975</w:t>
      </w:r>
      <w:r w:rsidRPr="000916B1">
        <w:rPr>
          <w:sz w:val="24"/>
          <w:szCs w:val="24"/>
        </w:rPr>
        <w:t xml:space="preserve"> kg.</w:t>
      </w:r>
    </w:p>
    <w:p w:rsidR="00674CE1" w:rsidRPr="000916B1" w:rsidRDefault="002555C7" w:rsidP="00C37A25">
      <w:pPr>
        <w:pStyle w:val="ListeParagraf"/>
        <w:ind w:left="1440"/>
        <w:jc w:val="both"/>
        <w:rPr>
          <w:sz w:val="24"/>
          <w:szCs w:val="24"/>
        </w:rPr>
      </w:pPr>
      <w:r w:rsidRPr="000916B1">
        <w:rPr>
          <w:sz w:val="24"/>
          <w:szCs w:val="24"/>
        </w:rPr>
        <w:t>Hesaplamalarda aşağıdaki form kullanılabilir:</w:t>
      </w:r>
    </w:p>
    <w:tbl>
      <w:tblPr>
        <w:tblW w:w="9460" w:type="dxa"/>
        <w:tblInd w:w="533" w:type="dxa"/>
        <w:tblCellMar>
          <w:left w:w="70" w:type="dxa"/>
          <w:right w:w="70" w:type="dxa"/>
        </w:tblCellMar>
        <w:tblLook w:val="04A0" w:firstRow="1" w:lastRow="0" w:firstColumn="1" w:lastColumn="0" w:noHBand="0" w:noVBand="1"/>
      </w:tblPr>
      <w:tblGrid>
        <w:gridCol w:w="1420"/>
        <w:gridCol w:w="2228"/>
        <w:gridCol w:w="2410"/>
        <w:gridCol w:w="942"/>
        <w:gridCol w:w="2460"/>
      </w:tblGrid>
      <w:tr w:rsidR="0002539A" w:rsidRPr="0002539A" w:rsidTr="0056471B">
        <w:trPr>
          <w:trHeight w:val="825"/>
        </w:trPr>
        <w:tc>
          <w:tcPr>
            <w:tcW w:w="142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Boya Kabini</w:t>
            </w:r>
          </w:p>
        </w:tc>
        <w:tc>
          <w:tcPr>
            <w:tcW w:w="2228"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Uygulama Verimi, %</w:t>
            </w:r>
          </w:p>
        </w:tc>
        <w:tc>
          <w:tcPr>
            <w:tcW w:w="2410"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Kabin içi Buharlaşma, %</w:t>
            </w:r>
          </w:p>
        </w:tc>
        <w:tc>
          <w:tcPr>
            <w:tcW w:w="3402" w:type="dxa"/>
            <w:gridSpan w:val="2"/>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jc w:val="center"/>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Kurutma Fırınına Taşınma Faktörü, f</w:t>
            </w:r>
          </w:p>
        </w:tc>
      </w:tr>
      <w:tr w:rsidR="0002539A" w:rsidRPr="0002539A" w:rsidTr="0056471B">
        <w:trPr>
          <w:trHeight w:val="402"/>
        </w:trPr>
        <w:tc>
          <w:tcPr>
            <w:tcW w:w="1420" w:type="dxa"/>
            <w:tcBorders>
              <w:top w:val="nil"/>
              <w:left w:val="single" w:sz="4" w:space="0" w:color="000000"/>
              <w:bottom w:val="single" w:sz="4" w:space="0" w:color="000000"/>
              <w:right w:val="single" w:sz="4" w:space="0" w:color="000000"/>
            </w:tcBorders>
            <w:shd w:val="clear" w:color="000000" w:fill="DAEEF3"/>
            <w:vAlign w:val="center"/>
            <w:hideMark/>
          </w:tcPr>
          <w:p w:rsidR="0002539A" w:rsidRPr="0002539A" w:rsidRDefault="0002539A" w:rsidP="0002539A">
            <w:pPr>
              <w:spacing w:after="0" w:line="240" w:lineRule="auto"/>
              <w:jc w:val="center"/>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Vernik</w:t>
            </w:r>
          </w:p>
        </w:tc>
        <w:tc>
          <w:tcPr>
            <w:tcW w:w="2228" w:type="dxa"/>
            <w:tcBorders>
              <w:top w:val="nil"/>
              <w:left w:val="nil"/>
              <w:bottom w:val="single" w:sz="4" w:space="0" w:color="000000"/>
              <w:right w:val="single" w:sz="4" w:space="0" w:color="000000"/>
            </w:tcBorders>
            <w:shd w:val="clear" w:color="000000"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a</w:t>
            </w:r>
          </w:p>
        </w:tc>
        <w:tc>
          <w:tcPr>
            <w:tcW w:w="2410" w:type="dxa"/>
            <w:tcBorders>
              <w:top w:val="nil"/>
              <w:left w:val="nil"/>
              <w:bottom w:val="single" w:sz="4" w:space="0" w:color="000000"/>
              <w:right w:val="single" w:sz="4" w:space="0" w:color="000000"/>
            </w:tcBorders>
            <w:shd w:val="clear" w:color="000000"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b</w:t>
            </w:r>
          </w:p>
        </w:tc>
        <w:tc>
          <w:tcPr>
            <w:tcW w:w="3402" w:type="dxa"/>
            <w:gridSpan w:val="2"/>
            <w:tcBorders>
              <w:top w:val="single" w:sz="4" w:space="0" w:color="000000"/>
              <w:left w:val="nil"/>
              <w:bottom w:val="single" w:sz="4" w:space="0" w:color="000000"/>
              <w:right w:val="single" w:sz="4" w:space="0" w:color="000000"/>
            </w:tcBorders>
            <w:shd w:val="clear" w:color="EAF1DD"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 xml:space="preserve">a x b </w:t>
            </w:r>
          </w:p>
        </w:tc>
      </w:tr>
      <w:tr w:rsidR="0002539A" w:rsidRPr="0002539A" w:rsidTr="0056471B">
        <w:trPr>
          <w:trHeight w:val="150"/>
        </w:trPr>
        <w:tc>
          <w:tcPr>
            <w:tcW w:w="1420" w:type="dxa"/>
            <w:tcBorders>
              <w:top w:val="nil"/>
              <w:left w:val="nil"/>
              <w:bottom w:val="nil"/>
              <w:right w:val="nil"/>
            </w:tcBorders>
            <w:shd w:val="clear" w:color="auto" w:fill="auto"/>
            <w:noWrap/>
            <w:vAlign w:val="bottom"/>
            <w:hideMark/>
          </w:tcPr>
          <w:p w:rsidR="0002539A" w:rsidRPr="0002539A" w:rsidRDefault="0002539A" w:rsidP="0002539A">
            <w:pPr>
              <w:spacing w:after="0" w:line="240" w:lineRule="auto"/>
              <w:rPr>
                <w:rFonts w:ascii="Calibri" w:eastAsia="Times New Roman" w:hAnsi="Calibri" w:cs="Times New Roman"/>
                <w:color w:val="000000"/>
                <w:lang w:eastAsia="tr-TR"/>
              </w:rPr>
            </w:pPr>
          </w:p>
        </w:tc>
        <w:tc>
          <w:tcPr>
            <w:tcW w:w="2228" w:type="dxa"/>
            <w:tcBorders>
              <w:top w:val="nil"/>
              <w:left w:val="nil"/>
              <w:bottom w:val="nil"/>
              <w:right w:val="nil"/>
            </w:tcBorders>
            <w:shd w:val="clear" w:color="auto" w:fill="auto"/>
            <w:noWrap/>
            <w:vAlign w:val="bottom"/>
            <w:hideMark/>
          </w:tcPr>
          <w:p w:rsidR="0002539A" w:rsidRPr="0002539A" w:rsidRDefault="0002539A" w:rsidP="0002539A">
            <w:pPr>
              <w:spacing w:after="0" w:line="240" w:lineRule="auto"/>
              <w:rPr>
                <w:rFonts w:ascii="Calibri" w:eastAsia="Times New Roman" w:hAnsi="Calibri" w:cs="Times New Roman"/>
                <w:color w:val="000000"/>
                <w:lang w:eastAsia="tr-TR"/>
              </w:rPr>
            </w:pPr>
          </w:p>
        </w:tc>
        <w:tc>
          <w:tcPr>
            <w:tcW w:w="2410" w:type="dxa"/>
            <w:tcBorders>
              <w:top w:val="nil"/>
              <w:left w:val="nil"/>
              <w:bottom w:val="nil"/>
              <w:right w:val="nil"/>
            </w:tcBorders>
            <w:shd w:val="clear" w:color="auto" w:fill="auto"/>
            <w:noWrap/>
            <w:vAlign w:val="bottom"/>
            <w:hideMark/>
          </w:tcPr>
          <w:p w:rsidR="0002539A" w:rsidRPr="0002539A" w:rsidRDefault="0002539A" w:rsidP="0002539A">
            <w:pPr>
              <w:spacing w:after="0" w:line="240" w:lineRule="auto"/>
              <w:rPr>
                <w:rFonts w:ascii="Calibri" w:eastAsia="Times New Roman" w:hAnsi="Calibri" w:cs="Times New Roman"/>
                <w:color w:val="000000"/>
                <w:lang w:eastAsia="tr-TR"/>
              </w:rPr>
            </w:pPr>
          </w:p>
        </w:tc>
        <w:tc>
          <w:tcPr>
            <w:tcW w:w="942" w:type="dxa"/>
            <w:tcBorders>
              <w:top w:val="nil"/>
              <w:left w:val="nil"/>
              <w:bottom w:val="nil"/>
              <w:right w:val="nil"/>
            </w:tcBorders>
            <w:shd w:val="clear" w:color="auto" w:fill="auto"/>
            <w:noWrap/>
            <w:vAlign w:val="bottom"/>
            <w:hideMark/>
          </w:tcPr>
          <w:p w:rsidR="0002539A" w:rsidRPr="0002539A" w:rsidRDefault="0002539A" w:rsidP="0002539A">
            <w:pPr>
              <w:spacing w:after="0" w:line="240" w:lineRule="auto"/>
              <w:rPr>
                <w:rFonts w:ascii="Calibri" w:eastAsia="Times New Roman" w:hAnsi="Calibri" w:cs="Times New Roman"/>
                <w:color w:val="000000"/>
                <w:lang w:eastAsia="tr-TR"/>
              </w:rPr>
            </w:pPr>
          </w:p>
        </w:tc>
        <w:tc>
          <w:tcPr>
            <w:tcW w:w="2460" w:type="dxa"/>
            <w:tcBorders>
              <w:top w:val="nil"/>
              <w:left w:val="nil"/>
              <w:bottom w:val="nil"/>
              <w:right w:val="nil"/>
            </w:tcBorders>
            <w:shd w:val="clear" w:color="auto" w:fill="auto"/>
            <w:noWrap/>
            <w:vAlign w:val="bottom"/>
            <w:hideMark/>
          </w:tcPr>
          <w:p w:rsidR="0002539A" w:rsidRPr="0002539A" w:rsidRDefault="0002539A" w:rsidP="0002539A">
            <w:pPr>
              <w:spacing w:after="0" w:line="240" w:lineRule="auto"/>
              <w:rPr>
                <w:rFonts w:ascii="Calibri" w:eastAsia="Times New Roman" w:hAnsi="Calibri" w:cs="Times New Roman"/>
                <w:color w:val="000000"/>
                <w:lang w:eastAsia="tr-TR"/>
              </w:rPr>
            </w:pPr>
          </w:p>
        </w:tc>
      </w:tr>
      <w:tr w:rsidR="0002539A" w:rsidRPr="0002539A" w:rsidTr="0056471B">
        <w:trPr>
          <w:trHeight w:val="720"/>
        </w:trPr>
        <w:tc>
          <w:tcPr>
            <w:tcW w:w="142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Boya Kabini</w:t>
            </w:r>
          </w:p>
        </w:tc>
        <w:tc>
          <w:tcPr>
            <w:tcW w:w="2228"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Solvent Girdisi , kg /yıl</w:t>
            </w:r>
          </w:p>
        </w:tc>
        <w:tc>
          <w:tcPr>
            <w:tcW w:w="2410"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Kurutma Fırınına Taşınma Faktörü, f</w:t>
            </w:r>
          </w:p>
        </w:tc>
        <w:tc>
          <w:tcPr>
            <w:tcW w:w="942"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RTO Verimi</w:t>
            </w:r>
          </w:p>
        </w:tc>
        <w:tc>
          <w:tcPr>
            <w:tcW w:w="2460" w:type="dxa"/>
            <w:tcBorders>
              <w:top w:val="single" w:sz="4" w:space="0" w:color="000000"/>
              <w:left w:val="nil"/>
              <w:bottom w:val="single" w:sz="4" w:space="0" w:color="000000"/>
              <w:right w:val="single" w:sz="4" w:space="0" w:color="000000"/>
            </w:tcBorders>
            <w:shd w:val="clear" w:color="FFFF00" w:fill="FFFF00"/>
            <w:vAlign w:val="center"/>
            <w:hideMark/>
          </w:tcPr>
          <w:p w:rsidR="0002539A" w:rsidRPr="0002539A" w:rsidRDefault="0002539A" w:rsidP="0002539A">
            <w:pPr>
              <w:spacing w:after="0" w:line="240" w:lineRule="auto"/>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O5- Yakılarak Arıtılan Solvent , kg/yıl</w:t>
            </w:r>
          </w:p>
        </w:tc>
      </w:tr>
      <w:tr w:rsidR="0002539A" w:rsidRPr="0002539A" w:rsidTr="0056471B">
        <w:trPr>
          <w:trHeight w:val="402"/>
        </w:trPr>
        <w:tc>
          <w:tcPr>
            <w:tcW w:w="1420" w:type="dxa"/>
            <w:tcBorders>
              <w:top w:val="nil"/>
              <w:left w:val="single" w:sz="4" w:space="0" w:color="000000"/>
              <w:bottom w:val="single" w:sz="4" w:space="0" w:color="000000"/>
              <w:right w:val="single" w:sz="4" w:space="0" w:color="000000"/>
            </w:tcBorders>
            <w:shd w:val="clear" w:color="000000" w:fill="DAEEF3"/>
            <w:vAlign w:val="center"/>
            <w:hideMark/>
          </w:tcPr>
          <w:p w:rsidR="0002539A" w:rsidRPr="0002539A" w:rsidRDefault="0002539A" w:rsidP="0002539A">
            <w:pPr>
              <w:spacing w:after="0" w:line="240" w:lineRule="auto"/>
              <w:jc w:val="center"/>
              <w:rPr>
                <w:rFonts w:ascii="Calibri" w:eastAsia="Times New Roman" w:hAnsi="Calibri" w:cs="Times New Roman"/>
                <w:bCs/>
                <w:color w:val="000000"/>
                <w:lang w:eastAsia="tr-TR"/>
              </w:rPr>
            </w:pPr>
            <w:r w:rsidRPr="0002539A">
              <w:rPr>
                <w:rFonts w:ascii="Calibri" w:eastAsia="Times New Roman" w:hAnsi="Calibri" w:cs="Times New Roman"/>
                <w:bCs/>
                <w:color w:val="000000"/>
                <w:lang w:eastAsia="tr-TR"/>
              </w:rPr>
              <w:t>Vernik</w:t>
            </w:r>
          </w:p>
        </w:tc>
        <w:tc>
          <w:tcPr>
            <w:tcW w:w="2228" w:type="dxa"/>
            <w:tcBorders>
              <w:top w:val="nil"/>
              <w:left w:val="nil"/>
              <w:bottom w:val="single" w:sz="4" w:space="0" w:color="000000"/>
              <w:right w:val="single" w:sz="4" w:space="0" w:color="000000"/>
            </w:tcBorders>
            <w:shd w:val="clear" w:color="000000"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SG</w:t>
            </w:r>
          </w:p>
        </w:tc>
        <w:tc>
          <w:tcPr>
            <w:tcW w:w="2410" w:type="dxa"/>
            <w:tcBorders>
              <w:top w:val="nil"/>
              <w:left w:val="nil"/>
              <w:bottom w:val="single" w:sz="4" w:space="0" w:color="000000"/>
              <w:right w:val="single" w:sz="4" w:space="0" w:color="000000"/>
            </w:tcBorders>
            <w:shd w:val="clear" w:color="EAF1DD"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 xml:space="preserve">a x b </w:t>
            </w:r>
          </w:p>
        </w:tc>
        <w:tc>
          <w:tcPr>
            <w:tcW w:w="942" w:type="dxa"/>
            <w:tcBorders>
              <w:top w:val="nil"/>
              <w:left w:val="nil"/>
              <w:bottom w:val="single" w:sz="4" w:space="0" w:color="000000"/>
              <w:right w:val="single" w:sz="4" w:space="0" w:color="000000"/>
            </w:tcBorders>
            <w:shd w:val="clear" w:color="EAF1DD"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90%</w:t>
            </w:r>
          </w:p>
        </w:tc>
        <w:tc>
          <w:tcPr>
            <w:tcW w:w="2460" w:type="dxa"/>
            <w:tcBorders>
              <w:top w:val="nil"/>
              <w:left w:val="nil"/>
              <w:bottom w:val="single" w:sz="4" w:space="0" w:color="000000"/>
              <w:right w:val="single" w:sz="4" w:space="0" w:color="000000"/>
            </w:tcBorders>
            <w:shd w:val="clear" w:color="EAF1DD" w:fill="DAEEF3"/>
            <w:vAlign w:val="center"/>
            <w:hideMark/>
          </w:tcPr>
          <w:p w:rsidR="0002539A" w:rsidRPr="0002539A" w:rsidRDefault="0002539A" w:rsidP="0002539A">
            <w:pPr>
              <w:spacing w:after="0" w:line="240" w:lineRule="auto"/>
              <w:jc w:val="center"/>
              <w:rPr>
                <w:rFonts w:ascii="Calibri" w:eastAsia="Times New Roman" w:hAnsi="Calibri" w:cs="Times New Roman"/>
                <w:b/>
                <w:bCs/>
                <w:color w:val="FF0000"/>
                <w:lang w:eastAsia="tr-TR"/>
              </w:rPr>
            </w:pPr>
            <w:r w:rsidRPr="0002539A">
              <w:rPr>
                <w:rFonts w:ascii="Calibri" w:eastAsia="Times New Roman" w:hAnsi="Calibri" w:cs="Times New Roman"/>
                <w:b/>
                <w:bCs/>
                <w:color w:val="FF0000"/>
                <w:lang w:eastAsia="tr-TR"/>
              </w:rPr>
              <w:t xml:space="preserve"> SG x a x b x 0,90 </w:t>
            </w:r>
          </w:p>
        </w:tc>
      </w:tr>
    </w:tbl>
    <w:p w:rsidR="0002539A" w:rsidRDefault="0056471B" w:rsidP="00C37A25">
      <w:pPr>
        <w:pStyle w:val="ListeParagraf"/>
        <w:ind w:left="1440"/>
        <w:jc w:val="both"/>
      </w:pPr>
      <w:r>
        <w:lastRenderedPageBreak/>
        <w:t>Tablo 6 : Yakılarak Bertaraf Edilen Solvent Hesaplama Tablosu- Taşınma Faktörü Metodu</w:t>
      </w:r>
    </w:p>
    <w:p w:rsidR="0056471B" w:rsidRDefault="0056471B" w:rsidP="00C37A25">
      <w:pPr>
        <w:pStyle w:val="ListeParagraf"/>
        <w:ind w:left="1440"/>
        <w:jc w:val="both"/>
      </w:pPr>
    </w:p>
    <w:p w:rsidR="00C37A25" w:rsidRDefault="0002539A" w:rsidP="00C37A25">
      <w:pPr>
        <w:pStyle w:val="ListeParagraf"/>
        <w:ind w:left="1440"/>
        <w:jc w:val="both"/>
      </w:pPr>
      <w:r>
        <w:t>Çeşitli boya kabinlerinde araç/parça üzerine uygulanan boyada, kabindeki bekleme süresi boyunca oluşan buharlaşma miktarları yaklaşık olarak aşağıdaki gibidir:</w:t>
      </w:r>
    </w:p>
    <w:p w:rsidR="0002539A" w:rsidRDefault="0002539A" w:rsidP="00C37A25">
      <w:pPr>
        <w:pStyle w:val="ListeParagraf"/>
        <w:ind w:left="1440"/>
        <w:jc w:val="both"/>
      </w:pPr>
      <w:r>
        <w:t xml:space="preserve">Kataforez </w:t>
      </w:r>
      <w:r>
        <w:tab/>
        <w:t>:  % 10</w:t>
      </w:r>
    </w:p>
    <w:p w:rsidR="0002539A" w:rsidRDefault="0002539A" w:rsidP="0002539A">
      <w:pPr>
        <w:pStyle w:val="ListeParagraf"/>
        <w:ind w:left="1440"/>
        <w:jc w:val="both"/>
      </w:pPr>
      <w:r>
        <w:t>PVC Macun</w:t>
      </w:r>
      <w:r>
        <w:tab/>
        <w:t>:  % 10</w:t>
      </w:r>
    </w:p>
    <w:p w:rsidR="0002539A" w:rsidRDefault="0002539A" w:rsidP="0002539A">
      <w:pPr>
        <w:pStyle w:val="ListeParagraf"/>
        <w:ind w:left="1440"/>
        <w:jc w:val="both"/>
      </w:pPr>
      <w:r>
        <w:t>Astar</w:t>
      </w:r>
      <w:r>
        <w:tab/>
      </w:r>
      <w:r>
        <w:tab/>
        <w:t>:  % 85</w:t>
      </w:r>
    </w:p>
    <w:p w:rsidR="0002539A" w:rsidRDefault="0002539A" w:rsidP="0002539A">
      <w:pPr>
        <w:pStyle w:val="ListeParagraf"/>
        <w:ind w:left="1440"/>
        <w:jc w:val="both"/>
      </w:pPr>
      <w:r>
        <w:t>Son Kat</w:t>
      </w:r>
      <w:r>
        <w:tab/>
      </w:r>
      <w:r>
        <w:tab/>
        <w:t>:  % 85</w:t>
      </w:r>
    </w:p>
    <w:p w:rsidR="00643EC8" w:rsidRDefault="00F20E7C" w:rsidP="00F20E7C">
      <w:pPr>
        <w:pStyle w:val="ListeParagraf"/>
        <w:ind w:left="1440"/>
        <w:jc w:val="both"/>
      </w:pPr>
      <w:r>
        <w:t xml:space="preserve"> Vernik</w:t>
      </w:r>
      <w:r>
        <w:tab/>
      </w:r>
      <w:r>
        <w:tab/>
        <w:t>:  % 70</w:t>
      </w:r>
    </w:p>
    <w:p w:rsidR="002555C7" w:rsidRDefault="002555C7" w:rsidP="00AE345E">
      <w:pPr>
        <w:pStyle w:val="ListeParagraf"/>
        <w:ind w:left="1416"/>
        <w:jc w:val="both"/>
      </w:pPr>
    </w:p>
    <w:p w:rsidR="00643EC8" w:rsidRDefault="00643EC8" w:rsidP="00643EC8">
      <w:pPr>
        <w:pStyle w:val="ListeParagraf"/>
        <w:numPr>
          <w:ilvl w:val="0"/>
          <w:numId w:val="9"/>
        </w:numPr>
        <w:jc w:val="both"/>
      </w:pPr>
      <w:r>
        <w:t>O6 –Atık olarak uzaklaştırılan solvent miktarının hesaplanması</w:t>
      </w:r>
    </w:p>
    <w:p w:rsidR="00643EC8" w:rsidRDefault="00643EC8" w:rsidP="00643EC8">
      <w:pPr>
        <w:pStyle w:val="ListeParagraf"/>
        <w:numPr>
          <w:ilvl w:val="1"/>
          <w:numId w:val="9"/>
        </w:numPr>
        <w:jc w:val="both"/>
      </w:pPr>
      <w:r>
        <w:t xml:space="preserve"> Atık solvent olarak toplanan ve tehlikeli atık olarak bertaraf tesislerine gönderilen atık solvent miktarı bel</w:t>
      </w:r>
      <w:r w:rsidR="000813C7">
        <w:t>irlenir. Bu atıkların içindeki s</w:t>
      </w:r>
      <w:r>
        <w:t>olvent oranı tesise özel bir ölçüm ile belirl</w:t>
      </w:r>
      <w:r w:rsidR="007D076F">
        <w:t>enmemiş ise % 95</w:t>
      </w:r>
      <w:r w:rsidR="000670E5">
        <w:t xml:space="preserve"> kabul edilebilir.</w:t>
      </w:r>
    </w:p>
    <w:p w:rsidR="000670E5" w:rsidRDefault="000670E5" w:rsidP="00643EC8">
      <w:pPr>
        <w:pStyle w:val="ListeParagraf"/>
        <w:numPr>
          <w:ilvl w:val="1"/>
          <w:numId w:val="9"/>
        </w:numPr>
        <w:jc w:val="both"/>
      </w:pPr>
      <w:r>
        <w:t>Boya Çamurunun bertarafı sonucu uzaklaştırılan solvent miktarının hesaplanması için, tehlikeli atık olarak bertaraf tesislerine gönderilen boya çamuru miktarı belirlenir. Boya çamuru içindeki solvent oranı tesise özel bir ölçüm ile belirlen</w:t>
      </w:r>
      <w:r w:rsidR="00C5175A">
        <w:t>e</w:t>
      </w:r>
      <w:r>
        <w:t>memiş ise; Su bazlı boya çamurunda % 1, solvent bazlı boya çamurunda % 2 kabul edilebi</w:t>
      </w:r>
      <w:r w:rsidR="00B332A9">
        <w:t>li</w:t>
      </w:r>
      <w:r>
        <w:t>r.</w:t>
      </w:r>
    </w:p>
    <w:p w:rsidR="002555C7" w:rsidRDefault="002555C7" w:rsidP="002555C7">
      <w:pPr>
        <w:ind w:firstLine="708"/>
        <w:jc w:val="both"/>
      </w:pPr>
      <w:r w:rsidRPr="002555C7">
        <w:t>Hesaplamalard</w:t>
      </w:r>
      <w:r w:rsidR="00C5175A">
        <w:t>a aşağıdaki form kullanılabilir</w:t>
      </w:r>
    </w:p>
    <w:tbl>
      <w:tblPr>
        <w:tblW w:w="0" w:type="auto"/>
        <w:tblInd w:w="65" w:type="dxa"/>
        <w:tblCellMar>
          <w:left w:w="70" w:type="dxa"/>
          <w:right w:w="70" w:type="dxa"/>
        </w:tblCellMar>
        <w:tblLook w:val="04A0" w:firstRow="1" w:lastRow="0" w:firstColumn="1" w:lastColumn="0" w:noHBand="0" w:noVBand="1"/>
      </w:tblPr>
      <w:tblGrid>
        <w:gridCol w:w="2205"/>
        <w:gridCol w:w="1606"/>
        <w:gridCol w:w="2386"/>
        <w:gridCol w:w="1475"/>
        <w:gridCol w:w="1475"/>
      </w:tblGrid>
      <w:tr w:rsidR="002555C7" w:rsidRPr="00D57275" w:rsidTr="00D57275">
        <w:trPr>
          <w:trHeight w:val="825"/>
        </w:trPr>
        <w:tc>
          <w:tcPr>
            <w:tcW w:w="0" w:type="auto"/>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D57275" w:rsidRPr="00D57275" w:rsidRDefault="00D57275" w:rsidP="00D57275">
            <w:pPr>
              <w:spacing w:after="0" w:line="240" w:lineRule="auto"/>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Atık Türü</w:t>
            </w:r>
          </w:p>
        </w:tc>
        <w:tc>
          <w:tcPr>
            <w:tcW w:w="0" w:type="auto"/>
            <w:tcBorders>
              <w:top w:val="single" w:sz="4" w:space="0" w:color="000000"/>
              <w:left w:val="nil"/>
              <w:bottom w:val="single" w:sz="4" w:space="0" w:color="000000"/>
              <w:right w:val="single" w:sz="4" w:space="0" w:color="000000"/>
            </w:tcBorders>
            <w:shd w:val="clear" w:color="FFFF00" w:fill="FFFF00"/>
            <w:vAlign w:val="center"/>
            <w:hideMark/>
          </w:tcPr>
          <w:p w:rsidR="00D57275" w:rsidRPr="00D57275" w:rsidRDefault="00D57275" w:rsidP="00D57275">
            <w:pPr>
              <w:spacing w:after="0" w:line="240" w:lineRule="auto"/>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Atık Miktarı, kg/yıl</w:t>
            </w:r>
          </w:p>
        </w:tc>
        <w:tc>
          <w:tcPr>
            <w:tcW w:w="0" w:type="auto"/>
            <w:tcBorders>
              <w:top w:val="single" w:sz="4" w:space="0" w:color="000000"/>
              <w:left w:val="nil"/>
              <w:bottom w:val="single" w:sz="4" w:space="0" w:color="000000"/>
              <w:right w:val="single" w:sz="4" w:space="0" w:color="000000"/>
            </w:tcBorders>
            <w:shd w:val="clear" w:color="FFFF00" w:fill="FFFF00"/>
            <w:vAlign w:val="center"/>
            <w:hideMark/>
          </w:tcPr>
          <w:p w:rsidR="00D57275" w:rsidRPr="00D57275" w:rsidRDefault="00D57275" w:rsidP="00D57275">
            <w:pPr>
              <w:spacing w:after="0" w:line="240" w:lineRule="auto"/>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Atık içinde    Solvent Oranı, %</w:t>
            </w:r>
          </w:p>
        </w:tc>
        <w:tc>
          <w:tcPr>
            <w:tcW w:w="0" w:type="auto"/>
            <w:gridSpan w:val="2"/>
            <w:tcBorders>
              <w:top w:val="single" w:sz="4" w:space="0" w:color="000000"/>
              <w:left w:val="nil"/>
              <w:bottom w:val="single" w:sz="4" w:space="0" w:color="000000"/>
              <w:right w:val="single" w:sz="4" w:space="0" w:color="000000"/>
            </w:tcBorders>
            <w:shd w:val="clear" w:color="FFFF00" w:fill="FFFF00"/>
            <w:vAlign w:val="center"/>
            <w:hideMark/>
          </w:tcPr>
          <w:p w:rsidR="00D57275" w:rsidRPr="00D57275" w:rsidRDefault="00D57275" w:rsidP="00D57275">
            <w:pPr>
              <w:spacing w:after="0" w:line="240" w:lineRule="auto"/>
              <w:jc w:val="center"/>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06- Atık olarak arıtılan Solvent, kg/yıl</w:t>
            </w:r>
          </w:p>
        </w:tc>
      </w:tr>
      <w:tr w:rsidR="002555C7" w:rsidRPr="00D57275" w:rsidTr="00D57275">
        <w:trPr>
          <w:trHeight w:val="405"/>
        </w:trPr>
        <w:tc>
          <w:tcPr>
            <w:tcW w:w="0" w:type="auto"/>
            <w:tcBorders>
              <w:top w:val="nil"/>
              <w:left w:val="single" w:sz="4" w:space="0" w:color="000000"/>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Atık Solvent</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a</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AD5AFF" w:rsidP="00D57275">
            <w:pPr>
              <w:spacing w:after="0" w:line="240" w:lineRule="auto"/>
              <w:jc w:val="center"/>
              <w:rPr>
                <w:rFonts w:ascii="Calibri" w:eastAsia="Times New Roman" w:hAnsi="Calibri" w:cs="Times New Roman"/>
                <w:b/>
                <w:bCs/>
                <w:color w:val="FF0000"/>
                <w:sz w:val="20"/>
                <w:szCs w:val="24"/>
                <w:lang w:eastAsia="tr-TR"/>
              </w:rPr>
            </w:pPr>
            <w:r>
              <w:rPr>
                <w:rFonts w:ascii="Calibri" w:eastAsia="Times New Roman" w:hAnsi="Calibri" w:cs="Times New Roman"/>
                <w:b/>
                <w:bCs/>
                <w:color w:val="FF0000"/>
                <w:sz w:val="20"/>
                <w:szCs w:val="24"/>
                <w:lang w:eastAsia="tr-TR"/>
              </w:rPr>
              <w:t>~ % 95</w:t>
            </w:r>
          </w:p>
        </w:tc>
        <w:tc>
          <w:tcPr>
            <w:tcW w:w="0" w:type="auto"/>
            <w:gridSpan w:val="2"/>
            <w:tcBorders>
              <w:top w:val="single" w:sz="4" w:space="0" w:color="000000"/>
              <w:left w:val="nil"/>
              <w:bottom w:val="single" w:sz="4" w:space="0" w:color="000000"/>
              <w:right w:val="single" w:sz="4" w:space="0" w:color="000000"/>
            </w:tcBorders>
            <w:shd w:val="clear" w:color="000000" w:fill="DAEEF3"/>
            <w:vAlign w:val="center"/>
            <w:hideMark/>
          </w:tcPr>
          <w:p w:rsidR="00D57275" w:rsidRPr="00D57275" w:rsidRDefault="00AD5AFF" w:rsidP="00D57275">
            <w:pPr>
              <w:spacing w:after="0" w:line="240" w:lineRule="auto"/>
              <w:jc w:val="center"/>
              <w:rPr>
                <w:rFonts w:ascii="Calibri" w:eastAsia="Times New Roman" w:hAnsi="Calibri" w:cs="Times New Roman"/>
                <w:b/>
                <w:bCs/>
                <w:color w:val="FF0000"/>
                <w:sz w:val="20"/>
                <w:szCs w:val="24"/>
                <w:lang w:eastAsia="tr-TR"/>
              </w:rPr>
            </w:pPr>
            <w:r>
              <w:rPr>
                <w:rFonts w:ascii="Calibri" w:eastAsia="Times New Roman" w:hAnsi="Calibri" w:cs="Times New Roman"/>
                <w:b/>
                <w:bCs/>
                <w:color w:val="FF0000"/>
                <w:sz w:val="20"/>
                <w:szCs w:val="24"/>
                <w:lang w:eastAsia="tr-TR"/>
              </w:rPr>
              <w:t xml:space="preserve">a x 0,95 </w:t>
            </w:r>
          </w:p>
        </w:tc>
      </w:tr>
      <w:tr w:rsidR="002555C7" w:rsidRPr="00D57275" w:rsidTr="00D57275">
        <w:trPr>
          <w:trHeight w:val="435"/>
        </w:trPr>
        <w:tc>
          <w:tcPr>
            <w:tcW w:w="0" w:type="auto"/>
            <w:tcBorders>
              <w:top w:val="nil"/>
              <w:left w:val="single" w:sz="4" w:space="0" w:color="000000"/>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Su Bazlı Boya Çamuru</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b</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 % 1</w:t>
            </w:r>
          </w:p>
        </w:tc>
        <w:tc>
          <w:tcPr>
            <w:tcW w:w="0" w:type="auto"/>
            <w:gridSpan w:val="2"/>
            <w:tcBorders>
              <w:top w:val="single" w:sz="4" w:space="0" w:color="000000"/>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b x 0,01</w:t>
            </w:r>
          </w:p>
        </w:tc>
      </w:tr>
      <w:tr w:rsidR="002555C7" w:rsidRPr="00D57275" w:rsidTr="00D57275">
        <w:trPr>
          <w:trHeight w:val="435"/>
        </w:trPr>
        <w:tc>
          <w:tcPr>
            <w:tcW w:w="0" w:type="auto"/>
            <w:tcBorders>
              <w:top w:val="nil"/>
              <w:left w:val="single" w:sz="4" w:space="0" w:color="000000"/>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Solvent Bazlı Boya Çamuru</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 </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 % 2</w:t>
            </w:r>
          </w:p>
        </w:tc>
        <w:tc>
          <w:tcPr>
            <w:tcW w:w="0" w:type="auto"/>
            <w:gridSpan w:val="2"/>
            <w:tcBorders>
              <w:top w:val="single" w:sz="4" w:space="0" w:color="000000"/>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sz w:val="20"/>
                <w:szCs w:val="24"/>
                <w:lang w:eastAsia="tr-TR"/>
              </w:rPr>
            </w:pPr>
            <w:r w:rsidRPr="00D57275">
              <w:rPr>
                <w:rFonts w:ascii="Calibri" w:eastAsia="Times New Roman" w:hAnsi="Calibri" w:cs="Times New Roman"/>
                <w:b/>
                <w:bCs/>
                <w:color w:val="FF0000"/>
                <w:sz w:val="20"/>
                <w:szCs w:val="24"/>
                <w:lang w:eastAsia="tr-TR"/>
              </w:rPr>
              <w:t>b x 0,02</w:t>
            </w:r>
          </w:p>
        </w:tc>
      </w:tr>
      <w:tr w:rsidR="002555C7" w:rsidRPr="00D57275" w:rsidTr="00D57275">
        <w:trPr>
          <w:trHeight w:val="405"/>
        </w:trPr>
        <w:tc>
          <w:tcPr>
            <w:tcW w:w="0" w:type="auto"/>
            <w:tcBorders>
              <w:top w:val="nil"/>
              <w:left w:val="single" w:sz="4" w:space="0" w:color="000000"/>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Attık Mastik, vb</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000000"/>
                <w:sz w:val="20"/>
                <w:szCs w:val="24"/>
                <w:lang w:eastAsia="tr-TR"/>
              </w:rPr>
            </w:pPr>
            <w:r w:rsidRPr="00D57275">
              <w:rPr>
                <w:rFonts w:ascii="Calibri" w:eastAsia="Times New Roman" w:hAnsi="Calibri" w:cs="Times New Roman"/>
                <w:b/>
                <w:bCs/>
                <w:color w:val="000000"/>
                <w:sz w:val="20"/>
                <w:szCs w:val="24"/>
                <w:lang w:eastAsia="tr-TR"/>
              </w:rPr>
              <w:t> </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000000"/>
                <w:sz w:val="20"/>
                <w:szCs w:val="24"/>
                <w:lang w:eastAsia="tr-TR"/>
              </w:rPr>
            </w:pPr>
            <w:r w:rsidRPr="00D57275">
              <w:rPr>
                <w:rFonts w:ascii="Calibri" w:eastAsia="Times New Roman" w:hAnsi="Calibri" w:cs="Times New Roman"/>
                <w:b/>
                <w:bCs/>
                <w:color w:val="000000"/>
                <w:sz w:val="20"/>
                <w:szCs w:val="24"/>
                <w:lang w:eastAsia="tr-TR"/>
              </w:rPr>
              <w:t> </w:t>
            </w:r>
          </w:p>
        </w:tc>
        <w:tc>
          <w:tcPr>
            <w:tcW w:w="0" w:type="auto"/>
            <w:tcBorders>
              <w:top w:val="nil"/>
              <w:left w:val="nil"/>
              <w:bottom w:val="single" w:sz="4" w:space="0" w:color="000000"/>
              <w:right w:val="nil"/>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000000"/>
                <w:sz w:val="20"/>
                <w:szCs w:val="24"/>
                <w:lang w:eastAsia="tr-TR"/>
              </w:rPr>
            </w:pPr>
            <w:r w:rsidRPr="00D57275">
              <w:rPr>
                <w:rFonts w:ascii="Calibri" w:eastAsia="Times New Roman" w:hAnsi="Calibri" w:cs="Times New Roman"/>
                <w:b/>
                <w:bCs/>
                <w:color w:val="000000"/>
                <w:sz w:val="20"/>
                <w:szCs w:val="24"/>
                <w:lang w:eastAsia="tr-TR"/>
              </w:rPr>
              <w:t> </w:t>
            </w:r>
          </w:p>
        </w:tc>
        <w:tc>
          <w:tcPr>
            <w:tcW w:w="0" w:type="auto"/>
            <w:tcBorders>
              <w:top w:val="nil"/>
              <w:left w:val="nil"/>
              <w:bottom w:val="single" w:sz="4" w:space="0" w:color="000000"/>
              <w:right w:val="single" w:sz="4" w:space="0" w:color="000000"/>
            </w:tcBorders>
            <w:shd w:val="clear" w:color="000000" w:fill="DAEEF3"/>
            <w:vAlign w:val="center"/>
            <w:hideMark/>
          </w:tcPr>
          <w:p w:rsidR="00D57275" w:rsidRPr="00D57275" w:rsidRDefault="00D57275" w:rsidP="00D57275">
            <w:pPr>
              <w:spacing w:after="0" w:line="240" w:lineRule="auto"/>
              <w:jc w:val="center"/>
              <w:rPr>
                <w:rFonts w:ascii="Calibri" w:eastAsia="Times New Roman" w:hAnsi="Calibri" w:cs="Times New Roman"/>
                <w:b/>
                <w:bCs/>
                <w:color w:val="000000"/>
                <w:sz w:val="20"/>
                <w:szCs w:val="24"/>
                <w:lang w:eastAsia="tr-TR"/>
              </w:rPr>
            </w:pPr>
            <w:r w:rsidRPr="00D57275">
              <w:rPr>
                <w:rFonts w:ascii="Calibri" w:eastAsia="Times New Roman" w:hAnsi="Calibri" w:cs="Times New Roman"/>
                <w:b/>
                <w:bCs/>
                <w:color w:val="000000"/>
                <w:sz w:val="20"/>
                <w:szCs w:val="24"/>
                <w:lang w:eastAsia="tr-TR"/>
              </w:rPr>
              <w:t> </w:t>
            </w:r>
          </w:p>
        </w:tc>
      </w:tr>
      <w:tr w:rsidR="00D57275" w:rsidRPr="00D57275" w:rsidTr="00D57275">
        <w:trPr>
          <w:trHeight w:val="402"/>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D57275" w:rsidRPr="00D57275" w:rsidRDefault="00D57275" w:rsidP="00D57275">
            <w:pPr>
              <w:spacing w:after="0" w:line="240" w:lineRule="auto"/>
              <w:rPr>
                <w:rFonts w:ascii="Calibri" w:eastAsia="Times New Roman" w:hAnsi="Calibri" w:cs="Times New Roman"/>
                <w:bCs/>
                <w:color w:val="000000"/>
                <w:szCs w:val="24"/>
                <w:lang w:eastAsia="tr-TR"/>
              </w:rPr>
            </w:pPr>
            <w:r w:rsidRPr="00D57275">
              <w:rPr>
                <w:rFonts w:ascii="Calibri" w:eastAsia="Times New Roman" w:hAnsi="Calibri" w:cs="Times New Roman"/>
                <w:bCs/>
                <w:color w:val="000000"/>
                <w:szCs w:val="24"/>
                <w:lang w:eastAsia="tr-TR"/>
              </w:rPr>
              <w:t>TOPLAM</w:t>
            </w:r>
          </w:p>
        </w:tc>
        <w:tc>
          <w:tcPr>
            <w:tcW w:w="0" w:type="auto"/>
            <w:gridSpan w:val="2"/>
            <w:tcBorders>
              <w:top w:val="single" w:sz="4" w:space="0" w:color="000000"/>
              <w:left w:val="nil"/>
              <w:bottom w:val="single" w:sz="4" w:space="0" w:color="000000"/>
              <w:right w:val="single" w:sz="4" w:space="0" w:color="000000"/>
            </w:tcBorders>
            <w:shd w:val="clear" w:color="EAF1DD" w:fill="FFFF00"/>
            <w:vAlign w:val="center"/>
            <w:hideMark/>
          </w:tcPr>
          <w:p w:rsidR="00D57275" w:rsidRPr="00D57275" w:rsidRDefault="00D57275" w:rsidP="00D57275">
            <w:pPr>
              <w:spacing w:after="0" w:line="240" w:lineRule="auto"/>
              <w:jc w:val="center"/>
              <w:rPr>
                <w:rFonts w:ascii="Calibri" w:eastAsia="Times New Roman" w:hAnsi="Calibri" w:cs="Times New Roman"/>
                <w:b/>
                <w:bCs/>
                <w:color w:val="FF0000"/>
                <w:lang w:eastAsia="tr-TR"/>
              </w:rPr>
            </w:pPr>
            <w:r w:rsidRPr="00D57275">
              <w:rPr>
                <w:rFonts w:ascii="Calibri" w:eastAsia="Times New Roman" w:hAnsi="Calibri" w:cs="Times New Roman"/>
                <w:b/>
                <w:bCs/>
                <w:color w:val="FF0000"/>
                <w:lang w:eastAsia="tr-TR"/>
              </w:rPr>
              <w:t> </w:t>
            </w:r>
          </w:p>
        </w:tc>
      </w:tr>
    </w:tbl>
    <w:p w:rsidR="00416F7A" w:rsidRDefault="0056471B" w:rsidP="00F20E7C">
      <w:pPr>
        <w:pStyle w:val="ListeParagraf"/>
        <w:jc w:val="both"/>
        <w:rPr>
          <w:sz w:val="24"/>
          <w:szCs w:val="24"/>
        </w:rPr>
      </w:pPr>
      <w:r w:rsidRPr="001B2944">
        <w:rPr>
          <w:sz w:val="24"/>
          <w:szCs w:val="24"/>
        </w:rPr>
        <w:t>Tablo 7 : Atık olarak bertaraf edilen Solvent Hesaplama Tablosu</w:t>
      </w:r>
    </w:p>
    <w:p w:rsidR="00F20E7C" w:rsidRPr="00F20E7C" w:rsidRDefault="00F20E7C" w:rsidP="00F20E7C">
      <w:pPr>
        <w:pStyle w:val="ListeParagraf"/>
        <w:jc w:val="both"/>
        <w:rPr>
          <w:sz w:val="24"/>
          <w:szCs w:val="24"/>
        </w:rPr>
      </w:pPr>
    </w:p>
    <w:p w:rsidR="00643EC8" w:rsidRPr="001B2944" w:rsidRDefault="00AA2E7D" w:rsidP="00416F7A">
      <w:pPr>
        <w:pStyle w:val="ListeParagraf"/>
        <w:numPr>
          <w:ilvl w:val="0"/>
          <w:numId w:val="15"/>
        </w:numPr>
        <w:jc w:val="both"/>
        <w:rPr>
          <w:b/>
          <w:sz w:val="24"/>
          <w:szCs w:val="24"/>
        </w:rPr>
      </w:pPr>
      <w:r w:rsidRPr="001B2944">
        <w:rPr>
          <w:b/>
          <w:sz w:val="24"/>
          <w:szCs w:val="24"/>
        </w:rPr>
        <w:t>Boyanan Yüzey Alanının Hesaplanması</w:t>
      </w:r>
    </w:p>
    <w:p w:rsidR="00AA2E7D" w:rsidRPr="001B2944" w:rsidRDefault="00AA2E7D" w:rsidP="00416F7A">
      <w:pPr>
        <w:pStyle w:val="ListeParagraf"/>
        <w:jc w:val="both"/>
        <w:rPr>
          <w:sz w:val="24"/>
          <w:szCs w:val="24"/>
        </w:rPr>
      </w:pPr>
      <w:r w:rsidRPr="001B2944">
        <w:rPr>
          <w:sz w:val="24"/>
          <w:szCs w:val="24"/>
        </w:rPr>
        <w:t>Hesaplamalarda</w:t>
      </w:r>
      <w:r w:rsidR="00416F7A" w:rsidRPr="001B2944">
        <w:rPr>
          <w:sz w:val="24"/>
          <w:szCs w:val="24"/>
        </w:rPr>
        <w:t xml:space="preserve"> aşağıdaki form kullanılabilir:</w:t>
      </w:r>
    </w:p>
    <w:tbl>
      <w:tblPr>
        <w:tblW w:w="8560" w:type="dxa"/>
        <w:tblInd w:w="65" w:type="dxa"/>
        <w:tblCellMar>
          <w:left w:w="70" w:type="dxa"/>
          <w:right w:w="70" w:type="dxa"/>
        </w:tblCellMar>
        <w:tblLook w:val="04A0" w:firstRow="1" w:lastRow="0" w:firstColumn="1" w:lastColumn="0" w:noHBand="0" w:noVBand="1"/>
      </w:tblPr>
      <w:tblGrid>
        <w:gridCol w:w="1940"/>
        <w:gridCol w:w="2260"/>
        <w:gridCol w:w="2100"/>
        <w:gridCol w:w="2260"/>
      </w:tblGrid>
      <w:tr w:rsidR="00416F7A" w:rsidRPr="00416F7A" w:rsidTr="00416F7A">
        <w:trPr>
          <w:trHeight w:val="825"/>
        </w:trPr>
        <w:tc>
          <w:tcPr>
            <w:tcW w:w="19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Model</w:t>
            </w:r>
          </w:p>
        </w:tc>
        <w:tc>
          <w:tcPr>
            <w:tcW w:w="2260" w:type="dxa"/>
            <w:tcBorders>
              <w:top w:val="single" w:sz="4" w:space="0" w:color="000000"/>
              <w:left w:val="nil"/>
              <w:bottom w:val="single" w:sz="4" w:space="0" w:color="000000"/>
              <w:right w:val="single" w:sz="4" w:space="0" w:color="000000"/>
            </w:tcBorders>
            <w:shd w:val="clear" w:color="FFFF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Yıllık Üretim Miktarı Ad.</w:t>
            </w:r>
          </w:p>
        </w:tc>
        <w:tc>
          <w:tcPr>
            <w:tcW w:w="2100" w:type="dxa"/>
            <w:tcBorders>
              <w:top w:val="single" w:sz="4" w:space="0" w:color="000000"/>
              <w:left w:val="nil"/>
              <w:bottom w:val="single" w:sz="4" w:space="0" w:color="000000"/>
              <w:right w:val="single" w:sz="4" w:space="0" w:color="000000"/>
            </w:tcBorders>
            <w:shd w:val="clear" w:color="FFFF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Birim Yüzey Alanı, m</w:t>
            </w:r>
            <w:r w:rsidRPr="00C16022">
              <w:rPr>
                <w:rFonts w:ascii="Calibri" w:eastAsia="Times New Roman" w:hAnsi="Calibri" w:cs="Times New Roman"/>
                <w:color w:val="000000"/>
                <w:sz w:val="24"/>
                <w:szCs w:val="24"/>
                <w:vertAlign w:val="superscript"/>
                <w:lang w:eastAsia="tr-TR"/>
              </w:rPr>
              <w:t>2</w:t>
            </w:r>
            <w:r w:rsidRPr="00416F7A">
              <w:rPr>
                <w:rFonts w:ascii="Calibri" w:eastAsia="Times New Roman" w:hAnsi="Calibri" w:cs="Times New Roman"/>
                <w:color w:val="000000"/>
                <w:sz w:val="24"/>
                <w:szCs w:val="24"/>
                <w:lang w:eastAsia="tr-TR"/>
              </w:rPr>
              <w:t>/ad</w:t>
            </w:r>
          </w:p>
        </w:tc>
        <w:tc>
          <w:tcPr>
            <w:tcW w:w="2260" w:type="dxa"/>
            <w:tcBorders>
              <w:top w:val="single" w:sz="4" w:space="0" w:color="000000"/>
              <w:left w:val="nil"/>
              <w:bottom w:val="single" w:sz="4" w:space="0" w:color="000000"/>
              <w:right w:val="single" w:sz="4" w:space="0" w:color="000000"/>
            </w:tcBorders>
            <w:shd w:val="clear" w:color="FFFF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Yıllık Yüzey Alanı, m</w:t>
            </w:r>
            <w:r w:rsidRPr="00C16022">
              <w:rPr>
                <w:rFonts w:ascii="Calibri" w:eastAsia="Times New Roman" w:hAnsi="Calibri" w:cs="Times New Roman"/>
                <w:color w:val="000000"/>
                <w:sz w:val="24"/>
                <w:szCs w:val="24"/>
                <w:vertAlign w:val="superscript"/>
                <w:lang w:eastAsia="tr-TR"/>
              </w:rPr>
              <w:t>2</w:t>
            </w:r>
            <w:r w:rsidRPr="00416F7A">
              <w:rPr>
                <w:rFonts w:ascii="Calibri" w:eastAsia="Times New Roman" w:hAnsi="Calibri" w:cs="Times New Roman"/>
                <w:color w:val="000000"/>
                <w:sz w:val="24"/>
                <w:szCs w:val="24"/>
                <w:lang w:eastAsia="tr-TR"/>
              </w:rPr>
              <w:t>/yıl</w:t>
            </w:r>
          </w:p>
        </w:tc>
      </w:tr>
      <w:tr w:rsidR="00416F7A" w:rsidRPr="00416F7A" w:rsidTr="00416F7A">
        <w:trPr>
          <w:trHeight w:val="435"/>
        </w:trPr>
        <w:tc>
          <w:tcPr>
            <w:tcW w:w="1940" w:type="dxa"/>
            <w:tcBorders>
              <w:top w:val="nil"/>
              <w:left w:val="single" w:sz="4" w:space="0" w:color="000000"/>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c>
          <w:tcPr>
            <w:tcW w:w="210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r>
      <w:tr w:rsidR="00416F7A" w:rsidRPr="00416F7A" w:rsidTr="00416F7A">
        <w:trPr>
          <w:trHeight w:val="435"/>
        </w:trPr>
        <w:tc>
          <w:tcPr>
            <w:tcW w:w="1940" w:type="dxa"/>
            <w:tcBorders>
              <w:top w:val="nil"/>
              <w:left w:val="single" w:sz="4" w:space="0" w:color="000000"/>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c>
          <w:tcPr>
            <w:tcW w:w="210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r>
      <w:tr w:rsidR="00416F7A" w:rsidRPr="00416F7A" w:rsidTr="00416F7A">
        <w:trPr>
          <w:trHeight w:val="435"/>
        </w:trPr>
        <w:tc>
          <w:tcPr>
            <w:tcW w:w="1940" w:type="dxa"/>
            <w:tcBorders>
              <w:top w:val="nil"/>
              <w:left w:val="single" w:sz="4" w:space="0" w:color="000000"/>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p>
        </w:tc>
        <w:tc>
          <w:tcPr>
            <w:tcW w:w="210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r>
      <w:tr w:rsidR="00416F7A" w:rsidRPr="00416F7A" w:rsidTr="00416F7A">
        <w:trPr>
          <w:trHeight w:val="390"/>
        </w:trPr>
        <w:tc>
          <w:tcPr>
            <w:tcW w:w="1940" w:type="dxa"/>
            <w:tcBorders>
              <w:top w:val="nil"/>
              <w:left w:val="single" w:sz="4" w:space="0" w:color="000000"/>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c>
          <w:tcPr>
            <w:tcW w:w="210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FF0000"/>
                <w:sz w:val="24"/>
                <w:szCs w:val="24"/>
                <w:lang w:eastAsia="tr-TR"/>
              </w:rPr>
            </w:pPr>
            <w:r w:rsidRPr="00416F7A">
              <w:rPr>
                <w:rFonts w:ascii="Calibri" w:eastAsia="Times New Roman" w:hAnsi="Calibri" w:cs="Times New Roman"/>
                <w:b/>
                <w:bCs/>
                <w:color w:val="FF0000"/>
                <w:sz w:val="24"/>
                <w:szCs w:val="24"/>
                <w:lang w:eastAsia="tr-TR"/>
              </w:rPr>
              <w:t> </w:t>
            </w:r>
          </w:p>
        </w:tc>
      </w:tr>
      <w:tr w:rsidR="00416F7A" w:rsidRPr="00416F7A" w:rsidTr="00416F7A">
        <w:trPr>
          <w:trHeight w:val="405"/>
        </w:trPr>
        <w:tc>
          <w:tcPr>
            <w:tcW w:w="1940" w:type="dxa"/>
            <w:tcBorders>
              <w:top w:val="nil"/>
              <w:left w:val="single" w:sz="4" w:space="0" w:color="000000"/>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lastRenderedPageBreak/>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000000"/>
                <w:sz w:val="24"/>
                <w:szCs w:val="24"/>
                <w:lang w:eastAsia="tr-TR"/>
              </w:rPr>
            </w:pPr>
            <w:r w:rsidRPr="00416F7A">
              <w:rPr>
                <w:rFonts w:ascii="Calibri" w:eastAsia="Times New Roman" w:hAnsi="Calibri" w:cs="Times New Roman"/>
                <w:b/>
                <w:bCs/>
                <w:color w:val="000000"/>
                <w:sz w:val="24"/>
                <w:szCs w:val="24"/>
                <w:lang w:eastAsia="tr-TR"/>
              </w:rPr>
              <w:t> </w:t>
            </w:r>
          </w:p>
        </w:tc>
        <w:tc>
          <w:tcPr>
            <w:tcW w:w="210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000000"/>
                <w:sz w:val="24"/>
                <w:szCs w:val="24"/>
                <w:lang w:eastAsia="tr-TR"/>
              </w:rPr>
            </w:pPr>
            <w:r w:rsidRPr="00416F7A">
              <w:rPr>
                <w:rFonts w:ascii="Calibri" w:eastAsia="Times New Roman" w:hAnsi="Calibri" w:cs="Times New Roman"/>
                <w:b/>
                <w:bCs/>
                <w:color w:val="000000"/>
                <w:sz w:val="24"/>
                <w:szCs w:val="24"/>
                <w:lang w:eastAsia="tr-TR"/>
              </w:rPr>
              <w:t> </w:t>
            </w:r>
          </w:p>
        </w:tc>
        <w:tc>
          <w:tcPr>
            <w:tcW w:w="2260" w:type="dxa"/>
            <w:tcBorders>
              <w:top w:val="nil"/>
              <w:left w:val="nil"/>
              <w:bottom w:val="single" w:sz="4" w:space="0" w:color="000000"/>
              <w:right w:val="single" w:sz="4" w:space="0" w:color="000000"/>
            </w:tcBorders>
            <w:shd w:val="clear" w:color="000000" w:fill="DAEEF3"/>
            <w:vAlign w:val="center"/>
            <w:hideMark/>
          </w:tcPr>
          <w:p w:rsidR="00416F7A" w:rsidRPr="00416F7A" w:rsidRDefault="00416F7A" w:rsidP="00416F7A">
            <w:pPr>
              <w:spacing w:after="0" w:line="240" w:lineRule="auto"/>
              <w:jc w:val="center"/>
              <w:rPr>
                <w:rFonts w:ascii="Calibri" w:eastAsia="Times New Roman" w:hAnsi="Calibri" w:cs="Times New Roman"/>
                <w:b/>
                <w:bCs/>
                <w:color w:val="000000"/>
                <w:sz w:val="24"/>
                <w:szCs w:val="24"/>
                <w:lang w:eastAsia="tr-TR"/>
              </w:rPr>
            </w:pPr>
            <w:r w:rsidRPr="00416F7A">
              <w:rPr>
                <w:rFonts w:ascii="Calibri" w:eastAsia="Times New Roman" w:hAnsi="Calibri" w:cs="Times New Roman"/>
                <w:b/>
                <w:bCs/>
                <w:color w:val="000000"/>
                <w:sz w:val="24"/>
                <w:szCs w:val="24"/>
                <w:lang w:eastAsia="tr-TR"/>
              </w:rPr>
              <w:t> </w:t>
            </w:r>
          </w:p>
        </w:tc>
      </w:tr>
      <w:tr w:rsidR="00416F7A" w:rsidRPr="00416F7A" w:rsidTr="00416F7A">
        <w:trPr>
          <w:trHeight w:val="480"/>
        </w:trPr>
        <w:tc>
          <w:tcPr>
            <w:tcW w:w="6300" w:type="dxa"/>
            <w:gridSpan w:val="3"/>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TOPLAM</w:t>
            </w:r>
          </w:p>
        </w:tc>
        <w:tc>
          <w:tcPr>
            <w:tcW w:w="2260" w:type="dxa"/>
            <w:tcBorders>
              <w:top w:val="nil"/>
              <w:left w:val="nil"/>
              <w:bottom w:val="single" w:sz="4" w:space="0" w:color="000000"/>
              <w:right w:val="single" w:sz="4" w:space="0" w:color="000000"/>
            </w:tcBorders>
            <w:shd w:val="clear" w:color="000000" w:fill="FFFF00"/>
            <w:vAlign w:val="center"/>
            <w:hideMark/>
          </w:tcPr>
          <w:p w:rsidR="00416F7A" w:rsidRPr="00416F7A" w:rsidRDefault="00416F7A" w:rsidP="00416F7A">
            <w:pPr>
              <w:spacing w:after="0" w:line="240" w:lineRule="auto"/>
              <w:rPr>
                <w:rFonts w:ascii="Calibri" w:eastAsia="Times New Roman" w:hAnsi="Calibri" w:cs="Times New Roman"/>
                <w:color w:val="000000"/>
                <w:sz w:val="24"/>
                <w:szCs w:val="24"/>
                <w:lang w:eastAsia="tr-TR"/>
              </w:rPr>
            </w:pPr>
            <w:r w:rsidRPr="00416F7A">
              <w:rPr>
                <w:rFonts w:ascii="Calibri" w:eastAsia="Times New Roman" w:hAnsi="Calibri" w:cs="Times New Roman"/>
                <w:color w:val="000000"/>
                <w:sz w:val="24"/>
                <w:szCs w:val="24"/>
                <w:lang w:eastAsia="tr-TR"/>
              </w:rPr>
              <w:t> </w:t>
            </w:r>
          </w:p>
        </w:tc>
      </w:tr>
    </w:tbl>
    <w:p w:rsidR="00C5175A" w:rsidRPr="001B2944" w:rsidRDefault="0056471B" w:rsidP="00416F7A">
      <w:pPr>
        <w:jc w:val="both"/>
        <w:rPr>
          <w:sz w:val="24"/>
          <w:szCs w:val="24"/>
        </w:rPr>
      </w:pPr>
      <w:r>
        <w:rPr>
          <w:b/>
        </w:rPr>
        <w:tab/>
      </w:r>
      <w:r w:rsidRPr="001B2944">
        <w:rPr>
          <w:sz w:val="24"/>
          <w:szCs w:val="24"/>
        </w:rPr>
        <w:t>Tablo 8 : Boyanan Yüzey Alanı Hesaplama Tablosu</w:t>
      </w:r>
    </w:p>
    <w:p w:rsidR="00231711" w:rsidRPr="001B2944" w:rsidRDefault="009F0FDA" w:rsidP="00231711">
      <w:pPr>
        <w:pStyle w:val="ListeParagraf"/>
        <w:numPr>
          <w:ilvl w:val="0"/>
          <w:numId w:val="15"/>
        </w:numPr>
        <w:jc w:val="both"/>
        <w:rPr>
          <w:b/>
          <w:sz w:val="24"/>
          <w:szCs w:val="24"/>
        </w:rPr>
      </w:pPr>
      <w:r>
        <w:rPr>
          <w:b/>
          <w:sz w:val="24"/>
          <w:szCs w:val="24"/>
        </w:rPr>
        <w:t xml:space="preserve">Kütle Bilanço Hesaplamaları </w:t>
      </w:r>
      <w:r w:rsidR="00416F7A" w:rsidRPr="001B2944">
        <w:rPr>
          <w:b/>
          <w:sz w:val="24"/>
          <w:szCs w:val="24"/>
        </w:rPr>
        <w:t>Değerlendirme</w:t>
      </w:r>
      <w:r>
        <w:rPr>
          <w:b/>
          <w:sz w:val="24"/>
          <w:szCs w:val="24"/>
        </w:rPr>
        <w:t xml:space="preserve"> Raporu</w:t>
      </w:r>
    </w:p>
    <w:p w:rsidR="00231711" w:rsidRPr="001B2944" w:rsidRDefault="00231711" w:rsidP="00416F7A">
      <w:pPr>
        <w:pStyle w:val="ListeParagraf"/>
        <w:jc w:val="both"/>
        <w:rPr>
          <w:sz w:val="24"/>
          <w:szCs w:val="24"/>
        </w:rPr>
      </w:pPr>
      <w:r w:rsidRPr="001B2944">
        <w:rPr>
          <w:sz w:val="24"/>
          <w:szCs w:val="24"/>
        </w:rPr>
        <w:t>Solvent Yönetim Planı ile aşağıdaki sektörlerde emisyon sınır değerleri belirlenebilir :</w:t>
      </w:r>
    </w:p>
    <w:p w:rsidR="00231711" w:rsidRPr="001B2944" w:rsidRDefault="00231711" w:rsidP="00231711">
      <w:pPr>
        <w:pStyle w:val="ListeParagraf"/>
        <w:numPr>
          <w:ilvl w:val="0"/>
          <w:numId w:val="20"/>
        </w:numPr>
        <w:jc w:val="both"/>
        <w:rPr>
          <w:sz w:val="24"/>
          <w:szCs w:val="24"/>
        </w:rPr>
      </w:pPr>
      <w:r w:rsidRPr="001B2944">
        <w:rPr>
          <w:sz w:val="24"/>
          <w:szCs w:val="24"/>
        </w:rPr>
        <w:t>Otomotiv Sektöründe M1, M2, M3, N1, N2, N3 sınıfı araçların üretimi</w:t>
      </w:r>
    </w:p>
    <w:p w:rsidR="00231711" w:rsidRPr="001B2944" w:rsidRDefault="00231711" w:rsidP="00231711">
      <w:pPr>
        <w:pStyle w:val="ListeParagraf"/>
        <w:numPr>
          <w:ilvl w:val="0"/>
          <w:numId w:val="20"/>
        </w:numPr>
        <w:jc w:val="both"/>
        <w:rPr>
          <w:sz w:val="24"/>
          <w:szCs w:val="24"/>
        </w:rPr>
      </w:pPr>
      <w:r w:rsidRPr="001B2944">
        <w:rPr>
          <w:sz w:val="24"/>
          <w:szCs w:val="24"/>
        </w:rPr>
        <w:t>Tarım ve İnşaat Makinalarının üretimi</w:t>
      </w:r>
    </w:p>
    <w:p w:rsidR="00231711" w:rsidRPr="001B2944" w:rsidRDefault="00231711" w:rsidP="00231711">
      <w:pPr>
        <w:pStyle w:val="ListeParagraf"/>
        <w:numPr>
          <w:ilvl w:val="0"/>
          <w:numId w:val="20"/>
        </w:numPr>
        <w:jc w:val="both"/>
        <w:rPr>
          <w:sz w:val="24"/>
          <w:szCs w:val="24"/>
        </w:rPr>
      </w:pPr>
      <w:r w:rsidRPr="001B2944">
        <w:rPr>
          <w:sz w:val="24"/>
          <w:szCs w:val="24"/>
        </w:rPr>
        <w:t>Plastik parçaların boyanması (Tampon vb.)</w:t>
      </w:r>
    </w:p>
    <w:p w:rsidR="00231711" w:rsidRPr="001B2944" w:rsidRDefault="00231711" w:rsidP="00231711">
      <w:pPr>
        <w:pStyle w:val="ListeParagraf"/>
        <w:numPr>
          <w:ilvl w:val="0"/>
          <w:numId w:val="20"/>
        </w:numPr>
        <w:jc w:val="both"/>
        <w:rPr>
          <w:sz w:val="24"/>
          <w:szCs w:val="24"/>
        </w:rPr>
      </w:pPr>
      <w:r w:rsidRPr="001B2944">
        <w:rPr>
          <w:sz w:val="24"/>
          <w:szCs w:val="24"/>
        </w:rPr>
        <w:t>Metal parçaların boyanması (Beyaz eşya gövdesi vb.)</w:t>
      </w:r>
    </w:p>
    <w:p w:rsidR="00231711" w:rsidRPr="001B2944" w:rsidRDefault="00231711" w:rsidP="00416F7A">
      <w:pPr>
        <w:pStyle w:val="ListeParagraf"/>
        <w:jc w:val="both"/>
        <w:rPr>
          <w:sz w:val="24"/>
          <w:szCs w:val="24"/>
        </w:rPr>
      </w:pPr>
    </w:p>
    <w:p w:rsidR="00231711" w:rsidRPr="001B2944" w:rsidRDefault="00231711" w:rsidP="00231711">
      <w:pPr>
        <w:pStyle w:val="ListeParagraf"/>
        <w:jc w:val="both"/>
        <w:rPr>
          <w:sz w:val="24"/>
          <w:szCs w:val="24"/>
        </w:rPr>
      </w:pPr>
      <w:r w:rsidRPr="001B2944">
        <w:rPr>
          <w:sz w:val="24"/>
          <w:szCs w:val="24"/>
        </w:rPr>
        <w:t xml:space="preserve">Solvent Yönetim Planı hesaplamaları </w:t>
      </w:r>
      <w:r w:rsidR="000D2B26" w:rsidRPr="001B2944">
        <w:rPr>
          <w:sz w:val="24"/>
          <w:szCs w:val="24"/>
        </w:rPr>
        <w:t>sonucu aşağıdaki referans belgelere</w:t>
      </w:r>
      <w:r w:rsidRPr="001B2944">
        <w:rPr>
          <w:sz w:val="24"/>
          <w:szCs w:val="24"/>
        </w:rPr>
        <w:t xml:space="preserve"> uygunluk belirlenebilir:</w:t>
      </w:r>
    </w:p>
    <w:p w:rsidR="00231711" w:rsidRPr="001B2944" w:rsidRDefault="00231711" w:rsidP="000D2B26">
      <w:pPr>
        <w:pStyle w:val="ListeParagraf"/>
        <w:numPr>
          <w:ilvl w:val="0"/>
          <w:numId w:val="22"/>
        </w:numPr>
        <w:jc w:val="both"/>
        <w:rPr>
          <w:sz w:val="24"/>
          <w:szCs w:val="24"/>
        </w:rPr>
      </w:pPr>
      <w:r w:rsidRPr="001B2944">
        <w:rPr>
          <w:sz w:val="24"/>
          <w:szCs w:val="24"/>
        </w:rPr>
        <w:t xml:space="preserve">Endüstriyel Emisyonlar direktifi (Ek-7, Kısım 7) </w:t>
      </w:r>
    </w:p>
    <w:p w:rsidR="00231711" w:rsidRPr="001B2944" w:rsidRDefault="00231711" w:rsidP="00231711">
      <w:pPr>
        <w:pStyle w:val="ListeParagraf"/>
        <w:numPr>
          <w:ilvl w:val="0"/>
          <w:numId w:val="21"/>
        </w:numPr>
        <w:jc w:val="both"/>
        <w:rPr>
          <w:sz w:val="24"/>
          <w:szCs w:val="24"/>
        </w:rPr>
      </w:pPr>
      <w:r w:rsidRPr="001B2944">
        <w:rPr>
          <w:sz w:val="24"/>
          <w:szCs w:val="24"/>
        </w:rPr>
        <w:t>Sanayi Kaynaklı Hava Kirliliği Kontrol Yönetmeliği EK-5</w:t>
      </w:r>
    </w:p>
    <w:p w:rsidR="000D2B26" w:rsidRPr="001B2944" w:rsidRDefault="000D2B26" w:rsidP="00231711">
      <w:pPr>
        <w:pStyle w:val="ListeParagraf"/>
        <w:numPr>
          <w:ilvl w:val="0"/>
          <w:numId w:val="21"/>
        </w:numPr>
        <w:jc w:val="both"/>
        <w:rPr>
          <w:sz w:val="24"/>
          <w:szCs w:val="24"/>
        </w:rPr>
      </w:pPr>
      <w:r w:rsidRPr="001B2944">
        <w:rPr>
          <w:sz w:val="24"/>
          <w:szCs w:val="24"/>
        </w:rPr>
        <w:t>Solvent BREF-MET’lere Dayalı Emisyon Sınır Değerleri</w:t>
      </w:r>
    </w:p>
    <w:p w:rsidR="00416F7A" w:rsidRPr="001B2944" w:rsidRDefault="00416F7A" w:rsidP="00416F7A">
      <w:pPr>
        <w:pStyle w:val="ListeParagraf"/>
        <w:jc w:val="both"/>
        <w:rPr>
          <w:sz w:val="24"/>
          <w:szCs w:val="24"/>
        </w:rPr>
      </w:pPr>
      <w:r w:rsidRPr="001B2944">
        <w:rPr>
          <w:sz w:val="24"/>
          <w:szCs w:val="24"/>
        </w:rPr>
        <w:t xml:space="preserve">Yukarıda verilen hesaplamalar sonucu elde edilen veriler ile </w:t>
      </w:r>
      <w:r w:rsidR="000D2B26" w:rsidRPr="001B2944">
        <w:rPr>
          <w:sz w:val="24"/>
          <w:szCs w:val="24"/>
        </w:rPr>
        <w:t xml:space="preserve">Otomotiv Sektöründen </w:t>
      </w:r>
      <w:r w:rsidRPr="001B2944">
        <w:rPr>
          <w:sz w:val="24"/>
          <w:szCs w:val="24"/>
        </w:rPr>
        <w:t>kaynaklanan VOC emsiyonu aşağıdaki formül ile hesaplanır:</w:t>
      </w:r>
    </w:p>
    <w:p w:rsidR="00416F7A" w:rsidRPr="001B2944" w:rsidRDefault="00416F7A" w:rsidP="00416F7A">
      <w:pPr>
        <w:pStyle w:val="ListeParagraf"/>
        <w:jc w:val="both"/>
        <w:rPr>
          <w:sz w:val="24"/>
          <w:szCs w:val="24"/>
        </w:rPr>
      </w:pPr>
    </w:p>
    <w:p w:rsidR="00416F7A" w:rsidRPr="001B2944" w:rsidRDefault="00416F7A" w:rsidP="00416F7A">
      <w:pPr>
        <w:pStyle w:val="ListeParagraf"/>
        <w:jc w:val="both"/>
        <w:rPr>
          <w:sz w:val="24"/>
          <w:szCs w:val="24"/>
        </w:rPr>
      </w:pPr>
      <w:r w:rsidRPr="001B2944">
        <w:rPr>
          <w:sz w:val="24"/>
          <w:szCs w:val="24"/>
        </w:rPr>
        <w:t>VOC Emisyonu, gr / m</w:t>
      </w:r>
      <w:r w:rsidRPr="00C16022">
        <w:rPr>
          <w:sz w:val="24"/>
          <w:szCs w:val="24"/>
          <w:vertAlign w:val="superscript"/>
        </w:rPr>
        <w:t>2</w:t>
      </w:r>
      <w:r w:rsidRPr="001B2944">
        <w:rPr>
          <w:sz w:val="24"/>
          <w:szCs w:val="24"/>
        </w:rPr>
        <w:t xml:space="preserve">  = ( I1 + I2 - O2 – </w:t>
      </w:r>
      <w:r w:rsidR="00E0302C" w:rsidRPr="001B2944">
        <w:rPr>
          <w:sz w:val="24"/>
          <w:szCs w:val="24"/>
        </w:rPr>
        <w:t>O</w:t>
      </w:r>
      <w:r w:rsidRPr="001B2944">
        <w:rPr>
          <w:sz w:val="24"/>
          <w:szCs w:val="24"/>
        </w:rPr>
        <w:t xml:space="preserve">5 - </w:t>
      </w:r>
      <w:r w:rsidR="00E0302C" w:rsidRPr="001B2944">
        <w:rPr>
          <w:sz w:val="24"/>
          <w:szCs w:val="24"/>
        </w:rPr>
        <w:t>O</w:t>
      </w:r>
      <w:r w:rsidRPr="001B2944">
        <w:rPr>
          <w:sz w:val="24"/>
          <w:szCs w:val="24"/>
        </w:rPr>
        <w:t>6 ) / Boyanan Yüzey Alanı</w:t>
      </w:r>
    </w:p>
    <w:p w:rsidR="00416F7A" w:rsidRPr="001B2944" w:rsidRDefault="00416F7A" w:rsidP="00416F7A">
      <w:pPr>
        <w:pStyle w:val="ListeParagraf"/>
        <w:jc w:val="both"/>
        <w:rPr>
          <w:sz w:val="24"/>
          <w:szCs w:val="24"/>
        </w:rPr>
      </w:pPr>
    </w:p>
    <w:p w:rsidR="00416F7A" w:rsidRPr="001B2944" w:rsidRDefault="00E0302C" w:rsidP="00416F7A">
      <w:pPr>
        <w:pStyle w:val="ListeParagraf"/>
        <w:jc w:val="both"/>
        <w:rPr>
          <w:sz w:val="24"/>
          <w:szCs w:val="24"/>
        </w:rPr>
      </w:pPr>
      <w:r w:rsidRPr="001B2944">
        <w:rPr>
          <w:sz w:val="24"/>
          <w:szCs w:val="24"/>
        </w:rPr>
        <w:t>Boyanan ürün ile birlikte uzaklaşan solvent, O3= 0 kabul edilmiştir.</w:t>
      </w:r>
    </w:p>
    <w:p w:rsidR="00E0302C" w:rsidRPr="001B2944" w:rsidRDefault="00E0302C" w:rsidP="00416F7A">
      <w:pPr>
        <w:pStyle w:val="ListeParagraf"/>
        <w:jc w:val="both"/>
        <w:rPr>
          <w:sz w:val="24"/>
          <w:szCs w:val="24"/>
        </w:rPr>
      </w:pPr>
      <w:r w:rsidRPr="001B2944">
        <w:rPr>
          <w:sz w:val="24"/>
          <w:szCs w:val="24"/>
        </w:rPr>
        <w:t>Iskarta edilebilen boya malzemeleri ile uzaklaşan solvent (O7) bu formülde yer almamaktadır. Zira genel olarak ıskarta edilen boya malzemeleri envantere dahil edilmemektedir.</w:t>
      </w:r>
    </w:p>
    <w:p w:rsidR="00E0302C" w:rsidRPr="001B2944" w:rsidRDefault="00E0302C" w:rsidP="00416F7A">
      <w:pPr>
        <w:pStyle w:val="ListeParagraf"/>
        <w:jc w:val="both"/>
        <w:rPr>
          <w:sz w:val="24"/>
          <w:szCs w:val="24"/>
        </w:rPr>
      </w:pPr>
    </w:p>
    <w:p w:rsidR="000D2B26" w:rsidRPr="001B2944" w:rsidRDefault="00E0302C" w:rsidP="000D2B26">
      <w:pPr>
        <w:pStyle w:val="ListeParagraf"/>
        <w:jc w:val="both"/>
        <w:rPr>
          <w:sz w:val="24"/>
          <w:szCs w:val="24"/>
        </w:rPr>
      </w:pPr>
      <w:r w:rsidRPr="001B2944">
        <w:rPr>
          <w:sz w:val="24"/>
          <w:szCs w:val="24"/>
        </w:rPr>
        <w:t xml:space="preserve"> </w:t>
      </w:r>
      <w:r w:rsidR="000D2B26" w:rsidRPr="001B2944">
        <w:rPr>
          <w:sz w:val="24"/>
          <w:szCs w:val="24"/>
        </w:rPr>
        <w:t>Tarım ve inşaat araçları, plastik parça ve diğer metal yüzeylerin boyanmasında, otomotiv sektöründe olduğu gibi birim yüzey alanı başına emisyon değer belirlenmemiştir. Bunun yerine aşağıdaki değerlendirme yapılır:</w:t>
      </w:r>
    </w:p>
    <w:p w:rsidR="000D2B26" w:rsidRPr="001B2944" w:rsidRDefault="000D2B26" w:rsidP="000D2B26">
      <w:pPr>
        <w:pStyle w:val="ListeParagraf"/>
        <w:jc w:val="both"/>
        <w:rPr>
          <w:sz w:val="24"/>
          <w:szCs w:val="24"/>
        </w:rPr>
      </w:pPr>
    </w:p>
    <w:p w:rsidR="000D2B26" w:rsidRPr="001B2944" w:rsidRDefault="000D2B26" w:rsidP="000D2B26">
      <w:pPr>
        <w:pStyle w:val="ListeParagraf"/>
        <w:jc w:val="both"/>
        <w:rPr>
          <w:sz w:val="24"/>
          <w:szCs w:val="24"/>
        </w:rPr>
      </w:pPr>
      <w:r w:rsidRPr="001B2944">
        <w:rPr>
          <w:sz w:val="24"/>
          <w:szCs w:val="24"/>
        </w:rPr>
        <w:t>Değerlendirme Kriteri = Kg VOC / kg Katı Madde Girdisi</w:t>
      </w:r>
    </w:p>
    <w:p w:rsidR="000D2B26" w:rsidRPr="001B2944" w:rsidRDefault="000D2B26" w:rsidP="000D2B26">
      <w:pPr>
        <w:pStyle w:val="ListeParagraf"/>
        <w:jc w:val="both"/>
        <w:rPr>
          <w:sz w:val="24"/>
          <w:szCs w:val="24"/>
        </w:rPr>
      </w:pPr>
    </w:p>
    <w:p w:rsidR="000D2B26" w:rsidRPr="001B2944" w:rsidRDefault="000D2B26" w:rsidP="000D2B26">
      <w:pPr>
        <w:pStyle w:val="ListeParagraf"/>
        <w:jc w:val="both"/>
        <w:rPr>
          <w:sz w:val="24"/>
          <w:szCs w:val="24"/>
        </w:rPr>
      </w:pPr>
      <w:r w:rsidRPr="001B2944">
        <w:rPr>
          <w:sz w:val="24"/>
          <w:szCs w:val="24"/>
        </w:rPr>
        <w:t>Kg VOC= ( I1 + I2 - O2 – O5 - O6</w:t>
      </w:r>
      <w:r w:rsidR="003B1A6F" w:rsidRPr="001B2944">
        <w:rPr>
          <w:sz w:val="24"/>
          <w:szCs w:val="24"/>
        </w:rPr>
        <w:t xml:space="preserve"> )</w:t>
      </w:r>
    </w:p>
    <w:p w:rsidR="000D2B26" w:rsidRDefault="000D2B26" w:rsidP="000D2B26">
      <w:pPr>
        <w:pStyle w:val="ListeParagraf"/>
        <w:jc w:val="both"/>
        <w:rPr>
          <w:sz w:val="24"/>
          <w:szCs w:val="24"/>
        </w:rPr>
      </w:pPr>
      <w:r w:rsidRPr="001B2944">
        <w:rPr>
          <w:sz w:val="24"/>
          <w:szCs w:val="24"/>
        </w:rPr>
        <w:t xml:space="preserve">Kg Katı Madde Girdisi </w:t>
      </w:r>
      <w:r w:rsidR="00F77263" w:rsidRPr="001B2944">
        <w:rPr>
          <w:sz w:val="24"/>
          <w:szCs w:val="24"/>
        </w:rPr>
        <w:t xml:space="preserve">: Boya malzemeleri içinde, </w:t>
      </w:r>
      <w:r w:rsidR="00C16022">
        <w:rPr>
          <w:sz w:val="24"/>
          <w:szCs w:val="24"/>
        </w:rPr>
        <w:t xml:space="preserve">su, </w:t>
      </w:r>
      <w:r w:rsidR="00F77263" w:rsidRPr="001B2944">
        <w:rPr>
          <w:sz w:val="24"/>
          <w:szCs w:val="24"/>
        </w:rPr>
        <w:t xml:space="preserve">solvent </w:t>
      </w:r>
      <w:r w:rsidR="00C16022">
        <w:rPr>
          <w:sz w:val="24"/>
          <w:szCs w:val="24"/>
        </w:rPr>
        <w:t xml:space="preserve">vb uçucu ve buharlaşabilen maddelerin </w:t>
      </w:r>
      <w:r w:rsidR="00F77263" w:rsidRPr="001B2944">
        <w:rPr>
          <w:sz w:val="24"/>
          <w:szCs w:val="24"/>
        </w:rPr>
        <w:t>dışında kalan kısımların toplamı</w:t>
      </w:r>
    </w:p>
    <w:p w:rsidR="00A202D0" w:rsidRDefault="00A202D0" w:rsidP="000D2B26">
      <w:pPr>
        <w:pStyle w:val="ListeParagraf"/>
        <w:jc w:val="both"/>
        <w:rPr>
          <w:sz w:val="24"/>
          <w:szCs w:val="24"/>
        </w:rPr>
      </w:pPr>
    </w:p>
    <w:p w:rsidR="00A202D0" w:rsidRDefault="00A202D0" w:rsidP="000D2B26">
      <w:pPr>
        <w:pStyle w:val="ListeParagraf"/>
        <w:jc w:val="both"/>
        <w:rPr>
          <w:sz w:val="24"/>
          <w:szCs w:val="24"/>
        </w:rPr>
      </w:pPr>
    </w:p>
    <w:p w:rsidR="00A202D0" w:rsidRDefault="00A202D0" w:rsidP="000D2B26">
      <w:pPr>
        <w:pStyle w:val="ListeParagraf"/>
        <w:jc w:val="both"/>
        <w:rPr>
          <w:sz w:val="24"/>
          <w:szCs w:val="24"/>
        </w:rPr>
      </w:pPr>
    </w:p>
    <w:p w:rsidR="00A202D0" w:rsidRDefault="00A202D0" w:rsidP="000D2B26">
      <w:pPr>
        <w:pStyle w:val="ListeParagraf"/>
        <w:jc w:val="both"/>
        <w:rPr>
          <w:sz w:val="24"/>
          <w:szCs w:val="24"/>
        </w:rPr>
      </w:pPr>
    </w:p>
    <w:p w:rsidR="00A202D0" w:rsidRPr="001B2944" w:rsidRDefault="00A202D0" w:rsidP="000D2B26">
      <w:pPr>
        <w:pStyle w:val="ListeParagraf"/>
        <w:jc w:val="both"/>
        <w:rPr>
          <w:sz w:val="24"/>
          <w:szCs w:val="24"/>
        </w:rPr>
      </w:pPr>
    </w:p>
    <w:tbl>
      <w:tblPr>
        <w:tblW w:w="8517" w:type="dxa"/>
        <w:tblInd w:w="70" w:type="dxa"/>
        <w:tblCellMar>
          <w:left w:w="70" w:type="dxa"/>
          <w:right w:w="70" w:type="dxa"/>
        </w:tblCellMar>
        <w:tblLook w:val="04A0" w:firstRow="1" w:lastRow="0" w:firstColumn="1" w:lastColumn="0" w:noHBand="0" w:noVBand="1"/>
      </w:tblPr>
      <w:tblGrid>
        <w:gridCol w:w="2431"/>
        <w:gridCol w:w="3496"/>
        <w:gridCol w:w="2590"/>
      </w:tblGrid>
      <w:tr w:rsidR="006059F3" w:rsidRPr="006059F3" w:rsidTr="00815260">
        <w:trPr>
          <w:trHeight w:val="375"/>
        </w:trPr>
        <w:tc>
          <w:tcPr>
            <w:tcW w:w="8517" w:type="dxa"/>
            <w:gridSpan w:val="3"/>
            <w:tcBorders>
              <w:top w:val="nil"/>
              <w:left w:val="nil"/>
              <w:bottom w:val="nil"/>
              <w:right w:val="nil"/>
            </w:tcBorders>
            <w:shd w:val="clear" w:color="auto" w:fill="auto"/>
            <w:noWrap/>
            <w:vAlign w:val="bottom"/>
          </w:tcPr>
          <w:p w:rsidR="006059F3" w:rsidRPr="006059F3" w:rsidRDefault="006059F3" w:rsidP="006059F3">
            <w:pPr>
              <w:spacing w:after="0" w:line="240" w:lineRule="auto"/>
              <w:rPr>
                <w:rFonts w:ascii="Calibri" w:eastAsia="Times New Roman" w:hAnsi="Calibri" w:cs="Times New Roman"/>
                <w:color w:val="000000"/>
                <w:lang w:eastAsia="tr-TR"/>
              </w:rPr>
            </w:pPr>
            <w:r w:rsidRPr="001B2944">
              <w:rPr>
                <w:sz w:val="24"/>
                <w:szCs w:val="24"/>
              </w:rPr>
              <w:lastRenderedPageBreak/>
              <w:t>Hesaplamalarda aşağıdaki form kullanılabilir:</w:t>
            </w:r>
          </w:p>
        </w:tc>
      </w:tr>
      <w:tr w:rsidR="006059F3" w:rsidRPr="006059F3" w:rsidTr="00A202D0">
        <w:trPr>
          <w:trHeight w:val="554"/>
        </w:trPr>
        <w:tc>
          <w:tcPr>
            <w:tcW w:w="2431" w:type="dxa"/>
            <w:tcBorders>
              <w:top w:val="single" w:sz="4" w:space="0" w:color="000000"/>
              <w:left w:val="single" w:sz="4" w:space="0" w:color="000000"/>
              <w:bottom w:val="single" w:sz="4" w:space="0" w:color="000000"/>
              <w:right w:val="single" w:sz="4" w:space="0" w:color="000000"/>
            </w:tcBorders>
            <w:shd w:val="clear" w:color="FFFF00" w:fill="FFFF00"/>
            <w:vAlign w:val="center"/>
          </w:tcPr>
          <w:p w:rsidR="006059F3" w:rsidRPr="006059F3" w:rsidRDefault="00815260" w:rsidP="006059F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Girdi Kodu </w:t>
            </w:r>
          </w:p>
        </w:tc>
        <w:tc>
          <w:tcPr>
            <w:tcW w:w="3496" w:type="dxa"/>
            <w:tcBorders>
              <w:top w:val="single" w:sz="4" w:space="0" w:color="000000"/>
              <w:left w:val="nil"/>
              <w:bottom w:val="single" w:sz="4" w:space="0" w:color="000000"/>
              <w:right w:val="single" w:sz="4" w:space="0" w:color="000000"/>
            </w:tcBorders>
            <w:shd w:val="clear" w:color="FFFF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Girdi Prosesi</w:t>
            </w:r>
          </w:p>
        </w:tc>
        <w:tc>
          <w:tcPr>
            <w:tcW w:w="2590" w:type="dxa"/>
            <w:tcBorders>
              <w:top w:val="single" w:sz="4" w:space="0" w:color="000000"/>
              <w:left w:val="nil"/>
              <w:bottom w:val="single" w:sz="4" w:space="0" w:color="000000"/>
              <w:right w:val="single" w:sz="4" w:space="0" w:color="000000"/>
            </w:tcBorders>
            <w:shd w:val="clear" w:color="FFFF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Yıllık Solvent Girdisi, kg/yıl</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nil"/>
              <w:right w:val="nil"/>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lang w:eastAsia="tr-TR"/>
              </w:rPr>
            </w:pPr>
            <w:r w:rsidRPr="006059F3">
              <w:rPr>
                <w:rFonts w:ascii="Calibri" w:eastAsia="Times New Roman" w:hAnsi="Calibri" w:cs="Times New Roman"/>
                <w:lang w:eastAsia="tr-TR"/>
              </w:rPr>
              <w:t>Kataforez</w:t>
            </w:r>
          </w:p>
        </w:tc>
        <w:tc>
          <w:tcPr>
            <w:tcW w:w="2590"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single" w:sz="4" w:space="0" w:color="000000"/>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xml:space="preserve">PVC -Macun </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Astar</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Son kat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Vernik</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Rötüş</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Temizlik Solventleri</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C67279" w:rsidRDefault="00C67279" w:rsidP="006059F3">
            <w:pPr>
              <w:spacing w:after="0" w:line="240" w:lineRule="auto"/>
              <w:jc w:val="center"/>
              <w:rPr>
                <w:rFonts w:ascii="Calibri" w:eastAsia="Times New Roman" w:hAnsi="Calibri" w:cs="Times New Roman"/>
                <w:b/>
                <w:color w:val="000000"/>
                <w:lang w:eastAsia="tr-TR"/>
              </w:rPr>
            </w:pPr>
            <w:r w:rsidRPr="00C67279">
              <w:rPr>
                <w:rFonts w:ascii="Calibri" w:eastAsia="Times New Roman" w:hAnsi="Calibri" w:cs="Times New Roman"/>
                <w:b/>
                <w:color w:val="FF0000"/>
                <w:lang w:eastAsia="tr-TR"/>
              </w:rPr>
              <w:t>TS</w:t>
            </w:r>
            <w:r w:rsidR="006059F3" w:rsidRPr="00C67279">
              <w:rPr>
                <w:rFonts w:ascii="Calibri" w:eastAsia="Times New Roman" w:hAnsi="Calibri" w:cs="Times New Roman"/>
                <w:b/>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I1</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Diğer</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5"/>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I2</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Geri Dönüştürülmüş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w:t>
            </w:r>
          </w:p>
        </w:tc>
        <w:tc>
          <w:tcPr>
            <w:tcW w:w="2590" w:type="dxa"/>
            <w:tcBorders>
              <w:top w:val="nil"/>
              <w:left w:val="nil"/>
              <w:bottom w:val="single" w:sz="4" w:space="0" w:color="000000"/>
              <w:right w:val="single" w:sz="4" w:space="0" w:color="000000"/>
            </w:tcBorders>
            <w:shd w:val="clear" w:color="000000" w:fill="FFFF00"/>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120"/>
        </w:trPr>
        <w:tc>
          <w:tcPr>
            <w:tcW w:w="2431" w:type="dxa"/>
            <w:tcBorders>
              <w:top w:val="nil"/>
              <w:left w:val="nil"/>
              <w:bottom w:val="nil"/>
              <w:right w:val="nil"/>
            </w:tcBorders>
            <w:shd w:val="clear" w:color="auto" w:fill="auto"/>
            <w:vAlign w:val="center"/>
            <w:hideMark/>
          </w:tcPr>
          <w:p w:rsidR="006059F3" w:rsidRPr="006059F3" w:rsidRDefault="006059F3" w:rsidP="006059F3">
            <w:pPr>
              <w:spacing w:after="0" w:line="240" w:lineRule="auto"/>
              <w:jc w:val="center"/>
              <w:rPr>
                <w:rFonts w:ascii="Calibri" w:eastAsia="Times New Roman" w:hAnsi="Calibri" w:cs="Times New Roman"/>
                <w:color w:val="000000"/>
                <w:sz w:val="24"/>
                <w:szCs w:val="24"/>
                <w:lang w:eastAsia="tr-TR"/>
              </w:rPr>
            </w:pPr>
            <w:r w:rsidRPr="006059F3">
              <w:rPr>
                <w:rFonts w:ascii="Calibri" w:eastAsia="Times New Roman" w:hAnsi="Calibri" w:cs="Times New Roman"/>
                <w:color w:val="000000"/>
                <w:sz w:val="24"/>
                <w:szCs w:val="24"/>
                <w:lang w:eastAsia="tr-TR"/>
              </w:rPr>
              <w:t> </w:t>
            </w:r>
          </w:p>
        </w:tc>
        <w:tc>
          <w:tcPr>
            <w:tcW w:w="3496" w:type="dxa"/>
            <w:tcBorders>
              <w:top w:val="nil"/>
              <w:left w:val="nil"/>
              <w:bottom w:val="nil"/>
              <w:right w:val="nil"/>
            </w:tcBorders>
            <w:shd w:val="clear" w:color="auto" w:fill="auto"/>
            <w:vAlign w:val="center"/>
            <w:hideMark/>
          </w:tcPr>
          <w:p w:rsidR="006059F3" w:rsidRPr="006059F3" w:rsidRDefault="006059F3" w:rsidP="006059F3">
            <w:pPr>
              <w:spacing w:after="0" w:line="240" w:lineRule="auto"/>
              <w:jc w:val="center"/>
              <w:rPr>
                <w:rFonts w:ascii="Calibri" w:eastAsia="Times New Roman" w:hAnsi="Calibri" w:cs="Times New Roman"/>
                <w:color w:val="000000"/>
                <w:sz w:val="24"/>
                <w:szCs w:val="24"/>
                <w:lang w:eastAsia="tr-TR"/>
              </w:rPr>
            </w:pPr>
            <w:r w:rsidRPr="006059F3">
              <w:rPr>
                <w:rFonts w:ascii="Calibri" w:eastAsia="Times New Roman" w:hAnsi="Calibri" w:cs="Times New Roman"/>
                <w:color w:val="000000"/>
                <w:sz w:val="24"/>
                <w:szCs w:val="24"/>
                <w:lang w:eastAsia="tr-TR"/>
              </w:rPr>
              <w:t> </w:t>
            </w:r>
          </w:p>
        </w:tc>
        <w:tc>
          <w:tcPr>
            <w:tcW w:w="2590" w:type="dxa"/>
            <w:tcBorders>
              <w:top w:val="nil"/>
              <w:left w:val="nil"/>
              <w:bottom w:val="nil"/>
              <w:right w:val="nil"/>
            </w:tcBorders>
            <w:shd w:val="clear" w:color="auto" w:fill="auto"/>
            <w:vAlign w:val="center"/>
            <w:hideMark/>
          </w:tcPr>
          <w:p w:rsidR="006059F3" w:rsidRPr="006059F3" w:rsidRDefault="006059F3" w:rsidP="006059F3">
            <w:pPr>
              <w:spacing w:after="0" w:line="240" w:lineRule="auto"/>
              <w:jc w:val="center"/>
              <w:rPr>
                <w:rFonts w:ascii="Calibri" w:eastAsia="Times New Roman" w:hAnsi="Calibri" w:cs="Times New Roman"/>
                <w:color w:val="000000"/>
                <w:sz w:val="24"/>
                <w:szCs w:val="24"/>
                <w:lang w:eastAsia="tr-TR"/>
              </w:rPr>
            </w:pPr>
            <w:r w:rsidRPr="006059F3">
              <w:rPr>
                <w:rFonts w:ascii="Calibri" w:eastAsia="Times New Roman" w:hAnsi="Calibri" w:cs="Times New Roman"/>
                <w:color w:val="000000"/>
                <w:sz w:val="24"/>
                <w:szCs w:val="24"/>
                <w:lang w:eastAsia="tr-TR"/>
              </w:rPr>
              <w:t> </w:t>
            </w:r>
          </w:p>
        </w:tc>
      </w:tr>
      <w:tr w:rsidR="006059F3" w:rsidRPr="006059F3" w:rsidTr="006059F3">
        <w:trPr>
          <w:trHeight w:val="630"/>
        </w:trPr>
        <w:tc>
          <w:tcPr>
            <w:tcW w:w="2431"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Çıktı Kodu - O</w:t>
            </w:r>
          </w:p>
        </w:tc>
        <w:tc>
          <w:tcPr>
            <w:tcW w:w="3496" w:type="dxa"/>
            <w:tcBorders>
              <w:top w:val="single" w:sz="4" w:space="0" w:color="000000"/>
              <w:left w:val="nil"/>
              <w:bottom w:val="single" w:sz="4" w:space="0" w:color="000000"/>
              <w:right w:val="single" w:sz="4" w:space="0" w:color="000000"/>
            </w:tcBorders>
            <w:shd w:val="clear" w:color="FFFF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Çıktı Tanımı</w:t>
            </w:r>
          </w:p>
        </w:tc>
        <w:tc>
          <w:tcPr>
            <w:tcW w:w="2590" w:type="dxa"/>
            <w:tcBorders>
              <w:top w:val="single" w:sz="4" w:space="0" w:color="000000"/>
              <w:left w:val="nil"/>
              <w:bottom w:val="single" w:sz="4" w:space="0" w:color="000000"/>
              <w:right w:val="single" w:sz="4" w:space="0" w:color="000000"/>
            </w:tcBorders>
            <w:shd w:val="clear" w:color="FFFF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Yıllık Solvent Çıktısı, kg/yıl</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O2</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Atıksu ile Arıtılan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03</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Ürünle çıkan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05</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Yakılarak Arıtılan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06</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Atık olarak Bertaraf Edilen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C67279" w:rsidRDefault="006059F3" w:rsidP="006059F3">
            <w:pPr>
              <w:spacing w:after="0" w:line="240" w:lineRule="auto"/>
              <w:jc w:val="center"/>
              <w:rPr>
                <w:rFonts w:ascii="Calibri" w:eastAsia="Times New Roman" w:hAnsi="Calibri" w:cs="Times New Roman"/>
                <w:b/>
                <w:color w:val="000000"/>
                <w:lang w:eastAsia="tr-TR"/>
              </w:rPr>
            </w:pPr>
            <w:r w:rsidRPr="00C67279">
              <w:rPr>
                <w:rFonts w:ascii="Calibri" w:eastAsia="Times New Roman" w:hAnsi="Calibri" w:cs="Times New Roman"/>
                <w:b/>
                <w:color w:val="FF0000"/>
                <w:lang w:eastAsia="tr-TR"/>
              </w:rPr>
              <w:t> </w:t>
            </w:r>
            <w:r w:rsidR="00C67279" w:rsidRPr="00C67279">
              <w:rPr>
                <w:rFonts w:ascii="Calibri" w:eastAsia="Times New Roman" w:hAnsi="Calibri" w:cs="Times New Roman"/>
                <w:b/>
                <w:color w:val="FF0000"/>
                <w:lang w:eastAsia="tr-TR"/>
              </w:rPr>
              <w:t>O6</w:t>
            </w:r>
          </w:p>
        </w:tc>
      </w:tr>
      <w:tr w:rsidR="006059F3" w:rsidRPr="006059F3" w:rsidTr="006059F3">
        <w:trPr>
          <w:trHeight w:val="402"/>
        </w:trPr>
        <w:tc>
          <w:tcPr>
            <w:tcW w:w="2431" w:type="dxa"/>
            <w:tcBorders>
              <w:top w:val="nil"/>
              <w:left w:val="single" w:sz="4" w:space="0" w:color="000000"/>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07</w:t>
            </w:r>
          </w:p>
        </w:tc>
        <w:tc>
          <w:tcPr>
            <w:tcW w:w="3496"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Iskarta Ürün ile çıkan Solvent</w:t>
            </w:r>
          </w:p>
        </w:tc>
        <w:tc>
          <w:tcPr>
            <w:tcW w:w="2590" w:type="dxa"/>
            <w:tcBorders>
              <w:top w:val="nil"/>
              <w:left w:val="nil"/>
              <w:bottom w:val="single" w:sz="4" w:space="0" w:color="000000"/>
              <w:right w:val="single" w:sz="4" w:space="0" w:color="000000"/>
            </w:tcBorders>
            <w:shd w:val="clear" w:color="000000" w:fill="DAEEF3"/>
            <w:vAlign w:val="center"/>
            <w:hideMark/>
          </w:tcPr>
          <w:p w:rsidR="006059F3" w:rsidRPr="006059F3" w:rsidRDefault="006059F3" w:rsidP="006059F3">
            <w:pPr>
              <w:spacing w:after="0" w:line="240" w:lineRule="auto"/>
              <w:jc w:val="center"/>
              <w:rPr>
                <w:rFonts w:ascii="Calibri" w:eastAsia="Times New Roman" w:hAnsi="Calibri" w:cs="Times New Roman"/>
                <w:color w:val="000000"/>
                <w:lang w:eastAsia="tr-TR"/>
              </w:rPr>
            </w:pP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nil"/>
            </w:tcBorders>
            <w:shd w:val="clear" w:color="000000" w:fill="FFFF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w:t>
            </w:r>
          </w:p>
        </w:tc>
        <w:tc>
          <w:tcPr>
            <w:tcW w:w="2590" w:type="dxa"/>
            <w:tcBorders>
              <w:top w:val="nil"/>
              <w:left w:val="single" w:sz="4" w:space="0" w:color="000000"/>
              <w:bottom w:val="single" w:sz="4" w:space="0" w:color="000000"/>
              <w:right w:val="single" w:sz="4" w:space="0" w:color="000000"/>
            </w:tcBorders>
            <w:shd w:val="clear" w:color="000000" w:fill="FFFF00"/>
            <w:vAlign w:val="center"/>
            <w:hideMark/>
          </w:tcPr>
          <w:p w:rsidR="006059F3" w:rsidRPr="006059F3" w:rsidRDefault="006059F3" w:rsidP="006059F3">
            <w:pPr>
              <w:spacing w:after="0" w:line="240" w:lineRule="auto"/>
              <w:rPr>
                <w:rFonts w:ascii="Calibri" w:eastAsia="Times New Roman" w:hAnsi="Calibri" w:cs="Times New Roman"/>
                <w:b/>
                <w:bCs/>
                <w:color w:val="000000"/>
                <w:lang w:eastAsia="tr-TR"/>
              </w:rPr>
            </w:pPr>
            <w:r w:rsidRPr="006059F3">
              <w:rPr>
                <w:rFonts w:ascii="Calibri" w:eastAsia="Times New Roman" w:hAnsi="Calibri" w:cs="Times New Roman"/>
                <w:b/>
                <w:bCs/>
                <w:color w:val="000000"/>
                <w:lang w:eastAsia="tr-TR"/>
              </w:rPr>
              <w:t> </w:t>
            </w:r>
          </w:p>
        </w:tc>
      </w:tr>
      <w:tr w:rsidR="006059F3" w:rsidRPr="006059F3" w:rsidTr="006059F3">
        <w:trPr>
          <w:trHeight w:val="105"/>
        </w:trPr>
        <w:tc>
          <w:tcPr>
            <w:tcW w:w="2431" w:type="dxa"/>
            <w:tcBorders>
              <w:top w:val="nil"/>
              <w:left w:val="nil"/>
              <w:bottom w:val="nil"/>
              <w:right w:val="nil"/>
            </w:tcBorders>
            <w:shd w:val="clear" w:color="auto" w:fill="auto"/>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p>
        </w:tc>
        <w:tc>
          <w:tcPr>
            <w:tcW w:w="3496" w:type="dxa"/>
            <w:tcBorders>
              <w:top w:val="nil"/>
              <w:left w:val="nil"/>
              <w:bottom w:val="nil"/>
              <w:right w:val="nil"/>
            </w:tcBorders>
            <w:shd w:val="clear" w:color="auto" w:fill="auto"/>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p>
        </w:tc>
        <w:tc>
          <w:tcPr>
            <w:tcW w:w="2590" w:type="dxa"/>
            <w:tcBorders>
              <w:top w:val="nil"/>
              <w:left w:val="nil"/>
              <w:bottom w:val="nil"/>
              <w:right w:val="nil"/>
            </w:tcBorders>
            <w:shd w:val="clear" w:color="auto" w:fill="auto"/>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p>
        </w:tc>
      </w:tr>
      <w:tr w:rsidR="006059F3" w:rsidRPr="006059F3" w:rsidTr="006059F3">
        <w:trPr>
          <w:trHeight w:val="402"/>
        </w:trPr>
        <w:tc>
          <w:tcPr>
            <w:tcW w:w="2431" w:type="dxa"/>
            <w:tcBorders>
              <w:top w:val="single" w:sz="4" w:space="0" w:color="000000"/>
              <w:left w:val="single" w:sz="4" w:space="0" w:color="000000"/>
              <w:bottom w:val="single" w:sz="4" w:space="0" w:color="000000"/>
              <w:right w:val="nil"/>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b/>
                <w:bCs/>
                <w:color w:val="000000"/>
                <w:lang w:eastAsia="tr-TR"/>
              </w:rPr>
            </w:pPr>
            <w:r w:rsidRPr="006059F3">
              <w:rPr>
                <w:rFonts w:ascii="Calibri" w:eastAsia="Times New Roman" w:hAnsi="Calibri" w:cs="Times New Roman"/>
                <w:b/>
                <w:bCs/>
                <w:color w:val="000000"/>
                <w:lang w:eastAsia="tr-TR"/>
              </w:rPr>
              <w:t>DEĞERLENDİRME</w:t>
            </w:r>
          </w:p>
        </w:tc>
        <w:tc>
          <w:tcPr>
            <w:tcW w:w="3496" w:type="dxa"/>
            <w:tcBorders>
              <w:top w:val="single" w:sz="4" w:space="0" w:color="000000"/>
              <w:left w:val="nil"/>
              <w:bottom w:val="single" w:sz="4" w:space="0" w:color="000000"/>
              <w:right w:val="nil"/>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b/>
                <w:bCs/>
                <w:color w:val="000000"/>
                <w:sz w:val="28"/>
                <w:szCs w:val="28"/>
                <w:lang w:eastAsia="tr-TR"/>
              </w:rPr>
            </w:pPr>
            <w:r w:rsidRPr="006059F3">
              <w:rPr>
                <w:rFonts w:ascii="Calibri" w:eastAsia="Times New Roman" w:hAnsi="Calibri" w:cs="Times New Roman"/>
                <w:b/>
                <w:bCs/>
                <w:color w:val="000000"/>
                <w:sz w:val="28"/>
                <w:szCs w:val="28"/>
                <w:lang w:eastAsia="tr-TR"/>
              </w:rPr>
              <w:t> </w:t>
            </w:r>
          </w:p>
        </w:tc>
        <w:tc>
          <w:tcPr>
            <w:tcW w:w="259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b/>
                <w:bCs/>
                <w:color w:val="000000"/>
                <w:sz w:val="28"/>
                <w:szCs w:val="28"/>
                <w:lang w:eastAsia="tr-TR"/>
              </w:rPr>
            </w:pPr>
            <w:r w:rsidRPr="006059F3">
              <w:rPr>
                <w:rFonts w:ascii="Calibri" w:eastAsia="Times New Roman" w:hAnsi="Calibri" w:cs="Times New Roman"/>
                <w:b/>
                <w:bCs/>
                <w:color w:val="000000"/>
                <w:sz w:val="28"/>
                <w:szCs w:val="28"/>
                <w:lang w:eastAsia="tr-TR"/>
              </w:rPr>
              <w:t> </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 Solvent Girdisi ( I ) , kg/yıl</w:t>
            </w:r>
          </w:p>
        </w:tc>
        <w:tc>
          <w:tcPr>
            <w:tcW w:w="2590" w:type="dxa"/>
            <w:tcBorders>
              <w:top w:val="nil"/>
              <w:left w:val="nil"/>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a</w:t>
            </w:r>
          </w:p>
        </w:tc>
      </w:tr>
      <w:tr w:rsidR="006059F3" w:rsidRPr="006059F3" w:rsidTr="00815260">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 Solvent Çıktısı ( O ) , kg/yıl</w:t>
            </w:r>
          </w:p>
        </w:tc>
        <w:tc>
          <w:tcPr>
            <w:tcW w:w="2590" w:type="dxa"/>
            <w:tcBorders>
              <w:top w:val="nil"/>
              <w:left w:val="nil"/>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b</w:t>
            </w:r>
          </w:p>
        </w:tc>
      </w:tr>
      <w:tr w:rsidR="006059F3" w:rsidRPr="006059F3" w:rsidTr="00815260">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 VOC Emisyonu, kg/yıl</w:t>
            </w:r>
          </w:p>
        </w:tc>
        <w:tc>
          <w:tcPr>
            <w:tcW w:w="2590" w:type="dxa"/>
            <w:tcBorders>
              <w:top w:val="single" w:sz="4" w:space="0" w:color="000000"/>
              <w:left w:val="nil"/>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 a-b )</w:t>
            </w:r>
          </w:p>
        </w:tc>
      </w:tr>
      <w:tr w:rsidR="00C67279"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tcPr>
          <w:p w:rsidR="00C67279" w:rsidRPr="006059F3" w:rsidRDefault="00C67279" w:rsidP="006059F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Temizlik Solventi Emisyonu, kg /yıl</w:t>
            </w:r>
          </w:p>
        </w:tc>
        <w:tc>
          <w:tcPr>
            <w:tcW w:w="2590" w:type="dxa"/>
            <w:tcBorders>
              <w:top w:val="nil"/>
              <w:left w:val="nil"/>
              <w:bottom w:val="single" w:sz="4" w:space="0" w:color="000000"/>
              <w:right w:val="single" w:sz="4" w:space="0" w:color="000000"/>
            </w:tcBorders>
            <w:shd w:val="clear" w:color="FFFF00" w:fill="FFFF00"/>
            <w:noWrap/>
            <w:vAlign w:val="bottom"/>
          </w:tcPr>
          <w:p w:rsidR="00C67279" w:rsidRPr="006059F3" w:rsidRDefault="00C67279" w:rsidP="006059F3">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TS - O6</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 Katı Madde Girdisi, Kg/yıl</w:t>
            </w:r>
          </w:p>
        </w:tc>
        <w:tc>
          <w:tcPr>
            <w:tcW w:w="2590" w:type="dxa"/>
            <w:tcBorders>
              <w:top w:val="nil"/>
              <w:left w:val="nil"/>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c</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Toplam Boyanan Yüzey Alanı, m</w:t>
            </w:r>
            <w:r w:rsidRPr="00C16022">
              <w:rPr>
                <w:rFonts w:ascii="Calibri" w:eastAsia="Times New Roman" w:hAnsi="Calibri" w:cs="Times New Roman"/>
                <w:color w:val="000000"/>
                <w:vertAlign w:val="superscript"/>
                <w:lang w:eastAsia="tr-TR"/>
              </w:rPr>
              <w:t>2</w:t>
            </w:r>
          </w:p>
        </w:tc>
        <w:tc>
          <w:tcPr>
            <w:tcW w:w="2590" w:type="dxa"/>
            <w:tcBorders>
              <w:top w:val="nil"/>
              <w:left w:val="nil"/>
              <w:bottom w:val="single" w:sz="4" w:space="0" w:color="000000"/>
              <w:right w:val="single" w:sz="4" w:space="0" w:color="000000"/>
            </w:tcBorders>
            <w:shd w:val="clear" w:color="FFFF00" w:fill="FFFF00"/>
            <w:noWrap/>
            <w:vAlign w:val="bottom"/>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d</w:t>
            </w:r>
          </w:p>
        </w:tc>
      </w:tr>
      <w:tr w:rsidR="00C67279"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C000"/>
            <w:vAlign w:val="center"/>
          </w:tcPr>
          <w:p w:rsidR="00C67279" w:rsidRPr="006059F3" w:rsidRDefault="00C67279" w:rsidP="006059F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Temizlik Solventi Emisyonu , gr /m</w:t>
            </w:r>
            <w:r w:rsidRPr="00C16022">
              <w:rPr>
                <w:rFonts w:ascii="Calibri" w:eastAsia="Times New Roman" w:hAnsi="Calibri" w:cs="Times New Roman"/>
                <w:color w:val="000000"/>
                <w:vertAlign w:val="superscript"/>
                <w:lang w:eastAsia="tr-TR"/>
              </w:rPr>
              <w:t>2</w:t>
            </w:r>
          </w:p>
        </w:tc>
        <w:tc>
          <w:tcPr>
            <w:tcW w:w="2590" w:type="dxa"/>
            <w:tcBorders>
              <w:top w:val="nil"/>
              <w:left w:val="nil"/>
              <w:bottom w:val="single" w:sz="4" w:space="0" w:color="000000"/>
              <w:right w:val="single" w:sz="4" w:space="0" w:color="000000"/>
            </w:tcBorders>
            <w:shd w:val="clear" w:color="FFFF00" w:fill="FFC000"/>
            <w:vAlign w:val="center"/>
          </w:tcPr>
          <w:p w:rsidR="00C67279" w:rsidRPr="006059F3" w:rsidRDefault="00C67279" w:rsidP="006059F3">
            <w:pPr>
              <w:spacing w:after="0" w:line="240" w:lineRule="auto"/>
              <w:jc w:val="center"/>
              <w:rPr>
                <w:rFonts w:ascii="Calibri" w:eastAsia="Times New Roman" w:hAnsi="Calibri" w:cs="Times New Roman"/>
                <w:b/>
                <w:bCs/>
                <w:color w:val="FF0000"/>
                <w:lang w:eastAsia="tr-TR"/>
              </w:rPr>
            </w:pPr>
            <w:r>
              <w:rPr>
                <w:rFonts w:ascii="Calibri" w:eastAsia="Times New Roman" w:hAnsi="Calibri" w:cs="Times New Roman"/>
                <w:b/>
                <w:bCs/>
                <w:color w:val="FF0000"/>
                <w:lang w:eastAsia="tr-TR"/>
              </w:rPr>
              <w:t>( TS- 06) / d</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C000"/>
            <w:vAlign w:val="center"/>
            <w:hideMark/>
          </w:tcPr>
          <w:p w:rsidR="006059F3" w:rsidRPr="006059F3" w:rsidRDefault="006059F3" w:rsidP="006059F3">
            <w:pPr>
              <w:spacing w:after="0" w:line="240" w:lineRule="auto"/>
              <w:rPr>
                <w:rFonts w:ascii="Calibri" w:eastAsia="Times New Roman" w:hAnsi="Calibri" w:cs="Times New Roman"/>
                <w:color w:val="000000"/>
                <w:lang w:eastAsia="tr-TR"/>
              </w:rPr>
            </w:pPr>
            <w:r w:rsidRPr="006059F3">
              <w:rPr>
                <w:rFonts w:ascii="Calibri" w:eastAsia="Times New Roman" w:hAnsi="Calibri" w:cs="Times New Roman"/>
                <w:color w:val="000000"/>
                <w:lang w:eastAsia="tr-TR"/>
              </w:rPr>
              <w:t xml:space="preserve">kg VOC / kg Katı Madde Oranı </w:t>
            </w:r>
          </w:p>
        </w:tc>
        <w:tc>
          <w:tcPr>
            <w:tcW w:w="2590" w:type="dxa"/>
            <w:tcBorders>
              <w:top w:val="nil"/>
              <w:left w:val="nil"/>
              <w:bottom w:val="single" w:sz="4" w:space="0" w:color="000000"/>
              <w:right w:val="single" w:sz="4" w:space="0" w:color="000000"/>
            </w:tcBorders>
            <w:shd w:val="clear" w:color="FFFF00" w:fill="FFC000"/>
            <w:vAlign w:val="center"/>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 a-b ) / c</w:t>
            </w:r>
          </w:p>
        </w:tc>
      </w:tr>
      <w:tr w:rsidR="006059F3" w:rsidRPr="006059F3" w:rsidTr="006059F3">
        <w:trPr>
          <w:trHeight w:val="402"/>
        </w:trPr>
        <w:tc>
          <w:tcPr>
            <w:tcW w:w="5927" w:type="dxa"/>
            <w:gridSpan w:val="2"/>
            <w:tcBorders>
              <w:top w:val="single" w:sz="4" w:space="0" w:color="000000"/>
              <w:left w:val="single" w:sz="4" w:space="0" w:color="000000"/>
              <w:bottom w:val="single" w:sz="4" w:space="0" w:color="000000"/>
              <w:right w:val="single" w:sz="4" w:space="0" w:color="000000"/>
            </w:tcBorders>
            <w:shd w:val="clear" w:color="FFFF00" w:fill="FFC000"/>
            <w:vAlign w:val="center"/>
            <w:hideMark/>
          </w:tcPr>
          <w:p w:rsidR="006059F3" w:rsidRPr="006059F3" w:rsidRDefault="005F647E" w:rsidP="006059F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Toplam </w:t>
            </w:r>
            <w:r w:rsidR="006059F3" w:rsidRPr="006059F3">
              <w:rPr>
                <w:rFonts w:ascii="Calibri" w:eastAsia="Times New Roman" w:hAnsi="Calibri" w:cs="Times New Roman"/>
                <w:color w:val="000000"/>
                <w:lang w:eastAsia="tr-TR"/>
              </w:rPr>
              <w:t>VOC Emisyonu, gr/m</w:t>
            </w:r>
            <w:r w:rsidR="006059F3" w:rsidRPr="00C16022">
              <w:rPr>
                <w:rFonts w:ascii="Calibri" w:eastAsia="Times New Roman" w:hAnsi="Calibri" w:cs="Times New Roman"/>
                <w:color w:val="000000"/>
                <w:vertAlign w:val="superscript"/>
                <w:lang w:eastAsia="tr-TR"/>
              </w:rPr>
              <w:t>2</w:t>
            </w:r>
          </w:p>
        </w:tc>
        <w:tc>
          <w:tcPr>
            <w:tcW w:w="2590" w:type="dxa"/>
            <w:tcBorders>
              <w:top w:val="nil"/>
              <w:left w:val="nil"/>
              <w:bottom w:val="single" w:sz="4" w:space="0" w:color="000000"/>
              <w:right w:val="single" w:sz="4" w:space="0" w:color="000000"/>
            </w:tcBorders>
            <w:shd w:val="clear" w:color="FFFF00" w:fill="FFC000"/>
            <w:vAlign w:val="center"/>
            <w:hideMark/>
          </w:tcPr>
          <w:p w:rsidR="006059F3" w:rsidRPr="006059F3" w:rsidRDefault="006059F3" w:rsidP="006059F3">
            <w:pPr>
              <w:spacing w:after="0" w:line="240" w:lineRule="auto"/>
              <w:jc w:val="center"/>
              <w:rPr>
                <w:rFonts w:ascii="Calibri" w:eastAsia="Times New Roman" w:hAnsi="Calibri" w:cs="Times New Roman"/>
                <w:b/>
                <w:bCs/>
                <w:color w:val="FF0000"/>
                <w:lang w:eastAsia="tr-TR"/>
              </w:rPr>
            </w:pPr>
            <w:r w:rsidRPr="006059F3">
              <w:rPr>
                <w:rFonts w:ascii="Calibri" w:eastAsia="Times New Roman" w:hAnsi="Calibri" w:cs="Times New Roman"/>
                <w:b/>
                <w:bCs/>
                <w:color w:val="FF0000"/>
                <w:lang w:eastAsia="tr-TR"/>
              </w:rPr>
              <w:t>( a-b ) / d</w:t>
            </w:r>
          </w:p>
        </w:tc>
      </w:tr>
    </w:tbl>
    <w:p w:rsidR="006059F3" w:rsidRPr="001B2944" w:rsidRDefault="00815260" w:rsidP="00815260">
      <w:pPr>
        <w:ind w:left="708"/>
        <w:jc w:val="both"/>
        <w:rPr>
          <w:sz w:val="24"/>
          <w:szCs w:val="24"/>
        </w:rPr>
      </w:pPr>
      <w:r w:rsidRPr="001B2944">
        <w:rPr>
          <w:sz w:val="24"/>
          <w:szCs w:val="24"/>
        </w:rPr>
        <w:t>Tablo 9 : Solvent Yönetim Planı (Kütle Bilanço Sistemi) Değerlendirme  Tablosu</w:t>
      </w:r>
    </w:p>
    <w:p w:rsidR="00575482" w:rsidRPr="001B2944" w:rsidRDefault="006F784F" w:rsidP="003E468A">
      <w:pPr>
        <w:ind w:left="708"/>
        <w:jc w:val="both"/>
        <w:rPr>
          <w:sz w:val="24"/>
          <w:szCs w:val="24"/>
        </w:rPr>
      </w:pPr>
      <w:r w:rsidRPr="001B2944">
        <w:rPr>
          <w:sz w:val="24"/>
          <w:szCs w:val="24"/>
        </w:rPr>
        <w:lastRenderedPageBreak/>
        <w:t>Solvent Yönetim Planı kütle denge modeli ile aynı zamanda VOC emisyonunun çeşitli boya proseslerine göre dağılım paretosu çıkarılır. Böylece emisyon azaltma hedeflerinin belirlenmesinde</w:t>
      </w:r>
      <w:r w:rsidR="003E468A">
        <w:rPr>
          <w:sz w:val="24"/>
          <w:szCs w:val="24"/>
        </w:rPr>
        <w:t xml:space="preserve"> çok önemli bir sağlanmış olur.</w:t>
      </w:r>
      <w:r w:rsidR="007D076F">
        <w:rPr>
          <w:sz w:val="24"/>
          <w:szCs w:val="24"/>
        </w:rPr>
        <w:t xml:space="preserve"> </w:t>
      </w:r>
      <w:r w:rsidR="00575482" w:rsidRPr="001B2944">
        <w:rPr>
          <w:sz w:val="24"/>
          <w:szCs w:val="24"/>
        </w:rPr>
        <w:t>Aşağıda tipik bir boya prosesinde VOC</w:t>
      </w:r>
      <w:r w:rsidR="001B2944" w:rsidRPr="001B2944">
        <w:rPr>
          <w:sz w:val="24"/>
          <w:szCs w:val="24"/>
        </w:rPr>
        <w:t xml:space="preserve"> dağılım paretosu örnek olarak verilmiştir:</w:t>
      </w:r>
    </w:p>
    <w:p w:rsidR="00575482" w:rsidRDefault="001B2944" w:rsidP="00815260">
      <w:pPr>
        <w:ind w:left="708"/>
        <w:jc w:val="both"/>
      </w:pPr>
      <w:r>
        <w:rPr>
          <w:noProof/>
          <w:lang w:eastAsia="tr-TR"/>
        </w:rPr>
        <w:drawing>
          <wp:inline distT="0" distB="0" distL="0" distR="0">
            <wp:extent cx="5224764" cy="2266790"/>
            <wp:effectExtent l="19050" t="0" r="13986" b="1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4787" w:rsidRDefault="001B2944" w:rsidP="003E468A">
      <w:pPr>
        <w:ind w:left="708"/>
        <w:jc w:val="both"/>
        <w:rPr>
          <w:sz w:val="24"/>
          <w:szCs w:val="24"/>
        </w:rPr>
      </w:pPr>
      <w:r w:rsidRPr="001B2944">
        <w:rPr>
          <w:sz w:val="24"/>
          <w:szCs w:val="24"/>
        </w:rPr>
        <w:t>Şekil 3 :  Binek otomobil ve t</w:t>
      </w:r>
      <w:r w:rsidR="00A860DC">
        <w:rPr>
          <w:sz w:val="24"/>
          <w:szCs w:val="24"/>
        </w:rPr>
        <w:t>icari araç üre</w:t>
      </w:r>
      <w:r w:rsidRPr="001B2944">
        <w:rPr>
          <w:sz w:val="24"/>
          <w:szCs w:val="24"/>
        </w:rPr>
        <w:t>tim tesisi- VOC paretosu örneği</w:t>
      </w:r>
    </w:p>
    <w:p w:rsidR="00E12432" w:rsidRDefault="009F0FDA" w:rsidP="00E12432">
      <w:pPr>
        <w:pStyle w:val="ListeParagraf"/>
        <w:numPr>
          <w:ilvl w:val="0"/>
          <w:numId w:val="15"/>
        </w:numPr>
        <w:jc w:val="both"/>
        <w:rPr>
          <w:b/>
          <w:sz w:val="24"/>
          <w:szCs w:val="24"/>
        </w:rPr>
      </w:pPr>
      <w:r w:rsidRPr="009F0FDA">
        <w:rPr>
          <w:b/>
          <w:sz w:val="24"/>
          <w:szCs w:val="24"/>
        </w:rPr>
        <w:t>Yasal Düzenlemelere Göre Değerlendirme</w:t>
      </w:r>
    </w:p>
    <w:p w:rsidR="00A743F8" w:rsidRPr="00E12432" w:rsidRDefault="009F0FDA" w:rsidP="00E12432">
      <w:pPr>
        <w:ind w:left="708"/>
        <w:jc w:val="both"/>
        <w:rPr>
          <w:b/>
          <w:sz w:val="24"/>
          <w:szCs w:val="24"/>
        </w:rPr>
      </w:pPr>
      <w:r w:rsidRPr="00E12432">
        <w:rPr>
          <w:sz w:val="24"/>
          <w:szCs w:val="24"/>
        </w:rPr>
        <w:t>Solvent Yönetim Planı hesaplamaları sonucu tespit edilen VOC emisyonu seviyeleri</w:t>
      </w:r>
      <w:r w:rsidR="00A743F8" w:rsidRPr="00E12432">
        <w:rPr>
          <w:sz w:val="24"/>
          <w:szCs w:val="24"/>
        </w:rPr>
        <w:t xml:space="preserve"> aşağıdaki yerel ve uluslararası düzenlemelere uy</w:t>
      </w:r>
      <w:r w:rsidR="00E12432">
        <w:rPr>
          <w:sz w:val="24"/>
          <w:szCs w:val="24"/>
        </w:rPr>
        <w:t xml:space="preserve">umun değerlendirilmesini </w:t>
      </w:r>
      <w:r w:rsidR="00A743F8" w:rsidRPr="00E12432">
        <w:rPr>
          <w:sz w:val="24"/>
          <w:szCs w:val="24"/>
        </w:rPr>
        <w:t>sağlar:</w:t>
      </w:r>
    </w:p>
    <w:p w:rsidR="00A743F8" w:rsidRPr="00A743F8" w:rsidRDefault="009F0FDA" w:rsidP="00A743F8">
      <w:pPr>
        <w:pStyle w:val="ListeParagraf"/>
        <w:numPr>
          <w:ilvl w:val="0"/>
          <w:numId w:val="23"/>
        </w:numPr>
        <w:jc w:val="both"/>
        <w:rPr>
          <w:sz w:val="24"/>
          <w:szCs w:val="24"/>
        </w:rPr>
      </w:pPr>
      <w:r w:rsidRPr="00A743F8">
        <w:rPr>
          <w:sz w:val="24"/>
          <w:szCs w:val="24"/>
        </w:rPr>
        <w:t>Sanayi Kaynaklı Hava Kirliliği Kontrol Yönetm</w:t>
      </w:r>
      <w:r w:rsidR="00A743F8" w:rsidRPr="00A743F8">
        <w:rPr>
          <w:sz w:val="24"/>
          <w:szCs w:val="24"/>
        </w:rPr>
        <w:t>eliği</w:t>
      </w:r>
      <w:r w:rsidRPr="00A743F8">
        <w:rPr>
          <w:sz w:val="24"/>
          <w:szCs w:val="24"/>
        </w:rPr>
        <w:t xml:space="preserve"> </w:t>
      </w:r>
    </w:p>
    <w:p w:rsidR="00A743F8" w:rsidRPr="00A743F8" w:rsidRDefault="009F0FDA" w:rsidP="00A743F8">
      <w:pPr>
        <w:pStyle w:val="ListeParagraf"/>
        <w:numPr>
          <w:ilvl w:val="0"/>
          <w:numId w:val="23"/>
        </w:numPr>
        <w:jc w:val="both"/>
        <w:rPr>
          <w:sz w:val="24"/>
          <w:szCs w:val="24"/>
        </w:rPr>
      </w:pPr>
      <w:r w:rsidRPr="00A743F8">
        <w:rPr>
          <w:sz w:val="24"/>
          <w:szCs w:val="24"/>
        </w:rPr>
        <w:t>AB Endüstriyel Emisyonlar Direk</w:t>
      </w:r>
      <w:r w:rsidR="00A743F8" w:rsidRPr="00A743F8">
        <w:rPr>
          <w:sz w:val="24"/>
          <w:szCs w:val="24"/>
        </w:rPr>
        <w:t>tifi ( 2010/ 75 /EC )</w:t>
      </w:r>
    </w:p>
    <w:p w:rsidR="009F0FDA" w:rsidRDefault="00A743F8" w:rsidP="00A743F8">
      <w:pPr>
        <w:pStyle w:val="ListeParagraf"/>
        <w:numPr>
          <w:ilvl w:val="0"/>
          <w:numId w:val="23"/>
        </w:numPr>
        <w:jc w:val="both"/>
        <w:rPr>
          <w:sz w:val="24"/>
          <w:szCs w:val="24"/>
        </w:rPr>
      </w:pPr>
      <w:r>
        <w:rPr>
          <w:sz w:val="24"/>
          <w:szCs w:val="24"/>
        </w:rPr>
        <w:t>Solvent BREF</w:t>
      </w:r>
      <w:r w:rsidRPr="00A743F8">
        <w:rPr>
          <w:sz w:val="24"/>
          <w:szCs w:val="24"/>
        </w:rPr>
        <w:t xml:space="preserve"> (STS)</w:t>
      </w:r>
      <w:r>
        <w:rPr>
          <w:sz w:val="24"/>
          <w:szCs w:val="24"/>
        </w:rPr>
        <w:t xml:space="preserve"> BAT</w:t>
      </w:r>
      <w:r w:rsidR="009F0FDA" w:rsidRPr="00A743F8">
        <w:rPr>
          <w:sz w:val="24"/>
          <w:szCs w:val="24"/>
        </w:rPr>
        <w:t>’lara Dayalı Emisyon Sınır Değerleri</w:t>
      </w:r>
      <w:r w:rsidRPr="00A743F8">
        <w:rPr>
          <w:sz w:val="24"/>
          <w:szCs w:val="24"/>
        </w:rPr>
        <w:t xml:space="preserve"> (BAT-AEL)</w:t>
      </w:r>
    </w:p>
    <w:p w:rsidR="007C7E4B" w:rsidRDefault="00A743F8" w:rsidP="007C7E4B">
      <w:pPr>
        <w:ind w:left="708"/>
        <w:jc w:val="both"/>
        <w:rPr>
          <w:sz w:val="24"/>
          <w:szCs w:val="24"/>
        </w:rPr>
      </w:pPr>
      <w:r>
        <w:rPr>
          <w:sz w:val="24"/>
          <w:szCs w:val="24"/>
        </w:rPr>
        <w:t>VOC Emisyonları sınır değerleri açısından SKHKKY ile 2010/75/EC sayılı Endüstriyel Emisyonlar Direktifi uyumlu olup aşağıdaki sınır değerler halen geçerlidir:</w:t>
      </w:r>
    </w:p>
    <w:p w:rsidR="007C7E4B" w:rsidRDefault="007C7E4B" w:rsidP="009B7CFE">
      <w:pPr>
        <w:ind w:left="708"/>
        <w:jc w:val="both"/>
        <w:rPr>
          <w:sz w:val="24"/>
          <w:szCs w:val="24"/>
        </w:rPr>
      </w:pPr>
      <w:r>
        <w:rPr>
          <w:noProof/>
          <w:sz w:val="24"/>
          <w:szCs w:val="24"/>
          <w:lang w:eastAsia="tr-TR"/>
        </w:rPr>
        <w:drawing>
          <wp:inline distT="0" distB="0" distL="0" distR="0">
            <wp:extent cx="5285141" cy="226679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5609" cy="2266991"/>
                    </a:xfrm>
                    <a:prstGeom prst="rect">
                      <a:avLst/>
                    </a:prstGeom>
                    <a:noFill/>
                    <a:ln>
                      <a:noFill/>
                    </a:ln>
                  </pic:spPr>
                </pic:pic>
              </a:graphicData>
            </a:graphic>
          </wp:inline>
        </w:drawing>
      </w:r>
    </w:p>
    <w:p w:rsidR="007C7E4B" w:rsidRDefault="007C7E4B" w:rsidP="007C7E4B">
      <w:pPr>
        <w:spacing w:after="0"/>
        <w:jc w:val="both"/>
        <w:rPr>
          <w:sz w:val="24"/>
          <w:szCs w:val="24"/>
        </w:rPr>
      </w:pPr>
      <w:r>
        <w:rPr>
          <w:sz w:val="24"/>
          <w:szCs w:val="24"/>
        </w:rPr>
        <w:t xml:space="preserve">              </w:t>
      </w:r>
      <w:r w:rsidR="00116D58">
        <w:rPr>
          <w:sz w:val="24"/>
          <w:szCs w:val="24"/>
        </w:rPr>
        <w:t xml:space="preserve">Tablo 10 : </w:t>
      </w:r>
      <w:r w:rsidR="00116D58" w:rsidRPr="00116D58">
        <w:rPr>
          <w:sz w:val="24"/>
          <w:szCs w:val="24"/>
        </w:rPr>
        <w:t>Araç Boyama Endüstrisi için uyulması gereken sınır değerler</w:t>
      </w:r>
      <w:r w:rsidR="00116D58">
        <w:rPr>
          <w:sz w:val="24"/>
          <w:szCs w:val="24"/>
        </w:rPr>
        <w:t xml:space="preserve"> (SKHKKY Tablo </w:t>
      </w:r>
      <w:r>
        <w:rPr>
          <w:sz w:val="24"/>
          <w:szCs w:val="24"/>
        </w:rPr>
        <w:t xml:space="preserve">  </w:t>
      </w:r>
    </w:p>
    <w:p w:rsidR="00116D58" w:rsidRDefault="007C7E4B" w:rsidP="007C7E4B">
      <w:pPr>
        <w:spacing w:after="0"/>
        <w:jc w:val="both"/>
        <w:rPr>
          <w:sz w:val="24"/>
          <w:szCs w:val="24"/>
        </w:rPr>
      </w:pPr>
      <w:r>
        <w:rPr>
          <w:sz w:val="24"/>
          <w:szCs w:val="24"/>
        </w:rPr>
        <w:t xml:space="preserve">                                 </w:t>
      </w:r>
      <w:r w:rsidR="00116D58">
        <w:rPr>
          <w:sz w:val="24"/>
          <w:szCs w:val="24"/>
        </w:rPr>
        <w:t>5.9  ve EED Direktifi EK VII- KISIM III )</w:t>
      </w:r>
    </w:p>
    <w:p w:rsidR="007C7E4B" w:rsidRDefault="007C7E4B" w:rsidP="00A743F8">
      <w:pPr>
        <w:ind w:left="708"/>
        <w:jc w:val="both"/>
        <w:rPr>
          <w:sz w:val="24"/>
          <w:szCs w:val="24"/>
        </w:rPr>
      </w:pPr>
    </w:p>
    <w:p w:rsidR="00663E3D" w:rsidRDefault="00663E3D" w:rsidP="00A743F8">
      <w:pPr>
        <w:ind w:left="708"/>
        <w:jc w:val="both"/>
        <w:rPr>
          <w:sz w:val="24"/>
          <w:szCs w:val="24"/>
        </w:rPr>
      </w:pPr>
      <w:r>
        <w:rPr>
          <w:sz w:val="24"/>
          <w:szCs w:val="24"/>
        </w:rPr>
        <w:t>Yukarıdaki yasal düzenlemelerin yanı sıra, henüz yasal bağlayıcılığı olmamakla</w:t>
      </w:r>
      <w:r w:rsidR="00591CE8">
        <w:rPr>
          <w:sz w:val="24"/>
          <w:szCs w:val="24"/>
        </w:rPr>
        <w:t xml:space="preserve"> beraber, Solvent BREF (STS 2007</w:t>
      </w:r>
      <w:r>
        <w:rPr>
          <w:sz w:val="24"/>
          <w:szCs w:val="24"/>
        </w:rPr>
        <w:t xml:space="preserve">) ‘de Mevcut En İyi Tekniklere Dayalı Emisyon Seviyeleri ( BAT-AEL) tanımlanmıştır.  Bu değerlerin yasal bağlayıcılığı, </w:t>
      </w:r>
      <w:r w:rsidR="00D41771">
        <w:rPr>
          <w:sz w:val="24"/>
          <w:szCs w:val="24"/>
        </w:rPr>
        <w:t xml:space="preserve">2007 tarihli </w:t>
      </w:r>
      <w:r>
        <w:rPr>
          <w:sz w:val="24"/>
          <w:szCs w:val="24"/>
        </w:rPr>
        <w:t>STS BREF dökümanını</w:t>
      </w:r>
      <w:r w:rsidR="00B562D3">
        <w:rPr>
          <w:sz w:val="24"/>
          <w:szCs w:val="24"/>
        </w:rPr>
        <w:t>n revizyonu sonrası, MET Sonuç B</w:t>
      </w:r>
      <w:r>
        <w:rPr>
          <w:sz w:val="24"/>
          <w:szCs w:val="24"/>
        </w:rPr>
        <w:t>elgesinin</w:t>
      </w:r>
      <w:r w:rsidR="00B562D3">
        <w:rPr>
          <w:sz w:val="24"/>
          <w:szCs w:val="24"/>
        </w:rPr>
        <w:t xml:space="preserve"> (BAT Conclusions) AB R</w:t>
      </w:r>
      <w:r>
        <w:rPr>
          <w:sz w:val="24"/>
          <w:szCs w:val="24"/>
        </w:rPr>
        <w:t xml:space="preserve">esmi Gazetesinde </w:t>
      </w:r>
      <w:r w:rsidR="00B562D3">
        <w:rPr>
          <w:sz w:val="24"/>
          <w:szCs w:val="24"/>
        </w:rPr>
        <w:t>yayınlanması ve bu düzenlemenin, ulusal mevzuat ile uyumlaştırılmasından sonra gerçekleşecektir.</w:t>
      </w:r>
      <w:r w:rsidR="002E0F11">
        <w:rPr>
          <w:sz w:val="24"/>
          <w:szCs w:val="24"/>
        </w:rPr>
        <w:t xml:space="preserve"> </w:t>
      </w:r>
      <w:r w:rsidR="002E0F11" w:rsidRPr="002E0F11">
        <w:rPr>
          <w:sz w:val="24"/>
          <w:szCs w:val="24"/>
        </w:rPr>
        <w:t>Ulusal mevzuatımıza uyum için otomotiv sektörüne geçiş süreleri verilecektir. Bu geçiş süreleri belirlenirken Entegre Çevre İznine Tabi Otomotiv Tesislerinin Uyum Durumlarının belirlenmesi Projesi çıktıları değerlendirilecektir.</w:t>
      </w:r>
    </w:p>
    <w:tbl>
      <w:tblPr>
        <w:tblW w:w="9220" w:type="dxa"/>
        <w:tblInd w:w="603" w:type="dxa"/>
        <w:tblCellMar>
          <w:left w:w="70" w:type="dxa"/>
          <w:right w:w="70" w:type="dxa"/>
        </w:tblCellMar>
        <w:tblLook w:val="04A0" w:firstRow="1" w:lastRow="0" w:firstColumn="1" w:lastColumn="0" w:noHBand="0" w:noVBand="1"/>
      </w:tblPr>
      <w:tblGrid>
        <w:gridCol w:w="4720"/>
        <w:gridCol w:w="2589"/>
        <w:gridCol w:w="1911"/>
      </w:tblGrid>
      <w:tr w:rsidR="00E12432" w:rsidRPr="00E12432" w:rsidTr="00E12432">
        <w:trPr>
          <w:trHeight w:val="405"/>
        </w:trPr>
        <w:tc>
          <w:tcPr>
            <w:tcW w:w="4720" w:type="dxa"/>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rsidR="00E12432" w:rsidRPr="00E12432" w:rsidRDefault="00E12432" w:rsidP="00E12432">
            <w:pPr>
              <w:spacing w:after="0" w:line="240" w:lineRule="auto"/>
              <w:jc w:val="center"/>
              <w:rPr>
                <w:rFonts w:ascii="Calibri" w:eastAsia="Times New Roman" w:hAnsi="Calibri" w:cs="Times New Roman"/>
                <w:b/>
                <w:bCs/>
                <w:color w:val="000000"/>
                <w:lang w:eastAsia="tr-TR"/>
              </w:rPr>
            </w:pPr>
            <w:r w:rsidRPr="00E12432">
              <w:rPr>
                <w:rFonts w:ascii="Calibri" w:eastAsia="Times New Roman" w:hAnsi="Calibri" w:cs="Times New Roman"/>
                <w:b/>
                <w:bCs/>
                <w:color w:val="000000"/>
                <w:lang w:eastAsia="tr-TR"/>
              </w:rPr>
              <w:t>İşlem ( Yıllık Solvent Girdisi 200 ton ve üzeri tesisler)</w:t>
            </w:r>
          </w:p>
        </w:tc>
        <w:tc>
          <w:tcPr>
            <w:tcW w:w="450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E12432" w:rsidRPr="00E12432" w:rsidRDefault="00E12432" w:rsidP="00E12432">
            <w:pPr>
              <w:spacing w:after="0" w:line="240" w:lineRule="auto"/>
              <w:jc w:val="center"/>
              <w:rPr>
                <w:rFonts w:ascii="Calibri" w:eastAsia="Times New Roman" w:hAnsi="Calibri" w:cs="Times New Roman"/>
                <w:b/>
                <w:bCs/>
                <w:color w:val="000000"/>
                <w:lang w:eastAsia="tr-TR"/>
              </w:rPr>
            </w:pPr>
            <w:r w:rsidRPr="00E12432">
              <w:rPr>
                <w:rFonts w:ascii="Calibri" w:eastAsia="Times New Roman" w:hAnsi="Calibri" w:cs="Times New Roman"/>
                <w:b/>
                <w:bCs/>
                <w:color w:val="000000"/>
                <w:lang w:eastAsia="tr-TR"/>
              </w:rPr>
              <w:t>MET'lere Dayalı Emisyon Seviyeleri ( BAT-AEL)</w:t>
            </w:r>
          </w:p>
        </w:tc>
      </w:tr>
      <w:tr w:rsidR="00E12432" w:rsidRPr="00E12432" w:rsidTr="00E12432">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2432" w:rsidRPr="00E12432" w:rsidRDefault="00E12432" w:rsidP="00E12432">
            <w:pPr>
              <w:spacing w:after="0" w:line="240" w:lineRule="auto"/>
              <w:rPr>
                <w:rFonts w:ascii="Calibri" w:eastAsia="Times New Roman" w:hAnsi="Calibri" w:cs="Times New Roman"/>
                <w:b/>
                <w:bCs/>
                <w:color w:val="000000"/>
                <w:lang w:eastAsia="tr-TR"/>
              </w:rPr>
            </w:pPr>
          </w:p>
        </w:tc>
        <w:tc>
          <w:tcPr>
            <w:tcW w:w="2589" w:type="dxa"/>
            <w:tcBorders>
              <w:top w:val="nil"/>
              <w:left w:val="nil"/>
              <w:bottom w:val="single" w:sz="4" w:space="0" w:color="auto"/>
              <w:right w:val="single" w:sz="4" w:space="0" w:color="auto"/>
            </w:tcBorders>
            <w:shd w:val="clear" w:color="000000" w:fill="FFFF00"/>
            <w:noWrap/>
            <w:vAlign w:val="bottom"/>
            <w:hideMark/>
          </w:tcPr>
          <w:p w:rsidR="00E12432" w:rsidRPr="00E12432" w:rsidRDefault="00E12432" w:rsidP="00E12432">
            <w:pPr>
              <w:spacing w:after="0" w:line="240" w:lineRule="auto"/>
              <w:jc w:val="center"/>
              <w:rPr>
                <w:rFonts w:ascii="Calibri" w:eastAsia="Times New Roman" w:hAnsi="Calibri" w:cs="Times New Roman"/>
                <w:b/>
                <w:bCs/>
                <w:color w:val="000000"/>
                <w:lang w:eastAsia="tr-TR"/>
              </w:rPr>
            </w:pPr>
            <w:r w:rsidRPr="00E12432">
              <w:rPr>
                <w:rFonts w:ascii="Calibri" w:eastAsia="Times New Roman" w:hAnsi="Calibri" w:cs="Times New Roman"/>
                <w:b/>
                <w:bCs/>
                <w:color w:val="000000"/>
                <w:lang w:eastAsia="tr-TR"/>
              </w:rPr>
              <w:t>Birim</w:t>
            </w:r>
          </w:p>
        </w:tc>
        <w:tc>
          <w:tcPr>
            <w:tcW w:w="1911" w:type="dxa"/>
            <w:tcBorders>
              <w:top w:val="nil"/>
              <w:left w:val="nil"/>
              <w:bottom w:val="single" w:sz="4" w:space="0" w:color="auto"/>
              <w:right w:val="single" w:sz="4" w:space="0" w:color="auto"/>
            </w:tcBorders>
            <w:shd w:val="clear" w:color="000000" w:fill="FFFF00"/>
            <w:noWrap/>
            <w:vAlign w:val="bottom"/>
            <w:hideMark/>
          </w:tcPr>
          <w:p w:rsidR="00E12432" w:rsidRPr="00E12432" w:rsidRDefault="00E12432" w:rsidP="00E12432">
            <w:pPr>
              <w:spacing w:after="0" w:line="240" w:lineRule="auto"/>
              <w:jc w:val="center"/>
              <w:rPr>
                <w:rFonts w:ascii="Calibri" w:eastAsia="Times New Roman" w:hAnsi="Calibri" w:cs="Times New Roman"/>
                <w:b/>
                <w:bCs/>
                <w:color w:val="000000"/>
                <w:lang w:eastAsia="tr-TR"/>
              </w:rPr>
            </w:pPr>
            <w:r w:rsidRPr="00E12432">
              <w:rPr>
                <w:rFonts w:ascii="Calibri" w:eastAsia="Times New Roman" w:hAnsi="Calibri" w:cs="Times New Roman"/>
                <w:b/>
                <w:bCs/>
                <w:color w:val="000000"/>
                <w:lang w:eastAsia="tr-TR"/>
              </w:rPr>
              <w:t>Emisyon Seviyesi</w:t>
            </w:r>
          </w:p>
        </w:tc>
      </w:tr>
      <w:tr w:rsidR="00E12432"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E12432" w:rsidRPr="00E12432" w:rsidRDefault="00D33DB6" w:rsidP="00E1243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M1 Sınıfı Binek Araç Boyama</w:t>
            </w:r>
          </w:p>
        </w:tc>
        <w:tc>
          <w:tcPr>
            <w:tcW w:w="2589" w:type="dxa"/>
            <w:tcBorders>
              <w:top w:val="nil"/>
              <w:left w:val="nil"/>
              <w:bottom w:val="single" w:sz="4" w:space="0" w:color="auto"/>
              <w:right w:val="single" w:sz="4" w:space="0" w:color="auto"/>
            </w:tcBorders>
            <w:shd w:val="clear" w:color="auto" w:fill="auto"/>
            <w:noWrap/>
            <w:vAlign w:val="bottom"/>
            <w:hideMark/>
          </w:tcPr>
          <w:p w:rsidR="00E12432" w:rsidRPr="00E12432" w:rsidRDefault="00E12432"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 /m2 Toplam VOC</w:t>
            </w:r>
          </w:p>
        </w:tc>
        <w:tc>
          <w:tcPr>
            <w:tcW w:w="1911" w:type="dxa"/>
            <w:tcBorders>
              <w:top w:val="nil"/>
              <w:left w:val="nil"/>
              <w:bottom w:val="single" w:sz="4" w:space="0" w:color="auto"/>
              <w:right w:val="single" w:sz="4" w:space="0" w:color="auto"/>
            </w:tcBorders>
            <w:shd w:val="clear" w:color="auto" w:fill="auto"/>
            <w:noWrap/>
            <w:vAlign w:val="bottom"/>
            <w:hideMark/>
          </w:tcPr>
          <w:p w:rsidR="00E12432" w:rsidRPr="00E12432" w:rsidRDefault="00E12432"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10 - 35</w:t>
            </w:r>
          </w:p>
        </w:tc>
      </w:tr>
      <w:tr w:rsidR="00E12432"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E12432" w:rsidRPr="00E12432" w:rsidRDefault="00E12432"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N1/N2/N3 Sın</w:t>
            </w:r>
            <w:r w:rsidR="00D33DB6">
              <w:rPr>
                <w:rFonts w:ascii="Calibri" w:eastAsia="Times New Roman" w:hAnsi="Calibri" w:cs="Times New Roman"/>
                <w:color w:val="000000"/>
                <w:lang w:eastAsia="tr-TR"/>
              </w:rPr>
              <w:t>ıfı Van, Kamyonet Kamyon Boyama</w:t>
            </w:r>
          </w:p>
        </w:tc>
        <w:tc>
          <w:tcPr>
            <w:tcW w:w="2589" w:type="dxa"/>
            <w:tcBorders>
              <w:top w:val="nil"/>
              <w:left w:val="nil"/>
              <w:bottom w:val="single" w:sz="4" w:space="0" w:color="auto"/>
              <w:right w:val="single" w:sz="4" w:space="0" w:color="auto"/>
            </w:tcBorders>
            <w:shd w:val="clear" w:color="auto" w:fill="auto"/>
            <w:noWrap/>
            <w:vAlign w:val="bottom"/>
            <w:hideMark/>
          </w:tcPr>
          <w:p w:rsidR="00E12432" w:rsidRPr="00E12432" w:rsidRDefault="00E12432"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gr/m2 Toplam VOC</w:t>
            </w:r>
          </w:p>
        </w:tc>
        <w:tc>
          <w:tcPr>
            <w:tcW w:w="1911" w:type="dxa"/>
            <w:tcBorders>
              <w:top w:val="nil"/>
              <w:left w:val="nil"/>
              <w:bottom w:val="single" w:sz="4" w:space="0" w:color="auto"/>
              <w:right w:val="single" w:sz="4" w:space="0" w:color="auto"/>
            </w:tcBorders>
            <w:shd w:val="clear" w:color="auto" w:fill="auto"/>
            <w:noWrap/>
            <w:vAlign w:val="bottom"/>
            <w:hideMark/>
          </w:tcPr>
          <w:p w:rsidR="00E12432" w:rsidRPr="00E12432" w:rsidRDefault="00E12432"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10 - 50</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tcPr>
          <w:p w:rsidR="00D33DB6" w:rsidRPr="00E12432" w:rsidRDefault="00D33DB6" w:rsidP="00D33DB6">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 xml:space="preserve">N3 Sınıfı Kamyon </w:t>
            </w:r>
            <w:r>
              <w:rPr>
                <w:rFonts w:ascii="Calibri" w:eastAsia="Times New Roman" w:hAnsi="Calibri" w:cs="Times New Roman"/>
                <w:color w:val="000000"/>
                <w:lang w:eastAsia="tr-TR"/>
              </w:rPr>
              <w:t>Kabini Boyama</w:t>
            </w:r>
          </w:p>
        </w:tc>
        <w:tc>
          <w:tcPr>
            <w:tcW w:w="2589" w:type="dxa"/>
            <w:tcBorders>
              <w:top w:val="nil"/>
              <w:left w:val="nil"/>
              <w:bottom w:val="single" w:sz="4" w:space="0" w:color="auto"/>
              <w:right w:val="single" w:sz="4" w:space="0" w:color="auto"/>
            </w:tcBorders>
            <w:shd w:val="clear" w:color="auto" w:fill="auto"/>
            <w:noWrap/>
            <w:vAlign w:val="bottom"/>
          </w:tcPr>
          <w:p w:rsidR="00D33DB6" w:rsidRPr="00E12432" w:rsidRDefault="00D33DB6" w:rsidP="00862FCE">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gr/m2 Toplam VOC</w:t>
            </w:r>
          </w:p>
        </w:tc>
        <w:tc>
          <w:tcPr>
            <w:tcW w:w="1911" w:type="dxa"/>
            <w:tcBorders>
              <w:top w:val="nil"/>
              <w:left w:val="nil"/>
              <w:bottom w:val="single" w:sz="4" w:space="0" w:color="auto"/>
              <w:right w:val="single" w:sz="4" w:space="0" w:color="auto"/>
            </w:tcBorders>
            <w:shd w:val="clear" w:color="auto" w:fill="auto"/>
            <w:noWrap/>
            <w:vAlign w:val="bottom"/>
          </w:tcPr>
          <w:p w:rsidR="00D33DB6" w:rsidRPr="00E12432" w:rsidRDefault="00D33DB6" w:rsidP="00862FC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15 - 55</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N1/N2/N3 Sın</w:t>
            </w:r>
            <w:r>
              <w:rPr>
                <w:rFonts w:ascii="Calibri" w:eastAsia="Times New Roman" w:hAnsi="Calibri" w:cs="Times New Roman"/>
                <w:color w:val="000000"/>
                <w:lang w:eastAsia="tr-TR"/>
              </w:rPr>
              <w:t>ıfı Van, Kamyonet Kamyon Boyama</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gr/m2 Temizlik Solventi</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&lt; </w:t>
            </w:r>
            <w:r w:rsidRPr="00E12432">
              <w:rPr>
                <w:rFonts w:ascii="Calibri" w:eastAsia="Times New Roman" w:hAnsi="Calibri" w:cs="Times New Roman"/>
                <w:color w:val="000000"/>
                <w:lang w:eastAsia="tr-TR"/>
              </w:rPr>
              <w:t>20</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M2/M</w:t>
            </w:r>
            <w:r>
              <w:rPr>
                <w:rFonts w:ascii="Calibri" w:eastAsia="Times New Roman" w:hAnsi="Calibri" w:cs="Times New Roman"/>
                <w:color w:val="000000"/>
                <w:lang w:eastAsia="tr-TR"/>
              </w:rPr>
              <w:t>3 Sınıfı Minibüs, Otobüs Boyama</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gr/m2 Toplam VOC</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92 - 150</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M2/M</w:t>
            </w:r>
            <w:r>
              <w:rPr>
                <w:rFonts w:ascii="Calibri" w:eastAsia="Times New Roman" w:hAnsi="Calibri" w:cs="Times New Roman"/>
                <w:color w:val="000000"/>
                <w:lang w:eastAsia="tr-TR"/>
              </w:rPr>
              <w:t>3 Sınıfı Minibüs, Otobüs Boyama</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gr/m2 Temizlik Solventi</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&lt; </w:t>
            </w:r>
            <w:r w:rsidRPr="00E12432">
              <w:rPr>
                <w:rFonts w:ascii="Calibri" w:eastAsia="Times New Roman" w:hAnsi="Calibri" w:cs="Times New Roman"/>
                <w:color w:val="000000"/>
                <w:lang w:eastAsia="tr-TR"/>
              </w:rPr>
              <w:t>20</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Tarım ve I</w:t>
            </w:r>
            <w:r>
              <w:rPr>
                <w:rFonts w:ascii="Calibri" w:eastAsia="Times New Roman" w:hAnsi="Calibri" w:cs="Times New Roman"/>
                <w:color w:val="000000"/>
                <w:lang w:eastAsia="tr-TR"/>
              </w:rPr>
              <w:t>nşaat Araç ve Makinaları Boyama</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kg VOC / kg Katı Madde</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 xml:space="preserve"> 0,2</w:t>
            </w:r>
            <w:r>
              <w:rPr>
                <w:rFonts w:ascii="Calibri" w:eastAsia="Times New Roman" w:hAnsi="Calibri" w:cs="Times New Roman"/>
                <w:color w:val="000000"/>
                <w:lang w:eastAsia="tr-TR"/>
              </w:rPr>
              <w:t>0</w:t>
            </w:r>
            <w:r w:rsidRPr="00E12432">
              <w:rPr>
                <w:rFonts w:ascii="Calibri" w:eastAsia="Times New Roman" w:hAnsi="Calibri" w:cs="Times New Roman"/>
                <w:color w:val="000000"/>
                <w:lang w:eastAsia="tr-TR"/>
              </w:rPr>
              <w:t xml:space="preserve"> - 0,33</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Plastik Barçaların Boyanması (Tampon vb.)</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kg VOC / kg Katı Madde</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0,25 - 0,35</w:t>
            </w:r>
          </w:p>
        </w:tc>
      </w:tr>
      <w:tr w:rsidR="00D33DB6" w:rsidRPr="00E12432" w:rsidTr="00E1243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 xml:space="preserve">Diğer Metal Yüzeylerin Boyanması (Beyaz eşya vb) </w:t>
            </w:r>
          </w:p>
        </w:tc>
        <w:tc>
          <w:tcPr>
            <w:tcW w:w="2589"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kg VOC / kg Katı Madde</w:t>
            </w:r>
          </w:p>
        </w:tc>
        <w:tc>
          <w:tcPr>
            <w:tcW w:w="1911" w:type="dxa"/>
            <w:tcBorders>
              <w:top w:val="nil"/>
              <w:left w:val="nil"/>
              <w:bottom w:val="single" w:sz="4" w:space="0" w:color="auto"/>
              <w:right w:val="single" w:sz="4" w:space="0" w:color="auto"/>
            </w:tcBorders>
            <w:shd w:val="clear" w:color="auto" w:fill="auto"/>
            <w:noWrap/>
            <w:vAlign w:val="bottom"/>
            <w:hideMark/>
          </w:tcPr>
          <w:p w:rsidR="00D33DB6" w:rsidRPr="00E12432" w:rsidRDefault="00D33DB6" w:rsidP="00E12432">
            <w:pPr>
              <w:spacing w:after="0" w:line="240" w:lineRule="auto"/>
              <w:jc w:val="center"/>
              <w:rPr>
                <w:rFonts w:ascii="Calibri" w:eastAsia="Times New Roman" w:hAnsi="Calibri" w:cs="Times New Roman"/>
                <w:color w:val="000000"/>
                <w:lang w:eastAsia="tr-TR"/>
              </w:rPr>
            </w:pPr>
            <w:r w:rsidRPr="00E12432">
              <w:rPr>
                <w:rFonts w:ascii="Calibri" w:eastAsia="Times New Roman" w:hAnsi="Calibri" w:cs="Times New Roman"/>
                <w:color w:val="000000"/>
                <w:lang w:eastAsia="tr-TR"/>
              </w:rPr>
              <w:t>0,1</w:t>
            </w:r>
            <w:r>
              <w:rPr>
                <w:rFonts w:ascii="Calibri" w:eastAsia="Times New Roman" w:hAnsi="Calibri" w:cs="Times New Roman"/>
                <w:color w:val="000000"/>
                <w:lang w:eastAsia="tr-TR"/>
              </w:rPr>
              <w:t>0</w:t>
            </w:r>
            <w:r w:rsidRPr="00E12432">
              <w:rPr>
                <w:rFonts w:ascii="Calibri" w:eastAsia="Times New Roman" w:hAnsi="Calibri" w:cs="Times New Roman"/>
                <w:color w:val="000000"/>
                <w:lang w:eastAsia="tr-TR"/>
              </w:rPr>
              <w:t xml:space="preserve"> - 0,33</w:t>
            </w:r>
          </w:p>
        </w:tc>
      </w:tr>
    </w:tbl>
    <w:p w:rsidR="00E12432" w:rsidRDefault="00E12432" w:rsidP="00A743F8">
      <w:pPr>
        <w:ind w:left="708"/>
        <w:jc w:val="both"/>
        <w:rPr>
          <w:sz w:val="24"/>
          <w:szCs w:val="24"/>
        </w:rPr>
      </w:pPr>
      <w:r>
        <w:rPr>
          <w:sz w:val="24"/>
          <w:szCs w:val="24"/>
        </w:rPr>
        <w:t>Tablo 10: STS Solvent BREF- MET’lere Dayalı Emisyon Seviyeleri</w:t>
      </w:r>
    </w:p>
    <w:p w:rsidR="009B7CFE" w:rsidRDefault="009B7CFE" w:rsidP="00A743F8">
      <w:pPr>
        <w:ind w:left="708"/>
        <w:jc w:val="both"/>
        <w:rPr>
          <w:sz w:val="24"/>
          <w:szCs w:val="24"/>
        </w:rPr>
      </w:pPr>
    </w:p>
    <w:p w:rsidR="00403124" w:rsidRDefault="00403124" w:rsidP="00A743F8">
      <w:pPr>
        <w:ind w:left="708"/>
        <w:jc w:val="both"/>
        <w:rPr>
          <w:sz w:val="24"/>
          <w:szCs w:val="24"/>
        </w:rPr>
      </w:pPr>
    </w:p>
    <w:p w:rsidR="00403124" w:rsidRDefault="00403124" w:rsidP="00A743F8">
      <w:pPr>
        <w:ind w:left="708"/>
        <w:jc w:val="both"/>
        <w:rPr>
          <w:sz w:val="24"/>
          <w:szCs w:val="24"/>
        </w:rPr>
      </w:pPr>
    </w:p>
    <w:p w:rsidR="00403124" w:rsidRDefault="00403124"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7C7E4B" w:rsidRDefault="007C7E4B" w:rsidP="00A743F8">
      <w:pPr>
        <w:ind w:left="708"/>
        <w:jc w:val="both"/>
        <w:rPr>
          <w:sz w:val="24"/>
          <w:szCs w:val="24"/>
        </w:rPr>
      </w:pPr>
    </w:p>
    <w:p w:rsidR="00403124" w:rsidRDefault="00403124" w:rsidP="00A202D0">
      <w:pPr>
        <w:jc w:val="both"/>
        <w:rPr>
          <w:sz w:val="24"/>
          <w:szCs w:val="24"/>
        </w:rPr>
      </w:pPr>
    </w:p>
    <w:p w:rsidR="009B7CFE" w:rsidRDefault="00A202D0" w:rsidP="009B7CFE">
      <w:pPr>
        <w:pStyle w:val="ListeParagraf"/>
        <w:numPr>
          <w:ilvl w:val="0"/>
          <w:numId w:val="15"/>
        </w:numPr>
        <w:jc w:val="both"/>
        <w:rPr>
          <w:b/>
          <w:sz w:val="24"/>
          <w:szCs w:val="24"/>
        </w:rPr>
      </w:pPr>
      <w:r>
        <w:rPr>
          <w:b/>
          <w:sz w:val="24"/>
          <w:szCs w:val="24"/>
        </w:rPr>
        <w:t>Ka</w:t>
      </w:r>
      <w:r w:rsidR="009B7CFE" w:rsidRPr="009B7CFE">
        <w:rPr>
          <w:b/>
          <w:sz w:val="24"/>
          <w:szCs w:val="24"/>
        </w:rPr>
        <w:t xml:space="preserve">ynaklar </w:t>
      </w:r>
    </w:p>
    <w:p w:rsidR="009B7CFE" w:rsidRPr="009B7CFE" w:rsidRDefault="009B7CFE" w:rsidP="009B7CFE">
      <w:pPr>
        <w:pStyle w:val="ListeParagraf"/>
        <w:jc w:val="both"/>
        <w:rPr>
          <w:b/>
          <w:sz w:val="24"/>
          <w:szCs w:val="24"/>
        </w:rPr>
      </w:pPr>
    </w:p>
    <w:p w:rsidR="009B7CFE" w:rsidRDefault="009B7CFE" w:rsidP="009B7CFE">
      <w:pPr>
        <w:pStyle w:val="ListeParagraf"/>
        <w:numPr>
          <w:ilvl w:val="0"/>
          <w:numId w:val="24"/>
        </w:numPr>
        <w:jc w:val="both"/>
        <w:rPr>
          <w:sz w:val="24"/>
          <w:szCs w:val="24"/>
        </w:rPr>
      </w:pPr>
      <w:r>
        <w:rPr>
          <w:sz w:val="24"/>
          <w:szCs w:val="24"/>
        </w:rPr>
        <w:t>STS BREF -2007- “</w:t>
      </w:r>
      <w:r w:rsidRPr="009B7CFE">
        <w:rPr>
          <w:sz w:val="24"/>
          <w:szCs w:val="24"/>
        </w:rPr>
        <w:t>Reference Document on Best Available Techniques on  Surface Treatment using Organic Solvents</w:t>
      </w:r>
      <w:r>
        <w:rPr>
          <w:sz w:val="24"/>
          <w:szCs w:val="24"/>
        </w:rPr>
        <w:t>”,</w:t>
      </w:r>
      <w:r w:rsidRPr="009B7CFE">
        <w:rPr>
          <w:sz w:val="24"/>
          <w:szCs w:val="24"/>
        </w:rPr>
        <w:t xml:space="preserve">  August 200</w:t>
      </w:r>
      <w:r>
        <w:rPr>
          <w:sz w:val="24"/>
          <w:szCs w:val="24"/>
        </w:rPr>
        <w:t>7</w:t>
      </w:r>
    </w:p>
    <w:p w:rsidR="009B7CFE" w:rsidRDefault="009B7CFE" w:rsidP="009B7CFE">
      <w:pPr>
        <w:pStyle w:val="ListeParagraf"/>
        <w:numPr>
          <w:ilvl w:val="0"/>
          <w:numId w:val="24"/>
        </w:numPr>
        <w:jc w:val="both"/>
        <w:rPr>
          <w:sz w:val="24"/>
          <w:szCs w:val="24"/>
        </w:rPr>
      </w:pPr>
      <w:r>
        <w:rPr>
          <w:sz w:val="24"/>
          <w:szCs w:val="24"/>
        </w:rPr>
        <w:t>VDI 3455 “ Emission Reduction Volume-Production Car Body Painting Plants”, April 1996</w:t>
      </w:r>
    </w:p>
    <w:p w:rsidR="009B7CFE" w:rsidRDefault="009B7CFE" w:rsidP="005E706B">
      <w:pPr>
        <w:pStyle w:val="ListeParagraf"/>
        <w:numPr>
          <w:ilvl w:val="0"/>
          <w:numId w:val="24"/>
        </w:numPr>
        <w:jc w:val="both"/>
        <w:rPr>
          <w:sz w:val="24"/>
          <w:szCs w:val="24"/>
        </w:rPr>
      </w:pPr>
      <w:r w:rsidRPr="009B7CFE">
        <w:rPr>
          <w:sz w:val="24"/>
          <w:szCs w:val="24"/>
        </w:rPr>
        <w:t>A.C.E.A.(Association des Constructeurs Europeens d'Automobiles)</w:t>
      </w:r>
      <w:r>
        <w:rPr>
          <w:sz w:val="24"/>
          <w:szCs w:val="24"/>
        </w:rPr>
        <w:t xml:space="preserve">, </w:t>
      </w:r>
      <w:r w:rsidRPr="009B7CFE">
        <w:rPr>
          <w:sz w:val="24"/>
          <w:szCs w:val="24"/>
        </w:rPr>
        <w:t>Sub-Working Group</w:t>
      </w:r>
      <w:r>
        <w:rPr>
          <w:sz w:val="24"/>
          <w:szCs w:val="24"/>
        </w:rPr>
        <w:t xml:space="preserve"> </w:t>
      </w:r>
      <w:r w:rsidRPr="009B7CFE">
        <w:rPr>
          <w:sz w:val="24"/>
          <w:szCs w:val="24"/>
        </w:rPr>
        <w:t>EU Solvent Directive</w:t>
      </w:r>
      <w:r>
        <w:rPr>
          <w:sz w:val="24"/>
          <w:szCs w:val="24"/>
        </w:rPr>
        <w:t>, “</w:t>
      </w:r>
      <w:r w:rsidRPr="009B7CFE">
        <w:rPr>
          <w:sz w:val="24"/>
          <w:szCs w:val="24"/>
        </w:rPr>
        <w:t>Solvent Management Plan</w:t>
      </w:r>
      <w:r>
        <w:rPr>
          <w:sz w:val="24"/>
          <w:szCs w:val="24"/>
        </w:rPr>
        <w:t xml:space="preserve"> </w:t>
      </w:r>
      <w:r w:rsidRPr="009B7CFE">
        <w:rPr>
          <w:sz w:val="24"/>
          <w:szCs w:val="24"/>
        </w:rPr>
        <w:t>'Mass Balance'</w:t>
      </w:r>
      <w:r>
        <w:rPr>
          <w:sz w:val="24"/>
          <w:szCs w:val="24"/>
        </w:rPr>
        <w:t xml:space="preserve"> </w:t>
      </w:r>
      <w:r w:rsidRPr="009B7CFE">
        <w:rPr>
          <w:sz w:val="24"/>
          <w:szCs w:val="24"/>
        </w:rPr>
        <w:t>Calculation</w:t>
      </w:r>
      <w:r>
        <w:rPr>
          <w:sz w:val="24"/>
          <w:szCs w:val="24"/>
        </w:rPr>
        <w:t xml:space="preserve">”, </w:t>
      </w:r>
      <w:r w:rsidR="005E706B" w:rsidRPr="005E706B">
        <w:rPr>
          <w:sz w:val="24"/>
          <w:szCs w:val="24"/>
        </w:rPr>
        <w:t>R.M.Bray.</w:t>
      </w:r>
      <w:r w:rsidR="005E706B">
        <w:rPr>
          <w:sz w:val="24"/>
          <w:szCs w:val="24"/>
        </w:rPr>
        <w:t xml:space="preserve">, </w:t>
      </w:r>
      <w:r w:rsidR="005E706B" w:rsidRPr="005E706B">
        <w:rPr>
          <w:sz w:val="24"/>
          <w:szCs w:val="24"/>
        </w:rPr>
        <w:t>Ford Motor Co. Ltd.</w:t>
      </w:r>
    </w:p>
    <w:p w:rsidR="005E706B" w:rsidRPr="005E706B" w:rsidRDefault="005E706B" w:rsidP="005E706B">
      <w:pPr>
        <w:pStyle w:val="ListeParagraf"/>
        <w:numPr>
          <w:ilvl w:val="0"/>
          <w:numId w:val="24"/>
        </w:numPr>
        <w:jc w:val="both"/>
        <w:rPr>
          <w:sz w:val="24"/>
          <w:szCs w:val="24"/>
        </w:rPr>
      </w:pPr>
      <w:r>
        <w:rPr>
          <w:sz w:val="24"/>
          <w:szCs w:val="24"/>
        </w:rPr>
        <w:t xml:space="preserve">Endüstriyel Emisyonlara ilişkin </w:t>
      </w:r>
      <w:r w:rsidRPr="005E706B">
        <w:rPr>
          <w:sz w:val="24"/>
          <w:szCs w:val="24"/>
        </w:rPr>
        <w:t xml:space="preserve">2010/75/EU Sayılı </w:t>
      </w:r>
      <w:r>
        <w:rPr>
          <w:sz w:val="24"/>
          <w:szCs w:val="24"/>
        </w:rPr>
        <w:t>Avrupa Parlamentosu ve Konseyi Yönergesi</w:t>
      </w:r>
    </w:p>
    <w:sectPr w:rsidR="005E706B" w:rsidRPr="005E706B" w:rsidSect="00525BC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B2" w:rsidRDefault="000F50B2" w:rsidP="003B1A6F">
      <w:pPr>
        <w:spacing w:after="0" w:line="240" w:lineRule="auto"/>
      </w:pPr>
      <w:r>
        <w:separator/>
      </w:r>
    </w:p>
  </w:endnote>
  <w:endnote w:type="continuationSeparator" w:id="0">
    <w:p w:rsidR="000F50B2" w:rsidRDefault="000F50B2" w:rsidP="003B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78964"/>
      <w:docPartObj>
        <w:docPartGallery w:val="Page Numbers (Bottom of Page)"/>
        <w:docPartUnique/>
      </w:docPartObj>
    </w:sdtPr>
    <w:sdtEndPr/>
    <w:sdtContent>
      <w:p w:rsidR="00342922" w:rsidRDefault="000F50B2" w:rsidP="00D41771">
        <w:pPr>
          <w:pStyle w:val="Altbilgi"/>
          <w:jc w:val="center"/>
        </w:pPr>
        <w:r>
          <w:fldChar w:fldCharType="begin"/>
        </w:r>
        <w:r>
          <w:instrText>PAGE   \* MERGEFORMAT</w:instrText>
        </w:r>
        <w:r>
          <w:fldChar w:fldCharType="separate"/>
        </w:r>
        <w:r w:rsidR="0093093F">
          <w:rPr>
            <w:noProof/>
          </w:rPr>
          <w:t>1</w:t>
        </w:r>
        <w:r>
          <w:rPr>
            <w:noProof/>
          </w:rPr>
          <w:fldChar w:fldCharType="end"/>
        </w:r>
      </w:p>
    </w:sdtContent>
  </w:sdt>
  <w:p w:rsidR="00342922" w:rsidRDefault="003429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B2" w:rsidRDefault="000F50B2" w:rsidP="003B1A6F">
      <w:pPr>
        <w:spacing w:after="0" w:line="240" w:lineRule="auto"/>
      </w:pPr>
      <w:r>
        <w:separator/>
      </w:r>
    </w:p>
  </w:footnote>
  <w:footnote w:type="continuationSeparator" w:id="0">
    <w:p w:rsidR="000F50B2" w:rsidRDefault="000F50B2" w:rsidP="003B1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2" w:rsidRDefault="00342922">
    <w:pPr>
      <w:pStyle w:val="stbilgi"/>
      <w:rPr>
        <w:sz w:val="28"/>
        <w:u w:val="single"/>
      </w:rPr>
    </w:pPr>
    <w:r>
      <w:rPr>
        <w:noProof/>
        <w:lang w:eastAsia="tr-TR"/>
      </w:rPr>
      <w:drawing>
        <wp:anchor distT="0" distB="0" distL="114300" distR="114300" simplePos="0" relativeHeight="251659264" behindDoc="0" locked="0" layoutInCell="1" allowOverlap="1">
          <wp:simplePos x="0" y="0"/>
          <wp:positionH relativeFrom="margin">
            <wp:posOffset>-340995</wp:posOffset>
          </wp:positionH>
          <wp:positionV relativeFrom="margin">
            <wp:posOffset>-1052830</wp:posOffset>
          </wp:positionV>
          <wp:extent cx="1163955" cy="637540"/>
          <wp:effectExtent l="19050" t="0" r="0" b="0"/>
          <wp:wrapSquare wrapText="bothSides"/>
          <wp:docPr id="213" name="Resi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637540"/>
                  </a:xfrm>
                  <a:prstGeom prst="rect">
                    <a:avLst/>
                  </a:prstGeom>
                  <a:noFill/>
                </pic:spPr>
              </pic:pic>
            </a:graphicData>
          </a:graphic>
        </wp:anchor>
      </w:drawing>
    </w:r>
    <w:r>
      <w:t xml:space="preserve">                                              </w:t>
    </w:r>
    <w:r w:rsidRPr="00D04252">
      <w:rPr>
        <w:sz w:val="28"/>
        <w:u w:val="single"/>
      </w:rPr>
      <w:t xml:space="preserve">Solvent Yönetim  Planı Kılavuzu                               </w:t>
    </w:r>
    <w:r>
      <w:rPr>
        <w:noProof/>
        <w:sz w:val="28"/>
        <w:u w:val="single"/>
        <w:lang w:eastAsia="tr-TR"/>
      </w:rPr>
      <w:drawing>
        <wp:inline distT="0" distB="0" distL="0" distR="0">
          <wp:extent cx="760720" cy="714966"/>
          <wp:effectExtent l="19050" t="0" r="1280" b="0"/>
          <wp:docPr id="6" name="Resim 1" descr="C:\Users\pc\Desktop\ay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ybu.jpg"/>
                  <pic:cNvPicPr>
                    <a:picLocks noChangeAspect="1" noChangeArrowheads="1"/>
                  </pic:cNvPicPr>
                </pic:nvPicPr>
                <pic:blipFill>
                  <a:blip r:embed="rId2"/>
                  <a:srcRect/>
                  <a:stretch>
                    <a:fillRect/>
                  </a:stretch>
                </pic:blipFill>
                <pic:spPr bwMode="auto">
                  <a:xfrm>
                    <a:off x="0" y="0"/>
                    <a:ext cx="759989" cy="714279"/>
                  </a:xfrm>
                  <a:prstGeom prst="rect">
                    <a:avLst/>
                  </a:prstGeom>
                  <a:noFill/>
                  <a:ln w="9525">
                    <a:noFill/>
                    <a:miter lim="800000"/>
                    <a:headEnd/>
                    <a:tailEnd/>
                  </a:ln>
                </pic:spPr>
              </pic:pic>
            </a:graphicData>
          </a:graphic>
        </wp:inline>
      </w:drawing>
    </w:r>
    <w:r w:rsidRPr="00D04252">
      <w:rPr>
        <w:sz w:val="28"/>
        <w:u w:val="single"/>
      </w:rPr>
      <w:t xml:space="preserve">  </w:t>
    </w:r>
  </w:p>
  <w:p w:rsidR="00342922" w:rsidRPr="00D04252" w:rsidRDefault="00342922">
    <w:pPr>
      <w:pStyle w:val="stbilgi"/>
      <w:rPr>
        <w:u w:val="single"/>
      </w:rPr>
    </w:pPr>
    <w:r w:rsidRPr="00D04252">
      <w:rPr>
        <w:sz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3E9"/>
    <w:multiLevelType w:val="hybridMultilevel"/>
    <w:tmpl w:val="65E22D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D6093C"/>
    <w:multiLevelType w:val="hybridMultilevel"/>
    <w:tmpl w:val="E0DA9D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E2131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B1E32"/>
    <w:multiLevelType w:val="hybridMultilevel"/>
    <w:tmpl w:val="46B28786"/>
    <w:lvl w:ilvl="0" w:tplc="F3A8F8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1526A1"/>
    <w:multiLevelType w:val="hybridMultilevel"/>
    <w:tmpl w:val="F502E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F0783E"/>
    <w:multiLevelType w:val="hybridMultilevel"/>
    <w:tmpl w:val="5130F0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7B23B4"/>
    <w:multiLevelType w:val="hybridMultilevel"/>
    <w:tmpl w:val="E100483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D3505E3"/>
    <w:multiLevelType w:val="hybridMultilevel"/>
    <w:tmpl w:val="50566EA4"/>
    <w:lvl w:ilvl="0" w:tplc="2DC433A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DA3141"/>
    <w:multiLevelType w:val="hybridMultilevel"/>
    <w:tmpl w:val="6D1EAE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18B6DBF"/>
    <w:multiLevelType w:val="hybridMultilevel"/>
    <w:tmpl w:val="F51E1C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4F7D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44127"/>
    <w:multiLevelType w:val="hybridMultilevel"/>
    <w:tmpl w:val="DEE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614B32"/>
    <w:multiLevelType w:val="hybridMultilevel"/>
    <w:tmpl w:val="925C358C"/>
    <w:lvl w:ilvl="0" w:tplc="CCAC6C18">
      <w:start w:val="1"/>
      <w:numFmt w:val="decimal"/>
      <w:lvlText w:val="%1."/>
      <w:lvlJc w:val="left"/>
      <w:pPr>
        <w:ind w:left="720" w:hanging="360"/>
      </w:pPr>
      <w:rPr>
        <w:rFonts w:asciiTheme="minorHAnsi" w:eastAsiaTheme="minorHAnsi" w:hAnsiTheme="minorHAnsi" w:cstheme="minorBidi"/>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15366C"/>
    <w:multiLevelType w:val="hybridMultilevel"/>
    <w:tmpl w:val="F4A88A8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EA5014E"/>
    <w:multiLevelType w:val="multilevel"/>
    <w:tmpl w:val="5CDCD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2B5B6F"/>
    <w:multiLevelType w:val="hybridMultilevel"/>
    <w:tmpl w:val="16B6BF4E"/>
    <w:lvl w:ilvl="0" w:tplc="041F0019">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8E92F67A">
      <w:start w:val="1"/>
      <w:numFmt w:val="lowerLetter"/>
      <w:lvlText w:val="%3-"/>
      <w:lvlJc w:val="left"/>
      <w:pPr>
        <w:ind w:left="2670" w:hanging="69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522F7A"/>
    <w:multiLevelType w:val="hybridMultilevel"/>
    <w:tmpl w:val="3DB6C0F0"/>
    <w:lvl w:ilvl="0" w:tplc="041F000F">
      <w:start w:val="6"/>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257E91"/>
    <w:multiLevelType w:val="hybridMultilevel"/>
    <w:tmpl w:val="A2D45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5C1A24"/>
    <w:multiLevelType w:val="hybridMultilevel"/>
    <w:tmpl w:val="4AF28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80158E"/>
    <w:multiLevelType w:val="hybridMultilevel"/>
    <w:tmpl w:val="3F1A476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3C416A"/>
    <w:multiLevelType w:val="hybridMultilevel"/>
    <w:tmpl w:val="9BC67D0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9C2588"/>
    <w:multiLevelType w:val="hybridMultilevel"/>
    <w:tmpl w:val="09A6866A"/>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22">
    <w:nsid w:val="789B3478"/>
    <w:multiLevelType w:val="hybridMultilevel"/>
    <w:tmpl w:val="E4D0B6F4"/>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C0943EA"/>
    <w:multiLevelType w:val="hybridMultilevel"/>
    <w:tmpl w:val="4B82379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22"/>
  </w:num>
  <w:num w:numId="5">
    <w:abstractNumId w:val="17"/>
  </w:num>
  <w:num w:numId="6">
    <w:abstractNumId w:val="2"/>
  </w:num>
  <w:num w:numId="7">
    <w:abstractNumId w:val="10"/>
  </w:num>
  <w:num w:numId="8">
    <w:abstractNumId w:val="13"/>
  </w:num>
  <w:num w:numId="9">
    <w:abstractNumId w:val="9"/>
  </w:num>
  <w:num w:numId="10">
    <w:abstractNumId w:val="4"/>
  </w:num>
  <w:num w:numId="11">
    <w:abstractNumId w:val="11"/>
  </w:num>
  <w:num w:numId="12">
    <w:abstractNumId w:val="19"/>
  </w:num>
  <w:num w:numId="13">
    <w:abstractNumId w:val="20"/>
  </w:num>
  <w:num w:numId="14">
    <w:abstractNumId w:val="16"/>
  </w:num>
  <w:num w:numId="15">
    <w:abstractNumId w:val="5"/>
  </w:num>
  <w:num w:numId="16">
    <w:abstractNumId w:val="23"/>
  </w:num>
  <w:num w:numId="17">
    <w:abstractNumId w:val="15"/>
  </w:num>
  <w:num w:numId="18">
    <w:abstractNumId w:val="7"/>
  </w:num>
  <w:num w:numId="19">
    <w:abstractNumId w:val="6"/>
  </w:num>
  <w:num w:numId="20">
    <w:abstractNumId w:val="1"/>
  </w:num>
  <w:num w:numId="21">
    <w:abstractNumId w:val="8"/>
  </w:num>
  <w:num w:numId="22">
    <w:abstractNumId w:val="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10"/>
    <w:rsid w:val="000143D9"/>
    <w:rsid w:val="0002539A"/>
    <w:rsid w:val="00035DF8"/>
    <w:rsid w:val="0004135F"/>
    <w:rsid w:val="000670E5"/>
    <w:rsid w:val="000813C7"/>
    <w:rsid w:val="00090814"/>
    <w:rsid w:val="000916B1"/>
    <w:rsid w:val="000B0A24"/>
    <w:rsid w:val="000D2B26"/>
    <w:rsid w:val="000E0B52"/>
    <w:rsid w:val="000F50B2"/>
    <w:rsid w:val="00116D58"/>
    <w:rsid w:val="0011733A"/>
    <w:rsid w:val="00150C2D"/>
    <w:rsid w:val="001945F1"/>
    <w:rsid w:val="001B2944"/>
    <w:rsid w:val="001C4DF6"/>
    <w:rsid w:val="001F5B08"/>
    <w:rsid w:val="002271DC"/>
    <w:rsid w:val="00231711"/>
    <w:rsid w:val="00237589"/>
    <w:rsid w:val="00251835"/>
    <w:rsid w:val="002555C7"/>
    <w:rsid w:val="002B2808"/>
    <w:rsid w:val="002C28D7"/>
    <w:rsid w:val="002D4E4A"/>
    <w:rsid w:val="002E0F11"/>
    <w:rsid w:val="002E1CBA"/>
    <w:rsid w:val="002F1B50"/>
    <w:rsid w:val="00305C47"/>
    <w:rsid w:val="0033002D"/>
    <w:rsid w:val="00333A13"/>
    <w:rsid w:val="00336BD3"/>
    <w:rsid w:val="00337FE3"/>
    <w:rsid w:val="003425E6"/>
    <w:rsid w:val="00342922"/>
    <w:rsid w:val="00344BE9"/>
    <w:rsid w:val="00347149"/>
    <w:rsid w:val="00355732"/>
    <w:rsid w:val="00371B8A"/>
    <w:rsid w:val="0037565B"/>
    <w:rsid w:val="0039751C"/>
    <w:rsid w:val="003B0E31"/>
    <w:rsid w:val="003B1A6F"/>
    <w:rsid w:val="003C38E0"/>
    <w:rsid w:val="003E468A"/>
    <w:rsid w:val="003E61C5"/>
    <w:rsid w:val="003E69F6"/>
    <w:rsid w:val="00403124"/>
    <w:rsid w:val="00416F7A"/>
    <w:rsid w:val="004247CF"/>
    <w:rsid w:val="00454787"/>
    <w:rsid w:val="00470330"/>
    <w:rsid w:val="004D7D41"/>
    <w:rsid w:val="004E445B"/>
    <w:rsid w:val="00501987"/>
    <w:rsid w:val="005145A1"/>
    <w:rsid w:val="00525BCE"/>
    <w:rsid w:val="005336C0"/>
    <w:rsid w:val="00533B2A"/>
    <w:rsid w:val="00545E4B"/>
    <w:rsid w:val="00557B78"/>
    <w:rsid w:val="0056471B"/>
    <w:rsid w:val="00575482"/>
    <w:rsid w:val="00580281"/>
    <w:rsid w:val="0058146F"/>
    <w:rsid w:val="00591CE8"/>
    <w:rsid w:val="005A004C"/>
    <w:rsid w:val="005A55D6"/>
    <w:rsid w:val="005B2E92"/>
    <w:rsid w:val="005D1BB3"/>
    <w:rsid w:val="005E706B"/>
    <w:rsid w:val="005F647E"/>
    <w:rsid w:val="00605854"/>
    <w:rsid w:val="006059F3"/>
    <w:rsid w:val="00610B62"/>
    <w:rsid w:val="00610E3C"/>
    <w:rsid w:val="00643755"/>
    <w:rsid w:val="00643EC8"/>
    <w:rsid w:val="00653DDA"/>
    <w:rsid w:val="00663E3D"/>
    <w:rsid w:val="00665CB0"/>
    <w:rsid w:val="00674CE1"/>
    <w:rsid w:val="0067589E"/>
    <w:rsid w:val="006A4809"/>
    <w:rsid w:val="006B4FC4"/>
    <w:rsid w:val="006C4D47"/>
    <w:rsid w:val="006C695F"/>
    <w:rsid w:val="006D6C04"/>
    <w:rsid w:val="006F784F"/>
    <w:rsid w:val="007036CB"/>
    <w:rsid w:val="007067E0"/>
    <w:rsid w:val="00715EFE"/>
    <w:rsid w:val="007355AB"/>
    <w:rsid w:val="007370B6"/>
    <w:rsid w:val="00743ADC"/>
    <w:rsid w:val="00763FCA"/>
    <w:rsid w:val="007722BB"/>
    <w:rsid w:val="007927BE"/>
    <w:rsid w:val="007C7E4B"/>
    <w:rsid w:val="007D076F"/>
    <w:rsid w:val="007E2186"/>
    <w:rsid w:val="007E5089"/>
    <w:rsid w:val="00814C78"/>
    <w:rsid w:val="00815260"/>
    <w:rsid w:val="00831A76"/>
    <w:rsid w:val="00843506"/>
    <w:rsid w:val="00853146"/>
    <w:rsid w:val="00862FCE"/>
    <w:rsid w:val="008C208B"/>
    <w:rsid w:val="008C4910"/>
    <w:rsid w:val="008D1774"/>
    <w:rsid w:val="008D5D6A"/>
    <w:rsid w:val="008E3A64"/>
    <w:rsid w:val="008F6B4A"/>
    <w:rsid w:val="00914E6E"/>
    <w:rsid w:val="0092538D"/>
    <w:rsid w:val="00930110"/>
    <w:rsid w:val="0093093F"/>
    <w:rsid w:val="00941F34"/>
    <w:rsid w:val="00944C53"/>
    <w:rsid w:val="009451A7"/>
    <w:rsid w:val="00951630"/>
    <w:rsid w:val="00956CB7"/>
    <w:rsid w:val="0096286B"/>
    <w:rsid w:val="00986922"/>
    <w:rsid w:val="00986FA0"/>
    <w:rsid w:val="00990E1D"/>
    <w:rsid w:val="00995344"/>
    <w:rsid w:val="009B30C6"/>
    <w:rsid w:val="009B7CFE"/>
    <w:rsid w:val="009C2BA1"/>
    <w:rsid w:val="009C5F7F"/>
    <w:rsid w:val="009C6726"/>
    <w:rsid w:val="009F0FDA"/>
    <w:rsid w:val="00A202D0"/>
    <w:rsid w:val="00A301FF"/>
    <w:rsid w:val="00A41831"/>
    <w:rsid w:val="00A630BA"/>
    <w:rsid w:val="00A73259"/>
    <w:rsid w:val="00A743F8"/>
    <w:rsid w:val="00A860DC"/>
    <w:rsid w:val="00A95B3B"/>
    <w:rsid w:val="00AA2E7D"/>
    <w:rsid w:val="00AA79A1"/>
    <w:rsid w:val="00AC3F20"/>
    <w:rsid w:val="00AD093D"/>
    <w:rsid w:val="00AD5AFF"/>
    <w:rsid w:val="00AE06A5"/>
    <w:rsid w:val="00AE345E"/>
    <w:rsid w:val="00AF3AC6"/>
    <w:rsid w:val="00B03DBB"/>
    <w:rsid w:val="00B059D6"/>
    <w:rsid w:val="00B332A9"/>
    <w:rsid w:val="00B562D3"/>
    <w:rsid w:val="00BE2AC3"/>
    <w:rsid w:val="00BE34A1"/>
    <w:rsid w:val="00C154AA"/>
    <w:rsid w:val="00C16022"/>
    <w:rsid w:val="00C161E5"/>
    <w:rsid w:val="00C2423A"/>
    <w:rsid w:val="00C37A25"/>
    <w:rsid w:val="00C5175A"/>
    <w:rsid w:val="00C657EF"/>
    <w:rsid w:val="00C67279"/>
    <w:rsid w:val="00C722A2"/>
    <w:rsid w:val="00C93A0A"/>
    <w:rsid w:val="00CB1572"/>
    <w:rsid w:val="00CC1078"/>
    <w:rsid w:val="00CC7100"/>
    <w:rsid w:val="00CD1F92"/>
    <w:rsid w:val="00CF5ABB"/>
    <w:rsid w:val="00D04252"/>
    <w:rsid w:val="00D33DB6"/>
    <w:rsid w:val="00D41771"/>
    <w:rsid w:val="00D46465"/>
    <w:rsid w:val="00D57275"/>
    <w:rsid w:val="00D62F4D"/>
    <w:rsid w:val="00D82257"/>
    <w:rsid w:val="00DB1A88"/>
    <w:rsid w:val="00E0302C"/>
    <w:rsid w:val="00E12432"/>
    <w:rsid w:val="00E13177"/>
    <w:rsid w:val="00E1653C"/>
    <w:rsid w:val="00E16768"/>
    <w:rsid w:val="00E2076C"/>
    <w:rsid w:val="00E47195"/>
    <w:rsid w:val="00E92DCC"/>
    <w:rsid w:val="00EA2ADA"/>
    <w:rsid w:val="00EC6317"/>
    <w:rsid w:val="00ED0608"/>
    <w:rsid w:val="00ED549A"/>
    <w:rsid w:val="00F20E7C"/>
    <w:rsid w:val="00F211E6"/>
    <w:rsid w:val="00F26F71"/>
    <w:rsid w:val="00F35047"/>
    <w:rsid w:val="00F46B91"/>
    <w:rsid w:val="00F509A8"/>
    <w:rsid w:val="00F77263"/>
    <w:rsid w:val="00F808A6"/>
    <w:rsid w:val="00F841AE"/>
    <w:rsid w:val="00FB4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E31"/>
    <w:pPr>
      <w:ind w:left="720"/>
      <w:contextualSpacing/>
    </w:pPr>
  </w:style>
  <w:style w:type="paragraph" w:styleId="BalonMetni">
    <w:name w:val="Balloon Text"/>
    <w:basedOn w:val="Normal"/>
    <w:link w:val="BalonMetniChar"/>
    <w:uiPriority w:val="99"/>
    <w:semiHidden/>
    <w:unhideWhenUsed/>
    <w:rsid w:val="00763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FCA"/>
    <w:rPr>
      <w:rFonts w:ascii="Tahoma" w:hAnsi="Tahoma" w:cs="Tahoma"/>
      <w:sz w:val="16"/>
      <w:szCs w:val="16"/>
    </w:rPr>
  </w:style>
  <w:style w:type="paragraph" w:styleId="stbilgi">
    <w:name w:val="header"/>
    <w:basedOn w:val="Normal"/>
    <w:link w:val="stbilgiChar"/>
    <w:uiPriority w:val="99"/>
    <w:unhideWhenUsed/>
    <w:rsid w:val="003B1A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1A6F"/>
  </w:style>
  <w:style w:type="paragraph" w:styleId="Altbilgi">
    <w:name w:val="footer"/>
    <w:basedOn w:val="Normal"/>
    <w:link w:val="AltbilgiChar"/>
    <w:uiPriority w:val="99"/>
    <w:unhideWhenUsed/>
    <w:rsid w:val="003B1A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A6F"/>
  </w:style>
  <w:style w:type="table" w:styleId="TabloKlavuzu">
    <w:name w:val="Table Grid"/>
    <w:basedOn w:val="NormalTablo"/>
    <w:uiPriority w:val="39"/>
    <w:rsid w:val="00F35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E31"/>
    <w:pPr>
      <w:ind w:left="720"/>
      <w:contextualSpacing/>
    </w:pPr>
  </w:style>
  <w:style w:type="paragraph" w:styleId="BalonMetni">
    <w:name w:val="Balloon Text"/>
    <w:basedOn w:val="Normal"/>
    <w:link w:val="BalonMetniChar"/>
    <w:uiPriority w:val="99"/>
    <w:semiHidden/>
    <w:unhideWhenUsed/>
    <w:rsid w:val="00763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FCA"/>
    <w:rPr>
      <w:rFonts w:ascii="Tahoma" w:hAnsi="Tahoma" w:cs="Tahoma"/>
      <w:sz w:val="16"/>
      <w:szCs w:val="16"/>
    </w:rPr>
  </w:style>
  <w:style w:type="paragraph" w:styleId="stbilgi">
    <w:name w:val="header"/>
    <w:basedOn w:val="Normal"/>
    <w:link w:val="stbilgiChar"/>
    <w:uiPriority w:val="99"/>
    <w:unhideWhenUsed/>
    <w:rsid w:val="003B1A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1A6F"/>
  </w:style>
  <w:style w:type="paragraph" w:styleId="Altbilgi">
    <w:name w:val="footer"/>
    <w:basedOn w:val="Normal"/>
    <w:link w:val="AltbilgiChar"/>
    <w:uiPriority w:val="99"/>
    <w:unhideWhenUsed/>
    <w:rsid w:val="003B1A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A6F"/>
  </w:style>
  <w:style w:type="table" w:styleId="TabloKlavuzu">
    <w:name w:val="Table Grid"/>
    <w:basedOn w:val="NormalTablo"/>
    <w:uiPriority w:val="39"/>
    <w:rsid w:val="00F35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477">
      <w:bodyDiv w:val="1"/>
      <w:marLeft w:val="0"/>
      <w:marRight w:val="0"/>
      <w:marTop w:val="0"/>
      <w:marBottom w:val="0"/>
      <w:divBdr>
        <w:top w:val="none" w:sz="0" w:space="0" w:color="auto"/>
        <w:left w:val="none" w:sz="0" w:space="0" w:color="auto"/>
        <w:bottom w:val="none" w:sz="0" w:space="0" w:color="auto"/>
        <w:right w:val="none" w:sz="0" w:space="0" w:color="auto"/>
      </w:divBdr>
    </w:div>
    <w:div w:id="469135556">
      <w:bodyDiv w:val="1"/>
      <w:marLeft w:val="0"/>
      <w:marRight w:val="0"/>
      <w:marTop w:val="0"/>
      <w:marBottom w:val="0"/>
      <w:divBdr>
        <w:top w:val="none" w:sz="0" w:space="0" w:color="auto"/>
        <w:left w:val="none" w:sz="0" w:space="0" w:color="auto"/>
        <w:bottom w:val="none" w:sz="0" w:space="0" w:color="auto"/>
        <w:right w:val="none" w:sz="0" w:space="0" w:color="auto"/>
      </w:divBdr>
    </w:div>
    <w:div w:id="659192731">
      <w:bodyDiv w:val="1"/>
      <w:marLeft w:val="0"/>
      <w:marRight w:val="0"/>
      <w:marTop w:val="0"/>
      <w:marBottom w:val="0"/>
      <w:divBdr>
        <w:top w:val="none" w:sz="0" w:space="0" w:color="auto"/>
        <w:left w:val="none" w:sz="0" w:space="0" w:color="auto"/>
        <w:bottom w:val="none" w:sz="0" w:space="0" w:color="auto"/>
        <w:right w:val="none" w:sz="0" w:space="0" w:color="auto"/>
      </w:divBdr>
    </w:div>
    <w:div w:id="730276118">
      <w:bodyDiv w:val="1"/>
      <w:marLeft w:val="0"/>
      <w:marRight w:val="0"/>
      <w:marTop w:val="0"/>
      <w:marBottom w:val="0"/>
      <w:divBdr>
        <w:top w:val="none" w:sz="0" w:space="0" w:color="auto"/>
        <w:left w:val="none" w:sz="0" w:space="0" w:color="auto"/>
        <w:bottom w:val="none" w:sz="0" w:space="0" w:color="auto"/>
        <w:right w:val="none" w:sz="0" w:space="0" w:color="auto"/>
      </w:divBdr>
    </w:div>
    <w:div w:id="747462100">
      <w:bodyDiv w:val="1"/>
      <w:marLeft w:val="0"/>
      <w:marRight w:val="0"/>
      <w:marTop w:val="0"/>
      <w:marBottom w:val="0"/>
      <w:divBdr>
        <w:top w:val="none" w:sz="0" w:space="0" w:color="auto"/>
        <w:left w:val="none" w:sz="0" w:space="0" w:color="auto"/>
        <w:bottom w:val="none" w:sz="0" w:space="0" w:color="auto"/>
        <w:right w:val="none" w:sz="0" w:space="0" w:color="auto"/>
      </w:divBdr>
    </w:div>
    <w:div w:id="908612906">
      <w:bodyDiv w:val="1"/>
      <w:marLeft w:val="0"/>
      <w:marRight w:val="0"/>
      <w:marTop w:val="0"/>
      <w:marBottom w:val="0"/>
      <w:divBdr>
        <w:top w:val="none" w:sz="0" w:space="0" w:color="auto"/>
        <w:left w:val="none" w:sz="0" w:space="0" w:color="auto"/>
        <w:bottom w:val="none" w:sz="0" w:space="0" w:color="auto"/>
        <w:right w:val="none" w:sz="0" w:space="0" w:color="auto"/>
      </w:divBdr>
    </w:div>
    <w:div w:id="1179080177">
      <w:bodyDiv w:val="1"/>
      <w:marLeft w:val="0"/>
      <w:marRight w:val="0"/>
      <w:marTop w:val="0"/>
      <w:marBottom w:val="0"/>
      <w:divBdr>
        <w:top w:val="none" w:sz="0" w:space="0" w:color="auto"/>
        <w:left w:val="none" w:sz="0" w:space="0" w:color="auto"/>
        <w:bottom w:val="none" w:sz="0" w:space="0" w:color="auto"/>
        <w:right w:val="none" w:sz="0" w:space="0" w:color="auto"/>
      </w:divBdr>
    </w:div>
    <w:div w:id="1348871050">
      <w:bodyDiv w:val="1"/>
      <w:marLeft w:val="0"/>
      <w:marRight w:val="0"/>
      <w:marTop w:val="0"/>
      <w:marBottom w:val="0"/>
      <w:divBdr>
        <w:top w:val="none" w:sz="0" w:space="0" w:color="auto"/>
        <w:left w:val="none" w:sz="0" w:space="0" w:color="auto"/>
        <w:bottom w:val="none" w:sz="0" w:space="0" w:color="auto"/>
        <w:right w:val="none" w:sz="0" w:space="0" w:color="auto"/>
      </w:divBdr>
    </w:div>
    <w:div w:id="1365398732">
      <w:bodyDiv w:val="1"/>
      <w:marLeft w:val="0"/>
      <w:marRight w:val="0"/>
      <w:marTop w:val="0"/>
      <w:marBottom w:val="0"/>
      <w:divBdr>
        <w:top w:val="none" w:sz="0" w:space="0" w:color="auto"/>
        <w:left w:val="none" w:sz="0" w:space="0" w:color="auto"/>
        <w:bottom w:val="none" w:sz="0" w:space="0" w:color="auto"/>
        <w:right w:val="none" w:sz="0" w:space="0" w:color="auto"/>
      </w:divBdr>
    </w:div>
    <w:div w:id="1370759797">
      <w:bodyDiv w:val="1"/>
      <w:marLeft w:val="0"/>
      <w:marRight w:val="0"/>
      <w:marTop w:val="0"/>
      <w:marBottom w:val="0"/>
      <w:divBdr>
        <w:top w:val="none" w:sz="0" w:space="0" w:color="auto"/>
        <w:left w:val="none" w:sz="0" w:space="0" w:color="auto"/>
        <w:bottom w:val="none" w:sz="0" w:space="0" w:color="auto"/>
        <w:right w:val="none" w:sz="0" w:space="0" w:color="auto"/>
      </w:divBdr>
    </w:div>
    <w:div w:id="1374960317">
      <w:bodyDiv w:val="1"/>
      <w:marLeft w:val="0"/>
      <w:marRight w:val="0"/>
      <w:marTop w:val="0"/>
      <w:marBottom w:val="0"/>
      <w:divBdr>
        <w:top w:val="none" w:sz="0" w:space="0" w:color="auto"/>
        <w:left w:val="none" w:sz="0" w:space="0" w:color="auto"/>
        <w:bottom w:val="none" w:sz="0" w:space="0" w:color="auto"/>
        <w:right w:val="none" w:sz="0" w:space="0" w:color="auto"/>
      </w:divBdr>
    </w:div>
    <w:div w:id="1394158709">
      <w:bodyDiv w:val="1"/>
      <w:marLeft w:val="0"/>
      <w:marRight w:val="0"/>
      <w:marTop w:val="0"/>
      <w:marBottom w:val="0"/>
      <w:divBdr>
        <w:top w:val="none" w:sz="0" w:space="0" w:color="auto"/>
        <w:left w:val="none" w:sz="0" w:space="0" w:color="auto"/>
        <w:bottom w:val="none" w:sz="0" w:space="0" w:color="auto"/>
        <w:right w:val="none" w:sz="0" w:space="0" w:color="auto"/>
      </w:divBdr>
    </w:div>
    <w:div w:id="1700158444">
      <w:bodyDiv w:val="1"/>
      <w:marLeft w:val="0"/>
      <w:marRight w:val="0"/>
      <w:marTop w:val="0"/>
      <w:marBottom w:val="0"/>
      <w:divBdr>
        <w:top w:val="none" w:sz="0" w:space="0" w:color="auto"/>
        <w:left w:val="none" w:sz="0" w:space="0" w:color="auto"/>
        <w:bottom w:val="none" w:sz="0" w:space="0" w:color="auto"/>
        <w:right w:val="none" w:sz="0" w:space="0" w:color="auto"/>
      </w:divBdr>
    </w:div>
    <w:div w:id="1759869131">
      <w:bodyDiv w:val="1"/>
      <w:marLeft w:val="0"/>
      <w:marRight w:val="0"/>
      <w:marTop w:val="0"/>
      <w:marBottom w:val="0"/>
      <w:divBdr>
        <w:top w:val="none" w:sz="0" w:space="0" w:color="auto"/>
        <w:left w:val="none" w:sz="0" w:space="0" w:color="auto"/>
        <w:bottom w:val="none" w:sz="0" w:space="0" w:color="auto"/>
        <w:right w:val="none" w:sz="0" w:space="0" w:color="auto"/>
      </w:divBdr>
    </w:div>
    <w:div w:id="1978874325">
      <w:bodyDiv w:val="1"/>
      <w:marLeft w:val="0"/>
      <w:marRight w:val="0"/>
      <w:marTop w:val="0"/>
      <w:marBottom w:val="0"/>
      <w:divBdr>
        <w:top w:val="none" w:sz="0" w:space="0" w:color="auto"/>
        <w:left w:val="none" w:sz="0" w:space="0" w:color="auto"/>
        <w:bottom w:val="none" w:sz="0" w:space="0" w:color="auto"/>
        <w:right w:val="none" w:sz="0" w:space="0" w:color="auto"/>
      </w:divBdr>
    </w:div>
    <w:div w:id="1986743219">
      <w:bodyDiv w:val="1"/>
      <w:marLeft w:val="0"/>
      <w:marRight w:val="0"/>
      <w:marTop w:val="0"/>
      <w:marBottom w:val="0"/>
      <w:divBdr>
        <w:top w:val="none" w:sz="0" w:space="0" w:color="auto"/>
        <w:left w:val="none" w:sz="0" w:space="0" w:color="auto"/>
        <w:bottom w:val="none" w:sz="0" w:space="0" w:color="auto"/>
        <w:right w:val="none" w:sz="0" w:space="0" w:color="auto"/>
      </w:divBdr>
    </w:div>
    <w:div w:id="21169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55554102248849"/>
          <c:y val="5.9690966048598797E-2"/>
          <c:w val="0.85349272620086314"/>
          <c:h val="0.74000423334180043"/>
        </c:manualLayout>
      </c:layout>
      <c:barChart>
        <c:barDir val="col"/>
        <c:grouping val="stacked"/>
        <c:varyColors val="0"/>
        <c:ser>
          <c:idx val="0"/>
          <c:order val="0"/>
          <c:tx>
            <c:strRef>
              <c:f>Sayfa1!$F$6</c:f>
              <c:strCache>
                <c:ptCount val="1"/>
              </c:strCache>
            </c:strRef>
          </c:tx>
          <c:invertIfNegative val="0"/>
          <c:cat>
            <c:strRef>
              <c:f>Sayfa1!$E$7:$E$12</c:f>
              <c:strCache>
                <c:ptCount val="6"/>
                <c:pt idx="0">
                  <c:v>Baz Kat</c:v>
                </c:pt>
                <c:pt idx="1">
                  <c:v>Temizlik Solventi</c:v>
                </c:pt>
                <c:pt idx="2">
                  <c:v> Astar</c:v>
                </c:pt>
                <c:pt idx="3">
                  <c:v>Vernik</c:v>
                </c:pt>
                <c:pt idx="4">
                  <c:v>Kataforez</c:v>
                </c:pt>
                <c:pt idx="5">
                  <c:v>PVC Macun</c:v>
                </c:pt>
              </c:strCache>
            </c:strRef>
          </c:cat>
          <c:val>
            <c:numRef>
              <c:f>Sayfa1!$F$7:$F$12</c:f>
              <c:numCache>
                <c:formatCode>General</c:formatCode>
                <c:ptCount val="6"/>
              </c:numCache>
            </c:numRef>
          </c:val>
        </c:ser>
        <c:ser>
          <c:idx val="1"/>
          <c:order val="1"/>
          <c:tx>
            <c:strRef>
              <c:f>Sayfa1!#BAŞV!</c:f>
              <c:strCache>
                <c:ptCount val="1"/>
                <c:pt idx="0">
                  <c:v>#REF!</c:v>
                </c:pt>
              </c:strCache>
            </c:strRef>
          </c:tx>
          <c:invertIfNegative val="0"/>
          <c:cat>
            <c:strRef>
              <c:f>Sayfa1!$E$7:$E$12</c:f>
              <c:strCache>
                <c:ptCount val="6"/>
                <c:pt idx="0">
                  <c:v>Baz Kat</c:v>
                </c:pt>
                <c:pt idx="1">
                  <c:v>Temizlik Solventi</c:v>
                </c:pt>
                <c:pt idx="2">
                  <c:v> Astar</c:v>
                </c:pt>
                <c:pt idx="3">
                  <c:v>Vernik</c:v>
                </c:pt>
                <c:pt idx="4">
                  <c:v>Kataforez</c:v>
                </c:pt>
                <c:pt idx="5">
                  <c:v>PVC Macun</c:v>
                </c:pt>
              </c:strCache>
            </c:strRef>
          </c:cat>
          <c:val>
            <c:numRef>
              <c:f>Sayfa1!#BAŞV!</c:f>
              <c:numCache>
                <c:formatCode>General</c:formatCode>
                <c:ptCount val="1"/>
                <c:pt idx="0">
                  <c:v>1</c:v>
                </c:pt>
              </c:numCache>
            </c:numRef>
          </c:val>
        </c:ser>
        <c:ser>
          <c:idx val="2"/>
          <c:order val="2"/>
          <c:tx>
            <c:strRef>
              <c:f>Sayfa1!$G$6</c:f>
              <c:strCache>
                <c:ptCount val="1"/>
                <c:pt idx="0">
                  <c:v>Girdi VOC, gr / m2</c:v>
                </c:pt>
              </c:strCache>
            </c:strRef>
          </c:tx>
          <c:spPr>
            <a:solidFill>
              <a:srgbClr val="ED7D31">
                <a:lumMod val="75000"/>
              </a:srgbClr>
            </a:solidFill>
          </c:spPr>
          <c:invertIfNegative val="0"/>
          <c:dLbls>
            <c:txPr>
              <a:bodyPr/>
              <a:lstStyle/>
              <a:p>
                <a:pPr>
                  <a:defRPr b="1">
                    <a:solidFill>
                      <a:schemeClr val="bg1"/>
                    </a:solidFill>
                  </a:defRPr>
                </a:pPr>
                <a:endParaRPr lang="tr-TR"/>
              </a:p>
            </c:txPr>
            <c:showLegendKey val="0"/>
            <c:showVal val="1"/>
            <c:showCatName val="0"/>
            <c:showSerName val="0"/>
            <c:showPercent val="0"/>
            <c:showBubbleSize val="0"/>
            <c:showLeaderLines val="0"/>
          </c:dLbls>
          <c:cat>
            <c:strRef>
              <c:f>Sayfa1!$E$7:$E$12</c:f>
              <c:strCache>
                <c:ptCount val="6"/>
                <c:pt idx="0">
                  <c:v>Baz Kat</c:v>
                </c:pt>
                <c:pt idx="1">
                  <c:v>Temizlik Solventi</c:v>
                </c:pt>
                <c:pt idx="2">
                  <c:v> Astar</c:v>
                </c:pt>
                <c:pt idx="3">
                  <c:v>Vernik</c:v>
                </c:pt>
                <c:pt idx="4">
                  <c:v>Kataforez</c:v>
                </c:pt>
                <c:pt idx="5">
                  <c:v>PVC Macun</c:v>
                </c:pt>
              </c:strCache>
            </c:strRef>
          </c:cat>
          <c:val>
            <c:numRef>
              <c:f>Sayfa1!$G$7:$G$12</c:f>
              <c:numCache>
                <c:formatCode>0.0</c:formatCode>
                <c:ptCount val="6"/>
                <c:pt idx="0">
                  <c:v>12.747829986227218</c:v>
                </c:pt>
                <c:pt idx="1">
                  <c:v>9.4487684571282156</c:v>
                </c:pt>
                <c:pt idx="2">
                  <c:v>5.4130232856090483</c:v>
                </c:pt>
                <c:pt idx="3">
                  <c:v>4.6443099196053907</c:v>
                </c:pt>
                <c:pt idx="4">
                  <c:v>4.2279235130200812</c:v>
                </c:pt>
                <c:pt idx="5">
                  <c:v>2.1780212036770137</c:v>
                </c:pt>
              </c:numCache>
            </c:numRef>
          </c:val>
        </c:ser>
        <c:ser>
          <c:idx val="3"/>
          <c:order val="3"/>
          <c:tx>
            <c:strRef>
              <c:f>Sayfa1!$H$6</c:f>
              <c:strCache>
                <c:ptCount val="1"/>
                <c:pt idx="0">
                  <c:v>Çıktı VOC, gr / m2</c:v>
                </c:pt>
              </c:strCache>
            </c:strRef>
          </c:tx>
          <c:spPr>
            <a:solidFill>
              <a:srgbClr val="0070C0"/>
            </a:solidFill>
          </c:spPr>
          <c:invertIfNegative val="0"/>
          <c:dLbls>
            <c:dLbl>
              <c:idx val="0"/>
              <c:layout>
                <c:manualLayout>
                  <c:x val="6.2920103832499102E-2"/>
                  <c:y val="0"/>
                </c:manualLayout>
              </c:layout>
              <c:tx>
                <c:rich>
                  <a:bodyPr/>
                  <a:lstStyle/>
                  <a:p>
                    <a:r>
                      <a:rPr lang="tr-TR" b="1"/>
                      <a:t>- </a:t>
                    </a:r>
                    <a:r>
                      <a:rPr lang="en-US" b="1"/>
                      <a:t>0,5</a:t>
                    </a:r>
                    <a:endParaRPr lang="en-US"/>
                  </a:p>
                </c:rich>
              </c:tx>
              <c:showLegendKey val="0"/>
              <c:showVal val="1"/>
              <c:showCatName val="0"/>
              <c:showSerName val="0"/>
              <c:showPercent val="0"/>
              <c:showBubbleSize val="0"/>
            </c:dLbl>
            <c:dLbl>
              <c:idx val="1"/>
              <c:layout>
                <c:manualLayout>
                  <c:x val="6.2480613214396713E-2"/>
                  <c:y val="5.3763440860215093E-3"/>
                </c:manualLayout>
              </c:layout>
              <c:tx>
                <c:rich>
                  <a:bodyPr/>
                  <a:lstStyle/>
                  <a:p>
                    <a:r>
                      <a:rPr lang="tr-TR" b="1"/>
                      <a:t>- </a:t>
                    </a:r>
                    <a:r>
                      <a:rPr lang="en-US" b="1"/>
                      <a:t>1,1</a:t>
                    </a:r>
                    <a:endParaRPr lang="en-US"/>
                  </a:p>
                </c:rich>
              </c:tx>
              <c:showLegendKey val="0"/>
              <c:showVal val="1"/>
              <c:showCatName val="0"/>
              <c:showSerName val="0"/>
              <c:showPercent val="0"/>
              <c:showBubbleSize val="0"/>
            </c:dLbl>
            <c:dLbl>
              <c:idx val="2"/>
              <c:layout>
                <c:manualLayout>
                  <c:x val="6.4238575686806368E-2"/>
                  <c:y val="1.0752688172043012E-2"/>
                </c:manualLayout>
              </c:layout>
              <c:tx>
                <c:rich>
                  <a:bodyPr/>
                  <a:lstStyle/>
                  <a:p>
                    <a:r>
                      <a:rPr lang="tr-TR" b="1"/>
                      <a:t>- </a:t>
                    </a:r>
                    <a:r>
                      <a:rPr lang="en-US" b="1"/>
                      <a:t>0,3</a:t>
                    </a:r>
                    <a:endParaRPr lang="en-US"/>
                  </a:p>
                </c:rich>
              </c:tx>
              <c:showLegendKey val="0"/>
              <c:showVal val="1"/>
              <c:showCatName val="0"/>
              <c:showSerName val="0"/>
              <c:showPercent val="0"/>
              <c:showBubbleSize val="0"/>
            </c:dLbl>
            <c:dLbl>
              <c:idx val="3"/>
              <c:layout>
                <c:manualLayout>
                  <c:x val="6.624559799243232E-2"/>
                  <c:y val="5.3763440860215093E-3"/>
                </c:manualLayout>
              </c:layout>
              <c:tx>
                <c:rich>
                  <a:bodyPr/>
                  <a:lstStyle/>
                  <a:p>
                    <a:r>
                      <a:rPr lang="tr-TR" b="1"/>
                      <a:t>- </a:t>
                    </a:r>
                    <a:r>
                      <a:rPr lang="en-US" b="1"/>
                      <a:t>1,5</a:t>
                    </a:r>
                    <a:endParaRPr lang="en-US"/>
                  </a:p>
                </c:rich>
              </c:tx>
              <c:showLegendKey val="0"/>
              <c:showVal val="1"/>
              <c:showCatName val="0"/>
              <c:showSerName val="0"/>
              <c:showPercent val="0"/>
              <c:showBubbleSize val="0"/>
            </c:dLbl>
            <c:dLbl>
              <c:idx val="4"/>
              <c:layout>
                <c:manualLayout>
                  <c:x val="5.1376146788990808E-2"/>
                  <c:y val="1.6129032258064523E-2"/>
                </c:manualLayout>
              </c:layout>
              <c:showLegendKey val="0"/>
              <c:showVal val="1"/>
              <c:showCatName val="0"/>
              <c:showSerName val="0"/>
              <c:showPercent val="0"/>
              <c:showBubbleSize val="0"/>
            </c:dLbl>
            <c:dLbl>
              <c:idx val="5"/>
              <c:layout>
                <c:manualLayout>
                  <c:x val="4.4036697247706397E-2"/>
                  <c:y val="0"/>
                </c:manualLayout>
              </c:layout>
              <c:showLegendKey val="0"/>
              <c:showVal val="1"/>
              <c:showCatName val="0"/>
              <c:showSerName val="0"/>
              <c:showPercent val="0"/>
              <c:showBubbleSize val="0"/>
            </c:dLbl>
            <c:txPr>
              <a:bodyPr/>
              <a:lstStyle/>
              <a:p>
                <a:pPr>
                  <a:defRPr b="1"/>
                </a:pPr>
                <a:endParaRPr lang="tr-TR"/>
              </a:p>
            </c:txPr>
            <c:showLegendKey val="0"/>
            <c:showVal val="1"/>
            <c:showCatName val="0"/>
            <c:showSerName val="0"/>
            <c:showPercent val="0"/>
            <c:showBubbleSize val="0"/>
            <c:showLeaderLines val="0"/>
          </c:dLbls>
          <c:cat>
            <c:strRef>
              <c:f>Sayfa1!$E$7:$E$12</c:f>
              <c:strCache>
                <c:ptCount val="6"/>
                <c:pt idx="0">
                  <c:v>Baz Kat</c:v>
                </c:pt>
                <c:pt idx="1">
                  <c:v>Temizlik Solventi</c:v>
                </c:pt>
                <c:pt idx="2">
                  <c:v> Astar</c:v>
                </c:pt>
                <c:pt idx="3">
                  <c:v>Vernik</c:v>
                </c:pt>
                <c:pt idx="4">
                  <c:v>Kataforez</c:v>
                </c:pt>
                <c:pt idx="5">
                  <c:v>PVC Macun</c:v>
                </c:pt>
              </c:strCache>
            </c:strRef>
          </c:cat>
          <c:val>
            <c:numRef>
              <c:f>Sayfa1!$H$7:$H$12</c:f>
              <c:numCache>
                <c:formatCode>General</c:formatCode>
                <c:ptCount val="6"/>
                <c:pt idx="0">
                  <c:v>0.5</c:v>
                </c:pt>
                <c:pt idx="1">
                  <c:v>1.1000000000000001</c:v>
                </c:pt>
                <c:pt idx="2">
                  <c:v>0.3000000000000001</c:v>
                </c:pt>
                <c:pt idx="3">
                  <c:v>1.5</c:v>
                </c:pt>
                <c:pt idx="4">
                  <c:v>0</c:v>
                </c:pt>
                <c:pt idx="5">
                  <c:v>0</c:v>
                </c:pt>
              </c:numCache>
            </c:numRef>
          </c:val>
        </c:ser>
        <c:dLbls>
          <c:showLegendKey val="0"/>
          <c:showVal val="0"/>
          <c:showCatName val="0"/>
          <c:showSerName val="0"/>
          <c:showPercent val="0"/>
          <c:showBubbleSize val="0"/>
        </c:dLbls>
        <c:gapWidth val="150"/>
        <c:overlap val="100"/>
        <c:axId val="89473536"/>
        <c:axId val="109347968"/>
      </c:barChart>
      <c:catAx>
        <c:axId val="89473536"/>
        <c:scaling>
          <c:orientation val="minMax"/>
        </c:scaling>
        <c:delete val="0"/>
        <c:axPos val="b"/>
        <c:majorTickMark val="out"/>
        <c:minorTickMark val="none"/>
        <c:tickLblPos val="nextTo"/>
        <c:txPr>
          <a:bodyPr/>
          <a:lstStyle/>
          <a:p>
            <a:pPr>
              <a:defRPr b="1"/>
            </a:pPr>
            <a:endParaRPr lang="tr-TR"/>
          </a:p>
        </c:txPr>
        <c:crossAx val="109347968"/>
        <c:crosses val="autoZero"/>
        <c:auto val="1"/>
        <c:lblAlgn val="ctr"/>
        <c:lblOffset val="100"/>
        <c:noMultiLvlLbl val="0"/>
      </c:catAx>
      <c:valAx>
        <c:axId val="109347968"/>
        <c:scaling>
          <c:orientation val="minMax"/>
        </c:scaling>
        <c:delete val="0"/>
        <c:axPos val="l"/>
        <c:majorGridlines/>
        <c:numFmt formatCode="General" sourceLinked="1"/>
        <c:majorTickMark val="out"/>
        <c:minorTickMark val="none"/>
        <c:tickLblPos val="nextTo"/>
        <c:crossAx val="89473536"/>
        <c:crosses val="autoZero"/>
        <c:crossBetween val="between"/>
      </c:valAx>
    </c:plotArea>
    <c:legend>
      <c:legendPos val="r"/>
      <c:legendEntry>
        <c:idx val="2"/>
        <c:delete val="1"/>
      </c:legendEntry>
      <c:legendEntry>
        <c:idx val="3"/>
        <c:delete val="1"/>
      </c:legendEntry>
      <c:layout>
        <c:manualLayout>
          <c:xMode val="edge"/>
          <c:yMode val="edge"/>
          <c:x val="0.50189412369965392"/>
          <c:y val="0.12321014308695293"/>
          <c:w val="0.26232272382377753"/>
          <c:h val="0.19443992887985778"/>
        </c:manualLayout>
      </c:layout>
      <c:overlay val="0"/>
      <c:spPr>
        <a:solidFill>
          <a:srgbClr val="FFFF00"/>
        </a:solidFill>
        <a:ln>
          <a:solidFill>
            <a:schemeClr val="tx1"/>
          </a:solidFill>
        </a:ln>
      </c:sp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0.00594</cdr:x>
      <cdr:y>0.4496</cdr:y>
    </cdr:from>
    <cdr:to>
      <cdr:x>0.16541</cdr:x>
      <cdr:y>0.83669</cdr:y>
    </cdr:to>
    <cdr:sp macro="" textlink="">
      <cdr:nvSpPr>
        <cdr:cNvPr id="2" name="Metin kutusu 1"/>
        <cdr:cNvSpPr txBox="1"/>
      </cdr:nvSpPr>
      <cdr:spPr>
        <a:xfrm xmlns:a="http://schemas.openxmlformats.org/drawingml/2006/main" rot="16200000">
          <a:off x="-80188" y="1168364"/>
          <a:ext cx="914400" cy="7017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900" b="1"/>
            <a:t>VOC Emisyonu,</a:t>
          </a:r>
          <a:r>
            <a:rPr lang="tr-TR" sz="900" b="1" baseline="0"/>
            <a:t> gr/m2</a:t>
          </a:r>
          <a:endParaRPr lang="tr-TR" sz="900" b="1"/>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120E-016C-4C51-B88A-35C7A2ED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4460</Words>
  <Characters>25424</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Serpil Akın</cp:lastModifiedBy>
  <cp:revision>2</cp:revision>
  <cp:lastPrinted>2016-08-14T15:49:00Z</cp:lastPrinted>
  <dcterms:created xsi:type="dcterms:W3CDTF">2017-03-07T12:53:00Z</dcterms:created>
  <dcterms:modified xsi:type="dcterms:W3CDTF">2017-03-07T12:53:00Z</dcterms:modified>
</cp:coreProperties>
</file>