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9F" w:rsidRPr="00431023" w:rsidRDefault="00FF6E59" w:rsidP="001175CB">
      <w:pPr>
        <w:rPr>
          <w:sz w:val="12"/>
        </w:rPr>
      </w:pPr>
      <w:r w:rsidRPr="00431023">
        <w:rPr>
          <w:noProof/>
          <w:sz w:val="12"/>
          <w:lang w:val="en-US" w:eastAsia="en-US"/>
        </w:rPr>
        <w:drawing>
          <wp:anchor distT="0" distB="0" distL="114300" distR="114300" simplePos="0" relativeHeight="251658239" behindDoc="0" locked="0" layoutInCell="1" allowOverlap="1" wp14:anchorId="7F478908" wp14:editId="7660F748">
            <wp:simplePos x="0" y="0"/>
            <wp:positionH relativeFrom="column">
              <wp:posOffset>5715</wp:posOffset>
            </wp:positionH>
            <wp:positionV relativeFrom="paragraph">
              <wp:posOffset>-118745</wp:posOffset>
            </wp:positionV>
            <wp:extent cx="7104380" cy="362077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lean_Header_v3.jpg"/>
                    <pic:cNvPicPr/>
                  </pic:nvPicPr>
                  <pic:blipFill>
                    <a:blip r:embed="rId7">
                      <a:extLst>
                        <a:ext uri="{28A0092B-C50C-407E-A947-70E740481C1C}">
                          <a14:useLocalDpi xmlns:a14="http://schemas.microsoft.com/office/drawing/2010/main" val="0"/>
                        </a:ext>
                      </a:extLst>
                    </a:blip>
                    <a:stretch>
                      <a:fillRect/>
                    </a:stretch>
                  </pic:blipFill>
                  <pic:spPr>
                    <a:xfrm>
                      <a:off x="0" y="0"/>
                      <a:ext cx="7104380" cy="3620770"/>
                    </a:xfrm>
                    <a:prstGeom prst="rect">
                      <a:avLst/>
                    </a:prstGeom>
                  </pic:spPr>
                </pic:pic>
              </a:graphicData>
            </a:graphic>
            <wp14:sizeRelH relativeFrom="margin">
              <wp14:pctWidth>0</wp14:pctWidth>
            </wp14:sizeRelH>
            <wp14:sizeRelV relativeFrom="margin">
              <wp14:pctHeight>0</wp14:pctHeight>
            </wp14:sizeRelV>
          </wp:anchor>
        </w:drawing>
      </w:r>
      <w:r w:rsidRPr="00431023">
        <w:rPr>
          <w:noProof/>
          <w:sz w:val="12"/>
          <w:lang w:val="en-US" w:eastAsia="en-US"/>
        </w:rPr>
        <mc:AlternateContent>
          <mc:Choice Requires="wps">
            <w:drawing>
              <wp:anchor distT="0" distB="0" distL="114300" distR="114300" simplePos="0" relativeHeight="251662336" behindDoc="0" locked="1" layoutInCell="1" allowOverlap="1" wp14:anchorId="202F55DB" wp14:editId="52FD735F">
                <wp:simplePos x="0" y="0"/>
                <wp:positionH relativeFrom="column">
                  <wp:posOffset>34925</wp:posOffset>
                </wp:positionH>
                <wp:positionV relativeFrom="page">
                  <wp:posOffset>3214370</wp:posOffset>
                </wp:positionV>
                <wp:extent cx="7052310" cy="407035"/>
                <wp:effectExtent l="0" t="0" r="0" b="0"/>
                <wp:wrapNone/>
                <wp:docPr id="4" name="Text Box 4"/>
                <wp:cNvGraphicFramePr/>
                <a:graphic xmlns:a="http://schemas.openxmlformats.org/drawingml/2006/main">
                  <a:graphicData uri="http://schemas.microsoft.com/office/word/2010/wordprocessingShape">
                    <wps:wsp>
                      <wps:cNvSpPr txBox="1"/>
                      <wps:spPr>
                        <a:xfrm>
                          <a:off x="0" y="0"/>
                          <a:ext cx="7052310" cy="407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5E1" w:rsidRPr="00BB3B45" w:rsidRDefault="000A25E1" w:rsidP="000E0CCD">
                            <w:pPr>
                              <w:rPr>
                                <w:b/>
                                <w:i/>
                                <w:color w:val="FFFFFF" w:themeColor="background1"/>
                                <w:sz w:val="28"/>
                                <w:szCs w:val="36"/>
                              </w:rPr>
                            </w:pPr>
                            <w:r w:rsidRPr="00BB3B45">
                              <w:rPr>
                                <w:b/>
                                <w:i/>
                                <w:color w:val="FFFFFF" w:themeColor="background1"/>
                                <w:sz w:val="28"/>
                                <w:szCs w:val="36"/>
                                <w:lang w:val="en-US"/>
                              </w:rPr>
                              <w:t xml:space="preserve">Kanalizasyon Çamur Atığının </w:t>
                            </w:r>
                            <w:r>
                              <w:rPr>
                                <w:b/>
                                <w:i/>
                                <w:color w:val="FFFFFF" w:themeColor="background1"/>
                                <w:sz w:val="28"/>
                                <w:szCs w:val="36"/>
                                <w:lang w:val="en-US"/>
                              </w:rPr>
                              <w:t>Kl</w:t>
                            </w:r>
                            <w:r>
                              <w:rPr>
                                <w:b/>
                                <w:i/>
                                <w:color w:val="FFFFFF" w:themeColor="background1"/>
                                <w:sz w:val="28"/>
                                <w:szCs w:val="36"/>
                              </w:rPr>
                              <w:t xml:space="preserve">inker Üretimi için </w:t>
                            </w:r>
                            <w:r>
                              <w:rPr>
                                <w:b/>
                                <w:i/>
                                <w:color w:val="FFFFFF" w:themeColor="background1"/>
                                <w:sz w:val="28"/>
                                <w:szCs w:val="36"/>
                                <w:lang w:val="en-US"/>
                              </w:rPr>
                              <w:t>Alternatif Yakıt Olarak Kullanımı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5pt;margin-top:253.1pt;width:555.3pt;height:3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" filled="f" stroked="f" strokeweight=".5pt">
                <v:textbox>
                  <w:txbxContent>
                    <w:p w:rsidR="000A25E1" w:rsidRPr="00BB3B45" w:rsidRDefault="000A25E1" w:rsidP="000E0CCD">
                      <w:pPr>
                        <w:rPr>
                          <w:b/>
                          <w:i/>
                          <w:color w:val="FFFFFF" w:themeColor="background1"/>
                          <w:sz w:val="28"/>
                          <w:szCs w:val="36"/>
                        </w:rPr>
                      </w:pPr>
                      <w:r w:rsidRPr="00BB3B45">
                        <w:rPr>
                          <w:b/>
                          <w:i/>
                          <w:color w:val="FFFFFF" w:themeColor="background1"/>
                          <w:sz w:val="28"/>
                          <w:szCs w:val="36"/>
                          <w:lang w:val="en-US"/>
                        </w:rPr>
                        <w:t xml:space="preserve">Kanalizasyon Çamur Atığının </w:t>
                      </w:r>
                      <w:r>
                        <w:rPr>
                          <w:b/>
                          <w:i/>
                          <w:color w:val="FFFFFF" w:themeColor="background1"/>
                          <w:sz w:val="28"/>
                          <w:szCs w:val="36"/>
                          <w:lang w:val="en-US"/>
                        </w:rPr>
                        <w:t>Kl</w:t>
                      </w:r>
                      <w:r>
                        <w:rPr>
                          <w:b/>
                          <w:i/>
                          <w:color w:val="FFFFFF" w:themeColor="background1"/>
                          <w:sz w:val="28"/>
                          <w:szCs w:val="36"/>
                        </w:rPr>
                        <w:t xml:space="preserve">inker Üretimi için </w:t>
                      </w:r>
                      <w:r>
                        <w:rPr>
                          <w:b/>
                          <w:i/>
                          <w:color w:val="FFFFFF" w:themeColor="background1"/>
                          <w:sz w:val="28"/>
                          <w:szCs w:val="36"/>
                          <w:lang w:val="en-US"/>
                        </w:rPr>
                        <w:t>Alternatif Yakıt Olarak Kullanımı</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4384" behindDoc="0" locked="1" layoutInCell="1" allowOverlap="1" wp14:anchorId="0EB7FABB" wp14:editId="431A8CAF">
                <wp:simplePos x="0" y="0"/>
                <wp:positionH relativeFrom="column">
                  <wp:posOffset>333375</wp:posOffset>
                </wp:positionH>
                <wp:positionV relativeFrom="page">
                  <wp:posOffset>2692400</wp:posOffset>
                </wp:positionV>
                <wp:extent cx="748030" cy="4114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74803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5E1" w:rsidRPr="006C1BF8" w:rsidRDefault="000A25E1" w:rsidP="002B1B10">
                            <w:pPr>
                              <w:rPr>
                                <w:b/>
                                <w:color w:val="FFFFFF" w:themeColor="background1"/>
                                <w:sz w:val="48"/>
                                <w:lang w:val="en-US"/>
                              </w:rPr>
                            </w:pPr>
                            <w:r>
                              <w:rPr>
                                <w:b/>
                                <w:color w:val="FFFFFF" w:themeColor="background1"/>
                                <w:sz w:val="40"/>
                                <w:lang w:val="en-US"/>
                              </w:rPr>
                              <w:t>141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6.25pt;margin-top:212pt;width:58.9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" filled="f" stroked="f" strokeweight=".5pt">
                <v:textbox>
                  <w:txbxContent>
                    <w:p w:rsidR="000A25E1" w:rsidRPr="006C1BF8" w:rsidRDefault="000A25E1" w:rsidP="002B1B10">
                      <w:pPr>
                        <w:rPr>
                          <w:b/>
                          <w:color w:val="FFFFFF" w:themeColor="background1"/>
                          <w:sz w:val="48"/>
                          <w:lang w:val="en-US"/>
                        </w:rPr>
                      </w:pPr>
                      <w:r>
                        <w:rPr>
                          <w:b/>
                          <w:color w:val="FFFFFF" w:themeColor="background1"/>
                          <w:sz w:val="40"/>
                          <w:lang w:val="en-US"/>
                        </w:rPr>
                        <w:t>141</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6432" behindDoc="0" locked="1" layoutInCell="1" allowOverlap="1" wp14:anchorId="016B6B71" wp14:editId="110571F2">
                <wp:simplePos x="0" y="0"/>
                <wp:positionH relativeFrom="column">
                  <wp:posOffset>5831840</wp:posOffset>
                </wp:positionH>
                <wp:positionV relativeFrom="page">
                  <wp:posOffset>5080</wp:posOffset>
                </wp:positionV>
                <wp:extent cx="1270635" cy="4114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270635"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5E1" w:rsidRPr="00A65EF2" w:rsidRDefault="000A25E1" w:rsidP="005147AB">
                            <w:pPr>
                              <w:rPr>
                                <w:b/>
                                <w:color w:val="FFFFFF" w:themeColor="background1"/>
                                <w:sz w:val="36"/>
                              </w:rPr>
                            </w:pPr>
                            <w:r>
                              <w:rPr>
                                <w:b/>
                                <w:color w:val="FFFFFF" w:themeColor="background1"/>
                                <w:sz w:val="36"/>
                              </w:rPr>
                              <w:t>İSPANYA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459.2pt;margin-top:.4pt;width:100.05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" filled="f" stroked="f" strokeweight=".5pt">
                <v:textbox>
                  <w:txbxContent>
                    <w:p w:rsidR="000A25E1" w:rsidRPr="00A65EF2" w:rsidRDefault="000A25E1" w:rsidP="005147AB">
                      <w:pPr>
                        <w:rPr>
                          <w:b/>
                          <w:color w:val="FFFFFF" w:themeColor="background1"/>
                          <w:sz w:val="36"/>
                        </w:rPr>
                      </w:pPr>
                      <w:r>
                        <w:rPr>
                          <w:b/>
                          <w:color w:val="FFFFFF" w:themeColor="background1"/>
                          <w:sz w:val="36"/>
                        </w:rPr>
                        <w:t>İSPANYA</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0288" behindDoc="0" locked="1" layoutInCell="1" allowOverlap="1" wp14:anchorId="15D9E06B" wp14:editId="62832D81">
                <wp:simplePos x="0" y="0"/>
                <wp:positionH relativeFrom="column">
                  <wp:posOffset>1042035</wp:posOffset>
                </wp:positionH>
                <wp:positionV relativeFrom="page">
                  <wp:posOffset>2737485</wp:posOffset>
                </wp:positionV>
                <wp:extent cx="5769610" cy="4114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76961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5E1" w:rsidRPr="000009F4" w:rsidRDefault="000A25E1" w:rsidP="004706E2">
                            <w:pPr>
                              <w:ind w:left="720"/>
                              <w:rPr>
                                <w:b/>
                                <w:i/>
                                <w:color w:val="FFFFFF" w:themeColor="background1"/>
                                <w:sz w:val="32"/>
                              </w:rPr>
                            </w:pPr>
                            <w:r w:rsidRPr="000009F4">
                              <w:rPr>
                                <w:b/>
                                <w:i/>
                                <w:color w:val="FFFFFF" w:themeColor="background1"/>
                                <w:sz w:val="32"/>
                              </w:rPr>
                              <w:t>Kirliliğin önlenmesine ilişkin örnek çalışmalar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82.05pt;margin-top:215.55pt;width:454.3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" filled="f" stroked="f" strokeweight=".5pt">
                <v:textbox>
                  <w:txbxContent>
                    <w:p w:rsidR="000A25E1" w:rsidRPr="000009F4" w:rsidRDefault="000A25E1" w:rsidP="004706E2">
                      <w:pPr>
                        <w:ind w:left="720"/>
                        <w:rPr>
                          <w:b/>
                          <w:i/>
                          <w:color w:val="FFFFFF" w:themeColor="background1"/>
                          <w:sz w:val="32"/>
                        </w:rPr>
                      </w:pPr>
                      <w:r w:rsidRPr="000009F4">
                        <w:rPr>
                          <w:b/>
                          <w:i/>
                          <w:color w:val="FFFFFF" w:themeColor="background1"/>
                          <w:sz w:val="32"/>
                        </w:rPr>
                        <w:t>Kirliliğin önlenmesine ilişkin örnek çalışmalar</w:t>
                      </w:r>
                    </w:p>
                  </w:txbxContent>
                </v:textbox>
                <w10:wrap anchory="page"/>
                <w10:anchorlock/>
              </v:shape>
            </w:pict>
          </mc:Fallback>
        </mc:AlternateContent>
      </w:r>
    </w:p>
    <w:tbl>
      <w:tblPr>
        <w:tblStyle w:val="TableGrid"/>
        <w:tblW w:w="10848" w:type="dxa"/>
        <w:tblInd w:w="234" w:type="dxa"/>
        <w:tblBorders>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Pr>
      <w:tblGrid>
        <w:gridCol w:w="1530"/>
        <w:gridCol w:w="9318"/>
      </w:tblGrid>
      <w:tr w:rsidR="005502F2" w:rsidRPr="00CC73A7" w:rsidTr="00157A84">
        <w:trPr>
          <w:trHeight w:val="197"/>
        </w:trPr>
        <w:tc>
          <w:tcPr>
            <w:tcW w:w="1530" w:type="dxa"/>
            <w:tcBorders>
              <w:top w:val="single" w:sz="12" w:space="0" w:color="00B050"/>
              <w:left w:val="single" w:sz="12" w:space="0" w:color="00B050"/>
              <w:bottom w:val="single" w:sz="12" w:space="0" w:color="00B050"/>
              <w:right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Şirket bilgileri</w:t>
            </w:r>
          </w:p>
        </w:tc>
        <w:tc>
          <w:tcPr>
            <w:tcW w:w="9318" w:type="dxa"/>
            <w:tcBorders>
              <w:top w:val="single" w:sz="12" w:space="0" w:color="00B050"/>
              <w:left w:val="single" w:sz="12" w:space="0" w:color="00B050"/>
              <w:bottom w:val="single" w:sz="12" w:space="0" w:color="00B050"/>
              <w:right w:val="single" w:sz="12" w:space="0" w:color="00B050"/>
            </w:tcBorders>
          </w:tcPr>
          <w:p w:rsidR="00BB52FA" w:rsidRPr="00CD6FEE" w:rsidRDefault="00A65EF2" w:rsidP="00BB3B45">
            <w:pPr>
              <w:jc w:val="both"/>
              <w:rPr>
                <w:rFonts w:ascii="Times New Roman" w:hAnsi="Times New Roman" w:cs="Times New Roman"/>
                <w:sz w:val="18"/>
                <w:lang w:val="en-US"/>
              </w:rPr>
            </w:pPr>
            <w:r w:rsidRPr="00CD6FEE">
              <w:rPr>
                <w:rFonts w:ascii="Times New Roman" w:hAnsi="Times New Roman" w:cs="Times New Roman"/>
                <w:sz w:val="18"/>
              </w:rPr>
              <w:t>Cemex Al</w:t>
            </w:r>
            <w:r w:rsidR="00BB3B45" w:rsidRPr="00CD6FEE">
              <w:rPr>
                <w:rFonts w:ascii="Times New Roman" w:hAnsi="Times New Roman" w:cs="Times New Roman"/>
                <w:sz w:val="18"/>
              </w:rPr>
              <w:t>icante</w:t>
            </w:r>
            <w:r w:rsidRPr="00CD6FEE">
              <w:rPr>
                <w:rFonts w:ascii="Times New Roman" w:hAnsi="Times New Roman" w:cs="Times New Roman"/>
                <w:sz w:val="18"/>
              </w:rPr>
              <w:t xml:space="preserve"> (İspanya).</w:t>
            </w:r>
          </w:p>
        </w:tc>
      </w:tr>
      <w:tr w:rsidR="005502F2" w:rsidRPr="00CC73A7" w:rsidTr="00157A84">
        <w:trPr>
          <w:trHeight w:val="71"/>
        </w:trPr>
        <w:tc>
          <w:tcPr>
            <w:tcW w:w="1530" w:type="dxa"/>
            <w:tcBorders>
              <w:top w:val="single" w:sz="12" w:space="0" w:color="00B050"/>
              <w:left w:val="single" w:sz="12" w:space="0" w:color="00B050"/>
              <w:bottom w:val="single" w:sz="12" w:space="0" w:color="00B050"/>
              <w:right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Endüstri</w:t>
            </w:r>
            <w:r w:rsidR="005F14DF">
              <w:rPr>
                <w:rFonts w:ascii="Times New Roman" w:hAnsi="Times New Roman" w:cs="Times New Roman"/>
                <w:b/>
                <w:color w:val="00B050"/>
              </w:rPr>
              <w:t>yel sektör</w:t>
            </w:r>
          </w:p>
        </w:tc>
        <w:tc>
          <w:tcPr>
            <w:tcW w:w="9318" w:type="dxa"/>
            <w:tcBorders>
              <w:top w:val="single" w:sz="12" w:space="0" w:color="00B050"/>
              <w:left w:val="single" w:sz="12" w:space="0" w:color="00B050"/>
              <w:bottom w:val="single" w:sz="12" w:space="0" w:color="00B050"/>
              <w:right w:val="single" w:sz="12" w:space="0" w:color="00B050"/>
            </w:tcBorders>
          </w:tcPr>
          <w:p w:rsidR="005502F2" w:rsidRPr="00CD6FEE" w:rsidRDefault="00A05D58" w:rsidP="002A4F91">
            <w:pPr>
              <w:jc w:val="both"/>
              <w:rPr>
                <w:rFonts w:ascii="Times New Roman" w:hAnsi="Times New Roman" w:cs="Times New Roman"/>
                <w:sz w:val="18"/>
              </w:rPr>
            </w:pPr>
            <w:r w:rsidRPr="00CD6FEE">
              <w:rPr>
                <w:rFonts w:ascii="Times New Roman" w:hAnsi="Times New Roman" w:cs="Times New Roman"/>
                <w:sz w:val="18"/>
              </w:rPr>
              <w:t>Çimento, kireç ve alçı üretimi.</w:t>
            </w:r>
          </w:p>
          <w:p w:rsidR="00A05D58" w:rsidRPr="00CD6FEE" w:rsidRDefault="00A05D58" w:rsidP="002A4F91">
            <w:pPr>
              <w:jc w:val="both"/>
              <w:rPr>
                <w:rFonts w:ascii="Times New Roman" w:hAnsi="Times New Roman" w:cs="Times New Roman"/>
                <w:sz w:val="18"/>
              </w:rPr>
            </w:pPr>
            <w:r w:rsidRPr="00CD6FEE">
              <w:rPr>
                <w:rFonts w:ascii="Times New Roman" w:hAnsi="Times New Roman" w:cs="Times New Roman"/>
                <w:sz w:val="18"/>
              </w:rPr>
              <w:t>ISIC Rev 4 n</w:t>
            </w:r>
            <w:r w:rsidR="00BB3B45" w:rsidRPr="00CD6FEE">
              <w:rPr>
                <w:rFonts w:ascii="Times New Roman" w:hAnsi="Times New Roman" w:cs="Times New Roman"/>
                <w:sz w:val="18"/>
              </w:rPr>
              <w:t>o</w:t>
            </w:r>
            <w:r w:rsidRPr="00CD6FEE">
              <w:rPr>
                <w:rFonts w:ascii="Times New Roman" w:hAnsi="Times New Roman" w:cs="Times New Roman"/>
                <w:sz w:val="18"/>
              </w:rPr>
              <w:t>. 2394 (Tüm Ekonomik Faaliyetlerin Uluslararası Standart Sanayi Sınıflaması)</w:t>
            </w:r>
          </w:p>
        </w:tc>
      </w:tr>
      <w:tr w:rsidR="00375291" w:rsidRPr="00CC73A7" w:rsidTr="00157A84">
        <w:trPr>
          <w:trHeight w:val="314"/>
        </w:trPr>
        <w:tc>
          <w:tcPr>
            <w:tcW w:w="1530" w:type="dxa"/>
            <w:tcBorders>
              <w:top w:val="single" w:sz="12" w:space="0" w:color="00B050"/>
              <w:left w:val="single" w:sz="12" w:space="0" w:color="00B050"/>
              <w:bottom w:val="single" w:sz="12" w:space="0" w:color="00B050"/>
              <w:right w:val="single" w:sz="12" w:space="0" w:color="00B050"/>
            </w:tcBorders>
          </w:tcPr>
          <w:p w:rsidR="00375291" w:rsidRPr="00CC73A7" w:rsidRDefault="00375291" w:rsidP="00690302">
            <w:pPr>
              <w:jc w:val="left"/>
              <w:rPr>
                <w:rFonts w:ascii="Times New Roman" w:hAnsi="Times New Roman" w:cs="Times New Roman"/>
                <w:b/>
                <w:color w:val="00B050"/>
              </w:rPr>
            </w:pPr>
            <w:r w:rsidRPr="00CC73A7">
              <w:rPr>
                <w:rFonts w:ascii="Times New Roman" w:hAnsi="Times New Roman" w:cs="Times New Roman"/>
                <w:b/>
                <w:color w:val="00B050"/>
              </w:rPr>
              <w:t>Çevresel bakımdan dikkate alınacak konular</w:t>
            </w:r>
          </w:p>
        </w:tc>
        <w:tc>
          <w:tcPr>
            <w:tcW w:w="9318" w:type="dxa"/>
            <w:tcBorders>
              <w:top w:val="single" w:sz="12" w:space="0" w:color="00B050"/>
              <w:left w:val="single" w:sz="12" w:space="0" w:color="00B050"/>
              <w:bottom w:val="single" w:sz="12" w:space="0" w:color="00B050"/>
              <w:right w:val="single" w:sz="12" w:space="0" w:color="00B050"/>
            </w:tcBorders>
          </w:tcPr>
          <w:p w:rsidR="00375291" w:rsidRPr="00B85264" w:rsidRDefault="00375291" w:rsidP="00494F6C">
            <w:pPr>
              <w:jc w:val="both"/>
              <w:rPr>
                <w:rFonts w:ascii="Times New Roman" w:hAnsi="Times New Roman" w:cs="Times New Roman"/>
                <w:sz w:val="18"/>
              </w:rPr>
            </w:pPr>
            <w:r w:rsidRPr="00B85264">
              <w:rPr>
                <w:rFonts w:ascii="Times New Roman" w:hAnsi="Times New Roman" w:cs="Times New Roman"/>
                <w:sz w:val="18"/>
              </w:rPr>
              <w:t>Cemex şirketinin son yıllarda uyguladığı politikalar, şirketin Kurumsal Sosyal Sorumluluk raporunda hedeflediği kriterlerle uyuşmaktadır.  Bu politika, sürdürülebilir kalkınmanın üç temel taşı arasında bir denge bulmaya yönelik bir uygulama, strateji ve ticari yönetim sistemleri yelpazesi içerdiği için çevre ile ilgili iş hukuku ve mevzuatına uymak hedefinin de ötesine geçmektedir.  Bu üç temel taş, ekonomi, toplum ve çevredir.  Bu sürdürülebilir kalkınma stratejisi, bu tür faaliyetlerin yürütüldüğü farklı alanlarda Cemex şirketinin atmış olduğu somut adımlarda kendini göstermektedir.  Bu adımları gösteren bazı örnekler şunlardır:</w:t>
            </w:r>
          </w:p>
          <w:p w:rsidR="00375291" w:rsidRPr="00B85264" w:rsidRDefault="00375291" w:rsidP="00494F6C">
            <w:pPr>
              <w:pStyle w:val="ListParagraph"/>
              <w:numPr>
                <w:ilvl w:val="0"/>
                <w:numId w:val="29"/>
              </w:numPr>
              <w:ind w:left="360"/>
              <w:jc w:val="both"/>
              <w:rPr>
                <w:rFonts w:ascii="Times New Roman" w:hAnsi="Times New Roman" w:cs="Times New Roman"/>
                <w:sz w:val="18"/>
              </w:rPr>
            </w:pPr>
            <w:r w:rsidRPr="00B85264">
              <w:rPr>
                <w:rFonts w:ascii="Times New Roman" w:hAnsi="Times New Roman" w:cs="Times New Roman"/>
                <w:sz w:val="18"/>
              </w:rPr>
              <w:t>Yenilenemez kaynakların tüketiminin azaltılması.</w:t>
            </w:r>
          </w:p>
          <w:p w:rsidR="00375291" w:rsidRPr="00B85264" w:rsidRDefault="00375291" w:rsidP="00494F6C">
            <w:pPr>
              <w:pStyle w:val="ListParagraph"/>
              <w:numPr>
                <w:ilvl w:val="0"/>
                <w:numId w:val="29"/>
              </w:numPr>
              <w:ind w:left="360"/>
              <w:jc w:val="both"/>
              <w:rPr>
                <w:rFonts w:ascii="Times New Roman" w:hAnsi="Times New Roman" w:cs="Times New Roman"/>
                <w:sz w:val="18"/>
              </w:rPr>
            </w:pPr>
            <w:r w:rsidRPr="00B85264">
              <w:rPr>
                <w:rFonts w:ascii="Times New Roman" w:hAnsi="Times New Roman" w:cs="Times New Roman"/>
                <w:sz w:val="18"/>
              </w:rPr>
              <w:t>Faaliyetlerin çevreye etkilerinin azaltılması.</w:t>
            </w:r>
          </w:p>
          <w:p w:rsidR="00375291" w:rsidRPr="00B85264" w:rsidRDefault="00375291" w:rsidP="00494F6C">
            <w:pPr>
              <w:pStyle w:val="ListParagraph"/>
              <w:numPr>
                <w:ilvl w:val="0"/>
                <w:numId w:val="29"/>
              </w:numPr>
              <w:ind w:left="360"/>
              <w:jc w:val="both"/>
              <w:rPr>
                <w:rFonts w:ascii="Times New Roman" w:hAnsi="Times New Roman" w:cs="Times New Roman"/>
                <w:sz w:val="18"/>
              </w:rPr>
            </w:pPr>
            <w:r w:rsidRPr="00B85264">
              <w:rPr>
                <w:rFonts w:ascii="Times New Roman" w:hAnsi="Times New Roman" w:cs="Times New Roman"/>
                <w:sz w:val="18"/>
              </w:rPr>
              <w:t>Çevre halkının yaşamına katılım.</w:t>
            </w:r>
          </w:p>
        </w:tc>
      </w:tr>
      <w:tr w:rsidR="00375291" w:rsidRPr="00CC73A7" w:rsidTr="00157A84">
        <w:trPr>
          <w:trHeight w:val="258"/>
        </w:trPr>
        <w:tc>
          <w:tcPr>
            <w:tcW w:w="1530" w:type="dxa"/>
            <w:tcBorders>
              <w:top w:val="single" w:sz="12" w:space="0" w:color="00B050"/>
              <w:left w:val="single" w:sz="12" w:space="0" w:color="00B050"/>
              <w:bottom w:val="single" w:sz="12" w:space="0" w:color="00B050"/>
              <w:right w:val="single" w:sz="12" w:space="0" w:color="00B050"/>
            </w:tcBorders>
          </w:tcPr>
          <w:p w:rsidR="00375291" w:rsidRPr="00CC73A7" w:rsidRDefault="00375291" w:rsidP="00690302">
            <w:pPr>
              <w:jc w:val="left"/>
              <w:rPr>
                <w:rFonts w:ascii="Times New Roman" w:hAnsi="Times New Roman" w:cs="Times New Roman"/>
                <w:b/>
                <w:color w:val="00B050"/>
              </w:rPr>
            </w:pPr>
            <w:r>
              <w:rPr>
                <w:rFonts w:ascii="Times New Roman" w:hAnsi="Times New Roman" w:cs="Times New Roman"/>
                <w:b/>
                <w:color w:val="00B050"/>
              </w:rPr>
              <w:t>Gerekli bilgiler</w:t>
            </w:r>
          </w:p>
        </w:tc>
        <w:tc>
          <w:tcPr>
            <w:tcW w:w="9318" w:type="dxa"/>
            <w:tcBorders>
              <w:top w:val="single" w:sz="12" w:space="0" w:color="00B050"/>
              <w:left w:val="single" w:sz="12" w:space="0" w:color="00B050"/>
              <w:bottom w:val="single" w:sz="12" w:space="0" w:color="00B050"/>
              <w:right w:val="single" w:sz="12" w:space="0" w:color="00B050"/>
            </w:tcBorders>
          </w:tcPr>
          <w:p w:rsidR="00375291" w:rsidRPr="00CD6FEE" w:rsidRDefault="00375291" w:rsidP="00375291">
            <w:pPr>
              <w:jc w:val="both"/>
              <w:rPr>
                <w:rFonts w:ascii="Times New Roman" w:hAnsi="Times New Roman" w:cs="Times New Roman"/>
                <w:sz w:val="18"/>
              </w:rPr>
            </w:pPr>
            <w:r w:rsidRPr="00CD6FEE">
              <w:rPr>
                <w:rFonts w:ascii="Times New Roman" w:hAnsi="Times New Roman" w:cs="Times New Roman"/>
                <w:sz w:val="18"/>
              </w:rPr>
              <w:t xml:space="preserve">Alicante </w:t>
            </w:r>
            <w:r>
              <w:rPr>
                <w:rFonts w:ascii="Times New Roman" w:hAnsi="Times New Roman" w:cs="Times New Roman"/>
                <w:sz w:val="18"/>
              </w:rPr>
              <w:t xml:space="preserve">fabrikasi </w:t>
            </w:r>
            <w:r w:rsidRPr="00CD6FEE">
              <w:rPr>
                <w:rFonts w:ascii="Times New Roman" w:hAnsi="Times New Roman" w:cs="Times New Roman"/>
                <w:sz w:val="18"/>
              </w:rPr>
              <w:t>endüstriyel faaliyetine başladığından bu yana tesislerinin çevrede bıraktığı etki konusuna her zaman ilgi göstermiştir.  Şirket bu nedenle, çevre ile ilgili performansını sürekli iyileştirmek için aralık 2000 tarihinden beri UNE-EN-ISO 14001:1996 standardının gereksinimlerini karşılayan bir çevre yönetim sistemi uygulamaktadır.  Bu sistem 2005 yılında yeni UNE-EN-ISO 14001:2004 standardı onayını da almıştır.</w:t>
            </w:r>
          </w:p>
        </w:tc>
      </w:tr>
      <w:tr w:rsidR="00375291" w:rsidRPr="00CC73A7" w:rsidTr="00157A84">
        <w:trPr>
          <w:trHeight w:val="278"/>
        </w:trPr>
        <w:tc>
          <w:tcPr>
            <w:tcW w:w="1530" w:type="dxa"/>
            <w:tcBorders>
              <w:top w:val="single" w:sz="12" w:space="0" w:color="00B050"/>
              <w:left w:val="single" w:sz="12" w:space="0" w:color="00B050"/>
              <w:bottom w:val="single" w:sz="12" w:space="0" w:color="00B050"/>
              <w:right w:val="single" w:sz="12" w:space="0" w:color="00B050"/>
            </w:tcBorders>
          </w:tcPr>
          <w:p w:rsidR="00375291" w:rsidRDefault="00375291" w:rsidP="00690302">
            <w:pPr>
              <w:jc w:val="left"/>
              <w:rPr>
                <w:rFonts w:ascii="Times New Roman" w:hAnsi="Times New Roman" w:cs="Times New Roman"/>
                <w:b/>
                <w:color w:val="00B050"/>
              </w:rPr>
            </w:pPr>
            <w:r>
              <w:rPr>
                <w:rFonts w:ascii="Times New Roman" w:hAnsi="Times New Roman" w:cs="Times New Roman"/>
                <w:b/>
                <w:color w:val="00B050"/>
              </w:rPr>
              <w:t>Faaliyetlerin özeti</w:t>
            </w:r>
          </w:p>
        </w:tc>
        <w:tc>
          <w:tcPr>
            <w:tcW w:w="9318" w:type="dxa"/>
            <w:tcBorders>
              <w:top w:val="single" w:sz="12" w:space="0" w:color="00B050"/>
              <w:left w:val="single" w:sz="12" w:space="0" w:color="00B050"/>
              <w:bottom w:val="single" w:sz="12" w:space="0" w:color="00B050"/>
              <w:right w:val="single" w:sz="12" w:space="0" w:color="00B050"/>
            </w:tcBorders>
          </w:tcPr>
          <w:p w:rsidR="00375291" w:rsidRDefault="00375291" w:rsidP="00140DD6">
            <w:pPr>
              <w:jc w:val="both"/>
              <w:rPr>
                <w:rFonts w:ascii="Times New Roman" w:hAnsi="Times New Roman" w:cs="Times New Roman"/>
                <w:sz w:val="18"/>
              </w:rPr>
            </w:pPr>
            <w:r>
              <w:rPr>
                <w:rFonts w:ascii="Times New Roman" w:hAnsi="Times New Roman" w:cs="Times New Roman"/>
                <w:sz w:val="18"/>
              </w:rPr>
              <w:t>Proje, önceden kurutulmuş olan atık su çamur atığının klinker üretim fırınında alternatif yakıt olarak kullanımını içermektedir.  Bu madde 3.000-4.000 kcal/kg değerinde ısıldeğere sahiptir ve derişimi 0,6-0,7 t/m</w:t>
            </w:r>
            <w:r w:rsidRPr="003206BB">
              <w:rPr>
                <w:rFonts w:ascii="Times New Roman" w:hAnsi="Times New Roman" w:cs="Times New Roman"/>
                <w:sz w:val="18"/>
                <w:vertAlign w:val="superscript"/>
              </w:rPr>
              <w:t>3</w:t>
            </w:r>
            <w:r>
              <w:rPr>
                <w:rFonts w:ascii="Times New Roman" w:hAnsi="Times New Roman" w:cs="Times New Roman"/>
                <w:sz w:val="18"/>
              </w:rPr>
              <w:t xml:space="preserve"> değerlerindedir; bu değerler</w:t>
            </w:r>
            <w:r w:rsidR="00F014B5">
              <w:rPr>
                <w:rFonts w:ascii="Times New Roman" w:hAnsi="Times New Roman" w:cs="Times New Roman"/>
                <w:sz w:val="18"/>
              </w:rPr>
              <w:t>,</w:t>
            </w:r>
            <w:r>
              <w:rPr>
                <w:rFonts w:ascii="Times New Roman" w:hAnsi="Times New Roman" w:cs="Times New Roman"/>
                <w:sz w:val="18"/>
              </w:rPr>
              <w:t xml:space="preserve"> </w:t>
            </w:r>
            <w:r w:rsidR="00F014B5">
              <w:rPr>
                <w:rFonts w:ascii="Times New Roman" w:hAnsi="Times New Roman" w:cs="Times New Roman"/>
                <w:sz w:val="18"/>
              </w:rPr>
              <w:t xml:space="preserve">kullanımda </w:t>
            </w:r>
            <w:r>
              <w:rPr>
                <w:rFonts w:ascii="Times New Roman" w:hAnsi="Times New Roman" w:cs="Times New Roman"/>
                <w:sz w:val="18"/>
              </w:rPr>
              <w:t>geleneksel fosil yakıtlarının yerine geç</w:t>
            </w:r>
            <w:r w:rsidR="00F014B5">
              <w:rPr>
                <w:rFonts w:ascii="Times New Roman" w:hAnsi="Times New Roman" w:cs="Times New Roman"/>
                <w:sz w:val="18"/>
              </w:rPr>
              <w:t>ebilme</w:t>
            </w:r>
            <w:r>
              <w:rPr>
                <w:rFonts w:ascii="Times New Roman" w:hAnsi="Times New Roman" w:cs="Times New Roman"/>
                <w:sz w:val="18"/>
              </w:rPr>
              <w:t>si bakımından ideal değerlerdir.</w:t>
            </w:r>
          </w:p>
          <w:p w:rsidR="00375291" w:rsidRPr="00CD6FEE" w:rsidRDefault="00375291" w:rsidP="00140DD6">
            <w:pPr>
              <w:jc w:val="both"/>
              <w:rPr>
                <w:rFonts w:ascii="Times New Roman" w:hAnsi="Times New Roman" w:cs="Times New Roman"/>
                <w:sz w:val="18"/>
              </w:rPr>
            </w:pPr>
          </w:p>
          <w:p w:rsidR="00375291" w:rsidRPr="00CD6FEE" w:rsidRDefault="00375291" w:rsidP="00140DD6">
            <w:pPr>
              <w:jc w:val="both"/>
              <w:rPr>
                <w:rFonts w:ascii="Times New Roman" w:hAnsi="Times New Roman" w:cs="Times New Roman"/>
                <w:sz w:val="18"/>
              </w:rPr>
            </w:pPr>
            <w:r>
              <w:rPr>
                <w:rFonts w:ascii="Times New Roman" w:hAnsi="Times New Roman" w:cs="Times New Roman"/>
                <w:sz w:val="18"/>
              </w:rPr>
              <w:t>Elde edilen yararlar şunlardır</w:t>
            </w:r>
            <w:r w:rsidRPr="00CD6FEE">
              <w:rPr>
                <w:rFonts w:ascii="Times New Roman" w:hAnsi="Times New Roman" w:cs="Times New Roman"/>
                <w:sz w:val="18"/>
              </w:rPr>
              <w:t>:</w:t>
            </w:r>
          </w:p>
          <w:p w:rsidR="00375291" w:rsidRPr="00CD6FEE" w:rsidRDefault="00375291" w:rsidP="00140DD6">
            <w:pPr>
              <w:jc w:val="both"/>
              <w:rPr>
                <w:rFonts w:ascii="Times New Roman" w:hAnsi="Times New Roman" w:cs="Times New Roman"/>
                <w:sz w:val="18"/>
              </w:rPr>
            </w:pPr>
          </w:p>
          <w:p w:rsidR="00375291" w:rsidRDefault="00375291" w:rsidP="003206BB">
            <w:pPr>
              <w:pStyle w:val="ListParagraph"/>
              <w:numPr>
                <w:ilvl w:val="0"/>
                <w:numId w:val="28"/>
              </w:numPr>
              <w:ind w:left="360"/>
              <w:jc w:val="both"/>
              <w:rPr>
                <w:rFonts w:ascii="Times New Roman" w:hAnsi="Times New Roman" w:cs="Times New Roman"/>
                <w:sz w:val="18"/>
              </w:rPr>
            </w:pPr>
            <w:r>
              <w:rPr>
                <w:rFonts w:ascii="Times New Roman" w:hAnsi="Times New Roman" w:cs="Times New Roman"/>
                <w:sz w:val="18"/>
              </w:rPr>
              <w:t>Kurutulmuş çamur atığın alternatif yakıt olarak kullanımı; bu, kok kömürü gibi çevreye olumsuz etki olasılığı daha fazla olan diğer maddelerin yakılmasının önüne geçmekte, ve Kyoto Protokolu’nun içeriğinde belirtilen sera gazları emisyonlarında indirim hedefine paralel olarak CO</w:t>
            </w:r>
            <w:r w:rsidRPr="003206BB">
              <w:rPr>
                <w:rFonts w:ascii="Times New Roman" w:hAnsi="Times New Roman" w:cs="Times New Roman"/>
                <w:sz w:val="18"/>
                <w:vertAlign w:val="subscript"/>
              </w:rPr>
              <w:t>2</w:t>
            </w:r>
            <w:r>
              <w:rPr>
                <w:rFonts w:ascii="Times New Roman" w:hAnsi="Times New Roman" w:cs="Times New Roman"/>
                <w:sz w:val="18"/>
              </w:rPr>
              <w:t xml:space="preserve"> emisyonlarının azaltılmasına katkıda bulunmaktadır.</w:t>
            </w:r>
          </w:p>
          <w:p w:rsidR="00375291" w:rsidRPr="00CD6FEE" w:rsidRDefault="00375291" w:rsidP="003206BB">
            <w:pPr>
              <w:pStyle w:val="ListParagraph"/>
              <w:numPr>
                <w:ilvl w:val="0"/>
                <w:numId w:val="28"/>
              </w:numPr>
              <w:ind w:left="360"/>
              <w:jc w:val="both"/>
              <w:rPr>
                <w:rFonts w:ascii="Times New Roman" w:hAnsi="Times New Roman" w:cs="Times New Roman"/>
                <w:sz w:val="18"/>
              </w:rPr>
            </w:pPr>
            <w:r>
              <w:rPr>
                <w:rFonts w:ascii="Times New Roman" w:hAnsi="Times New Roman" w:cs="Times New Roman"/>
                <w:sz w:val="18"/>
              </w:rPr>
              <w:t xml:space="preserve">Kanalizasyon çamur atığının giderilmesi sayesinde </w:t>
            </w:r>
            <w:r w:rsidR="00F014B5">
              <w:rPr>
                <w:rFonts w:ascii="Times New Roman" w:hAnsi="Times New Roman" w:cs="Times New Roman"/>
                <w:sz w:val="18"/>
              </w:rPr>
              <w:t xml:space="preserve">katı </w:t>
            </w:r>
            <w:r>
              <w:rPr>
                <w:rFonts w:ascii="Times New Roman" w:hAnsi="Times New Roman" w:cs="Times New Roman"/>
                <w:sz w:val="18"/>
              </w:rPr>
              <w:t>atık gömmenin ve diğer çevre dostu olmayan uygulamaların önüne geçilmesi.</w:t>
            </w:r>
          </w:p>
        </w:tc>
      </w:tr>
      <w:tr w:rsidR="00375291" w:rsidTr="00157A84">
        <w:trPr>
          <w:trHeight w:val="22"/>
        </w:trPr>
        <w:tc>
          <w:tcPr>
            <w:tcW w:w="1530" w:type="dxa"/>
            <w:tcBorders>
              <w:top w:val="single" w:sz="12" w:space="0" w:color="00B050"/>
              <w:left w:val="single" w:sz="12" w:space="0" w:color="00B050"/>
              <w:bottom w:val="single" w:sz="12" w:space="0" w:color="00B050"/>
              <w:right w:val="single" w:sz="12" w:space="0" w:color="00B050"/>
            </w:tcBorders>
          </w:tcPr>
          <w:p w:rsidR="00375291" w:rsidRPr="00386071" w:rsidRDefault="00375291" w:rsidP="00386071">
            <w:pPr>
              <w:jc w:val="left"/>
              <w:rPr>
                <w:rFonts w:ascii="Times New Roman" w:hAnsi="Times New Roman" w:cs="Times New Roman"/>
                <w:b/>
                <w:color w:val="00B050"/>
                <w:sz w:val="20"/>
              </w:rPr>
            </w:pPr>
            <w:r>
              <w:rPr>
                <w:rFonts w:ascii="Times New Roman" w:hAnsi="Times New Roman" w:cs="Times New Roman"/>
                <w:b/>
                <w:color w:val="00B050"/>
                <w:sz w:val="20"/>
              </w:rPr>
              <w:t>Şemalar</w:t>
            </w:r>
          </w:p>
        </w:tc>
        <w:tc>
          <w:tcPr>
            <w:tcW w:w="9318" w:type="dxa"/>
            <w:tcBorders>
              <w:top w:val="single" w:sz="12" w:space="0" w:color="00B050"/>
              <w:left w:val="single" w:sz="12" w:space="0" w:color="00B050"/>
              <w:bottom w:val="single" w:sz="12" w:space="0" w:color="00B050"/>
              <w:right w:val="single" w:sz="12" w:space="0" w:color="00B050"/>
            </w:tcBorders>
          </w:tcPr>
          <w:p w:rsidR="00375291" w:rsidRPr="00386071" w:rsidRDefault="00375291" w:rsidP="00CD6FEE">
            <w:pPr>
              <w:tabs>
                <w:tab w:val="left" w:pos="5397"/>
              </w:tabs>
            </w:pPr>
            <w:r>
              <w:rPr>
                <w:noProof/>
                <w:lang w:val="en-US" w:eastAsia="en-US"/>
              </w:rPr>
              <w:drawing>
                <wp:inline distT="0" distB="0" distL="0" distR="0" wp14:anchorId="0D3BB9A6" wp14:editId="474DD60B">
                  <wp:extent cx="4567189" cy="1651183"/>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_Şema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7719" cy="1651375"/>
                          </a:xfrm>
                          <a:prstGeom prst="rect">
                            <a:avLst/>
                          </a:prstGeom>
                        </pic:spPr>
                      </pic:pic>
                    </a:graphicData>
                  </a:graphic>
                </wp:inline>
              </w:drawing>
            </w:r>
          </w:p>
        </w:tc>
      </w:tr>
      <w:tr w:rsidR="00375291" w:rsidTr="00157A84">
        <w:trPr>
          <w:trHeight w:val="26"/>
        </w:trPr>
        <w:tc>
          <w:tcPr>
            <w:tcW w:w="1530" w:type="dxa"/>
            <w:tcBorders>
              <w:top w:val="single" w:sz="12" w:space="0" w:color="00B050"/>
              <w:left w:val="single" w:sz="12" w:space="0" w:color="00B050"/>
              <w:bottom w:val="single" w:sz="8" w:space="0" w:color="auto"/>
              <w:right w:val="single" w:sz="12" w:space="0" w:color="00B050"/>
            </w:tcBorders>
          </w:tcPr>
          <w:p w:rsidR="00375291" w:rsidRDefault="00375291" w:rsidP="00386071">
            <w:pPr>
              <w:jc w:val="left"/>
              <w:rPr>
                <w:rFonts w:ascii="Times New Roman" w:hAnsi="Times New Roman" w:cs="Times New Roman"/>
                <w:b/>
                <w:color w:val="00B050"/>
              </w:rPr>
            </w:pPr>
            <w:r>
              <w:rPr>
                <w:rFonts w:ascii="Times New Roman" w:hAnsi="Times New Roman" w:cs="Times New Roman"/>
                <w:b/>
                <w:color w:val="00B050"/>
                <w:sz w:val="20"/>
              </w:rPr>
              <w:t>Fotoğraf</w:t>
            </w:r>
          </w:p>
        </w:tc>
        <w:tc>
          <w:tcPr>
            <w:tcW w:w="9318" w:type="dxa"/>
            <w:tcBorders>
              <w:top w:val="single" w:sz="12" w:space="0" w:color="00B050"/>
              <w:left w:val="single" w:sz="12" w:space="0" w:color="00B050"/>
              <w:bottom w:val="single" w:sz="8" w:space="0" w:color="auto"/>
              <w:right w:val="single" w:sz="12" w:space="0" w:color="00B050"/>
            </w:tcBorders>
          </w:tcPr>
          <w:p w:rsidR="00375291" w:rsidRPr="000728D3" w:rsidRDefault="00375291" w:rsidP="0098503D">
            <w:pPr>
              <w:jc w:val="both"/>
              <w:rPr>
                <w:rFonts w:ascii="Times New Roman" w:hAnsi="Times New Roman" w:cs="Times New Roman"/>
              </w:rPr>
            </w:pPr>
            <w:r>
              <w:rPr>
                <w:rFonts w:ascii="Times New Roman" w:hAnsi="Times New Roman" w:cs="Times New Roman"/>
                <w:noProof/>
                <w:lang w:val="en-US" w:eastAsia="en-US"/>
              </w:rPr>
              <w:drawing>
                <wp:inline distT="0" distB="0" distL="0" distR="0" wp14:anchorId="10193B71" wp14:editId="330A108E">
                  <wp:extent cx="5774489" cy="395346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_Şema_2.jpg"/>
                          <pic:cNvPicPr/>
                        </pic:nvPicPr>
                        <pic:blipFill>
                          <a:blip r:embed="rId9">
                            <a:extLst>
                              <a:ext uri="{28A0092B-C50C-407E-A947-70E740481C1C}">
                                <a14:useLocalDpi xmlns:a14="http://schemas.microsoft.com/office/drawing/2010/main" val="0"/>
                              </a:ext>
                            </a:extLst>
                          </a:blip>
                          <a:stretch>
                            <a:fillRect/>
                          </a:stretch>
                        </pic:blipFill>
                        <pic:spPr>
                          <a:xfrm>
                            <a:off x="0" y="0"/>
                            <a:ext cx="5774489" cy="3953466"/>
                          </a:xfrm>
                          <a:prstGeom prst="rect">
                            <a:avLst/>
                          </a:prstGeom>
                        </pic:spPr>
                      </pic:pic>
                    </a:graphicData>
                  </a:graphic>
                </wp:inline>
              </w:drawing>
            </w:r>
          </w:p>
        </w:tc>
      </w:tr>
      <w:tr w:rsidR="00375291" w:rsidTr="00157A84">
        <w:trPr>
          <w:trHeight w:val="1313"/>
        </w:trPr>
        <w:tc>
          <w:tcPr>
            <w:tcW w:w="1530" w:type="dxa"/>
            <w:tcBorders>
              <w:top w:val="single" w:sz="12" w:space="0" w:color="00B050"/>
              <w:left w:val="single" w:sz="12" w:space="0" w:color="00B050"/>
              <w:bottom w:val="single" w:sz="8" w:space="0" w:color="auto"/>
              <w:right w:val="single" w:sz="12" w:space="0" w:color="00B050"/>
            </w:tcBorders>
          </w:tcPr>
          <w:p w:rsidR="00375291" w:rsidRDefault="00375291" w:rsidP="00386071">
            <w:pPr>
              <w:jc w:val="left"/>
              <w:rPr>
                <w:rFonts w:ascii="Times New Roman" w:hAnsi="Times New Roman" w:cs="Times New Roman"/>
                <w:b/>
                <w:color w:val="00B050"/>
                <w:sz w:val="20"/>
              </w:rPr>
            </w:pPr>
            <w:r>
              <w:rPr>
                <w:rFonts w:ascii="Times New Roman" w:hAnsi="Times New Roman" w:cs="Times New Roman"/>
                <w:b/>
                <w:color w:val="00B050"/>
                <w:sz w:val="20"/>
              </w:rPr>
              <w:t>Bakiyeler</w:t>
            </w:r>
          </w:p>
        </w:tc>
        <w:tc>
          <w:tcPr>
            <w:tcW w:w="9318" w:type="dxa"/>
            <w:tcBorders>
              <w:top w:val="single" w:sz="12" w:space="0" w:color="00B050"/>
              <w:left w:val="single" w:sz="12" w:space="0" w:color="00B050"/>
              <w:bottom w:val="single" w:sz="8" w:space="0" w:color="auto"/>
              <w:right w:val="single" w:sz="12" w:space="0" w:color="00B050"/>
            </w:tcBorders>
          </w:tcPr>
          <w:tbl>
            <w:tblPr>
              <w:tblStyle w:val="TableGrid"/>
              <w:tblW w:w="0" w:type="auto"/>
              <w:tblLayout w:type="fixed"/>
              <w:tblLook w:val="04A0" w:firstRow="1" w:lastRow="0" w:firstColumn="1" w:lastColumn="0" w:noHBand="0" w:noVBand="1"/>
            </w:tblPr>
            <w:tblGrid>
              <w:gridCol w:w="3005"/>
              <w:gridCol w:w="3005"/>
              <w:gridCol w:w="3005"/>
            </w:tblGrid>
            <w:tr w:rsidR="00375291" w:rsidTr="00C6648B">
              <w:tc>
                <w:tcPr>
                  <w:tcW w:w="3005" w:type="dxa"/>
                  <w:tcBorders>
                    <w:bottom w:val="single" w:sz="4" w:space="0" w:color="auto"/>
                  </w:tcBorders>
                </w:tcPr>
                <w:p w:rsidR="00375291" w:rsidRDefault="00375291" w:rsidP="00C6648B">
                  <w:pPr>
                    <w:rPr>
                      <w:rFonts w:ascii="Times New Roman" w:hAnsi="Times New Roman" w:cs="Times New Roman"/>
                    </w:rPr>
                  </w:pPr>
                </w:p>
              </w:tc>
              <w:tc>
                <w:tcPr>
                  <w:tcW w:w="3005" w:type="dxa"/>
                  <w:tcBorders>
                    <w:bottom w:val="single" w:sz="4" w:space="0" w:color="auto"/>
                  </w:tcBorders>
                  <w:shd w:val="clear" w:color="auto" w:fill="65C4A4"/>
                </w:tcPr>
                <w:p w:rsidR="00375291" w:rsidRPr="00C6648B" w:rsidRDefault="00375291" w:rsidP="00C6648B">
                  <w:pPr>
                    <w:rPr>
                      <w:rFonts w:ascii="Times New Roman" w:hAnsi="Times New Roman" w:cs="Times New Roman"/>
                      <w:b/>
                    </w:rPr>
                  </w:pPr>
                  <w:r w:rsidRPr="00C6648B">
                    <w:rPr>
                      <w:rFonts w:ascii="Times New Roman" w:hAnsi="Times New Roman" w:cs="Times New Roman"/>
                      <w:b/>
                    </w:rPr>
                    <w:t>ESKİ PROSES</w:t>
                  </w:r>
                </w:p>
              </w:tc>
              <w:tc>
                <w:tcPr>
                  <w:tcW w:w="3005" w:type="dxa"/>
                  <w:tcBorders>
                    <w:bottom w:val="single" w:sz="4" w:space="0" w:color="auto"/>
                  </w:tcBorders>
                  <w:shd w:val="clear" w:color="auto" w:fill="65C4A4"/>
                </w:tcPr>
                <w:p w:rsidR="00375291" w:rsidRPr="00C6648B" w:rsidRDefault="00375291" w:rsidP="00C6648B">
                  <w:pPr>
                    <w:rPr>
                      <w:rFonts w:ascii="Times New Roman" w:hAnsi="Times New Roman" w:cs="Times New Roman"/>
                      <w:b/>
                    </w:rPr>
                  </w:pPr>
                  <w:r w:rsidRPr="00C6648B">
                    <w:rPr>
                      <w:rFonts w:ascii="Times New Roman" w:hAnsi="Times New Roman" w:cs="Times New Roman"/>
                      <w:b/>
                    </w:rPr>
                    <w:t>YENİ PROSES</w:t>
                  </w:r>
                </w:p>
              </w:tc>
            </w:tr>
            <w:tr w:rsidR="00375291" w:rsidTr="00F014B5">
              <w:trPr>
                <w:trHeight w:val="559"/>
              </w:trPr>
              <w:tc>
                <w:tcPr>
                  <w:tcW w:w="3005" w:type="dxa"/>
                  <w:tcBorders>
                    <w:bottom w:val="single" w:sz="4" w:space="0" w:color="auto"/>
                  </w:tcBorders>
                  <w:shd w:val="clear" w:color="auto" w:fill="8893BA"/>
                  <w:vAlign w:val="center"/>
                </w:tcPr>
                <w:p w:rsidR="00375291" w:rsidRPr="00C6648B" w:rsidRDefault="00375291" w:rsidP="00F014B5">
                  <w:pPr>
                    <w:rPr>
                      <w:rFonts w:ascii="Times New Roman" w:hAnsi="Times New Roman" w:cs="Times New Roman"/>
                      <w:b/>
                    </w:rPr>
                  </w:pPr>
                  <w:r w:rsidRPr="00C6648B">
                    <w:rPr>
                      <w:rFonts w:ascii="Times New Roman" w:hAnsi="Times New Roman" w:cs="Times New Roman"/>
                      <w:b/>
                    </w:rPr>
                    <w:t>Tanım</w:t>
                  </w:r>
                </w:p>
              </w:tc>
              <w:tc>
                <w:tcPr>
                  <w:tcW w:w="3005" w:type="dxa"/>
                  <w:tcBorders>
                    <w:bottom w:val="single" w:sz="4" w:space="0" w:color="auto"/>
                  </w:tcBorders>
                  <w:shd w:val="clear" w:color="auto" w:fill="BFBFBF" w:themeFill="background1" w:themeFillShade="BF"/>
                  <w:vAlign w:val="center"/>
                </w:tcPr>
                <w:p w:rsidR="00375291" w:rsidRDefault="00375291" w:rsidP="009F5CF3">
                  <w:pPr>
                    <w:jc w:val="left"/>
                    <w:rPr>
                      <w:rFonts w:ascii="Times New Roman" w:hAnsi="Times New Roman" w:cs="Times New Roman"/>
                    </w:rPr>
                  </w:pPr>
                  <w:r>
                    <w:rPr>
                      <w:rFonts w:ascii="Times New Roman" w:hAnsi="Times New Roman" w:cs="Times New Roman"/>
                    </w:rPr>
                    <w:t>Kok, vb. gibi fosil yakıtlarının kullanımı.</w:t>
                  </w:r>
                </w:p>
              </w:tc>
              <w:tc>
                <w:tcPr>
                  <w:tcW w:w="3005" w:type="dxa"/>
                  <w:tcBorders>
                    <w:bottom w:val="single" w:sz="4" w:space="0" w:color="auto"/>
                  </w:tcBorders>
                  <w:shd w:val="clear" w:color="auto" w:fill="BFBFBF" w:themeFill="background1" w:themeFillShade="BF"/>
                  <w:vAlign w:val="center"/>
                </w:tcPr>
                <w:p w:rsidR="00375291" w:rsidRDefault="00375291" w:rsidP="009F5CF3">
                  <w:pPr>
                    <w:jc w:val="left"/>
                    <w:rPr>
                      <w:rFonts w:ascii="Times New Roman" w:hAnsi="Times New Roman" w:cs="Times New Roman"/>
                    </w:rPr>
                  </w:pPr>
                  <w:r>
                    <w:rPr>
                      <w:rFonts w:ascii="Times New Roman" w:hAnsi="Times New Roman" w:cs="Times New Roman"/>
                    </w:rPr>
                    <w:t>Kokun %6’sının kuru çamur atık ile değiştirilmesi (13.412 t)</w:t>
                  </w:r>
                </w:p>
              </w:tc>
            </w:tr>
            <w:tr w:rsidR="00375291" w:rsidTr="00F014B5">
              <w:trPr>
                <w:trHeight w:val="442"/>
              </w:trPr>
              <w:tc>
                <w:tcPr>
                  <w:tcW w:w="3005" w:type="dxa"/>
                  <w:tcBorders>
                    <w:bottom w:val="single" w:sz="4" w:space="0" w:color="auto"/>
                  </w:tcBorders>
                  <w:shd w:val="clear" w:color="auto" w:fill="FED304"/>
                  <w:vAlign w:val="center"/>
                </w:tcPr>
                <w:p w:rsidR="00375291" w:rsidRPr="00C6648B" w:rsidRDefault="00375291" w:rsidP="00F014B5">
                  <w:pPr>
                    <w:rPr>
                      <w:rFonts w:ascii="Times New Roman" w:hAnsi="Times New Roman" w:cs="Times New Roman"/>
                      <w:b/>
                    </w:rPr>
                  </w:pPr>
                  <w:r w:rsidRPr="00C6648B">
                    <w:rPr>
                      <w:rFonts w:ascii="Times New Roman" w:hAnsi="Times New Roman" w:cs="Times New Roman"/>
                      <w:b/>
                    </w:rPr>
                    <w:t>Maliyet</w:t>
                  </w:r>
                </w:p>
              </w:tc>
              <w:tc>
                <w:tcPr>
                  <w:tcW w:w="3005" w:type="dxa"/>
                  <w:tcBorders>
                    <w:bottom w:val="single" w:sz="4" w:space="0" w:color="auto"/>
                  </w:tcBorders>
                  <w:shd w:val="clear" w:color="auto" w:fill="FFE097"/>
                  <w:vAlign w:val="center"/>
                </w:tcPr>
                <w:p w:rsidR="00375291" w:rsidRDefault="00375291" w:rsidP="009F5CF3">
                  <w:pPr>
                    <w:jc w:val="left"/>
                    <w:rPr>
                      <w:rFonts w:ascii="Times New Roman" w:hAnsi="Times New Roman" w:cs="Times New Roman"/>
                    </w:rPr>
                  </w:pPr>
                  <w:r>
                    <w:rPr>
                      <w:rFonts w:ascii="Times New Roman" w:hAnsi="Times New Roman" w:cs="Times New Roman"/>
                    </w:rPr>
                    <w:t>Geleneksel yakıt maliyeti: gizli</w:t>
                  </w:r>
                </w:p>
              </w:tc>
              <w:tc>
                <w:tcPr>
                  <w:tcW w:w="3005" w:type="dxa"/>
                  <w:tcBorders>
                    <w:bottom w:val="single" w:sz="4" w:space="0" w:color="auto"/>
                  </w:tcBorders>
                  <w:shd w:val="clear" w:color="auto" w:fill="FFE097"/>
                  <w:vAlign w:val="center"/>
                </w:tcPr>
                <w:p w:rsidR="00375291" w:rsidRPr="00E42BCC" w:rsidRDefault="00375291" w:rsidP="009F5CF3">
                  <w:pPr>
                    <w:jc w:val="left"/>
                    <w:rPr>
                      <w:rFonts w:ascii="Times New Roman" w:hAnsi="Times New Roman" w:cs="Times New Roman"/>
                    </w:rPr>
                  </w:pPr>
                  <w:r>
                    <w:rPr>
                      <w:rFonts w:ascii="Times New Roman" w:hAnsi="Times New Roman" w:cs="Times New Roman"/>
                    </w:rPr>
                    <w:t>Çamur atık maliyeti: gizli</w:t>
                  </w:r>
                </w:p>
              </w:tc>
            </w:tr>
            <w:tr w:rsidR="00375291" w:rsidTr="00F014B5">
              <w:trPr>
                <w:trHeight w:val="1270"/>
              </w:trPr>
              <w:tc>
                <w:tcPr>
                  <w:tcW w:w="3005" w:type="dxa"/>
                  <w:tcBorders>
                    <w:bottom w:val="single" w:sz="4" w:space="0" w:color="auto"/>
                  </w:tcBorders>
                  <w:shd w:val="clear" w:color="auto" w:fill="8893BA"/>
                  <w:vAlign w:val="center"/>
                </w:tcPr>
                <w:p w:rsidR="00375291" w:rsidRPr="00C6648B" w:rsidRDefault="00375291" w:rsidP="00F014B5">
                  <w:pPr>
                    <w:rPr>
                      <w:rFonts w:ascii="Times New Roman" w:hAnsi="Times New Roman" w:cs="Times New Roman"/>
                      <w:b/>
                    </w:rPr>
                  </w:pPr>
                  <w:r w:rsidRPr="00C6648B">
                    <w:rPr>
                      <w:rFonts w:ascii="Times New Roman" w:hAnsi="Times New Roman" w:cs="Times New Roman"/>
                      <w:b/>
                    </w:rPr>
                    <w:t>Toplam tasarruf</w:t>
                  </w:r>
                </w:p>
              </w:tc>
              <w:tc>
                <w:tcPr>
                  <w:tcW w:w="3005" w:type="dxa"/>
                  <w:tcBorders>
                    <w:bottom w:val="single" w:sz="4" w:space="0" w:color="auto"/>
                  </w:tcBorders>
                  <w:shd w:val="clear" w:color="auto" w:fill="BFBFBF" w:themeFill="background1" w:themeFillShade="BF"/>
                  <w:vAlign w:val="center"/>
                </w:tcPr>
                <w:p w:rsidR="00375291" w:rsidRDefault="00375291" w:rsidP="009F5CF3">
                  <w:pPr>
                    <w:jc w:val="left"/>
                    <w:rPr>
                      <w:rFonts w:ascii="Times New Roman" w:hAnsi="Times New Roman" w:cs="Times New Roman"/>
                    </w:rPr>
                  </w:pPr>
                </w:p>
              </w:tc>
              <w:tc>
                <w:tcPr>
                  <w:tcW w:w="3005" w:type="dxa"/>
                  <w:tcBorders>
                    <w:bottom w:val="single" w:sz="4" w:space="0" w:color="auto"/>
                  </w:tcBorders>
                  <w:shd w:val="clear" w:color="auto" w:fill="BFBFBF" w:themeFill="background1" w:themeFillShade="BF"/>
                  <w:vAlign w:val="center"/>
                </w:tcPr>
                <w:p w:rsidR="00375291" w:rsidRDefault="00375291" w:rsidP="000A25E1">
                  <w:pPr>
                    <w:jc w:val="left"/>
                    <w:rPr>
                      <w:rFonts w:ascii="Times New Roman" w:hAnsi="Times New Roman" w:cs="Times New Roman"/>
                      <w:b/>
                    </w:rPr>
                  </w:pPr>
                  <w:r>
                    <w:rPr>
                      <w:rFonts w:ascii="Times New Roman" w:hAnsi="Times New Roman" w:cs="Times New Roman"/>
                    </w:rPr>
                    <w:t xml:space="preserve">Çamur atık maliyeti: </w:t>
                  </w:r>
                  <w:r>
                    <w:rPr>
                      <w:rFonts w:ascii="Times New Roman" w:hAnsi="Times New Roman" w:cs="Times New Roman"/>
                      <w:b/>
                    </w:rPr>
                    <w:t>gizli</w:t>
                  </w:r>
                </w:p>
                <w:p w:rsidR="00375291" w:rsidRDefault="00375291" w:rsidP="000A25E1">
                  <w:pPr>
                    <w:jc w:val="left"/>
                    <w:rPr>
                      <w:rFonts w:ascii="Times New Roman" w:hAnsi="Times New Roman" w:cs="Times New Roman"/>
                      <w:b/>
                    </w:rPr>
                  </w:pPr>
                </w:p>
                <w:p w:rsidR="00375291" w:rsidRPr="00E42BCC" w:rsidRDefault="00375291" w:rsidP="00E42BCC">
                  <w:pPr>
                    <w:jc w:val="left"/>
                    <w:rPr>
                      <w:rFonts w:ascii="Times New Roman" w:hAnsi="Times New Roman" w:cs="Times New Roman"/>
                    </w:rPr>
                  </w:pPr>
                  <w:r w:rsidRPr="00E42BCC">
                    <w:rPr>
                      <w:rFonts w:ascii="Times New Roman" w:hAnsi="Times New Roman" w:cs="Times New Roman"/>
                    </w:rPr>
                    <w:t xml:space="preserve">Çamur atıkda bulunan biokütle </w:t>
                  </w:r>
                  <w:r>
                    <w:rPr>
                      <w:rFonts w:ascii="Times New Roman" w:hAnsi="Times New Roman" w:cs="Times New Roman"/>
                    </w:rPr>
                    <w:t xml:space="preserve">bileşiği nedeniyle </w:t>
                  </w:r>
                  <w:r w:rsidRPr="00E42BCC">
                    <w:rPr>
                      <w:rFonts w:ascii="Times New Roman" w:hAnsi="Times New Roman" w:cs="Times New Roman"/>
                    </w:rPr>
                    <w:t>CO</w:t>
                  </w:r>
                  <w:r w:rsidRPr="00E42BCC">
                    <w:rPr>
                      <w:rFonts w:ascii="Times New Roman" w:hAnsi="Times New Roman" w:cs="Times New Roman"/>
                      <w:vertAlign w:val="subscript"/>
                    </w:rPr>
                    <w:t>2</w:t>
                  </w:r>
                  <w:r w:rsidRPr="00E42BCC">
                    <w:rPr>
                      <w:rFonts w:ascii="Times New Roman" w:hAnsi="Times New Roman" w:cs="Times New Roman"/>
                    </w:rPr>
                    <w:t xml:space="preserve"> </w:t>
                  </w:r>
                  <w:r>
                    <w:rPr>
                      <w:rFonts w:ascii="Times New Roman" w:hAnsi="Times New Roman" w:cs="Times New Roman"/>
                    </w:rPr>
                    <w:t xml:space="preserve">emisyonlarından tahmini tasarruf: </w:t>
                  </w:r>
                  <w:r w:rsidRPr="00E42BCC">
                    <w:rPr>
                      <w:rFonts w:ascii="Times New Roman" w:hAnsi="Times New Roman" w:cs="Times New Roman"/>
                      <w:b/>
                    </w:rPr>
                    <w:t>15.500 t/yıl</w:t>
                  </w:r>
                </w:p>
              </w:tc>
            </w:tr>
            <w:tr w:rsidR="00375291" w:rsidTr="00F014B5">
              <w:trPr>
                <w:trHeight w:val="1045"/>
              </w:trPr>
              <w:tc>
                <w:tcPr>
                  <w:tcW w:w="3005" w:type="dxa"/>
                  <w:shd w:val="clear" w:color="auto" w:fill="FED304"/>
                  <w:vAlign w:val="center"/>
                </w:tcPr>
                <w:p w:rsidR="00375291" w:rsidRPr="00C6648B" w:rsidRDefault="00375291" w:rsidP="00F014B5">
                  <w:pPr>
                    <w:rPr>
                      <w:rFonts w:ascii="Times New Roman" w:hAnsi="Times New Roman" w:cs="Times New Roman"/>
                      <w:b/>
                    </w:rPr>
                  </w:pPr>
                  <w:r w:rsidRPr="00C6648B">
                    <w:rPr>
                      <w:rFonts w:ascii="Times New Roman" w:hAnsi="Times New Roman" w:cs="Times New Roman"/>
                      <w:b/>
                    </w:rPr>
                    <w:t>Yatırım getirisi</w:t>
                  </w:r>
                </w:p>
              </w:tc>
              <w:tc>
                <w:tcPr>
                  <w:tcW w:w="3005" w:type="dxa"/>
                  <w:shd w:val="clear" w:color="auto" w:fill="FFE097"/>
                  <w:vAlign w:val="center"/>
                </w:tcPr>
                <w:p w:rsidR="00375291" w:rsidRDefault="00375291" w:rsidP="009F5CF3">
                  <w:pPr>
                    <w:jc w:val="left"/>
                    <w:rPr>
                      <w:rFonts w:ascii="Times New Roman" w:hAnsi="Times New Roman" w:cs="Times New Roman"/>
                    </w:rPr>
                  </w:pPr>
                </w:p>
              </w:tc>
              <w:tc>
                <w:tcPr>
                  <w:tcW w:w="3005" w:type="dxa"/>
                  <w:shd w:val="clear" w:color="auto" w:fill="FFE097"/>
                  <w:vAlign w:val="center"/>
                </w:tcPr>
                <w:p w:rsidR="00375291" w:rsidRDefault="00375291" w:rsidP="009F5CF3">
                  <w:pPr>
                    <w:jc w:val="left"/>
                    <w:rPr>
                      <w:rFonts w:ascii="Times New Roman" w:hAnsi="Times New Roman" w:cs="Times New Roman"/>
                    </w:rPr>
                  </w:pPr>
                  <w:r>
                    <w:rPr>
                      <w:rFonts w:ascii="Times New Roman" w:hAnsi="Times New Roman" w:cs="Times New Roman"/>
                    </w:rPr>
                    <w:t>Bazı verilerin gizliliği nedeniyle hesaplanması mümkün değildir.</w:t>
                  </w:r>
                </w:p>
              </w:tc>
            </w:tr>
          </w:tbl>
          <w:p w:rsidR="00375291" w:rsidRPr="000728D3" w:rsidRDefault="00375291" w:rsidP="0098503D">
            <w:pPr>
              <w:jc w:val="both"/>
              <w:rPr>
                <w:rFonts w:ascii="Times New Roman" w:hAnsi="Times New Roman" w:cs="Times New Roman"/>
              </w:rPr>
            </w:pPr>
          </w:p>
        </w:tc>
      </w:tr>
      <w:tr w:rsidR="00375291" w:rsidTr="00157A84">
        <w:trPr>
          <w:trHeight w:val="258"/>
        </w:trPr>
        <w:tc>
          <w:tcPr>
            <w:tcW w:w="1530" w:type="dxa"/>
            <w:tcBorders>
              <w:top w:val="single" w:sz="12" w:space="0" w:color="00B050"/>
              <w:left w:val="single" w:sz="12" w:space="0" w:color="00B050"/>
              <w:bottom w:val="single" w:sz="12" w:space="0" w:color="00B050"/>
              <w:right w:val="single" w:sz="12" w:space="0" w:color="00B050"/>
            </w:tcBorders>
          </w:tcPr>
          <w:p w:rsidR="00375291" w:rsidRDefault="00375291" w:rsidP="00690302">
            <w:pPr>
              <w:jc w:val="left"/>
              <w:rPr>
                <w:rFonts w:ascii="Times New Roman" w:hAnsi="Times New Roman" w:cs="Times New Roman"/>
                <w:b/>
                <w:color w:val="00B050"/>
              </w:rPr>
            </w:pPr>
            <w:r>
              <w:rPr>
                <w:rFonts w:ascii="Times New Roman" w:hAnsi="Times New Roman" w:cs="Times New Roman"/>
                <w:b/>
                <w:color w:val="00B050"/>
              </w:rPr>
              <w:t>Sonuçlar</w:t>
            </w:r>
          </w:p>
        </w:tc>
        <w:tc>
          <w:tcPr>
            <w:tcW w:w="9318" w:type="dxa"/>
            <w:tcBorders>
              <w:top w:val="single" w:sz="12" w:space="0" w:color="00B050"/>
              <w:left w:val="single" w:sz="12" w:space="0" w:color="00B050"/>
              <w:bottom w:val="single" w:sz="12" w:space="0" w:color="00B050"/>
              <w:right w:val="single" w:sz="12" w:space="0" w:color="00B050"/>
            </w:tcBorders>
          </w:tcPr>
          <w:p w:rsidR="00375291" w:rsidRPr="001A573E" w:rsidRDefault="00375291" w:rsidP="000A25E1">
            <w:pPr>
              <w:jc w:val="both"/>
              <w:rPr>
                <w:rFonts w:ascii="Times New Roman" w:hAnsi="Times New Roman" w:cs="Times New Roman"/>
                <w:sz w:val="18"/>
                <w:szCs w:val="18"/>
              </w:rPr>
            </w:pPr>
            <w:r w:rsidRPr="001A573E">
              <w:rPr>
                <w:rFonts w:ascii="Times New Roman" w:hAnsi="Times New Roman" w:cs="Times New Roman"/>
                <w:sz w:val="18"/>
                <w:szCs w:val="18"/>
              </w:rPr>
              <w:t xml:space="preserve">Cemex Espana S.A. şirketinin Alicante’de bulunan klinker üretim fabrikasındaki kanalizasyon çamur atığı kurutma tesisi, üretim prosesi tarafından üretilmiş ve önceden kurutulmuş olan çamur atığın klinker fırın prosesinde yakıt olarak kullanılmasını sağlamakta ve böylece fosil yakıtlarının tüketiminde indirim yapılmasına ve çamur atığın </w:t>
            </w:r>
            <w:r w:rsidR="00F014B5">
              <w:rPr>
                <w:rFonts w:ascii="Times New Roman" w:hAnsi="Times New Roman" w:cs="Times New Roman"/>
                <w:sz w:val="18"/>
                <w:szCs w:val="18"/>
              </w:rPr>
              <w:t xml:space="preserve">katı </w:t>
            </w:r>
            <w:bookmarkStart w:id="0" w:name="_GoBack"/>
            <w:bookmarkEnd w:id="0"/>
            <w:r w:rsidRPr="001A573E">
              <w:rPr>
                <w:rFonts w:ascii="Times New Roman" w:hAnsi="Times New Roman" w:cs="Times New Roman"/>
                <w:sz w:val="18"/>
                <w:szCs w:val="18"/>
              </w:rPr>
              <w:t>atık olarak gömülmesi sonucu çevrede oluşan olumsuz etkinin önüne geçilmesin</w:t>
            </w:r>
            <w:r>
              <w:rPr>
                <w:rFonts w:ascii="Times New Roman" w:hAnsi="Times New Roman" w:cs="Times New Roman"/>
                <w:sz w:val="18"/>
                <w:szCs w:val="18"/>
              </w:rPr>
              <w:t>e</w:t>
            </w:r>
            <w:r w:rsidRPr="001A573E">
              <w:rPr>
                <w:rFonts w:ascii="Times New Roman" w:hAnsi="Times New Roman" w:cs="Times New Roman"/>
                <w:sz w:val="18"/>
                <w:szCs w:val="18"/>
              </w:rPr>
              <w:t xml:space="preserve"> </w:t>
            </w:r>
            <w:r>
              <w:rPr>
                <w:rFonts w:ascii="Times New Roman" w:hAnsi="Times New Roman" w:cs="Times New Roman"/>
                <w:sz w:val="18"/>
                <w:szCs w:val="18"/>
              </w:rPr>
              <w:t>olanak tanımaktadır</w:t>
            </w:r>
            <w:r w:rsidRPr="001A573E">
              <w:rPr>
                <w:rFonts w:ascii="Times New Roman" w:hAnsi="Times New Roman" w:cs="Times New Roman"/>
                <w:sz w:val="18"/>
                <w:szCs w:val="18"/>
              </w:rPr>
              <w:t>.</w:t>
            </w:r>
          </w:p>
          <w:p w:rsidR="00375291" w:rsidRPr="001A573E" w:rsidRDefault="00375291" w:rsidP="000A25E1">
            <w:pPr>
              <w:jc w:val="both"/>
              <w:rPr>
                <w:rFonts w:ascii="Times New Roman" w:hAnsi="Times New Roman" w:cs="Times New Roman"/>
                <w:sz w:val="18"/>
                <w:szCs w:val="18"/>
              </w:rPr>
            </w:pPr>
          </w:p>
          <w:p w:rsidR="00375291" w:rsidRPr="001A573E" w:rsidRDefault="00375291" w:rsidP="001A573E">
            <w:pPr>
              <w:jc w:val="both"/>
              <w:rPr>
                <w:rFonts w:ascii="Times New Roman" w:hAnsi="Times New Roman" w:cs="Times New Roman"/>
                <w:sz w:val="18"/>
                <w:szCs w:val="18"/>
              </w:rPr>
            </w:pPr>
            <w:r w:rsidRPr="001A573E">
              <w:rPr>
                <w:rFonts w:ascii="Times New Roman" w:hAnsi="Times New Roman" w:cs="Times New Roman"/>
                <w:sz w:val="18"/>
                <w:szCs w:val="18"/>
              </w:rPr>
              <w:t xml:space="preserve">Çamur atık kurutmada tüketilen enerji </w:t>
            </w:r>
            <w:r>
              <w:rPr>
                <w:rFonts w:ascii="Times New Roman" w:hAnsi="Times New Roman" w:cs="Times New Roman"/>
                <w:sz w:val="18"/>
                <w:szCs w:val="18"/>
              </w:rPr>
              <w:t xml:space="preserve">(bu prosesde kullanılmaması halinde), yakıt tüketiminde indirim ve atık gömmenin artık gerekli olmaması </w:t>
            </w:r>
            <w:r w:rsidRPr="001A573E">
              <w:rPr>
                <w:rFonts w:ascii="Times New Roman" w:hAnsi="Times New Roman" w:cs="Times New Roman"/>
                <w:sz w:val="18"/>
                <w:szCs w:val="18"/>
              </w:rPr>
              <w:t>göz önüne alındığında</w:t>
            </w:r>
            <w:r>
              <w:rPr>
                <w:rFonts w:ascii="Times New Roman" w:hAnsi="Times New Roman" w:cs="Times New Roman"/>
                <w:sz w:val="18"/>
                <w:szCs w:val="18"/>
              </w:rPr>
              <w:t>,</w:t>
            </w:r>
            <w:r w:rsidRPr="001A573E">
              <w:rPr>
                <w:rFonts w:ascii="Times New Roman" w:hAnsi="Times New Roman" w:cs="Times New Roman"/>
                <w:sz w:val="18"/>
                <w:szCs w:val="18"/>
              </w:rPr>
              <w:t xml:space="preserve"> CO</w:t>
            </w:r>
            <w:r w:rsidRPr="001A573E">
              <w:rPr>
                <w:rFonts w:ascii="Times New Roman" w:hAnsi="Times New Roman" w:cs="Times New Roman"/>
                <w:sz w:val="18"/>
                <w:szCs w:val="18"/>
                <w:vertAlign w:val="subscript"/>
              </w:rPr>
              <w:t>2</w:t>
            </w:r>
            <w:r w:rsidRPr="001A573E">
              <w:rPr>
                <w:rFonts w:ascii="Times New Roman" w:hAnsi="Times New Roman" w:cs="Times New Roman"/>
                <w:sz w:val="18"/>
                <w:szCs w:val="18"/>
              </w:rPr>
              <w:t xml:space="preserve"> emisyonlarında tahmini olarak yılda 130.000 t miktarında</w:t>
            </w:r>
            <w:r>
              <w:rPr>
                <w:rFonts w:ascii="Times New Roman" w:hAnsi="Times New Roman" w:cs="Times New Roman"/>
                <w:sz w:val="18"/>
                <w:szCs w:val="18"/>
              </w:rPr>
              <w:t xml:space="preserve"> bir indirim sağlanmıştır.</w:t>
            </w:r>
          </w:p>
        </w:tc>
      </w:tr>
    </w:tbl>
    <w:p w:rsidR="00A5791D" w:rsidRDefault="001A7FA7" w:rsidP="0019720F">
      <w:pPr>
        <w:jc w:val="both"/>
      </w:pPr>
      <w:r>
        <w:rPr>
          <w:noProof/>
          <w:lang w:val="en-US" w:eastAsia="en-US"/>
        </w:rPr>
        <mc:AlternateContent>
          <mc:Choice Requires="wps">
            <w:drawing>
              <wp:anchor distT="0" distB="0" distL="114300" distR="114300" simplePos="0" relativeHeight="251671552" behindDoc="0" locked="1" layoutInCell="1" allowOverlap="1" wp14:anchorId="578BCDE2" wp14:editId="29662FE5">
                <wp:simplePos x="0" y="0"/>
                <wp:positionH relativeFrom="column">
                  <wp:posOffset>661035</wp:posOffset>
                </wp:positionH>
                <wp:positionV relativeFrom="page">
                  <wp:posOffset>10285095</wp:posOffset>
                </wp:positionV>
                <wp:extent cx="6546850"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6546850" cy="54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5E1" w:rsidRPr="00973604" w:rsidRDefault="000A25E1" w:rsidP="000E0CCD">
                            <w:pPr>
                              <w:rPr>
                                <w:b/>
                                <w:i/>
                                <w:color w:val="FFFFFF" w:themeColor="background1"/>
                                <w:sz w:val="32"/>
                                <w:szCs w:val="36"/>
                              </w:rPr>
                            </w:pPr>
                            <w:r w:rsidRPr="003206BB">
                              <w:rPr>
                                <w:b/>
                                <w:i/>
                                <w:color w:val="FFFFFF" w:themeColor="background1"/>
                                <w:sz w:val="28"/>
                                <w:szCs w:val="36"/>
                              </w:rPr>
                              <w:t>Kanalizasyon Çamur Atığının Klinker Üretimi için Alternatif Yakıt Olarak Kullanımı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52.05pt;margin-top:809.85pt;width:515.5pt;height:4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" filled="f" stroked="f" strokeweight=".5pt">
                <v:textbox>
                  <w:txbxContent>
                    <w:p w:rsidR="000A25E1" w:rsidRPr="00973604" w:rsidRDefault="000A25E1" w:rsidP="000E0CCD">
                      <w:pPr>
                        <w:rPr>
                          <w:b/>
                          <w:i/>
                          <w:color w:val="FFFFFF" w:themeColor="background1"/>
                          <w:sz w:val="32"/>
                          <w:szCs w:val="36"/>
                        </w:rPr>
                      </w:pPr>
                      <w:r w:rsidRPr="003206BB">
                        <w:rPr>
                          <w:b/>
                          <w:i/>
                          <w:color w:val="FFFFFF" w:themeColor="background1"/>
                          <w:sz w:val="28"/>
                          <w:szCs w:val="36"/>
                        </w:rPr>
                        <w:t>Kanalizasyon Çamur Atığının Klinker Üretimi için Alternatif Yakıt Olarak Kullanımı</w:t>
                      </w: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73600" behindDoc="0" locked="1" layoutInCell="1" allowOverlap="1" wp14:anchorId="50482108" wp14:editId="7A281CA0">
                <wp:simplePos x="0" y="0"/>
                <wp:positionH relativeFrom="column">
                  <wp:posOffset>123190</wp:posOffset>
                </wp:positionH>
                <wp:positionV relativeFrom="page">
                  <wp:posOffset>10297795</wp:posOffset>
                </wp:positionV>
                <wp:extent cx="606425" cy="411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606425"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5E1" w:rsidRPr="00973604" w:rsidRDefault="000A25E1" w:rsidP="00973604">
                            <w:pPr>
                              <w:rPr>
                                <w:b/>
                                <w:color w:val="FFFFFF" w:themeColor="background1"/>
                                <w:sz w:val="44"/>
                                <w:lang w:val="en-US"/>
                              </w:rPr>
                            </w:pPr>
                            <w:r w:rsidRPr="00973604">
                              <w:rPr>
                                <w:b/>
                                <w:color w:val="FFFFFF" w:themeColor="background1"/>
                                <w:sz w:val="36"/>
                                <w:lang w:val="en-US"/>
                              </w:rPr>
                              <w:t>1</w:t>
                            </w:r>
                            <w:r>
                              <w:rPr>
                                <w:b/>
                                <w:color w:val="FFFFFF" w:themeColor="background1"/>
                                <w:sz w:val="36"/>
                                <w:lang w:val="en-US"/>
                              </w:rPr>
                              <w:t>41</w:t>
                            </w:r>
                          </w:p>
                          <w:p w:rsidR="000A25E1" w:rsidRPr="006C1BF8" w:rsidRDefault="000A25E1" w:rsidP="002B1B10">
                            <w:pPr>
                              <w:rPr>
                                <w:b/>
                                <w:color w:val="FFFFFF" w:themeColor="background1"/>
                                <w:sz w:val="4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9.7pt;margin-top:810.85pt;width:47.75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" filled="f" stroked="f" strokeweight=".5pt">
                <v:textbox>
                  <w:txbxContent>
                    <w:p w:rsidR="000A25E1" w:rsidRPr="00973604" w:rsidRDefault="000A25E1" w:rsidP="00973604">
                      <w:pPr>
                        <w:rPr>
                          <w:b/>
                          <w:color w:val="FFFFFF" w:themeColor="background1"/>
                          <w:sz w:val="44"/>
                          <w:lang w:val="en-US"/>
                        </w:rPr>
                      </w:pPr>
                      <w:r w:rsidRPr="00973604">
                        <w:rPr>
                          <w:b/>
                          <w:color w:val="FFFFFF" w:themeColor="background1"/>
                          <w:sz w:val="36"/>
                          <w:lang w:val="en-US"/>
                        </w:rPr>
                        <w:t>1</w:t>
                      </w:r>
                      <w:r>
                        <w:rPr>
                          <w:b/>
                          <w:color w:val="FFFFFF" w:themeColor="background1"/>
                          <w:sz w:val="36"/>
                          <w:lang w:val="en-US"/>
                        </w:rPr>
                        <w:t>41</w:t>
                      </w:r>
                    </w:p>
                    <w:p w:rsidR="000A25E1" w:rsidRPr="006C1BF8" w:rsidRDefault="000A25E1" w:rsidP="002B1B10">
                      <w:pPr>
                        <w:rPr>
                          <w:b/>
                          <w:color w:val="FFFFFF" w:themeColor="background1"/>
                          <w:sz w:val="40"/>
                          <w:lang w:val="en-US"/>
                        </w:rPr>
                      </w:pP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69504" behindDoc="0" locked="1" layoutInCell="1" allowOverlap="1" wp14:anchorId="6FDF1577" wp14:editId="5C47736F">
                <wp:simplePos x="0" y="0"/>
                <wp:positionH relativeFrom="column">
                  <wp:posOffset>-19050</wp:posOffset>
                </wp:positionH>
                <wp:positionV relativeFrom="page">
                  <wp:posOffset>8787130</wp:posOffset>
                </wp:positionV>
                <wp:extent cx="6986016" cy="237744"/>
                <wp:effectExtent l="0" t="0" r="0" b="0"/>
                <wp:wrapNone/>
                <wp:docPr id="3" name="Text Box 3"/>
                <wp:cNvGraphicFramePr/>
                <a:graphic xmlns:a="http://schemas.openxmlformats.org/drawingml/2006/main">
                  <a:graphicData uri="http://schemas.microsoft.com/office/word/2010/wordprocessingShape">
                    <wps:wsp>
                      <wps:cNvSpPr txBox="1"/>
                      <wps:spPr>
                        <a:xfrm>
                          <a:off x="0" y="0"/>
                          <a:ext cx="6986016" cy="237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5E1" w:rsidRPr="008F0D74" w:rsidRDefault="000A25E1" w:rsidP="008F0D74">
                            <w:pPr>
                              <w:rPr>
                                <w:rFonts w:ascii="Times New Roman" w:hAnsi="Times New Roman" w:cs="Times New Roman"/>
                                <w:b/>
                                <w:sz w:val="18"/>
                                <w:szCs w:val="36"/>
                              </w:rPr>
                            </w:pPr>
                            <w:r w:rsidRPr="008F0D74">
                              <w:rPr>
                                <w:rFonts w:ascii="Times New Roman" w:hAnsi="Times New Roman" w:cs="Times New Roman"/>
                                <w:b/>
                                <w:sz w:val="18"/>
                                <w:szCs w:val="36"/>
                              </w:rPr>
                              <w:t>NOT: Bu araştırma kirlili</w:t>
                            </w:r>
                            <w:r>
                              <w:rPr>
                                <w:rFonts w:ascii="Times New Roman" w:hAnsi="Times New Roman" w:cs="Times New Roman"/>
                                <w:b/>
                                <w:sz w:val="18"/>
                                <w:szCs w:val="36"/>
                              </w:rPr>
                              <w:t xml:space="preserve">ği önleme ile ilgili örnek bir çalışmayı </w:t>
                            </w:r>
                            <w:r w:rsidRPr="008F0D74">
                              <w:rPr>
                                <w:rFonts w:ascii="Times New Roman" w:hAnsi="Times New Roman" w:cs="Times New Roman"/>
                                <w:b/>
                                <w:sz w:val="18"/>
                                <w:szCs w:val="36"/>
                              </w:rPr>
                              <w:t>açıklamak amacındadır ve genel tavsiye niteliğinde kabul edilmemelidir.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1.5pt;margin-top:691.9pt;width:550.1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" filled="f" stroked="f" strokeweight=".5pt">
                <v:textbox>
                  <w:txbxContent>
                    <w:p w:rsidR="000A25E1" w:rsidRPr="008F0D74" w:rsidRDefault="000A25E1" w:rsidP="008F0D74">
                      <w:pPr>
                        <w:rPr>
                          <w:rFonts w:ascii="Times New Roman" w:hAnsi="Times New Roman" w:cs="Times New Roman"/>
                          <w:b/>
                          <w:sz w:val="18"/>
                          <w:szCs w:val="36"/>
                        </w:rPr>
                      </w:pPr>
                      <w:r w:rsidRPr="008F0D74">
                        <w:rPr>
                          <w:rFonts w:ascii="Times New Roman" w:hAnsi="Times New Roman" w:cs="Times New Roman"/>
                          <w:b/>
                          <w:sz w:val="18"/>
                          <w:szCs w:val="36"/>
                        </w:rPr>
                        <w:t>NOT: Bu araştırma kirlili</w:t>
                      </w:r>
                      <w:r>
                        <w:rPr>
                          <w:rFonts w:ascii="Times New Roman" w:hAnsi="Times New Roman" w:cs="Times New Roman"/>
                          <w:b/>
                          <w:sz w:val="18"/>
                          <w:szCs w:val="36"/>
                        </w:rPr>
                        <w:t xml:space="preserve">ği önleme ile ilgili örnek bir çalışmayı </w:t>
                      </w:r>
                      <w:r w:rsidRPr="008F0D74">
                        <w:rPr>
                          <w:rFonts w:ascii="Times New Roman" w:hAnsi="Times New Roman" w:cs="Times New Roman"/>
                          <w:b/>
                          <w:sz w:val="18"/>
                          <w:szCs w:val="36"/>
                        </w:rPr>
                        <w:t>açıklamak amacındadır ve genel tavsiye niteliğinde kabul edilmemelidir.</w:t>
                      </w:r>
                    </w:p>
                  </w:txbxContent>
                </v:textbox>
                <w10:wrap anchory="page"/>
                <w10:anchorlock/>
              </v:shape>
            </w:pict>
          </mc:Fallback>
        </mc:AlternateContent>
      </w:r>
      <w:r w:rsidR="00A5791D">
        <w:rPr>
          <w:noProof/>
          <w:lang w:val="en-US" w:eastAsia="en-US"/>
        </w:rPr>
        <w:drawing>
          <wp:anchor distT="0" distB="0" distL="114300" distR="114300" simplePos="0" relativeHeight="251667456" behindDoc="0" locked="0" layoutInCell="1" allowOverlap="1" wp14:anchorId="3C24573F" wp14:editId="5933D145">
            <wp:simplePos x="0" y="0"/>
            <wp:positionH relativeFrom="column">
              <wp:posOffset>0</wp:posOffset>
            </wp:positionH>
            <wp:positionV relativeFrom="paragraph">
              <wp:posOffset>8409305</wp:posOffset>
            </wp:positionV>
            <wp:extent cx="7086600" cy="1883664"/>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lean_Footer_v1.jpg"/>
                    <pic:cNvPicPr/>
                  </pic:nvPicPr>
                  <pic:blipFill>
                    <a:blip r:embed="rId10">
                      <a:extLst>
                        <a:ext uri="{28A0092B-C50C-407E-A947-70E740481C1C}">
                          <a14:useLocalDpi xmlns:a14="http://schemas.microsoft.com/office/drawing/2010/main" val="0"/>
                        </a:ext>
                      </a:extLst>
                    </a:blip>
                    <a:stretch>
                      <a:fillRect/>
                    </a:stretch>
                  </pic:blipFill>
                  <pic:spPr>
                    <a:xfrm>
                      <a:off x="0" y="0"/>
                      <a:ext cx="7086600" cy="1883664"/>
                    </a:xfrm>
                    <a:prstGeom prst="rect">
                      <a:avLst/>
                    </a:prstGeom>
                  </pic:spPr>
                </pic:pic>
              </a:graphicData>
            </a:graphic>
            <wp14:sizeRelH relativeFrom="margin">
              <wp14:pctWidth>0</wp14:pctWidth>
            </wp14:sizeRelH>
            <wp14:sizeRelV relativeFrom="margin">
              <wp14:pctHeight>0</wp14:pctHeight>
            </wp14:sizeRelV>
          </wp:anchor>
        </w:drawing>
      </w:r>
    </w:p>
    <w:sectPr w:rsidR="00A5791D" w:rsidSect="00A5791D">
      <w:pgSz w:w="11909" w:h="16834" w:code="9"/>
      <w:pgMar w:top="187"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D77"/>
    <w:multiLevelType w:val="hybridMultilevel"/>
    <w:tmpl w:val="58564C26"/>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D704A"/>
    <w:multiLevelType w:val="hybridMultilevel"/>
    <w:tmpl w:val="58E84B06"/>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15348"/>
    <w:multiLevelType w:val="hybridMultilevel"/>
    <w:tmpl w:val="027C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5BC4"/>
    <w:multiLevelType w:val="hybridMultilevel"/>
    <w:tmpl w:val="54106194"/>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03E81"/>
    <w:multiLevelType w:val="hybridMultilevel"/>
    <w:tmpl w:val="F8A202F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E486A"/>
    <w:multiLevelType w:val="hybridMultilevel"/>
    <w:tmpl w:val="99C0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927BB5"/>
    <w:multiLevelType w:val="hybridMultilevel"/>
    <w:tmpl w:val="256C208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A30C8"/>
    <w:multiLevelType w:val="hybridMultilevel"/>
    <w:tmpl w:val="407A0FE2"/>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94D4E"/>
    <w:multiLevelType w:val="hybridMultilevel"/>
    <w:tmpl w:val="EE84EE5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02B1"/>
    <w:multiLevelType w:val="hybridMultilevel"/>
    <w:tmpl w:val="EA568F4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1D0CBC"/>
    <w:multiLevelType w:val="hybridMultilevel"/>
    <w:tmpl w:val="82627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3117A0"/>
    <w:multiLevelType w:val="hybridMultilevel"/>
    <w:tmpl w:val="8B28F0F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BB6E78"/>
    <w:multiLevelType w:val="hybridMultilevel"/>
    <w:tmpl w:val="F86CD010"/>
    <w:lvl w:ilvl="0" w:tplc="B8A2BD2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2522B4"/>
    <w:multiLevelType w:val="hybridMultilevel"/>
    <w:tmpl w:val="6EA06DFA"/>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F4E46"/>
    <w:multiLevelType w:val="hybridMultilevel"/>
    <w:tmpl w:val="4E662D60"/>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AF72A0"/>
    <w:multiLevelType w:val="hybridMultilevel"/>
    <w:tmpl w:val="8EC8000A"/>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44227"/>
    <w:multiLevelType w:val="hybridMultilevel"/>
    <w:tmpl w:val="132CBFD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C16D0"/>
    <w:multiLevelType w:val="hybridMultilevel"/>
    <w:tmpl w:val="9F0AB472"/>
    <w:lvl w:ilvl="0" w:tplc="C9B84FE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8E715F"/>
    <w:multiLevelType w:val="hybridMultilevel"/>
    <w:tmpl w:val="4A2A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944ABC"/>
    <w:multiLevelType w:val="hybridMultilevel"/>
    <w:tmpl w:val="9B84A810"/>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541BA"/>
    <w:multiLevelType w:val="hybridMultilevel"/>
    <w:tmpl w:val="81E4A0B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8610F"/>
    <w:multiLevelType w:val="hybridMultilevel"/>
    <w:tmpl w:val="6F546F40"/>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BA0F9C"/>
    <w:multiLevelType w:val="hybridMultilevel"/>
    <w:tmpl w:val="F7B47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47639"/>
    <w:multiLevelType w:val="hybridMultilevel"/>
    <w:tmpl w:val="50CE6BC2"/>
    <w:lvl w:ilvl="0" w:tplc="C9B84FE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5E354AC"/>
    <w:multiLevelType w:val="hybridMultilevel"/>
    <w:tmpl w:val="3782D198"/>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82EB4"/>
    <w:multiLevelType w:val="hybridMultilevel"/>
    <w:tmpl w:val="B9C8E0C6"/>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2512A"/>
    <w:multiLevelType w:val="hybridMultilevel"/>
    <w:tmpl w:val="73146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7E375C"/>
    <w:multiLevelType w:val="hybridMultilevel"/>
    <w:tmpl w:val="4FDAE57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476A5"/>
    <w:multiLevelType w:val="hybridMultilevel"/>
    <w:tmpl w:val="D56E81C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6"/>
  </w:num>
  <w:num w:numId="4">
    <w:abstractNumId w:val="12"/>
  </w:num>
  <w:num w:numId="5">
    <w:abstractNumId w:val="11"/>
  </w:num>
  <w:num w:numId="6">
    <w:abstractNumId w:val="9"/>
  </w:num>
  <w:num w:numId="7">
    <w:abstractNumId w:val="18"/>
  </w:num>
  <w:num w:numId="8">
    <w:abstractNumId w:val="19"/>
  </w:num>
  <w:num w:numId="9">
    <w:abstractNumId w:val="0"/>
  </w:num>
  <w:num w:numId="10">
    <w:abstractNumId w:val="14"/>
  </w:num>
  <w:num w:numId="11">
    <w:abstractNumId w:val="8"/>
  </w:num>
  <w:num w:numId="12">
    <w:abstractNumId w:val="15"/>
  </w:num>
  <w:num w:numId="13">
    <w:abstractNumId w:val="13"/>
  </w:num>
  <w:num w:numId="14">
    <w:abstractNumId w:val="27"/>
  </w:num>
  <w:num w:numId="15">
    <w:abstractNumId w:val="6"/>
  </w:num>
  <w:num w:numId="16">
    <w:abstractNumId w:val="2"/>
  </w:num>
  <w:num w:numId="17">
    <w:abstractNumId w:val="23"/>
  </w:num>
  <w:num w:numId="18">
    <w:abstractNumId w:val="17"/>
  </w:num>
  <w:num w:numId="19">
    <w:abstractNumId w:val="28"/>
  </w:num>
  <w:num w:numId="20">
    <w:abstractNumId w:val="7"/>
  </w:num>
  <w:num w:numId="21">
    <w:abstractNumId w:val="21"/>
  </w:num>
  <w:num w:numId="22">
    <w:abstractNumId w:val="16"/>
  </w:num>
  <w:num w:numId="23">
    <w:abstractNumId w:val="4"/>
  </w:num>
  <w:num w:numId="24">
    <w:abstractNumId w:val="20"/>
  </w:num>
  <w:num w:numId="25">
    <w:abstractNumId w:val="25"/>
  </w:num>
  <w:num w:numId="26">
    <w:abstractNumId w:val="3"/>
  </w:num>
  <w:num w:numId="27">
    <w:abstractNumId w:val="24"/>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23"/>
    <w:rsid w:val="000009F4"/>
    <w:rsid w:val="00012344"/>
    <w:rsid w:val="000210EC"/>
    <w:rsid w:val="000260C1"/>
    <w:rsid w:val="0003328E"/>
    <w:rsid w:val="00036F44"/>
    <w:rsid w:val="000728D3"/>
    <w:rsid w:val="00077643"/>
    <w:rsid w:val="00091F9F"/>
    <w:rsid w:val="000932FB"/>
    <w:rsid w:val="00094205"/>
    <w:rsid w:val="000A25E1"/>
    <w:rsid w:val="000A6DDB"/>
    <w:rsid w:val="000B2527"/>
    <w:rsid w:val="000B32A8"/>
    <w:rsid w:val="000C119E"/>
    <w:rsid w:val="000C41BC"/>
    <w:rsid w:val="000C593F"/>
    <w:rsid w:val="000D2D1D"/>
    <w:rsid w:val="000D6F41"/>
    <w:rsid w:val="000E0CCD"/>
    <w:rsid w:val="000E5DAC"/>
    <w:rsid w:val="000F7596"/>
    <w:rsid w:val="00114AC2"/>
    <w:rsid w:val="001175CB"/>
    <w:rsid w:val="00126012"/>
    <w:rsid w:val="0013176D"/>
    <w:rsid w:val="001337C0"/>
    <w:rsid w:val="00137767"/>
    <w:rsid w:val="00140DD6"/>
    <w:rsid w:val="00143E6D"/>
    <w:rsid w:val="001449FA"/>
    <w:rsid w:val="0015466A"/>
    <w:rsid w:val="00157A84"/>
    <w:rsid w:val="001602BD"/>
    <w:rsid w:val="00165749"/>
    <w:rsid w:val="00172D80"/>
    <w:rsid w:val="001762CF"/>
    <w:rsid w:val="00184F0D"/>
    <w:rsid w:val="0019720F"/>
    <w:rsid w:val="001973AC"/>
    <w:rsid w:val="001A573E"/>
    <w:rsid w:val="001A7FA7"/>
    <w:rsid w:val="001B1B9E"/>
    <w:rsid w:val="001B382C"/>
    <w:rsid w:val="001E64D0"/>
    <w:rsid w:val="002131B9"/>
    <w:rsid w:val="0022050D"/>
    <w:rsid w:val="002264F7"/>
    <w:rsid w:val="00230482"/>
    <w:rsid w:val="00235BFD"/>
    <w:rsid w:val="00245953"/>
    <w:rsid w:val="002505F3"/>
    <w:rsid w:val="00253D28"/>
    <w:rsid w:val="00262AFE"/>
    <w:rsid w:val="002703A2"/>
    <w:rsid w:val="00273B09"/>
    <w:rsid w:val="00275186"/>
    <w:rsid w:val="0028144E"/>
    <w:rsid w:val="002A1BE1"/>
    <w:rsid w:val="002A4F91"/>
    <w:rsid w:val="002A57D5"/>
    <w:rsid w:val="002B1B10"/>
    <w:rsid w:val="002C6D81"/>
    <w:rsid w:val="002D449F"/>
    <w:rsid w:val="00300137"/>
    <w:rsid w:val="00303DE2"/>
    <w:rsid w:val="00312885"/>
    <w:rsid w:val="003206BB"/>
    <w:rsid w:val="00325D73"/>
    <w:rsid w:val="00334306"/>
    <w:rsid w:val="003571AD"/>
    <w:rsid w:val="003614FB"/>
    <w:rsid w:val="00361F1D"/>
    <w:rsid w:val="00375291"/>
    <w:rsid w:val="003834F4"/>
    <w:rsid w:val="00386071"/>
    <w:rsid w:val="003943F1"/>
    <w:rsid w:val="003B6264"/>
    <w:rsid w:val="003C0FB4"/>
    <w:rsid w:val="003D19C4"/>
    <w:rsid w:val="003E0C58"/>
    <w:rsid w:val="003E5B30"/>
    <w:rsid w:val="00403E45"/>
    <w:rsid w:val="0042305C"/>
    <w:rsid w:val="00424EE5"/>
    <w:rsid w:val="004269A9"/>
    <w:rsid w:val="00431023"/>
    <w:rsid w:val="00431150"/>
    <w:rsid w:val="00435793"/>
    <w:rsid w:val="004376AC"/>
    <w:rsid w:val="00457ECD"/>
    <w:rsid w:val="00460748"/>
    <w:rsid w:val="004706E2"/>
    <w:rsid w:val="00473C7F"/>
    <w:rsid w:val="00474D94"/>
    <w:rsid w:val="00475709"/>
    <w:rsid w:val="00480555"/>
    <w:rsid w:val="0049139B"/>
    <w:rsid w:val="00497FAE"/>
    <w:rsid w:val="004A67AF"/>
    <w:rsid w:val="004A71F0"/>
    <w:rsid w:val="004B13D5"/>
    <w:rsid w:val="004C477C"/>
    <w:rsid w:val="004C5587"/>
    <w:rsid w:val="004C77D7"/>
    <w:rsid w:val="004D3926"/>
    <w:rsid w:val="004E65A1"/>
    <w:rsid w:val="004E6C33"/>
    <w:rsid w:val="004F2C1C"/>
    <w:rsid w:val="004F4CCD"/>
    <w:rsid w:val="00503E24"/>
    <w:rsid w:val="00507D56"/>
    <w:rsid w:val="005147AB"/>
    <w:rsid w:val="00514EE8"/>
    <w:rsid w:val="0051602D"/>
    <w:rsid w:val="00520C9E"/>
    <w:rsid w:val="005341CC"/>
    <w:rsid w:val="00544B18"/>
    <w:rsid w:val="00547905"/>
    <w:rsid w:val="005502F2"/>
    <w:rsid w:val="00556C3E"/>
    <w:rsid w:val="00561EC0"/>
    <w:rsid w:val="005622D9"/>
    <w:rsid w:val="00562424"/>
    <w:rsid w:val="00567294"/>
    <w:rsid w:val="00576756"/>
    <w:rsid w:val="005955BA"/>
    <w:rsid w:val="00596110"/>
    <w:rsid w:val="005B7098"/>
    <w:rsid w:val="005E4DFB"/>
    <w:rsid w:val="005F14DF"/>
    <w:rsid w:val="005F4767"/>
    <w:rsid w:val="00602050"/>
    <w:rsid w:val="0060715F"/>
    <w:rsid w:val="00611323"/>
    <w:rsid w:val="00613271"/>
    <w:rsid w:val="006135C3"/>
    <w:rsid w:val="00621405"/>
    <w:rsid w:val="00624E32"/>
    <w:rsid w:val="00630D39"/>
    <w:rsid w:val="006319C9"/>
    <w:rsid w:val="0063236F"/>
    <w:rsid w:val="006530AC"/>
    <w:rsid w:val="0067083E"/>
    <w:rsid w:val="00682C4D"/>
    <w:rsid w:val="00690302"/>
    <w:rsid w:val="00693B29"/>
    <w:rsid w:val="006A0ED3"/>
    <w:rsid w:val="006A1581"/>
    <w:rsid w:val="006A1B8F"/>
    <w:rsid w:val="006C1BF8"/>
    <w:rsid w:val="006C4E21"/>
    <w:rsid w:val="006E156B"/>
    <w:rsid w:val="006F0E8C"/>
    <w:rsid w:val="00722E96"/>
    <w:rsid w:val="00726563"/>
    <w:rsid w:val="0072782A"/>
    <w:rsid w:val="00732671"/>
    <w:rsid w:val="00735ECF"/>
    <w:rsid w:val="00755F93"/>
    <w:rsid w:val="00755FCC"/>
    <w:rsid w:val="007839E6"/>
    <w:rsid w:val="00786D88"/>
    <w:rsid w:val="00792C43"/>
    <w:rsid w:val="007A06E4"/>
    <w:rsid w:val="007A06F6"/>
    <w:rsid w:val="007A6248"/>
    <w:rsid w:val="007C2066"/>
    <w:rsid w:val="00816EBC"/>
    <w:rsid w:val="00833A5C"/>
    <w:rsid w:val="00841300"/>
    <w:rsid w:val="0085209F"/>
    <w:rsid w:val="00853DBB"/>
    <w:rsid w:val="00856789"/>
    <w:rsid w:val="00860736"/>
    <w:rsid w:val="00866569"/>
    <w:rsid w:val="00874CDE"/>
    <w:rsid w:val="00895CBF"/>
    <w:rsid w:val="008A5CED"/>
    <w:rsid w:val="008A6BAF"/>
    <w:rsid w:val="008B2D03"/>
    <w:rsid w:val="008B3DC6"/>
    <w:rsid w:val="008B5A2E"/>
    <w:rsid w:val="008B6321"/>
    <w:rsid w:val="008D1C26"/>
    <w:rsid w:val="008F0D74"/>
    <w:rsid w:val="00911D38"/>
    <w:rsid w:val="00942651"/>
    <w:rsid w:val="00942826"/>
    <w:rsid w:val="00942913"/>
    <w:rsid w:val="009448F1"/>
    <w:rsid w:val="00950DBB"/>
    <w:rsid w:val="00954B16"/>
    <w:rsid w:val="00973604"/>
    <w:rsid w:val="00976CC8"/>
    <w:rsid w:val="0098321C"/>
    <w:rsid w:val="0098503D"/>
    <w:rsid w:val="009A1D77"/>
    <w:rsid w:val="009C077A"/>
    <w:rsid w:val="009C16F6"/>
    <w:rsid w:val="009C722A"/>
    <w:rsid w:val="009D5CC4"/>
    <w:rsid w:val="009F5CF3"/>
    <w:rsid w:val="00A05D58"/>
    <w:rsid w:val="00A06C16"/>
    <w:rsid w:val="00A15034"/>
    <w:rsid w:val="00A35737"/>
    <w:rsid w:val="00A3744F"/>
    <w:rsid w:val="00A549F0"/>
    <w:rsid w:val="00A5791D"/>
    <w:rsid w:val="00A609B2"/>
    <w:rsid w:val="00A65EF2"/>
    <w:rsid w:val="00A72BE6"/>
    <w:rsid w:val="00A74401"/>
    <w:rsid w:val="00A77DB0"/>
    <w:rsid w:val="00A841E9"/>
    <w:rsid w:val="00A87F18"/>
    <w:rsid w:val="00A90275"/>
    <w:rsid w:val="00A92D86"/>
    <w:rsid w:val="00AA78BA"/>
    <w:rsid w:val="00AB1264"/>
    <w:rsid w:val="00AB3AD0"/>
    <w:rsid w:val="00AE41DE"/>
    <w:rsid w:val="00AE5518"/>
    <w:rsid w:val="00AF1D69"/>
    <w:rsid w:val="00AF5A94"/>
    <w:rsid w:val="00AF5BD4"/>
    <w:rsid w:val="00B036C9"/>
    <w:rsid w:val="00B138C3"/>
    <w:rsid w:val="00B141E2"/>
    <w:rsid w:val="00B25640"/>
    <w:rsid w:val="00B273AD"/>
    <w:rsid w:val="00B438EC"/>
    <w:rsid w:val="00B43B1B"/>
    <w:rsid w:val="00B5156D"/>
    <w:rsid w:val="00B51A67"/>
    <w:rsid w:val="00B51F2F"/>
    <w:rsid w:val="00B5467A"/>
    <w:rsid w:val="00B57B3C"/>
    <w:rsid w:val="00B640C0"/>
    <w:rsid w:val="00B72AAB"/>
    <w:rsid w:val="00B76B9F"/>
    <w:rsid w:val="00B87134"/>
    <w:rsid w:val="00BB3B45"/>
    <w:rsid w:val="00BB453F"/>
    <w:rsid w:val="00BB52FA"/>
    <w:rsid w:val="00BC235D"/>
    <w:rsid w:val="00BD2B11"/>
    <w:rsid w:val="00BD484B"/>
    <w:rsid w:val="00BF34F2"/>
    <w:rsid w:val="00BF5ABA"/>
    <w:rsid w:val="00C04BD8"/>
    <w:rsid w:val="00C40E34"/>
    <w:rsid w:val="00C55037"/>
    <w:rsid w:val="00C570E9"/>
    <w:rsid w:val="00C57FB2"/>
    <w:rsid w:val="00C6648B"/>
    <w:rsid w:val="00C66BA7"/>
    <w:rsid w:val="00C671E9"/>
    <w:rsid w:val="00C87347"/>
    <w:rsid w:val="00C927F8"/>
    <w:rsid w:val="00CA1211"/>
    <w:rsid w:val="00CA1FC2"/>
    <w:rsid w:val="00CA3CE4"/>
    <w:rsid w:val="00CB5EB9"/>
    <w:rsid w:val="00CC73A7"/>
    <w:rsid w:val="00CC7419"/>
    <w:rsid w:val="00CD0BA9"/>
    <w:rsid w:val="00CD2946"/>
    <w:rsid w:val="00CD6FEE"/>
    <w:rsid w:val="00CE36ED"/>
    <w:rsid w:val="00CF05E5"/>
    <w:rsid w:val="00CF098A"/>
    <w:rsid w:val="00CF447C"/>
    <w:rsid w:val="00CF59CC"/>
    <w:rsid w:val="00D07D76"/>
    <w:rsid w:val="00D17450"/>
    <w:rsid w:val="00D2655D"/>
    <w:rsid w:val="00D31A21"/>
    <w:rsid w:val="00D46E77"/>
    <w:rsid w:val="00D51D54"/>
    <w:rsid w:val="00D52E8A"/>
    <w:rsid w:val="00D62465"/>
    <w:rsid w:val="00D7755F"/>
    <w:rsid w:val="00D779F6"/>
    <w:rsid w:val="00D82F70"/>
    <w:rsid w:val="00DA535F"/>
    <w:rsid w:val="00DA60EA"/>
    <w:rsid w:val="00DB4567"/>
    <w:rsid w:val="00DC628F"/>
    <w:rsid w:val="00DD619C"/>
    <w:rsid w:val="00E1406A"/>
    <w:rsid w:val="00E14980"/>
    <w:rsid w:val="00E1650D"/>
    <w:rsid w:val="00E3376F"/>
    <w:rsid w:val="00E424AC"/>
    <w:rsid w:val="00E42BCC"/>
    <w:rsid w:val="00E516B4"/>
    <w:rsid w:val="00E7129E"/>
    <w:rsid w:val="00E73A5A"/>
    <w:rsid w:val="00E73B86"/>
    <w:rsid w:val="00E819DC"/>
    <w:rsid w:val="00E8215E"/>
    <w:rsid w:val="00E82285"/>
    <w:rsid w:val="00E90F9A"/>
    <w:rsid w:val="00EC2780"/>
    <w:rsid w:val="00EC715F"/>
    <w:rsid w:val="00ED140C"/>
    <w:rsid w:val="00ED7C3C"/>
    <w:rsid w:val="00EE7690"/>
    <w:rsid w:val="00EF559B"/>
    <w:rsid w:val="00F014B5"/>
    <w:rsid w:val="00F27AF0"/>
    <w:rsid w:val="00F31B5C"/>
    <w:rsid w:val="00F3571E"/>
    <w:rsid w:val="00F443AE"/>
    <w:rsid w:val="00F50232"/>
    <w:rsid w:val="00F5077A"/>
    <w:rsid w:val="00F5173C"/>
    <w:rsid w:val="00F56C65"/>
    <w:rsid w:val="00F651EC"/>
    <w:rsid w:val="00F72538"/>
    <w:rsid w:val="00F82D00"/>
    <w:rsid w:val="00F96ABA"/>
    <w:rsid w:val="00FB6263"/>
    <w:rsid w:val="00FC6621"/>
    <w:rsid w:val="00FC7A6D"/>
    <w:rsid w:val="00FD4AEE"/>
    <w:rsid w:val="00FE0892"/>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11"/>
    <w:rPr>
      <w:rFonts w:ascii="Tahoma" w:hAnsi="Tahoma" w:cs="Tahoma"/>
      <w:sz w:val="16"/>
      <w:szCs w:val="16"/>
    </w:rPr>
  </w:style>
  <w:style w:type="character" w:customStyle="1" w:styleId="BalloonTextChar">
    <w:name w:val="Balloon Text Char"/>
    <w:basedOn w:val="DefaultParagraphFont"/>
    <w:link w:val="BalloonText"/>
    <w:uiPriority w:val="99"/>
    <w:semiHidden/>
    <w:rsid w:val="00CA1211"/>
    <w:rPr>
      <w:rFonts w:ascii="Tahoma" w:hAnsi="Tahoma" w:cs="Tahoma"/>
      <w:sz w:val="16"/>
      <w:szCs w:val="16"/>
    </w:rPr>
  </w:style>
  <w:style w:type="table" w:styleId="TableGrid">
    <w:name w:val="Table Grid"/>
    <w:basedOn w:val="TableNormal"/>
    <w:uiPriority w:val="59"/>
    <w:rsid w:val="00550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49F"/>
    <w:pPr>
      <w:ind w:left="720"/>
      <w:contextualSpacing/>
    </w:pPr>
  </w:style>
  <w:style w:type="character" w:styleId="CommentReference">
    <w:name w:val="annotation reference"/>
    <w:basedOn w:val="DefaultParagraphFont"/>
    <w:uiPriority w:val="99"/>
    <w:semiHidden/>
    <w:unhideWhenUsed/>
    <w:rsid w:val="00E424AC"/>
    <w:rPr>
      <w:sz w:val="16"/>
      <w:szCs w:val="16"/>
    </w:rPr>
  </w:style>
  <w:style w:type="paragraph" w:styleId="CommentText">
    <w:name w:val="annotation text"/>
    <w:basedOn w:val="Normal"/>
    <w:link w:val="CommentTextChar"/>
    <w:uiPriority w:val="99"/>
    <w:semiHidden/>
    <w:unhideWhenUsed/>
    <w:rsid w:val="00E424AC"/>
    <w:rPr>
      <w:sz w:val="20"/>
      <w:szCs w:val="20"/>
    </w:rPr>
  </w:style>
  <w:style w:type="character" w:customStyle="1" w:styleId="CommentTextChar">
    <w:name w:val="Comment Text Char"/>
    <w:basedOn w:val="DefaultParagraphFont"/>
    <w:link w:val="CommentText"/>
    <w:uiPriority w:val="99"/>
    <w:semiHidden/>
    <w:rsid w:val="00E424AC"/>
    <w:rPr>
      <w:sz w:val="20"/>
      <w:szCs w:val="20"/>
    </w:rPr>
  </w:style>
  <w:style w:type="paragraph" w:styleId="CommentSubject">
    <w:name w:val="annotation subject"/>
    <w:basedOn w:val="CommentText"/>
    <w:next w:val="CommentText"/>
    <w:link w:val="CommentSubjectChar"/>
    <w:uiPriority w:val="99"/>
    <w:semiHidden/>
    <w:unhideWhenUsed/>
    <w:rsid w:val="00E424AC"/>
    <w:rPr>
      <w:b/>
      <w:bCs/>
    </w:rPr>
  </w:style>
  <w:style w:type="character" w:customStyle="1" w:styleId="CommentSubjectChar">
    <w:name w:val="Comment Subject Char"/>
    <w:basedOn w:val="CommentTextChar"/>
    <w:link w:val="CommentSubject"/>
    <w:uiPriority w:val="99"/>
    <w:semiHidden/>
    <w:rsid w:val="00E424AC"/>
    <w:rPr>
      <w:b/>
      <w:bCs/>
      <w:sz w:val="20"/>
      <w:szCs w:val="20"/>
    </w:rPr>
  </w:style>
  <w:style w:type="character" w:styleId="PlaceholderText">
    <w:name w:val="Placeholder Text"/>
    <w:basedOn w:val="DefaultParagraphFont"/>
    <w:uiPriority w:val="99"/>
    <w:semiHidden/>
    <w:rsid w:val="00C66B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11"/>
    <w:rPr>
      <w:rFonts w:ascii="Tahoma" w:hAnsi="Tahoma" w:cs="Tahoma"/>
      <w:sz w:val="16"/>
      <w:szCs w:val="16"/>
    </w:rPr>
  </w:style>
  <w:style w:type="character" w:customStyle="1" w:styleId="BalloonTextChar">
    <w:name w:val="Balloon Text Char"/>
    <w:basedOn w:val="DefaultParagraphFont"/>
    <w:link w:val="BalloonText"/>
    <w:uiPriority w:val="99"/>
    <w:semiHidden/>
    <w:rsid w:val="00CA1211"/>
    <w:rPr>
      <w:rFonts w:ascii="Tahoma" w:hAnsi="Tahoma" w:cs="Tahoma"/>
      <w:sz w:val="16"/>
      <w:szCs w:val="16"/>
    </w:rPr>
  </w:style>
  <w:style w:type="table" w:styleId="TableGrid">
    <w:name w:val="Table Grid"/>
    <w:basedOn w:val="TableNormal"/>
    <w:uiPriority w:val="59"/>
    <w:rsid w:val="00550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49F"/>
    <w:pPr>
      <w:ind w:left="720"/>
      <w:contextualSpacing/>
    </w:pPr>
  </w:style>
  <w:style w:type="character" w:styleId="CommentReference">
    <w:name w:val="annotation reference"/>
    <w:basedOn w:val="DefaultParagraphFont"/>
    <w:uiPriority w:val="99"/>
    <w:semiHidden/>
    <w:unhideWhenUsed/>
    <w:rsid w:val="00E424AC"/>
    <w:rPr>
      <w:sz w:val="16"/>
      <w:szCs w:val="16"/>
    </w:rPr>
  </w:style>
  <w:style w:type="paragraph" w:styleId="CommentText">
    <w:name w:val="annotation text"/>
    <w:basedOn w:val="Normal"/>
    <w:link w:val="CommentTextChar"/>
    <w:uiPriority w:val="99"/>
    <w:semiHidden/>
    <w:unhideWhenUsed/>
    <w:rsid w:val="00E424AC"/>
    <w:rPr>
      <w:sz w:val="20"/>
      <w:szCs w:val="20"/>
    </w:rPr>
  </w:style>
  <w:style w:type="character" w:customStyle="1" w:styleId="CommentTextChar">
    <w:name w:val="Comment Text Char"/>
    <w:basedOn w:val="DefaultParagraphFont"/>
    <w:link w:val="CommentText"/>
    <w:uiPriority w:val="99"/>
    <w:semiHidden/>
    <w:rsid w:val="00E424AC"/>
    <w:rPr>
      <w:sz w:val="20"/>
      <w:szCs w:val="20"/>
    </w:rPr>
  </w:style>
  <w:style w:type="paragraph" w:styleId="CommentSubject">
    <w:name w:val="annotation subject"/>
    <w:basedOn w:val="CommentText"/>
    <w:next w:val="CommentText"/>
    <w:link w:val="CommentSubjectChar"/>
    <w:uiPriority w:val="99"/>
    <w:semiHidden/>
    <w:unhideWhenUsed/>
    <w:rsid w:val="00E424AC"/>
    <w:rPr>
      <w:b/>
      <w:bCs/>
    </w:rPr>
  </w:style>
  <w:style w:type="character" w:customStyle="1" w:styleId="CommentSubjectChar">
    <w:name w:val="Comment Subject Char"/>
    <w:basedOn w:val="CommentTextChar"/>
    <w:link w:val="CommentSubject"/>
    <w:uiPriority w:val="99"/>
    <w:semiHidden/>
    <w:rsid w:val="00E424AC"/>
    <w:rPr>
      <w:b/>
      <w:bCs/>
      <w:sz w:val="20"/>
      <w:szCs w:val="20"/>
    </w:rPr>
  </w:style>
  <w:style w:type="character" w:styleId="PlaceholderText">
    <w:name w:val="Placeholder Text"/>
    <w:basedOn w:val="DefaultParagraphFont"/>
    <w:uiPriority w:val="99"/>
    <w:semiHidden/>
    <w:rsid w:val="00C66B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E694-7C0D-45D0-B571-5F33D1F3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2291</TotalTime>
  <Pages>2</Pages>
  <Words>426</Words>
  <Characters>3028</Characters>
  <Application>Microsoft Office Word</Application>
  <DocSecurity>0</DocSecurity>
  <Lines>81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AMS</cp:lastModifiedBy>
  <cp:revision>223</cp:revision>
  <cp:lastPrinted>2012-10-16T11:03:00Z</cp:lastPrinted>
  <dcterms:created xsi:type="dcterms:W3CDTF">2012-10-08T14:25:00Z</dcterms:created>
  <dcterms:modified xsi:type="dcterms:W3CDTF">2012-10-16T11:04:00Z</dcterms:modified>
</cp:coreProperties>
</file>