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F9F" w:rsidRPr="00431023" w:rsidRDefault="00FF6E59" w:rsidP="001175CB">
      <w:pPr>
        <w:rPr>
          <w:sz w:val="12"/>
        </w:rPr>
      </w:pPr>
      <w:r w:rsidRPr="00431023">
        <w:rPr>
          <w:noProof/>
          <w:sz w:val="12"/>
          <w:lang w:val="en-US" w:eastAsia="en-US"/>
        </w:rPr>
        <w:drawing>
          <wp:anchor distT="0" distB="0" distL="114300" distR="114300" simplePos="0" relativeHeight="251658239" behindDoc="0" locked="0" layoutInCell="1" allowOverlap="1" wp14:anchorId="7F478908" wp14:editId="7660F748">
            <wp:simplePos x="0" y="0"/>
            <wp:positionH relativeFrom="column">
              <wp:posOffset>5715</wp:posOffset>
            </wp:positionH>
            <wp:positionV relativeFrom="paragraph">
              <wp:posOffset>-118745</wp:posOffset>
            </wp:positionV>
            <wp:extent cx="7104380" cy="362077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Clean_Header_v3.jpg"/>
                    <pic:cNvPicPr/>
                  </pic:nvPicPr>
                  <pic:blipFill>
                    <a:blip r:embed="rId7">
                      <a:extLst>
                        <a:ext uri="{28A0092B-C50C-407E-A947-70E740481C1C}">
                          <a14:useLocalDpi xmlns:a14="http://schemas.microsoft.com/office/drawing/2010/main" val="0"/>
                        </a:ext>
                      </a:extLst>
                    </a:blip>
                    <a:stretch>
                      <a:fillRect/>
                    </a:stretch>
                  </pic:blipFill>
                  <pic:spPr>
                    <a:xfrm>
                      <a:off x="0" y="0"/>
                      <a:ext cx="7104380" cy="3620770"/>
                    </a:xfrm>
                    <a:prstGeom prst="rect">
                      <a:avLst/>
                    </a:prstGeom>
                  </pic:spPr>
                </pic:pic>
              </a:graphicData>
            </a:graphic>
            <wp14:sizeRelH relativeFrom="margin">
              <wp14:pctWidth>0</wp14:pctWidth>
            </wp14:sizeRelH>
            <wp14:sizeRelV relativeFrom="margin">
              <wp14:pctHeight>0</wp14:pctHeight>
            </wp14:sizeRelV>
          </wp:anchor>
        </w:drawing>
      </w:r>
      <w:r w:rsidRPr="00431023">
        <w:rPr>
          <w:noProof/>
          <w:sz w:val="12"/>
          <w:lang w:val="en-US" w:eastAsia="en-US"/>
        </w:rPr>
        <mc:AlternateContent>
          <mc:Choice Requires="wps">
            <w:drawing>
              <wp:anchor distT="0" distB="0" distL="114300" distR="114300" simplePos="0" relativeHeight="251662336" behindDoc="0" locked="1" layoutInCell="1" allowOverlap="1" wp14:anchorId="202F55DB" wp14:editId="52FD735F">
                <wp:simplePos x="0" y="0"/>
                <wp:positionH relativeFrom="column">
                  <wp:posOffset>215900</wp:posOffset>
                </wp:positionH>
                <wp:positionV relativeFrom="page">
                  <wp:posOffset>3216910</wp:posOffset>
                </wp:positionV>
                <wp:extent cx="6878320" cy="407035"/>
                <wp:effectExtent l="0" t="0" r="0" b="0"/>
                <wp:wrapNone/>
                <wp:docPr id="4" name="Text Box 4"/>
                <wp:cNvGraphicFramePr/>
                <a:graphic xmlns:a="http://schemas.openxmlformats.org/drawingml/2006/main">
                  <a:graphicData uri="http://schemas.microsoft.com/office/word/2010/wordprocessingShape">
                    <wps:wsp>
                      <wps:cNvSpPr txBox="1"/>
                      <wps:spPr>
                        <a:xfrm>
                          <a:off x="0" y="0"/>
                          <a:ext cx="6878320" cy="407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137" w:rsidRPr="00973604" w:rsidRDefault="00300137" w:rsidP="000E0CCD">
                            <w:pPr>
                              <w:rPr>
                                <w:b/>
                                <w:i/>
                                <w:sz w:val="32"/>
                                <w:szCs w:val="36"/>
                              </w:rPr>
                            </w:pPr>
                            <w:r>
                              <w:rPr>
                                <w:b/>
                                <w:i/>
                                <w:sz w:val="32"/>
                                <w:szCs w:val="36"/>
                              </w:rPr>
                              <w:t>İade edilebilir ambalajlama sistemi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pt;margin-top:253.3pt;width:541.6pt;height:3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" filled="f" stroked="f" strokeweight=".5pt">
                <v:textbox>
                  <w:txbxContent>
                    <w:p w:rsidR="00300137" w:rsidRPr="00973604" w:rsidRDefault="00300137" w:rsidP="000E0CCD">
                      <w:pPr>
                        <w:rPr>
                          <w:b/>
                          <w:i/>
                          <w:sz w:val="32"/>
                          <w:szCs w:val="36"/>
                        </w:rPr>
                      </w:pPr>
                      <w:r>
                        <w:rPr>
                          <w:b/>
                          <w:i/>
                          <w:sz w:val="32"/>
                          <w:szCs w:val="36"/>
                        </w:rPr>
                        <w:t>İade edilebilir ambalajlama sistemi</w:t>
                      </w:r>
                    </w:p>
                  </w:txbxContent>
                </v:textbox>
                <w10:wrap anchory="page"/>
                <w10:anchorlock/>
              </v:shape>
            </w:pict>
          </mc:Fallback>
        </mc:AlternateContent>
      </w:r>
      <w:r w:rsidRPr="00431023">
        <w:rPr>
          <w:noProof/>
          <w:sz w:val="12"/>
          <w:lang w:val="en-US" w:eastAsia="en-US"/>
        </w:rPr>
        <mc:AlternateContent>
          <mc:Choice Requires="wps">
            <w:drawing>
              <wp:anchor distT="0" distB="0" distL="114300" distR="114300" simplePos="0" relativeHeight="251664384" behindDoc="0" locked="1" layoutInCell="1" allowOverlap="1" wp14:anchorId="0EB7FABB" wp14:editId="431A8CAF">
                <wp:simplePos x="0" y="0"/>
                <wp:positionH relativeFrom="column">
                  <wp:posOffset>333375</wp:posOffset>
                </wp:positionH>
                <wp:positionV relativeFrom="page">
                  <wp:posOffset>2692400</wp:posOffset>
                </wp:positionV>
                <wp:extent cx="748030" cy="4114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748030"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137" w:rsidRPr="006C1BF8" w:rsidRDefault="00300137" w:rsidP="002B1B10">
                            <w:pPr>
                              <w:rPr>
                                <w:b/>
                                <w:color w:val="FFFFFF" w:themeColor="background1"/>
                                <w:sz w:val="48"/>
                                <w:lang w:val="en-US"/>
                              </w:rPr>
                            </w:pPr>
                            <w:r>
                              <w:rPr>
                                <w:b/>
                                <w:color w:val="FFFFFF" w:themeColor="background1"/>
                                <w:sz w:val="40"/>
                                <w:lang w:val="en-US"/>
                              </w:rPr>
                              <w:t>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6.25pt;margin-top:212pt;width:58.9pt;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" filled="f" stroked="f" strokeweight=".5pt">
                <v:textbox>
                  <w:txbxContent>
                    <w:p w:rsidR="00300137" w:rsidRPr="006C1BF8" w:rsidRDefault="00300137" w:rsidP="002B1B10">
                      <w:pPr>
                        <w:rPr>
                          <w:b/>
                          <w:color w:val="FFFFFF" w:themeColor="background1"/>
                          <w:sz w:val="48"/>
                          <w:lang w:val="en-US"/>
                        </w:rPr>
                      </w:pPr>
                      <w:r>
                        <w:rPr>
                          <w:b/>
                          <w:color w:val="FFFFFF" w:themeColor="background1"/>
                          <w:sz w:val="40"/>
                          <w:lang w:val="en-US"/>
                        </w:rPr>
                        <w:t>125</w:t>
                      </w:r>
                    </w:p>
                  </w:txbxContent>
                </v:textbox>
                <w10:wrap anchory="page"/>
                <w10:anchorlock/>
              </v:shape>
            </w:pict>
          </mc:Fallback>
        </mc:AlternateContent>
      </w:r>
      <w:r w:rsidRPr="00431023">
        <w:rPr>
          <w:noProof/>
          <w:sz w:val="12"/>
          <w:lang w:val="en-US" w:eastAsia="en-US"/>
        </w:rPr>
        <mc:AlternateContent>
          <mc:Choice Requires="wps">
            <w:drawing>
              <wp:anchor distT="0" distB="0" distL="114300" distR="114300" simplePos="0" relativeHeight="251666432" behindDoc="0" locked="1" layoutInCell="1" allowOverlap="1" wp14:anchorId="016B6B71" wp14:editId="110571F2">
                <wp:simplePos x="0" y="0"/>
                <wp:positionH relativeFrom="column">
                  <wp:posOffset>5831840</wp:posOffset>
                </wp:positionH>
                <wp:positionV relativeFrom="page">
                  <wp:posOffset>5080</wp:posOffset>
                </wp:positionV>
                <wp:extent cx="1270635" cy="41148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1270635"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137" w:rsidRPr="000B32A8" w:rsidRDefault="00300137" w:rsidP="005147AB">
                            <w:pPr>
                              <w:rPr>
                                <w:b/>
                                <w:color w:val="FFFFFF" w:themeColor="background1"/>
                                <w:sz w:val="36"/>
                              </w:rPr>
                            </w:pPr>
                            <w:r>
                              <w:rPr>
                                <w:b/>
                                <w:color w:val="FFFFFF" w:themeColor="background1"/>
                                <w:sz w:val="36"/>
                              </w:rPr>
                              <w:t>İspanya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459.2pt;margin-top:.4pt;width:100.05pt;height:3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" filled="f" stroked="f" strokeweight=".5pt">
                <v:textbox>
                  <w:txbxContent>
                    <w:p w:rsidR="00300137" w:rsidRPr="000B32A8" w:rsidRDefault="00300137" w:rsidP="005147AB">
                      <w:pPr>
                        <w:rPr>
                          <w:b/>
                          <w:color w:val="FFFFFF" w:themeColor="background1"/>
                          <w:sz w:val="36"/>
                        </w:rPr>
                      </w:pPr>
                      <w:r>
                        <w:rPr>
                          <w:b/>
                          <w:color w:val="FFFFFF" w:themeColor="background1"/>
                          <w:sz w:val="36"/>
                        </w:rPr>
                        <w:t>İspanya</w:t>
                      </w:r>
                    </w:p>
                  </w:txbxContent>
                </v:textbox>
                <w10:wrap anchory="page"/>
                <w10:anchorlock/>
              </v:shape>
            </w:pict>
          </mc:Fallback>
        </mc:AlternateContent>
      </w:r>
      <w:r w:rsidRPr="00431023">
        <w:rPr>
          <w:noProof/>
          <w:sz w:val="12"/>
          <w:lang w:val="en-US" w:eastAsia="en-US"/>
        </w:rPr>
        <mc:AlternateContent>
          <mc:Choice Requires="wps">
            <w:drawing>
              <wp:anchor distT="0" distB="0" distL="114300" distR="114300" simplePos="0" relativeHeight="251660288" behindDoc="0" locked="1" layoutInCell="1" allowOverlap="1" wp14:anchorId="15D9E06B" wp14:editId="62832D81">
                <wp:simplePos x="0" y="0"/>
                <wp:positionH relativeFrom="column">
                  <wp:posOffset>1042035</wp:posOffset>
                </wp:positionH>
                <wp:positionV relativeFrom="page">
                  <wp:posOffset>2737485</wp:posOffset>
                </wp:positionV>
                <wp:extent cx="5769610" cy="4114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769610"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137" w:rsidRPr="000B32A8" w:rsidRDefault="00300137" w:rsidP="004706E2">
                            <w:pPr>
                              <w:ind w:left="720"/>
                              <w:rPr>
                                <w:b/>
                                <w:i/>
                                <w:color w:val="FFFFFF" w:themeColor="background1"/>
                                <w:sz w:val="28"/>
                              </w:rPr>
                            </w:pPr>
                            <w:r>
                              <w:rPr>
                                <w:b/>
                                <w:i/>
                                <w:color w:val="FFFFFF" w:themeColor="background1"/>
                                <w:sz w:val="28"/>
                              </w:rPr>
                              <w:t>Atıkların en aza indirilmesi, ham maddelerin tekrar kullanımı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82.05pt;margin-top:215.55pt;width:454.3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" filled="f" stroked="f" strokeweight=".5pt">
                <v:textbox>
                  <w:txbxContent>
                    <w:p w:rsidR="00300137" w:rsidRPr="000B32A8" w:rsidRDefault="00300137" w:rsidP="004706E2">
                      <w:pPr>
                        <w:ind w:left="720"/>
                        <w:rPr>
                          <w:b/>
                          <w:i/>
                          <w:color w:val="FFFFFF" w:themeColor="background1"/>
                          <w:sz w:val="28"/>
                        </w:rPr>
                      </w:pPr>
                      <w:r>
                        <w:rPr>
                          <w:b/>
                          <w:i/>
                          <w:color w:val="FFFFFF" w:themeColor="background1"/>
                          <w:sz w:val="28"/>
                        </w:rPr>
                        <w:t>Atıkların en aza indirilmesi, ham maddelerin tekrar kullanımı</w:t>
                      </w:r>
                    </w:p>
                  </w:txbxContent>
                </v:textbox>
                <w10:wrap anchory="page"/>
                <w10:anchorlock/>
              </v:shape>
            </w:pict>
          </mc:Fallback>
        </mc:AlternateContent>
      </w:r>
    </w:p>
    <w:tbl>
      <w:tblPr>
        <w:tblStyle w:val="TableGrid"/>
        <w:tblW w:w="10848" w:type="dxa"/>
        <w:tblInd w:w="234" w:type="dxa"/>
        <w:tblBorders>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1350"/>
        <w:gridCol w:w="1080"/>
        <w:gridCol w:w="8418"/>
      </w:tblGrid>
      <w:tr w:rsidR="005502F2" w:rsidRPr="00CC73A7" w:rsidTr="005341CC">
        <w:trPr>
          <w:trHeight w:val="197"/>
        </w:trPr>
        <w:tc>
          <w:tcPr>
            <w:tcW w:w="2430" w:type="dxa"/>
            <w:gridSpan w:val="2"/>
            <w:tcBorders>
              <w:top w:val="single" w:sz="12" w:space="0" w:color="00B050"/>
              <w:left w:val="single" w:sz="12" w:space="0" w:color="00B050"/>
              <w:bottom w:val="single" w:sz="12" w:space="0" w:color="00B050"/>
            </w:tcBorders>
          </w:tcPr>
          <w:p w:rsidR="005502F2" w:rsidRPr="00CC73A7" w:rsidRDefault="005502F2" w:rsidP="00690302">
            <w:pPr>
              <w:jc w:val="left"/>
              <w:rPr>
                <w:rFonts w:ascii="Times New Roman" w:hAnsi="Times New Roman" w:cs="Times New Roman"/>
                <w:b/>
                <w:color w:val="00B050"/>
              </w:rPr>
            </w:pPr>
            <w:r w:rsidRPr="00CC73A7">
              <w:rPr>
                <w:rFonts w:ascii="Times New Roman" w:hAnsi="Times New Roman" w:cs="Times New Roman"/>
                <w:b/>
                <w:color w:val="00B050"/>
              </w:rPr>
              <w:t>Şirket bilgileri</w:t>
            </w:r>
          </w:p>
        </w:tc>
        <w:tc>
          <w:tcPr>
            <w:tcW w:w="8418" w:type="dxa"/>
            <w:tcBorders>
              <w:top w:val="single" w:sz="12" w:space="0" w:color="00B050"/>
              <w:bottom w:val="single" w:sz="12" w:space="0" w:color="00B050"/>
              <w:right w:val="single" w:sz="12" w:space="0" w:color="00B050"/>
            </w:tcBorders>
          </w:tcPr>
          <w:p w:rsidR="00BB52FA" w:rsidRPr="00A90275" w:rsidRDefault="000B32A8" w:rsidP="00BB52FA">
            <w:pPr>
              <w:jc w:val="both"/>
              <w:rPr>
                <w:rFonts w:ascii="Times New Roman" w:hAnsi="Times New Roman" w:cs="Times New Roman"/>
                <w:sz w:val="18"/>
              </w:rPr>
            </w:pPr>
            <w:r>
              <w:rPr>
                <w:rFonts w:ascii="Times New Roman" w:hAnsi="Times New Roman" w:cs="Times New Roman"/>
                <w:sz w:val="18"/>
              </w:rPr>
              <w:t>Lafarge Cementos (İspanya).</w:t>
            </w:r>
          </w:p>
        </w:tc>
      </w:tr>
      <w:tr w:rsidR="005502F2" w:rsidRPr="00CC73A7" w:rsidTr="005341CC">
        <w:trPr>
          <w:trHeight w:val="71"/>
        </w:trPr>
        <w:tc>
          <w:tcPr>
            <w:tcW w:w="2430" w:type="dxa"/>
            <w:gridSpan w:val="2"/>
            <w:tcBorders>
              <w:top w:val="single" w:sz="12" w:space="0" w:color="00B050"/>
              <w:left w:val="single" w:sz="12" w:space="0" w:color="00B050"/>
              <w:bottom w:val="single" w:sz="12" w:space="0" w:color="00B050"/>
            </w:tcBorders>
          </w:tcPr>
          <w:p w:rsidR="005502F2" w:rsidRPr="00CC73A7" w:rsidRDefault="005502F2" w:rsidP="00690302">
            <w:pPr>
              <w:jc w:val="left"/>
              <w:rPr>
                <w:rFonts w:ascii="Times New Roman" w:hAnsi="Times New Roman" w:cs="Times New Roman"/>
                <w:b/>
                <w:color w:val="00B050"/>
              </w:rPr>
            </w:pPr>
            <w:r w:rsidRPr="00CC73A7">
              <w:rPr>
                <w:rFonts w:ascii="Times New Roman" w:hAnsi="Times New Roman" w:cs="Times New Roman"/>
                <w:b/>
                <w:color w:val="00B050"/>
              </w:rPr>
              <w:t>Endüstri</w:t>
            </w:r>
            <w:r w:rsidR="005F14DF">
              <w:rPr>
                <w:rFonts w:ascii="Times New Roman" w:hAnsi="Times New Roman" w:cs="Times New Roman"/>
                <w:b/>
                <w:color w:val="00B050"/>
              </w:rPr>
              <w:t>yel sektör</w:t>
            </w:r>
          </w:p>
        </w:tc>
        <w:tc>
          <w:tcPr>
            <w:tcW w:w="8418" w:type="dxa"/>
            <w:tcBorders>
              <w:top w:val="single" w:sz="12" w:space="0" w:color="00B050"/>
              <w:bottom w:val="single" w:sz="12" w:space="0" w:color="00B050"/>
              <w:right w:val="single" w:sz="12" w:space="0" w:color="00B050"/>
            </w:tcBorders>
          </w:tcPr>
          <w:p w:rsidR="005502F2" w:rsidRDefault="00A05D58" w:rsidP="002A4F91">
            <w:pPr>
              <w:jc w:val="both"/>
              <w:rPr>
                <w:rFonts w:ascii="Times New Roman" w:hAnsi="Times New Roman" w:cs="Times New Roman"/>
                <w:sz w:val="18"/>
              </w:rPr>
            </w:pPr>
            <w:r>
              <w:rPr>
                <w:rFonts w:ascii="Times New Roman" w:hAnsi="Times New Roman" w:cs="Times New Roman"/>
                <w:sz w:val="18"/>
              </w:rPr>
              <w:t>Çimento, kireç ve alçı üretimi.</w:t>
            </w:r>
          </w:p>
          <w:p w:rsidR="00A05D58" w:rsidRPr="00A90275" w:rsidRDefault="00A05D58" w:rsidP="002A4F91">
            <w:pPr>
              <w:jc w:val="both"/>
              <w:rPr>
                <w:rFonts w:ascii="Times New Roman" w:hAnsi="Times New Roman" w:cs="Times New Roman"/>
                <w:sz w:val="18"/>
              </w:rPr>
            </w:pPr>
            <w:r>
              <w:rPr>
                <w:rFonts w:ascii="Times New Roman" w:hAnsi="Times New Roman" w:cs="Times New Roman"/>
                <w:sz w:val="18"/>
              </w:rPr>
              <w:t>ISIC Rev 4 n</w:t>
            </w:r>
            <w:r w:rsidR="00877ED3">
              <w:rPr>
                <w:rFonts w:ascii="Times New Roman" w:hAnsi="Times New Roman" w:cs="Times New Roman"/>
                <w:sz w:val="18"/>
              </w:rPr>
              <w:t>o</w:t>
            </w:r>
            <w:r>
              <w:rPr>
                <w:rFonts w:ascii="Times New Roman" w:hAnsi="Times New Roman" w:cs="Times New Roman"/>
                <w:sz w:val="18"/>
              </w:rPr>
              <w:t>. 2394 (</w:t>
            </w:r>
            <w:r w:rsidRPr="00A05D58">
              <w:rPr>
                <w:rFonts w:ascii="Times New Roman" w:hAnsi="Times New Roman" w:cs="Times New Roman"/>
                <w:sz w:val="18"/>
              </w:rPr>
              <w:t>Tüm Ekonomik Faaliyetlerin Uluslararası Standart Sanayi Sınıflam</w:t>
            </w:r>
            <w:r>
              <w:rPr>
                <w:rFonts w:ascii="Times New Roman" w:hAnsi="Times New Roman" w:cs="Times New Roman"/>
                <w:sz w:val="18"/>
              </w:rPr>
              <w:t>ası)</w:t>
            </w:r>
          </w:p>
        </w:tc>
      </w:tr>
      <w:tr w:rsidR="005502F2" w:rsidRPr="00CC73A7" w:rsidTr="005341CC">
        <w:trPr>
          <w:trHeight w:val="314"/>
        </w:trPr>
        <w:tc>
          <w:tcPr>
            <w:tcW w:w="2430" w:type="dxa"/>
            <w:gridSpan w:val="2"/>
            <w:tcBorders>
              <w:top w:val="single" w:sz="12" w:space="0" w:color="00B050"/>
              <w:left w:val="single" w:sz="12" w:space="0" w:color="00B050"/>
              <w:bottom w:val="single" w:sz="12" w:space="0" w:color="00B050"/>
            </w:tcBorders>
          </w:tcPr>
          <w:p w:rsidR="005502F2" w:rsidRPr="00CC73A7" w:rsidRDefault="005502F2" w:rsidP="00690302">
            <w:pPr>
              <w:jc w:val="left"/>
              <w:rPr>
                <w:rFonts w:ascii="Times New Roman" w:hAnsi="Times New Roman" w:cs="Times New Roman"/>
                <w:b/>
                <w:color w:val="00B050"/>
              </w:rPr>
            </w:pPr>
            <w:r w:rsidRPr="00CC73A7">
              <w:rPr>
                <w:rFonts w:ascii="Times New Roman" w:hAnsi="Times New Roman" w:cs="Times New Roman"/>
                <w:b/>
                <w:color w:val="00B050"/>
              </w:rPr>
              <w:t>Çevresel bakımdan dikkate alınacak konular</w:t>
            </w:r>
          </w:p>
        </w:tc>
        <w:tc>
          <w:tcPr>
            <w:tcW w:w="8418" w:type="dxa"/>
            <w:tcBorders>
              <w:top w:val="single" w:sz="12" w:space="0" w:color="00B050"/>
              <w:bottom w:val="single" w:sz="12" w:space="0" w:color="00B050"/>
              <w:right w:val="single" w:sz="12" w:space="0" w:color="00B050"/>
            </w:tcBorders>
          </w:tcPr>
          <w:p w:rsidR="00F3571E" w:rsidRPr="000B32A8" w:rsidRDefault="000B32A8" w:rsidP="000B32A8">
            <w:pPr>
              <w:jc w:val="both"/>
              <w:rPr>
                <w:rFonts w:ascii="Times New Roman" w:hAnsi="Times New Roman" w:cs="Times New Roman"/>
                <w:sz w:val="18"/>
              </w:rPr>
            </w:pPr>
            <w:r>
              <w:rPr>
                <w:rFonts w:ascii="Times New Roman" w:hAnsi="Times New Roman" w:cs="Times New Roman"/>
                <w:sz w:val="18"/>
              </w:rPr>
              <w:t>Lafarge Cementos sürekli olarak sürdürülebilir çözümler yönünde araştırma yapmaktadır; çoğu zaman bu çözümler, şirketin tesislerinde ve kullandığı proseslerde uygulanan yenilikçi ve maliyetsiz çözümler halinde yaşama geçmektedir.</w:t>
            </w:r>
          </w:p>
        </w:tc>
      </w:tr>
      <w:tr w:rsidR="004E65A1" w:rsidRPr="00CC73A7" w:rsidTr="005341CC">
        <w:trPr>
          <w:trHeight w:val="258"/>
        </w:trPr>
        <w:tc>
          <w:tcPr>
            <w:tcW w:w="2430" w:type="dxa"/>
            <w:gridSpan w:val="2"/>
            <w:tcBorders>
              <w:top w:val="single" w:sz="12" w:space="0" w:color="00B050"/>
              <w:left w:val="single" w:sz="12" w:space="0" w:color="00B050"/>
              <w:bottom w:val="single" w:sz="12" w:space="0" w:color="00B050"/>
            </w:tcBorders>
          </w:tcPr>
          <w:p w:rsidR="004E65A1" w:rsidRPr="00CC73A7" w:rsidRDefault="004E65A1" w:rsidP="00690302">
            <w:pPr>
              <w:jc w:val="left"/>
              <w:rPr>
                <w:rFonts w:ascii="Times New Roman" w:hAnsi="Times New Roman" w:cs="Times New Roman"/>
                <w:b/>
                <w:color w:val="00B050"/>
              </w:rPr>
            </w:pPr>
            <w:r>
              <w:rPr>
                <w:rFonts w:ascii="Times New Roman" w:hAnsi="Times New Roman" w:cs="Times New Roman"/>
                <w:b/>
                <w:color w:val="00B050"/>
              </w:rPr>
              <w:t>Gerekli bilgiler</w:t>
            </w:r>
          </w:p>
        </w:tc>
        <w:tc>
          <w:tcPr>
            <w:tcW w:w="8418" w:type="dxa"/>
            <w:tcBorders>
              <w:top w:val="single" w:sz="12" w:space="0" w:color="00B050"/>
              <w:bottom w:val="single" w:sz="12" w:space="0" w:color="00B050"/>
              <w:right w:val="single" w:sz="12" w:space="0" w:color="00B050"/>
            </w:tcBorders>
          </w:tcPr>
          <w:p w:rsidR="00816EBC" w:rsidRDefault="00877ED3" w:rsidP="00567294">
            <w:pPr>
              <w:jc w:val="both"/>
              <w:rPr>
                <w:rFonts w:ascii="Times New Roman" w:hAnsi="Times New Roman" w:cs="Times New Roman"/>
                <w:sz w:val="18"/>
              </w:rPr>
            </w:pPr>
            <w:r>
              <w:rPr>
                <w:rFonts w:ascii="Times New Roman" w:hAnsi="Times New Roman" w:cs="Times New Roman"/>
                <w:sz w:val="18"/>
              </w:rPr>
              <w:t>T</w:t>
            </w:r>
            <w:r w:rsidR="00A87F18">
              <w:rPr>
                <w:rFonts w:ascii="Times New Roman" w:hAnsi="Times New Roman" w:cs="Times New Roman"/>
                <w:sz w:val="18"/>
              </w:rPr>
              <w:t xml:space="preserve">üm lojistik zinciri boyunca </w:t>
            </w:r>
            <w:r w:rsidR="00567294">
              <w:rPr>
                <w:rFonts w:ascii="Times New Roman" w:hAnsi="Times New Roman" w:cs="Times New Roman"/>
                <w:sz w:val="18"/>
              </w:rPr>
              <w:t xml:space="preserve">malların </w:t>
            </w:r>
            <w:r w:rsidR="00A87F18">
              <w:rPr>
                <w:rFonts w:ascii="Times New Roman" w:hAnsi="Times New Roman" w:cs="Times New Roman"/>
                <w:sz w:val="18"/>
              </w:rPr>
              <w:t>alım ve satımında kullanılan</w:t>
            </w:r>
            <w:r>
              <w:rPr>
                <w:rFonts w:ascii="Times New Roman" w:hAnsi="Times New Roman" w:cs="Times New Roman"/>
                <w:sz w:val="18"/>
              </w:rPr>
              <w:t xml:space="preserve"> p</w:t>
            </w:r>
            <w:r>
              <w:rPr>
                <w:rFonts w:ascii="Times New Roman" w:hAnsi="Times New Roman" w:cs="Times New Roman"/>
                <w:sz w:val="18"/>
              </w:rPr>
              <w:t xml:space="preserve">alet (istif rafı), </w:t>
            </w:r>
            <w:r w:rsidR="00567294">
              <w:rPr>
                <w:rFonts w:ascii="Times New Roman" w:hAnsi="Times New Roman" w:cs="Times New Roman"/>
                <w:sz w:val="18"/>
              </w:rPr>
              <w:t xml:space="preserve">ticaretin </w:t>
            </w:r>
            <w:r w:rsidR="00A87F18">
              <w:rPr>
                <w:rFonts w:ascii="Times New Roman" w:hAnsi="Times New Roman" w:cs="Times New Roman"/>
                <w:sz w:val="18"/>
              </w:rPr>
              <w:t>vazge</w:t>
            </w:r>
            <w:r w:rsidR="00567294">
              <w:rPr>
                <w:rFonts w:ascii="Times New Roman" w:hAnsi="Times New Roman" w:cs="Times New Roman"/>
                <w:sz w:val="18"/>
              </w:rPr>
              <w:t>çilmez bir parçasıdır.  Malları</w:t>
            </w:r>
            <w:r>
              <w:rPr>
                <w:rFonts w:ascii="Times New Roman" w:hAnsi="Times New Roman" w:cs="Times New Roman"/>
                <w:sz w:val="18"/>
              </w:rPr>
              <w:t>n</w:t>
            </w:r>
            <w:r w:rsidR="00567294">
              <w:rPr>
                <w:rFonts w:ascii="Times New Roman" w:hAnsi="Times New Roman" w:cs="Times New Roman"/>
                <w:sz w:val="18"/>
              </w:rPr>
              <w:t xml:space="preserve"> fiziksel olarak desteklenmesinde, </w:t>
            </w:r>
            <w:r>
              <w:rPr>
                <w:rFonts w:ascii="Times New Roman" w:hAnsi="Times New Roman" w:cs="Times New Roman"/>
                <w:sz w:val="18"/>
              </w:rPr>
              <w:t>yüklenip boşaltılmasında</w:t>
            </w:r>
            <w:r w:rsidR="00567294">
              <w:rPr>
                <w:rFonts w:ascii="Times New Roman" w:hAnsi="Times New Roman" w:cs="Times New Roman"/>
                <w:sz w:val="18"/>
              </w:rPr>
              <w:t>, nakliyesinde ve depolanmasın</w:t>
            </w:r>
            <w:r>
              <w:rPr>
                <w:rFonts w:ascii="Times New Roman" w:hAnsi="Times New Roman" w:cs="Times New Roman"/>
                <w:sz w:val="18"/>
              </w:rPr>
              <w:t>da</w:t>
            </w:r>
            <w:r w:rsidR="00567294">
              <w:rPr>
                <w:rFonts w:ascii="Times New Roman" w:hAnsi="Times New Roman" w:cs="Times New Roman"/>
                <w:sz w:val="18"/>
              </w:rPr>
              <w:t xml:space="preserve"> kullanışlıdır.  Lafarge İspanya İş Birimi müşterilerine hizmet verebilmek için yılda yaklaşık 250.000 adet palet kullanır.  </w:t>
            </w:r>
            <w:r>
              <w:rPr>
                <w:rFonts w:ascii="Times New Roman" w:hAnsi="Times New Roman" w:cs="Times New Roman"/>
                <w:sz w:val="18"/>
              </w:rPr>
              <w:t>Bu y</w:t>
            </w:r>
            <w:r w:rsidR="00567294">
              <w:rPr>
                <w:rFonts w:ascii="Times New Roman" w:hAnsi="Times New Roman" w:cs="Times New Roman"/>
                <w:sz w:val="18"/>
              </w:rPr>
              <w:t xml:space="preserve">üksek palet sayısı nedeniyle </w:t>
            </w:r>
            <w:r w:rsidR="00D07D76">
              <w:rPr>
                <w:rFonts w:ascii="Times New Roman" w:hAnsi="Times New Roman" w:cs="Times New Roman"/>
                <w:sz w:val="18"/>
              </w:rPr>
              <w:t>kereste</w:t>
            </w:r>
            <w:r w:rsidR="00567294">
              <w:rPr>
                <w:rFonts w:ascii="Times New Roman" w:hAnsi="Times New Roman" w:cs="Times New Roman"/>
                <w:sz w:val="18"/>
              </w:rPr>
              <w:t xml:space="preserve"> piyasasında</w:t>
            </w:r>
            <w:r>
              <w:rPr>
                <w:rFonts w:ascii="Times New Roman" w:hAnsi="Times New Roman" w:cs="Times New Roman"/>
                <w:sz w:val="18"/>
              </w:rPr>
              <w:t>ki</w:t>
            </w:r>
            <w:r w:rsidR="00567294">
              <w:rPr>
                <w:rFonts w:ascii="Times New Roman" w:hAnsi="Times New Roman" w:cs="Times New Roman"/>
                <w:sz w:val="18"/>
              </w:rPr>
              <w:t xml:space="preserve"> fiyatlarda oluşabilecek istikrarsızlıklar</w:t>
            </w:r>
            <w:r>
              <w:rPr>
                <w:rFonts w:ascii="Times New Roman" w:hAnsi="Times New Roman" w:cs="Times New Roman"/>
                <w:sz w:val="18"/>
              </w:rPr>
              <w:t>,</w:t>
            </w:r>
            <w:r w:rsidR="00567294">
              <w:rPr>
                <w:rFonts w:ascii="Times New Roman" w:hAnsi="Times New Roman" w:cs="Times New Roman"/>
                <w:sz w:val="18"/>
              </w:rPr>
              <w:t xml:space="preserve"> işletmenin nakliye üc</w:t>
            </w:r>
            <w:r>
              <w:rPr>
                <w:rFonts w:ascii="Times New Roman" w:hAnsi="Times New Roman" w:cs="Times New Roman"/>
                <w:sz w:val="18"/>
              </w:rPr>
              <w:t>retlerine önemli etki yapabilmektedir.</w:t>
            </w:r>
          </w:p>
          <w:p w:rsidR="00567294" w:rsidRDefault="00567294" w:rsidP="00567294">
            <w:pPr>
              <w:jc w:val="both"/>
              <w:rPr>
                <w:rFonts w:ascii="Times New Roman" w:hAnsi="Times New Roman" w:cs="Times New Roman"/>
                <w:sz w:val="18"/>
              </w:rPr>
            </w:pPr>
          </w:p>
          <w:p w:rsidR="00567294" w:rsidRDefault="00567294" w:rsidP="00D07D76">
            <w:pPr>
              <w:jc w:val="both"/>
              <w:rPr>
                <w:rFonts w:ascii="Times New Roman" w:hAnsi="Times New Roman" w:cs="Times New Roman"/>
                <w:sz w:val="18"/>
              </w:rPr>
            </w:pPr>
            <w:r>
              <w:rPr>
                <w:rFonts w:ascii="Times New Roman" w:hAnsi="Times New Roman" w:cs="Times New Roman"/>
                <w:sz w:val="18"/>
              </w:rPr>
              <w:t>Avrupa</w:t>
            </w:r>
            <w:r w:rsidR="00877ED3">
              <w:rPr>
                <w:rFonts w:ascii="Times New Roman" w:hAnsi="Times New Roman" w:cs="Times New Roman"/>
                <w:sz w:val="18"/>
              </w:rPr>
              <w:t>,</w:t>
            </w:r>
            <w:r>
              <w:rPr>
                <w:rFonts w:ascii="Times New Roman" w:hAnsi="Times New Roman" w:cs="Times New Roman"/>
                <w:sz w:val="18"/>
              </w:rPr>
              <w:t xml:space="preserve"> ambalajları azaltma yönünde teşvik ve mevzuat programları uygulamaktadır ve yakın geçmişte bir “Yasadışı Kereste Kanunu” benimsemiştir.  Bu yeni mevzuat</w:t>
            </w:r>
            <w:r w:rsidR="00877ED3">
              <w:rPr>
                <w:rFonts w:ascii="Times New Roman" w:hAnsi="Times New Roman" w:cs="Times New Roman"/>
                <w:sz w:val="18"/>
              </w:rPr>
              <w:t>,</w:t>
            </w:r>
            <w:r>
              <w:rPr>
                <w:rFonts w:ascii="Times New Roman" w:hAnsi="Times New Roman" w:cs="Times New Roman"/>
                <w:sz w:val="18"/>
              </w:rPr>
              <w:t xml:space="preserve"> yasadışı yollardan kesilmiş kerestelerin kullanımını yasaklamaktadır.  Ağaç kesme bölgelerinden başlayıp Avrupa’daki tüketicilere dek tüm kereste tedarik zin</w:t>
            </w:r>
            <w:r w:rsidR="00877ED3">
              <w:rPr>
                <w:rFonts w:ascii="Times New Roman" w:hAnsi="Times New Roman" w:cs="Times New Roman"/>
                <w:sz w:val="18"/>
              </w:rPr>
              <w:t>cirini kapsayan bu mevzuat,</w:t>
            </w:r>
            <w:r>
              <w:rPr>
                <w:rFonts w:ascii="Times New Roman" w:hAnsi="Times New Roman" w:cs="Times New Roman"/>
                <w:sz w:val="18"/>
              </w:rPr>
              <w:t xml:space="preserve"> AB pazarlarında yasal yollardan elde edilmiş ürünlere erişim</w:t>
            </w:r>
            <w:r w:rsidR="00877ED3">
              <w:rPr>
                <w:rFonts w:ascii="Times New Roman" w:hAnsi="Times New Roman" w:cs="Times New Roman"/>
                <w:sz w:val="18"/>
              </w:rPr>
              <w:t>i</w:t>
            </w:r>
            <w:r>
              <w:rPr>
                <w:rFonts w:ascii="Times New Roman" w:hAnsi="Times New Roman" w:cs="Times New Roman"/>
                <w:sz w:val="18"/>
              </w:rPr>
              <w:t xml:space="preserve"> garanti</w:t>
            </w:r>
            <w:r w:rsidR="00877ED3">
              <w:rPr>
                <w:rFonts w:ascii="Times New Roman" w:hAnsi="Times New Roman" w:cs="Times New Roman"/>
                <w:sz w:val="18"/>
              </w:rPr>
              <w:t>lemeyi</w:t>
            </w:r>
            <w:r>
              <w:rPr>
                <w:rFonts w:ascii="Times New Roman" w:hAnsi="Times New Roman" w:cs="Times New Roman"/>
                <w:sz w:val="18"/>
              </w:rPr>
              <w:t xml:space="preserve"> </w:t>
            </w:r>
            <w:r w:rsidR="00D07D76">
              <w:rPr>
                <w:rFonts w:ascii="Times New Roman" w:hAnsi="Times New Roman" w:cs="Times New Roman"/>
                <w:sz w:val="18"/>
              </w:rPr>
              <w:t>ve üçüncü ülkelerde ormanların yok edilmesinin önüne geçmeyi hedef almaktadır.</w:t>
            </w:r>
          </w:p>
          <w:p w:rsidR="00D07D76" w:rsidRDefault="00D07D76" w:rsidP="00D07D76">
            <w:pPr>
              <w:jc w:val="both"/>
              <w:rPr>
                <w:rFonts w:ascii="Times New Roman" w:hAnsi="Times New Roman" w:cs="Times New Roman"/>
                <w:sz w:val="18"/>
              </w:rPr>
            </w:pPr>
          </w:p>
          <w:p w:rsidR="00D07D76" w:rsidRPr="00FE0892" w:rsidRDefault="00D07D76" w:rsidP="00D07D76">
            <w:pPr>
              <w:jc w:val="both"/>
              <w:rPr>
                <w:rFonts w:ascii="Times New Roman" w:hAnsi="Times New Roman" w:cs="Times New Roman"/>
                <w:sz w:val="18"/>
              </w:rPr>
            </w:pPr>
            <w:r>
              <w:rPr>
                <w:rFonts w:ascii="Times New Roman" w:hAnsi="Times New Roman" w:cs="Times New Roman"/>
                <w:sz w:val="18"/>
              </w:rPr>
              <w:t>Lafarge Cementos ayrıca Küresel Orman ve Ticaret Ağı (GFTN) kuruluşuna üyedir; orman ürünlerinin sorumlu satın alımı doğrultusunda</w:t>
            </w:r>
            <w:r w:rsidR="00877ED3">
              <w:rPr>
                <w:rFonts w:ascii="Times New Roman" w:hAnsi="Times New Roman" w:cs="Times New Roman"/>
                <w:sz w:val="18"/>
              </w:rPr>
              <w:t>ki</w:t>
            </w:r>
            <w:r>
              <w:rPr>
                <w:rFonts w:ascii="Times New Roman" w:hAnsi="Times New Roman" w:cs="Times New Roman"/>
                <w:sz w:val="18"/>
              </w:rPr>
              <w:t xml:space="preserve"> prensiplerin uygulanması ile, çuval ve paletlerde Orman Koruma Konseyi (FSC) tescilinin teşviki konularında taahhütte bulunmuştur.</w:t>
            </w:r>
          </w:p>
        </w:tc>
      </w:tr>
      <w:tr w:rsidR="002A57D5" w:rsidRPr="00CC73A7" w:rsidTr="005341CC">
        <w:trPr>
          <w:trHeight w:val="278"/>
        </w:trPr>
        <w:tc>
          <w:tcPr>
            <w:tcW w:w="2430" w:type="dxa"/>
            <w:gridSpan w:val="2"/>
            <w:tcBorders>
              <w:top w:val="single" w:sz="12" w:space="0" w:color="00B050"/>
              <w:left w:val="single" w:sz="12" w:space="0" w:color="00B050"/>
              <w:bottom w:val="single" w:sz="12" w:space="0" w:color="00B050"/>
            </w:tcBorders>
          </w:tcPr>
          <w:p w:rsidR="002A57D5" w:rsidRDefault="005F14DF" w:rsidP="00690302">
            <w:pPr>
              <w:jc w:val="left"/>
              <w:rPr>
                <w:rFonts w:ascii="Times New Roman" w:hAnsi="Times New Roman" w:cs="Times New Roman"/>
                <w:b/>
                <w:color w:val="00B050"/>
              </w:rPr>
            </w:pPr>
            <w:r>
              <w:rPr>
                <w:rFonts w:ascii="Times New Roman" w:hAnsi="Times New Roman" w:cs="Times New Roman"/>
                <w:b/>
                <w:color w:val="00B050"/>
              </w:rPr>
              <w:t>Faaliyet</w:t>
            </w:r>
            <w:r w:rsidR="00BC235D">
              <w:rPr>
                <w:rFonts w:ascii="Times New Roman" w:hAnsi="Times New Roman" w:cs="Times New Roman"/>
                <w:b/>
                <w:color w:val="00B050"/>
              </w:rPr>
              <w:t>ler</w:t>
            </w:r>
            <w:r>
              <w:rPr>
                <w:rFonts w:ascii="Times New Roman" w:hAnsi="Times New Roman" w:cs="Times New Roman"/>
                <w:b/>
                <w:color w:val="00B050"/>
              </w:rPr>
              <w:t>in</w:t>
            </w:r>
            <w:r w:rsidR="002A57D5">
              <w:rPr>
                <w:rFonts w:ascii="Times New Roman" w:hAnsi="Times New Roman" w:cs="Times New Roman"/>
                <w:b/>
                <w:color w:val="00B050"/>
              </w:rPr>
              <w:t xml:space="preserve"> özeti</w:t>
            </w:r>
          </w:p>
        </w:tc>
        <w:tc>
          <w:tcPr>
            <w:tcW w:w="8418" w:type="dxa"/>
            <w:tcBorders>
              <w:top w:val="single" w:sz="12" w:space="0" w:color="00B050"/>
              <w:bottom w:val="single" w:sz="12" w:space="0" w:color="00B050"/>
              <w:right w:val="single" w:sz="12" w:space="0" w:color="00B050"/>
            </w:tcBorders>
          </w:tcPr>
          <w:p w:rsidR="004269A9" w:rsidRDefault="00D07D76" w:rsidP="00A87F18">
            <w:pPr>
              <w:jc w:val="both"/>
              <w:rPr>
                <w:rFonts w:ascii="Times New Roman" w:hAnsi="Times New Roman" w:cs="Times New Roman"/>
                <w:sz w:val="18"/>
              </w:rPr>
            </w:pPr>
            <w:r>
              <w:rPr>
                <w:rFonts w:ascii="Times New Roman" w:hAnsi="Times New Roman" w:cs="Times New Roman"/>
                <w:sz w:val="18"/>
              </w:rPr>
              <w:t xml:space="preserve">Kereste </w:t>
            </w:r>
            <w:r w:rsidR="004C5587">
              <w:rPr>
                <w:rFonts w:ascii="Times New Roman" w:hAnsi="Times New Roman" w:cs="Times New Roman"/>
                <w:sz w:val="18"/>
              </w:rPr>
              <w:t xml:space="preserve">piyasası </w:t>
            </w:r>
            <w:r>
              <w:rPr>
                <w:rFonts w:ascii="Times New Roman" w:hAnsi="Times New Roman" w:cs="Times New Roman"/>
                <w:sz w:val="18"/>
              </w:rPr>
              <w:t>fiyatlarında</w:t>
            </w:r>
            <w:r w:rsidR="004C5587">
              <w:rPr>
                <w:rFonts w:ascii="Times New Roman" w:hAnsi="Times New Roman" w:cs="Times New Roman"/>
                <w:sz w:val="18"/>
              </w:rPr>
              <w:t xml:space="preserve">ki istikrarsızlıklardan kaçınmak ve sürdürülebilir çözümler aramakta olan Lafarge Cementos, iade edilebilir bir ambalajlama programını tesis etmeye karar verdi.  Bu program dahilinde müşteriler: a) bir deposito ödeyerek paleti </w:t>
            </w:r>
            <w:r w:rsidR="00877ED3">
              <w:rPr>
                <w:rFonts w:ascii="Times New Roman" w:hAnsi="Times New Roman" w:cs="Times New Roman"/>
                <w:sz w:val="18"/>
              </w:rPr>
              <w:t>alabilirler</w:t>
            </w:r>
            <w:r w:rsidR="004C5587">
              <w:rPr>
                <w:rFonts w:ascii="Times New Roman" w:hAnsi="Times New Roman" w:cs="Times New Roman"/>
                <w:sz w:val="18"/>
              </w:rPr>
              <w:t>, ya da b) paleti kullanım sonrası tesise iade edip paralarını geri alabilirler.</w:t>
            </w:r>
          </w:p>
          <w:p w:rsidR="004C5587" w:rsidRDefault="004C5587" w:rsidP="00A87F18">
            <w:pPr>
              <w:jc w:val="both"/>
              <w:rPr>
                <w:rFonts w:ascii="Times New Roman" w:hAnsi="Times New Roman" w:cs="Times New Roman"/>
                <w:sz w:val="18"/>
              </w:rPr>
            </w:pPr>
          </w:p>
          <w:p w:rsidR="004C5587" w:rsidRDefault="004C5587" w:rsidP="004C5587">
            <w:pPr>
              <w:jc w:val="both"/>
              <w:rPr>
                <w:rFonts w:ascii="Times New Roman" w:hAnsi="Times New Roman" w:cs="Times New Roman"/>
                <w:sz w:val="18"/>
              </w:rPr>
            </w:pPr>
            <w:r>
              <w:rPr>
                <w:rFonts w:ascii="Times New Roman" w:hAnsi="Times New Roman" w:cs="Times New Roman"/>
                <w:sz w:val="18"/>
              </w:rPr>
              <w:t>Paletler birçok defalar tekrar kullanılabildikleri için (ortalama değişim oranı 20 ila 30 defa arasındadır) tüm paletler tekrar kullanım dolaşımına girmiştir.  Herhangi bir palet tesise iade edildiğinde, var olan hasara göre sınıflandırılır ve</w:t>
            </w:r>
            <w:r w:rsidR="00877ED3">
              <w:rPr>
                <w:rFonts w:ascii="Times New Roman" w:hAnsi="Times New Roman" w:cs="Times New Roman"/>
                <w:sz w:val="18"/>
              </w:rPr>
              <w:t xml:space="preserve"> buna göre</w:t>
            </w:r>
            <w:r>
              <w:rPr>
                <w:rFonts w:ascii="Times New Roman" w:hAnsi="Times New Roman" w:cs="Times New Roman"/>
                <w:sz w:val="18"/>
              </w:rPr>
              <w:t xml:space="preserve"> doğrudan tekrar kullanılabilir, gerekirse tamir edilebilir, ya da reddedilebilir (eğer ciddi oranda hasarlı durumda ise) ve onaylı bir atık yönetim şirketi tarafından gereği</w:t>
            </w:r>
            <w:r w:rsidR="00877ED3">
              <w:rPr>
                <w:rFonts w:ascii="Times New Roman" w:hAnsi="Times New Roman" w:cs="Times New Roman"/>
                <w:sz w:val="18"/>
              </w:rPr>
              <w:t>ne uygun bir şekilde</w:t>
            </w:r>
            <w:r>
              <w:rPr>
                <w:rFonts w:ascii="Times New Roman" w:hAnsi="Times New Roman" w:cs="Times New Roman"/>
                <w:sz w:val="18"/>
              </w:rPr>
              <w:t xml:space="preserve"> elden çıkarılabilir.</w:t>
            </w:r>
          </w:p>
          <w:p w:rsidR="004C5587" w:rsidRDefault="004C5587" w:rsidP="004C5587">
            <w:pPr>
              <w:jc w:val="both"/>
              <w:rPr>
                <w:rFonts w:ascii="Times New Roman" w:hAnsi="Times New Roman" w:cs="Times New Roman"/>
                <w:sz w:val="18"/>
              </w:rPr>
            </w:pPr>
          </w:p>
          <w:p w:rsidR="004C5587" w:rsidRPr="00A87F18" w:rsidRDefault="004C5587" w:rsidP="00877ED3">
            <w:pPr>
              <w:jc w:val="both"/>
              <w:rPr>
                <w:rFonts w:ascii="Times New Roman" w:hAnsi="Times New Roman" w:cs="Times New Roman"/>
                <w:sz w:val="18"/>
              </w:rPr>
            </w:pPr>
            <w:r>
              <w:rPr>
                <w:rFonts w:ascii="Times New Roman" w:hAnsi="Times New Roman" w:cs="Times New Roman"/>
                <w:sz w:val="18"/>
              </w:rPr>
              <w:t>La</w:t>
            </w:r>
            <w:r w:rsidR="00877ED3">
              <w:rPr>
                <w:rFonts w:ascii="Times New Roman" w:hAnsi="Times New Roman" w:cs="Times New Roman"/>
                <w:sz w:val="18"/>
              </w:rPr>
              <w:t>farge</w:t>
            </w:r>
            <w:r>
              <w:rPr>
                <w:rFonts w:ascii="Times New Roman" w:hAnsi="Times New Roman" w:cs="Times New Roman"/>
                <w:sz w:val="18"/>
              </w:rPr>
              <w:t xml:space="preserve"> </w:t>
            </w:r>
            <w:r w:rsidR="00877ED3">
              <w:rPr>
                <w:rFonts w:ascii="Times New Roman" w:hAnsi="Times New Roman" w:cs="Times New Roman"/>
                <w:sz w:val="18"/>
              </w:rPr>
              <w:t>FSC onaylı bir şirketle</w:t>
            </w:r>
            <w:r w:rsidR="00877ED3">
              <w:rPr>
                <w:rFonts w:ascii="Times New Roman" w:hAnsi="Times New Roman" w:cs="Times New Roman"/>
                <w:sz w:val="18"/>
              </w:rPr>
              <w:t>,</w:t>
            </w:r>
            <w:r w:rsidR="00877ED3">
              <w:rPr>
                <w:rFonts w:ascii="Times New Roman" w:hAnsi="Times New Roman" w:cs="Times New Roman"/>
                <w:sz w:val="18"/>
              </w:rPr>
              <w:t xml:space="preserve"> </w:t>
            </w:r>
            <w:r>
              <w:rPr>
                <w:rFonts w:ascii="Times New Roman" w:hAnsi="Times New Roman" w:cs="Times New Roman"/>
                <w:sz w:val="18"/>
              </w:rPr>
              <w:t>İspanya’da bulunan üç tesisine iade edilen paletleri satın alması ve tamir için ahşap tedarik etmesi amacıyla</w:t>
            </w:r>
            <w:r w:rsidR="00877ED3">
              <w:rPr>
                <w:rFonts w:ascii="Times New Roman" w:hAnsi="Times New Roman" w:cs="Times New Roman"/>
                <w:sz w:val="18"/>
              </w:rPr>
              <w:t>, bir</w:t>
            </w:r>
            <w:r>
              <w:rPr>
                <w:rFonts w:ascii="Times New Roman" w:hAnsi="Times New Roman" w:cs="Times New Roman"/>
                <w:sz w:val="18"/>
              </w:rPr>
              <w:t xml:space="preserve"> sözleşme yapmıştır.</w:t>
            </w:r>
          </w:p>
        </w:tc>
      </w:tr>
      <w:tr w:rsidR="00EE7690" w:rsidTr="0019720F">
        <w:trPr>
          <w:trHeight w:val="4229"/>
        </w:trPr>
        <w:tc>
          <w:tcPr>
            <w:tcW w:w="10848" w:type="dxa"/>
            <w:gridSpan w:val="3"/>
            <w:tcBorders>
              <w:top w:val="single" w:sz="12" w:space="0" w:color="00B050"/>
              <w:left w:val="single" w:sz="12" w:space="0" w:color="00B050"/>
              <w:bottom w:val="single" w:sz="12" w:space="0" w:color="00B050"/>
              <w:right w:val="single" w:sz="12" w:space="0" w:color="00B050"/>
            </w:tcBorders>
          </w:tcPr>
          <w:p w:rsidR="00300137" w:rsidRDefault="00300137" w:rsidP="00300137">
            <w:pPr>
              <w:jc w:val="left"/>
              <w:rPr>
                <w:rFonts w:ascii="Times New Roman" w:hAnsi="Times New Roman" w:cs="Times New Roman"/>
                <w:b/>
                <w:color w:val="00B050"/>
                <w:sz w:val="20"/>
              </w:rPr>
            </w:pPr>
            <w:r>
              <w:rPr>
                <w:rFonts w:ascii="Times New Roman" w:hAnsi="Times New Roman" w:cs="Times New Roman"/>
                <w:b/>
                <w:color w:val="00B050"/>
                <w:sz w:val="20"/>
              </w:rPr>
              <w:lastRenderedPageBreak/>
              <w:t>Fotoğraf</w:t>
            </w:r>
          </w:p>
          <w:p w:rsidR="00253D28" w:rsidRDefault="00300137" w:rsidP="00300137">
            <w:r>
              <w:rPr>
                <w:noProof/>
                <w:lang w:val="en-US" w:eastAsia="en-US"/>
              </w:rPr>
              <w:drawing>
                <wp:inline distT="0" distB="0" distL="0" distR="0">
                  <wp:extent cx="6186008" cy="3157706"/>
                  <wp:effectExtent l="0" t="0" r="571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Clean_125_Figure.jpg"/>
                          <pic:cNvPicPr/>
                        </pic:nvPicPr>
                        <pic:blipFill>
                          <a:blip r:embed="rId8">
                            <a:extLst>
                              <a:ext uri="{28A0092B-C50C-407E-A947-70E740481C1C}">
                                <a14:useLocalDpi xmlns:a14="http://schemas.microsoft.com/office/drawing/2010/main" val="0"/>
                              </a:ext>
                            </a:extLst>
                          </a:blip>
                          <a:stretch>
                            <a:fillRect/>
                          </a:stretch>
                        </pic:blipFill>
                        <pic:spPr>
                          <a:xfrm>
                            <a:off x="0" y="0"/>
                            <a:ext cx="6187439" cy="3158437"/>
                          </a:xfrm>
                          <a:prstGeom prst="rect">
                            <a:avLst/>
                          </a:prstGeom>
                        </pic:spPr>
                      </pic:pic>
                    </a:graphicData>
                  </a:graphic>
                </wp:inline>
              </w:drawing>
            </w:r>
          </w:p>
        </w:tc>
      </w:tr>
      <w:tr w:rsidR="00253D28" w:rsidTr="00D31A21">
        <w:trPr>
          <w:trHeight w:val="3545"/>
        </w:trPr>
        <w:tc>
          <w:tcPr>
            <w:tcW w:w="10848" w:type="dxa"/>
            <w:gridSpan w:val="3"/>
            <w:tcBorders>
              <w:top w:val="single" w:sz="12" w:space="0" w:color="00B050"/>
              <w:left w:val="single" w:sz="12" w:space="0" w:color="00B050"/>
              <w:bottom w:val="single" w:sz="8" w:space="0" w:color="auto"/>
              <w:right w:val="single" w:sz="12" w:space="0" w:color="00B050"/>
            </w:tcBorders>
          </w:tcPr>
          <w:p w:rsidR="00EC2780" w:rsidRDefault="00460748" w:rsidP="00690302">
            <w:pPr>
              <w:jc w:val="left"/>
              <w:rPr>
                <w:rFonts w:ascii="Times New Roman" w:hAnsi="Times New Roman" w:cs="Times New Roman"/>
                <w:b/>
                <w:color w:val="00B050"/>
                <w:sz w:val="20"/>
              </w:rPr>
            </w:pPr>
            <w:r w:rsidRPr="00460748">
              <w:rPr>
                <w:rFonts w:ascii="Times New Roman" w:hAnsi="Times New Roman" w:cs="Times New Roman"/>
                <w:b/>
                <w:color w:val="00B050"/>
                <w:sz w:val="20"/>
              </w:rPr>
              <w:t>Bakiyeler</w:t>
            </w:r>
          </w:p>
          <w:p w:rsidR="00460748" w:rsidRPr="00460748" w:rsidRDefault="00460748" w:rsidP="00690302">
            <w:pPr>
              <w:jc w:val="left"/>
              <w:rPr>
                <w:rFonts w:ascii="Times New Roman" w:hAnsi="Times New Roman" w:cs="Times New Roman"/>
                <w:b/>
                <w:color w:val="00B050"/>
                <w:sz w:val="12"/>
              </w:rPr>
            </w:pPr>
          </w:p>
          <w:tbl>
            <w:tblPr>
              <w:tblStyle w:val="TableGrid"/>
              <w:tblW w:w="0" w:type="auto"/>
              <w:jc w:val="center"/>
              <w:tblLook w:val="04A0" w:firstRow="1" w:lastRow="0" w:firstColumn="1" w:lastColumn="0" w:noHBand="0" w:noVBand="1"/>
            </w:tblPr>
            <w:tblGrid>
              <w:gridCol w:w="2461"/>
              <w:gridCol w:w="1530"/>
              <w:gridCol w:w="1440"/>
            </w:tblGrid>
            <w:tr w:rsidR="00300137" w:rsidTr="00300137">
              <w:trPr>
                <w:jc w:val="center"/>
              </w:trPr>
              <w:tc>
                <w:tcPr>
                  <w:tcW w:w="2461" w:type="dxa"/>
                  <w:tcBorders>
                    <w:bottom w:val="single" w:sz="4" w:space="0" w:color="auto"/>
                  </w:tcBorders>
                  <w:shd w:val="clear" w:color="auto" w:fill="D9D9D9" w:themeFill="background1" w:themeFillShade="D9"/>
                  <w:vAlign w:val="center"/>
                </w:tcPr>
                <w:p w:rsidR="00300137" w:rsidRPr="0019720F" w:rsidRDefault="00300137" w:rsidP="00EC2780">
                  <w:pPr>
                    <w:rPr>
                      <w:rFonts w:ascii="Times New Roman" w:hAnsi="Times New Roman" w:cs="Times New Roman"/>
                      <w:b/>
                      <w:color w:val="00B050"/>
                      <w:sz w:val="16"/>
                    </w:rPr>
                  </w:pPr>
                </w:p>
              </w:tc>
              <w:tc>
                <w:tcPr>
                  <w:tcW w:w="1530" w:type="dxa"/>
                  <w:shd w:val="clear" w:color="auto" w:fill="FFD300"/>
                  <w:vAlign w:val="center"/>
                </w:tcPr>
                <w:p w:rsidR="00300137" w:rsidRPr="0019720F" w:rsidRDefault="00300137" w:rsidP="00300137">
                  <w:pPr>
                    <w:rPr>
                      <w:rFonts w:ascii="Times New Roman" w:hAnsi="Times New Roman" w:cs="Times New Roman"/>
                      <w:b/>
                      <w:sz w:val="16"/>
                    </w:rPr>
                  </w:pPr>
                  <w:r>
                    <w:rPr>
                      <w:rFonts w:ascii="Times New Roman" w:hAnsi="Times New Roman" w:cs="Times New Roman"/>
                      <w:b/>
                      <w:sz w:val="16"/>
                    </w:rPr>
                    <w:t>ESKİ PROSES</w:t>
                  </w:r>
                </w:p>
              </w:tc>
              <w:tc>
                <w:tcPr>
                  <w:tcW w:w="1440" w:type="dxa"/>
                  <w:shd w:val="clear" w:color="auto" w:fill="009DBB"/>
                  <w:vAlign w:val="center"/>
                </w:tcPr>
                <w:p w:rsidR="00300137" w:rsidRDefault="00300137" w:rsidP="00EC2780">
                  <w:pPr>
                    <w:rPr>
                      <w:rFonts w:ascii="Times New Roman" w:hAnsi="Times New Roman" w:cs="Times New Roman"/>
                      <w:b/>
                      <w:sz w:val="16"/>
                    </w:rPr>
                  </w:pPr>
                </w:p>
                <w:p w:rsidR="00300137" w:rsidRDefault="00300137" w:rsidP="00EC2780">
                  <w:pPr>
                    <w:rPr>
                      <w:rFonts w:ascii="Times New Roman" w:hAnsi="Times New Roman" w:cs="Times New Roman"/>
                      <w:b/>
                      <w:sz w:val="16"/>
                    </w:rPr>
                  </w:pPr>
                  <w:r>
                    <w:rPr>
                      <w:rFonts w:ascii="Times New Roman" w:hAnsi="Times New Roman" w:cs="Times New Roman"/>
                      <w:b/>
                      <w:sz w:val="16"/>
                    </w:rPr>
                    <w:t>YENİ PROSES</w:t>
                  </w:r>
                </w:p>
                <w:p w:rsidR="00300137" w:rsidRPr="0019720F" w:rsidRDefault="00300137" w:rsidP="00EC2780">
                  <w:pPr>
                    <w:rPr>
                      <w:rFonts w:ascii="Times New Roman" w:hAnsi="Times New Roman" w:cs="Times New Roman"/>
                      <w:b/>
                      <w:sz w:val="16"/>
                    </w:rPr>
                  </w:pPr>
                </w:p>
              </w:tc>
            </w:tr>
            <w:tr w:rsidR="00300137" w:rsidTr="00EC2780">
              <w:trPr>
                <w:trHeight w:val="622"/>
                <w:jc w:val="center"/>
              </w:trPr>
              <w:tc>
                <w:tcPr>
                  <w:tcW w:w="2461" w:type="dxa"/>
                  <w:shd w:val="clear" w:color="auto" w:fill="CA7D99"/>
                  <w:vAlign w:val="center"/>
                </w:tcPr>
                <w:p w:rsidR="00300137" w:rsidRPr="0019720F" w:rsidRDefault="00300137" w:rsidP="00EC2780">
                  <w:pPr>
                    <w:rPr>
                      <w:rFonts w:ascii="Times New Roman" w:hAnsi="Times New Roman" w:cs="Times New Roman"/>
                      <w:b/>
                      <w:sz w:val="16"/>
                    </w:rPr>
                  </w:pPr>
                  <w:r>
                    <w:rPr>
                      <w:rFonts w:ascii="Times New Roman" w:hAnsi="Times New Roman" w:cs="Times New Roman"/>
                      <w:b/>
                      <w:sz w:val="16"/>
                    </w:rPr>
                    <w:t>Yılda tüketilen palet sayısı</w:t>
                  </w:r>
                </w:p>
              </w:tc>
              <w:tc>
                <w:tcPr>
                  <w:tcW w:w="1530" w:type="dxa"/>
                  <w:vAlign w:val="center"/>
                </w:tcPr>
                <w:p w:rsidR="00300137" w:rsidRPr="0019720F" w:rsidRDefault="00300137" w:rsidP="00942826">
                  <w:pPr>
                    <w:rPr>
                      <w:rFonts w:ascii="Times New Roman" w:hAnsi="Times New Roman" w:cs="Times New Roman"/>
                      <w:b/>
                      <w:sz w:val="16"/>
                    </w:rPr>
                  </w:pPr>
                  <w:r>
                    <w:rPr>
                      <w:rFonts w:ascii="Times New Roman" w:hAnsi="Times New Roman" w:cs="Times New Roman"/>
                      <w:b/>
                      <w:sz w:val="16"/>
                    </w:rPr>
                    <w:t>250.000</w:t>
                  </w:r>
                </w:p>
              </w:tc>
              <w:tc>
                <w:tcPr>
                  <w:tcW w:w="1440" w:type="dxa"/>
                  <w:vAlign w:val="center"/>
                </w:tcPr>
                <w:p w:rsidR="00300137" w:rsidRDefault="00300137" w:rsidP="00300137">
                  <w:pPr>
                    <w:rPr>
                      <w:rFonts w:ascii="Times New Roman" w:hAnsi="Times New Roman" w:cs="Times New Roman"/>
                      <w:b/>
                      <w:sz w:val="16"/>
                    </w:rPr>
                  </w:pPr>
                  <w:r>
                    <w:rPr>
                      <w:rFonts w:ascii="Times New Roman" w:hAnsi="Times New Roman" w:cs="Times New Roman"/>
                      <w:b/>
                      <w:sz w:val="16"/>
                    </w:rPr>
                    <w:t>12.500</w:t>
                  </w:r>
                </w:p>
                <w:p w:rsidR="00300137" w:rsidRPr="0019720F" w:rsidRDefault="00300137" w:rsidP="00300137">
                  <w:pPr>
                    <w:rPr>
                      <w:rFonts w:ascii="Times New Roman" w:hAnsi="Times New Roman" w:cs="Times New Roman"/>
                      <w:b/>
                      <w:sz w:val="16"/>
                    </w:rPr>
                  </w:pPr>
                  <w:r>
                    <w:rPr>
                      <w:rFonts w:ascii="Times New Roman" w:hAnsi="Times New Roman" w:cs="Times New Roman"/>
                      <w:b/>
                      <w:sz w:val="16"/>
                    </w:rPr>
                    <w:t>(%95 iade)</w:t>
                  </w:r>
                </w:p>
              </w:tc>
            </w:tr>
            <w:tr w:rsidR="00300137" w:rsidTr="00EC2780">
              <w:trPr>
                <w:trHeight w:val="622"/>
                <w:jc w:val="center"/>
              </w:trPr>
              <w:tc>
                <w:tcPr>
                  <w:tcW w:w="2461" w:type="dxa"/>
                  <w:shd w:val="clear" w:color="auto" w:fill="CA7D99"/>
                  <w:vAlign w:val="center"/>
                </w:tcPr>
                <w:p w:rsidR="00300137" w:rsidRPr="0019720F" w:rsidRDefault="00300137" w:rsidP="00EC2780">
                  <w:pPr>
                    <w:rPr>
                      <w:rFonts w:ascii="Times New Roman" w:hAnsi="Times New Roman" w:cs="Times New Roman"/>
                      <w:b/>
                      <w:sz w:val="16"/>
                    </w:rPr>
                  </w:pPr>
                  <w:r>
                    <w:rPr>
                      <w:rFonts w:ascii="Times New Roman" w:hAnsi="Times New Roman" w:cs="Times New Roman"/>
                      <w:b/>
                      <w:sz w:val="16"/>
                    </w:rPr>
                    <w:t>Giderlerden tasarruf</w:t>
                  </w:r>
                </w:p>
              </w:tc>
              <w:tc>
                <w:tcPr>
                  <w:tcW w:w="1530" w:type="dxa"/>
                  <w:vAlign w:val="center"/>
                </w:tcPr>
                <w:p w:rsidR="00300137" w:rsidRPr="0019720F" w:rsidRDefault="00300137" w:rsidP="00942826">
                  <w:pPr>
                    <w:rPr>
                      <w:rFonts w:ascii="Times New Roman" w:hAnsi="Times New Roman" w:cs="Times New Roman"/>
                      <w:b/>
                      <w:sz w:val="16"/>
                    </w:rPr>
                  </w:pPr>
                  <w:r>
                    <w:rPr>
                      <w:rFonts w:ascii="Times New Roman" w:hAnsi="Times New Roman" w:cs="Times New Roman"/>
                      <w:b/>
                      <w:sz w:val="16"/>
                    </w:rPr>
                    <w:t>-</w:t>
                  </w:r>
                </w:p>
              </w:tc>
              <w:tc>
                <w:tcPr>
                  <w:tcW w:w="1440" w:type="dxa"/>
                  <w:vAlign w:val="center"/>
                </w:tcPr>
                <w:p w:rsidR="00300137" w:rsidRPr="0019720F" w:rsidRDefault="00300137" w:rsidP="00942826">
                  <w:pPr>
                    <w:rPr>
                      <w:rFonts w:ascii="Times New Roman" w:hAnsi="Times New Roman" w:cs="Times New Roman"/>
                      <w:b/>
                      <w:sz w:val="16"/>
                    </w:rPr>
                  </w:pPr>
                  <w:r>
                    <w:rPr>
                      <w:rFonts w:ascii="Times New Roman" w:hAnsi="Times New Roman" w:cs="Times New Roman"/>
                      <w:b/>
                      <w:sz w:val="16"/>
                    </w:rPr>
                    <w:t>€2 M</w:t>
                  </w:r>
                </w:p>
              </w:tc>
            </w:tr>
            <w:tr w:rsidR="00300137" w:rsidTr="00EC2780">
              <w:trPr>
                <w:trHeight w:val="622"/>
                <w:jc w:val="center"/>
              </w:trPr>
              <w:tc>
                <w:tcPr>
                  <w:tcW w:w="2461" w:type="dxa"/>
                  <w:shd w:val="clear" w:color="auto" w:fill="CA7D99"/>
                  <w:vAlign w:val="center"/>
                </w:tcPr>
                <w:p w:rsidR="00300137" w:rsidRPr="0019720F" w:rsidRDefault="00300137" w:rsidP="00EC2780">
                  <w:pPr>
                    <w:rPr>
                      <w:rFonts w:ascii="Times New Roman" w:hAnsi="Times New Roman" w:cs="Times New Roman"/>
                      <w:b/>
                      <w:sz w:val="16"/>
                    </w:rPr>
                  </w:pPr>
                  <w:r>
                    <w:rPr>
                      <w:rFonts w:ascii="Times New Roman" w:hAnsi="Times New Roman" w:cs="Times New Roman"/>
                      <w:b/>
                      <w:sz w:val="16"/>
                    </w:rPr>
                    <w:t>Yatırım</w:t>
                  </w:r>
                </w:p>
              </w:tc>
              <w:tc>
                <w:tcPr>
                  <w:tcW w:w="1530" w:type="dxa"/>
                  <w:vAlign w:val="center"/>
                </w:tcPr>
                <w:p w:rsidR="00300137" w:rsidRPr="0019720F" w:rsidRDefault="00300137" w:rsidP="00942826">
                  <w:pPr>
                    <w:rPr>
                      <w:rFonts w:ascii="Times New Roman" w:hAnsi="Times New Roman" w:cs="Times New Roman"/>
                      <w:b/>
                      <w:sz w:val="16"/>
                    </w:rPr>
                  </w:pPr>
                </w:p>
              </w:tc>
              <w:tc>
                <w:tcPr>
                  <w:tcW w:w="1440" w:type="dxa"/>
                  <w:vAlign w:val="center"/>
                </w:tcPr>
                <w:p w:rsidR="00300137" w:rsidRPr="0019720F" w:rsidRDefault="00300137" w:rsidP="00942826">
                  <w:pPr>
                    <w:rPr>
                      <w:rFonts w:ascii="Times New Roman" w:hAnsi="Times New Roman" w:cs="Times New Roman"/>
                      <w:b/>
                      <w:sz w:val="16"/>
                    </w:rPr>
                  </w:pPr>
                </w:p>
              </w:tc>
            </w:tr>
            <w:tr w:rsidR="00300137" w:rsidTr="00EC2780">
              <w:trPr>
                <w:trHeight w:val="622"/>
                <w:jc w:val="center"/>
              </w:trPr>
              <w:tc>
                <w:tcPr>
                  <w:tcW w:w="2461" w:type="dxa"/>
                  <w:shd w:val="clear" w:color="auto" w:fill="CA7D99"/>
                  <w:vAlign w:val="center"/>
                </w:tcPr>
                <w:p w:rsidR="00300137" w:rsidRPr="0019720F" w:rsidRDefault="00300137" w:rsidP="00EC2780">
                  <w:pPr>
                    <w:rPr>
                      <w:rFonts w:ascii="Times New Roman" w:hAnsi="Times New Roman" w:cs="Times New Roman"/>
                      <w:b/>
                      <w:sz w:val="16"/>
                    </w:rPr>
                  </w:pPr>
                  <w:r>
                    <w:rPr>
                      <w:rFonts w:ascii="Times New Roman" w:hAnsi="Times New Roman" w:cs="Times New Roman"/>
                      <w:b/>
                      <w:sz w:val="16"/>
                    </w:rPr>
                    <w:t>Geri ödeme süresi</w:t>
                  </w:r>
                </w:p>
              </w:tc>
              <w:tc>
                <w:tcPr>
                  <w:tcW w:w="1530" w:type="dxa"/>
                  <w:vAlign w:val="center"/>
                </w:tcPr>
                <w:p w:rsidR="00300137" w:rsidRPr="0019720F" w:rsidRDefault="00300137" w:rsidP="00942826">
                  <w:pPr>
                    <w:rPr>
                      <w:rFonts w:ascii="Times New Roman" w:hAnsi="Times New Roman" w:cs="Times New Roman"/>
                      <w:b/>
                      <w:sz w:val="16"/>
                    </w:rPr>
                  </w:pPr>
                </w:p>
              </w:tc>
              <w:tc>
                <w:tcPr>
                  <w:tcW w:w="1440" w:type="dxa"/>
                  <w:vAlign w:val="center"/>
                </w:tcPr>
                <w:p w:rsidR="00300137" w:rsidRPr="0019720F" w:rsidRDefault="00300137" w:rsidP="00942826">
                  <w:pPr>
                    <w:rPr>
                      <w:rFonts w:ascii="Times New Roman" w:hAnsi="Times New Roman" w:cs="Times New Roman"/>
                      <w:b/>
                      <w:sz w:val="16"/>
                    </w:rPr>
                  </w:pPr>
                  <w:r>
                    <w:rPr>
                      <w:rFonts w:ascii="Times New Roman" w:hAnsi="Times New Roman" w:cs="Times New Roman"/>
                      <w:b/>
                      <w:sz w:val="16"/>
                    </w:rPr>
                    <w:t>Derhal</w:t>
                  </w:r>
                </w:p>
              </w:tc>
            </w:tr>
          </w:tbl>
          <w:p w:rsidR="00253D28" w:rsidRDefault="00253D28" w:rsidP="00253D28">
            <w:pPr>
              <w:rPr>
                <w:rFonts w:ascii="Times New Roman" w:hAnsi="Times New Roman" w:cs="Times New Roman"/>
                <w:b/>
                <w:color w:val="00B050"/>
              </w:rPr>
            </w:pPr>
          </w:p>
        </w:tc>
      </w:tr>
      <w:tr w:rsidR="00CF447C" w:rsidTr="004E6C33">
        <w:trPr>
          <w:trHeight w:val="258"/>
        </w:trPr>
        <w:tc>
          <w:tcPr>
            <w:tcW w:w="1350" w:type="dxa"/>
            <w:tcBorders>
              <w:top w:val="single" w:sz="12" w:space="0" w:color="00B050"/>
              <w:left w:val="single" w:sz="12" w:space="0" w:color="00B050"/>
              <w:bottom w:val="single" w:sz="12" w:space="0" w:color="00B050"/>
            </w:tcBorders>
          </w:tcPr>
          <w:p w:rsidR="00CF447C" w:rsidRDefault="009C077A" w:rsidP="00690302">
            <w:pPr>
              <w:jc w:val="left"/>
              <w:rPr>
                <w:rFonts w:ascii="Times New Roman" w:hAnsi="Times New Roman" w:cs="Times New Roman"/>
                <w:b/>
                <w:color w:val="00B050"/>
              </w:rPr>
            </w:pPr>
            <w:r>
              <w:rPr>
                <w:rFonts w:ascii="Times New Roman" w:hAnsi="Times New Roman" w:cs="Times New Roman"/>
                <w:b/>
                <w:color w:val="00B050"/>
              </w:rPr>
              <w:t>Sonuçlar</w:t>
            </w:r>
          </w:p>
        </w:tc>
        <w:tc>
          <w:tcPr>
            <w:tcW w:w="9498" w:type="dxa"/>
            <w:gridSpan w:val="2"/>
            <w:tcBorders>
              <w:top w:val="single" w:sz="12" w:space="0" w:color="00B050"/>
              <w:bottom w:val="single" w:sz="12" w:space="0" w:color="00B050"/>
              <w:right w:val="single" w:sz="12" w:space="0" w:color="00B050"/>
            </w:tcBorders>
          </w:tcPr>
          <w:p w:rsidR="001E64D0" w:rsidRDefault="00300137" w:rsidP="00300137">
            <w:pPr>
              <w:jc w:val="both"/>
              <w:rPr>
                <w:rFonts w:ascii="Times New Roman" w:hAnsi="Times New Roman" w:cs="Times New Roman"/>
                <w:sz w:val="18"/>
              </w:rPr>
            </w:pPr>
            <w:r>
              <w:rPr>
                <w:rFonts w:ascii="Times New Roman" w:hAnsi="Times New Roman" w:cs="Times New Roman"/>
                <w:sz w:val="18"/>
              </w:rPr>
              <w:t>Lafarge Cementos halen tüm paletlerin %95’inden fazlasının iade edildiği bir başarı oranına sahiptir; tahmini tasarruf miktarı 2 milyon Euro değerindedir.</w:t>
            </w:r>
          </w:p>
          <w:p w:rsidR="00300137" w:rsidRDefault="00300137" w:rsidP="00300137">
            <w:pPr>
              <w:jc w:val="both"/>
              <w:rPr>
                <w:rFonts w:ascii="Times New Roman" w:hAnsi="Times New Roman" w:cs="Times New Roman"/>
                <w:sz w:val="18"/>
              </w:rPr>
            </w:pPr>
          </w:p>
          <w:p w:rsidR="00300137" w:rsidRDefault="00300137" w:rsidP="00300137">
            <w:pPr>
              <w:jc w:val="both"/>
              <w:rPr>
                <w:rFonts w:ascii="Times New Roman" w:hAnsi="Times New Roman" w:cs="Times New Roman"/>
                <w:sz w:val="18"/>
              </w:rPr>
            </w:pPr>
            <w:r>
              <w:rPr>
                <w:rFonts w:ascii="Times New Roman" w:hAnsi="Times New Roman" w:cs="Times New Roman"/>
                <w:sz w:val="18"/>
              </w:rPr>
              <w:t>Ekonomik yararlarının yanı sıra, bu program</w:t>
            </w:r>
            <w:r w:rsidR="002D2041">
              <w:rPr>
                <w:rFonts w:ascii="Times New Roman" w:hAnsi="Times New Roman" w:cs="Times New Roman"/>
                <w:sz w:val="18"/>
              </w:rPr>
              <w:t>ın</w:t>
            </w:r>
            <w:r>
              <w:rPr>
                <w:rFonts w:ascii="Times New Roman" w:hAnsi="Times New Roman" w:cs="Times New Roman"/>
                <w:sz w:val="18"/>
              </w:rPr>
              <w:t xml:space="preserve"> aşağıda gösteril</w:t>
            </w:r>
            <w:r w:rsidR="002D2041">
              <w:rPr>
                <w:rFonts w:ascii="Times New Roman" w:hAnsi="Times New Roman" w:cs="Times New Roman"/>
                <w:sz w:val="18"/>
              </w:rPr>
              <w:t>miş olan olumlu etkileri</w:t>
            </w:r>
            <w:r>
              <w:rPr>
                <w:rFonts w:ascii="Times New Roman" w:hAnsi="Times New Roman" w:cs="Times New Roman"/>
                <w:sz w:val="18"/>
              </w:rPr>
              <w:t xml:space="preserve"> de </w:t>
            </w:r>
            <w:r w:rsidR="002D2041">
              <w:rPr>
                <w:rFonts w:ascii="Times New Roman" w:hAnsi="Times New Roman" w:cs="Times New Roman"/>
                <w:sz w:val="18"/>
              </w:rPr>
              <w:t>ol</w:t>
            </w:r>
            <w:r>
              <w:rPr>
                <w:rFonts w:ascii="Times New Roman" w:hAnsi="Times New Roman" w:cs="Times New Roman"/>
                <w:sz w:val="18"/>
              </w:rPr>
              <w:t>muştur:</w:t>
            </w:r>
          </w:p>
          <w:p w:rsidR="00300137" w:rsidRPr="00300137" w:rsidRDefault="00300137" w:rsidP="00300137">
            <w:pPr>
              <w:jc w:val="both"/>
              <w:rPr>
                <w:rFonts w:ascii="Times New Roman" w:hAnsi="Times New Roman" w:cs="Times New Roman"/>
                <w:sz w:val="14"/>
              </w:rPr>
            </w:pPr>
          </w:p>
          <w:p w:rsidR="00300137" w:rsidRPr="00300137" w:rsidRDefault="00300137" w:rsidP="00300137">
            <w:pPr>
              <w:pStyle w:val="ListParagraph"/>
              <w:numPr>
                <w:ilvl w:val="0"/>
                <w:numId w:val="24"/>
              </w:numPr>
              <w:ind w:left="360"/>
              <w:jc w:val="both"/>
              <w:rPr>
                <w:rFonts w:ascii="Times New Roman" w:hAnsi="Times New Roman" w:cs="Times New Roman"/>
              </w:rPr>
            </w:pPr>
            <w:r w:rsidRPr="00300137">
              <w:rPr>
                <w:rFonts w:ascii="Times New Roman" w:hAnsi="Times New Roman" w:cs="Times New Roman"/>
                <w:sz w:val="18"/>
              </w:rPr>
              <w:t>Daha az atık üretimi</w:t>
            </w:r>
          </w:p>
          <w:p w:rsidR="00300137" w:rsidRPr="00300137" w:rsidRDefault="00300137" w:rsidP="00300137">
            <w:pPr>
              <w:pStyle w:val="ListParagraph"/>
              <w:numPr>
                <w:ilvl w:val="0"/>
                <w:numId w:val="24"/>
              </w:numPr>
              <w:ind w:left="360"/>
              <w:jc w:val="both"/>
              <w:rPr>
                <w:rFonts w:ascii="Times New Roman" w:hAnsi="Times New Roman" w:cs="Times New Roman"/>
              </w:rPr>
            </w:pPr>
            <w:r>
              <w:rPr>
                <w:rFonts w:ascii="Times New Roman" w:hAnsi="Times New Roman" w:cs="Times New Roman"/>
                <w:sz w:val="18"/>
              </w:rPr>
              <w:t>Daha az ahşap tüketimi</w:t>
            </w:r>
          </w:p>
          <w:p w:rsidR="00300137" w:rsidRPr="00300137" w:rsidRDefault="00F651EC" w:rsidP="00F651EC">
            <w:pPr>
              <w:pStyle w:val="ListParagraph"/>
              <w:numPr>
                <w:ilvl w:val="0"/>
                <w:numId w:val="24"/>
              </w:numPr>
              <w:ind w:left="360"/>
              <w:jc w:val="both"/>
              <w:rPr>
                <w:rFonts w:ascii="Times New Roman" w:hAnsi="Times New Roman" w:cs="Times New Roman"/>
              </w:rPr>
            </w:pPr>
            <w:r>
              <w:rPr>
                <w:rFonts w:ascii="Times New Roman" w:hAnsi="Times New Roman" w:cs="Times New Roman"/>
                <w:sz w:val="18"/>
              </w:rPr>
              <w:t>Müşteri açısından farklılaşma sağlanması: FSC ve Lafarge logoları ile etiketlenmiş olan paletler Lafarge şirketler grubunun çevre bakımından verdiği tavi</w:t>
            </w:r>
            <w:r w:rsidR="002D2041">
              <w:rPr>
                <w:rFonts w:ascii="Times New Roman" w:hAnsi="Times New Roman" w:cs="Times New Roman"/>
                <w:sz w:val="18"/>
              </w:rPr>
              <w:t>zlerin promosyonunu yapmaktadır</w:t>
            </w:r>
            <w:bookmarkStart w:id="0" w:name="_GoBack"/>
            <w:bookmarkEnd w:id="0"/>
          </w:p>
        </w:tc>
      </w:tr>
    </w:tbl>
    <w:p w:rsidR="00A5791D" w:rsidRDefault="001A7FA7" w:rsidP="0019720F">
      <w:pPr>
        <w:jc w:val="both"/>
      </w:pPr>
      <w:r>
        <w:rPr>
          <w:noProof/>
          <w:lang w:val="en-US" w:eastAsia="en-US"/>
        </w:rPr>
        <mc:AlternateContent>
          <mc:Choice Requires="wps">
            <w:drawing>
              <wp:anchor distT="0" distB="0" distL="114300" distR="114300" simplePos="0" relativeHeight="251671552" behindDoc="0" locked="1" layoutInCell="1" allowOverlap="1" wp14:anchorId="578BCDE2" wp14:editId="29662FE5">
                <wp:simplePos x="0" y="0"/>
                <wp:positionH relativeFrom="column">
                  <wp:posOffset>661035</wp:posOffset>
                </wp:positionH>
                <wp:positionV relativeFrom="page">
                  <wp:posOffset>10285095</wp:posOffset>
                </wp:positionV>
                <wp:extent cx="6546850" cy="54483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6546850" cy="544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137" w:rsidRPr="00973604" w:rsidRDefault="00300137" w:rsidP="000E0CCD">
                            <w:pPr>
                              <w:rPr>
                                <w:b/>
                                <w:i/>
                                <w:color w:val="FFFFFF" w:themeColor="background1"/>
                                <w:sz w:val="32"/>
                                <w:szCs w:val="36"/>
                              </w:rPr>
                            </w:pPr>
                            <w:r w:rsidRPr="000B32A8">
                              <w:rPr>
                                <w:b/>
                                <w:i/>
                                <w:color w:val="FFFFFF" w:themeColor="background1"/>
                                <w:sz w:val="28"/>
                                <w:szCs w:val="36"/>
                              </w:rPr>
                              <w:t>Atıkların en aza indirilmesi, ham maddelerin tekrar kullanımı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52.05pt;margin-top:809.85pt;width:515.5pt;height:4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" filled="f" stroked="f" strokeweight=".5pt">
                <v:textbox>
                  <w:txbxContent>
                    <w:p w:rsidR="00300137" w:rsidRPr="00973604" w:rsidRDefault="00300137" w:rsidP="000E0CCD">
                      <w:pPr>
                        <w:rPr>
                          <w:b/>
                          <w:i/>
                          <w:color w:val="FFFFFF" w:themeColor="background1"/>
                          <w:sz w:val="32"/>
                          <w:szCs w:val="36"/>
                        </w:rPr>
                      </w:pPr>
                      <w:r w:rsidRPr="000B32A8">
                        <w:rPr>
                          <w:b/>
                          <w:i/>
                          <w:color w:val="FFFFFF" w:themeColor="background1"/>
                          <w:sz w:val="28"/>
                          <w:szCs w:val="36"/>
                        </w:rPr>
                        <w:t>Atıkların en aza indirilmesi, ham maddelerin tekrar kullanımı</w:t>
                      </w:r>
                    </w:p>
                  </w:txbxContent>
                </v:textbox>
                <w10:wrap anchory="page"/>
                <w10:anchorlock/>
              </v:shape>
            </w:pict>
          </mc:Fallback>
        </mc:AlternateContent>
      </w:r>
      <w:r>
        <w:rPr>
          <w:noProof/>
          <w:lang w:val="en-US" w:eastAsia="en-US"/>
        </w:rPr>
        <mc:AlternateContent>
          <mc:Choice Requires="wps">
            <w:drawing>
              <wp:anchor distT="0" distB="0" distL="114300" distR="114300" simplePos="0" relativeHeight="251673600" behindDoc="0" locked="1" layoutInCell="1" allowOverlap="1" wp14:anchorId="50482108" wp14:editId="7A281CA0">
                <wp:simplePos x="0" y="0"/>
                <wp:positionH relativeFrom="column">
                  <wp:posOffset>123190</wp:posOffset>
                </wp:positionH>
                <wp:positionV relativeFrom="page">
                  <wp:posOffset>10297795</wp:posOffset>
                </wp:positionV>
                <wp:extent cx="606425" cy="411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606425"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137" w:rsidRPr="00973604" w:rsidRDefault="00300137" w:rsidP="00973604">
                            <w:pPr>
                              <w:rPr>
                                <w:b/>
                                <w:color w:val="FFFFFF" w:themeColor="background1"/>
                                <w:sz w:val="44"/>
                                <w:lang w:val="en-US"/>
                              </w:rPr>
                            </w:pPr>
                            <w:r w:rsidRPr="00973604">
                              <w:rPr>
                                <w:b/>
                                <w:color w:val="FFFFFF" w:themeColor="background1"/>
                                <w:sz w:val="36"/>
                                <w:lang w:val="en-US"/>
                              </w:rPr>
                              <w:t>12</w:t>
                            </w:r>
                            <w:r>
                              <w:rPr>
                                <w:b/>
                                <w:color w:val="FFFFFF" w:themeColor="background1"/>
                                <w:sz w:val="36"/>
                                <w:lang w:val="en-US"/>
                              </w:rPr>
                              <w:t>5</w:t>
                            </w:r>
                          </w:p>
                          <w:p w:rsidR="00300137" w:rsidRPr="006C1BF8" w:rsidRDefault="00300137" w:rsidP="002B1B10">
                            <w:pPr>
                              <w:rPr>
                                <w:b/>
                                <w:color w:val="FFFFFF" w:themeColor="background1"/>
                                <w:sz w:val="4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9.7pt;margin-top:810.85pt;width:47.75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" filled="f" stroked="f" strokeweight=".5pt">
                <v:textbox>
                  <w:txbxContent>
                    <w:p w:rsidR="00300137" w:rsidRPr="00973604" w:rsidRDefault="00300137" w:rsidP="00973604">
                      <w:pPr>
                        <w:rPr>
                          <w:b/>
                          <w:color w:val="FFFFFF" w:themeColor="background1"/>
                          <w:sz w:val="44"/>
                          <w:lang w:val="en-US"/>
                        </w:rPr>
                      </w:pPr>
                      <w:r w:rsidRPr="00973604">
                        <w:rPr>
                          <w:b/>
                          <w:color w:val="FFFFFF" w:themeColor="background1"/>
                          <w:sz w:val="36"/>
                          <w:lang w:val="en-US"/>
                        </w:rPr>
                        <w:t>12</w:t>
                      </w:r>
                      <w:r>
                        <w:rPr>
                          <w:b/>
                          <w:color w:val="FFFFFF" w:themeColor="background1"/>
                          <w:sz w:val="36"/>
                          <w:lang w:val="en-US"/>
                        </w:rPr>
                        <w:t>5</w:t>
                      </w:r>
                    </w:p>
                    <w:p w:rsidR="00300137" w:rsidRPr="006C1BF8" w:rsidRDefault="00300137" w:rsidP="002B1B10">
                      <w:pPr>
                        <w:rPr>
                          <w:b/>
                          <w:color w:val="FFFFFF" w:themeColor="background1"/>
                          <w:sz w:val="40"/>
                          <w:lang w:val="en-US"/>
                        </w:rPr>
                      </w:pPr>
                    </w:p>
                  </w:txbxContent>
                </v:textbox>
                <w10:wrap anchory="page"/>
                <w10:anchorlock/>
              </v:shape>
            </w:pict>
          </mc:Fallback>
        </mc:AlternateContent>
      </w:r>
      <w:r>
        <w:rPr>
          <w:noProof/>
          <w:lang w:val="en-US" w:eastAsia="en-US"/>
        </w:rPr>
        <mc:AlternateContent>
          <mc:Choice Requires="wps">
            <w:drawing>
              <wp:anchor distT="0" distB="0" distL="114300" distR="114300" simplePos="0" relativeHeight="251669504" behindDoc="0" locked="1" layoutInCell="1" allowOverlap="1" wp14:anchorId="6FDF1577" wp14:editId="5C47736F">
                <wp:simplePos x="0" y="0"/>
                <wp:positionH relativeFrom="column">
                  <wp:posOffset>-19050</wp:posOffset>
                </wp:positionH>
                <wp:positionV relativeFrom="page">
                  <wp:posOffset>8787130</wp:posOffset>
                </wp:positionV>
                <wp:extent cx="6986016" cy="237744"/>
                <wp:effectExtent l="0" t="0" r="0" b="0"/>
                <wp:wrapNone/>
                <wp:docPr id="3" name="Text Box 3"/>
                <wp:cNvGraphicFramePr/>
                <a:graphic xmlns:a="http://schemas.openxmlformats.org/drawingml/2006/main">
                  <a:graphicData uri="http://schemas.microsoft.com/office/word/2010/wordprocessingShape">
                    <wps:wsp>
                      <wps:cNvSpPr txBox="1"/>
                      <wps:spPr>
                        <a:xfrm>
                          <a:off x="0" y="0"/>
                          <a:ext cx="6986016" cy="2377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0137" w:rsidRPr="008F0D74" w:rsidRDefault="00300137" w:rsidP="008F0D74">
                            <w:pPr>
                              <w:rPr>
                                <w:rFonts w:ascii="Times New Roman" w:hAnsi="Times New Roman" w:cs="Times New Roman"/>
                                <w:b/>
                                <w:sz w:val="18"/>
                                <w:szCs w:val="36"/>
                              </w:rPr>
                            </w:pPr>
                            <w:r w:rsidRPr="008F0D74">
                              <w:rPr>
                                <w:rFonts w:ascii="Times New Roman" w:hAnsi="Times New Roman" w:cs="Times New Roman"/>
                                <w:b/>
                                <w:sz w:val="18"/>
                                <w:szCs w:val="36"/>
                              </w:rPr>
                              <w:t>NOT: Bu araştırma kirlili</w:t>
                            </w:r>
                            <w:r>
                              <w:rPr>
                                <w:rFonts w:ascii="Times New Roman" w:hAnsi="Times New Roman" w:cs="Times New Roman"/>
                                <w:b/>
                                <w:sz w:val="18"/>
                                <w:szCs w:val="36"/>
                              </w:rPr>
                              <w:t xml:space="preserve">ği önleme ile ilgili örnek bir çalışmayı </w:t>
                            </w:r>
                            <w:r w:rsidRPr="008F0D74">
                              <w:rPr>
                                <w:rFonts w:ascii="Times New Roman" w:hAnsi="Times New Roman" w:cs="Times New Roman"/>
                                <w:b/>
                                <w:sz w:val="18"/>
                                <w:szCs w:val="36"/>
                              </w:rPr>
                              <w:t>açıklamak amacındadır ve genel tavsiye niteliğinde kabul edilmemelidir.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1.5pt;margin-top:691.9pt;width:550.1pt;height:1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" filled="f" stroked="f" strokeweight=".5pt">
                <v:textbox>
                  <w:txbxContent>
                    <w:p w:rsidR="00EC2780" w:rsidRPr="008F0D74" w:rsidRDefault="00EC2780" w:rsidP="008F0D74">
                      <w:pPr>
                        <w:rPr>
                          <w:rFonts w:ascii="Times New Roman" w:hAnsi="Times New Roman" w:cs="Times New Roman"/>
                          <w:b/>
                          <w:sz w:val="18"/>
                          <w:szCs w:val="36"/>
                        </w:rPr>
                      </w:pPr>
                      <w:r w:rsidRPr="008F0D74">
                        <w:rPr>
                          <w:rFonts w:ascii="Times New Roman" w:hAnsi="Times New Roman" w:cs="Times New Roman"/>
                          <w:b/>
                          <w:sz w:val="18"/>
                          <w:szCs w:val="36"/>
                        </w:rPr>
                        <w:t>NOT: Bu araştırma kirlili</w:t>
                      </w:r>
                      <w:r>
                        <w:rPr>
                          <w:rFonts w:ascii="Times New Roman" w:hAnsi="Times New Roman" w:cs="Times New Roman"/>
                          <w:b/>
                          <w:sz w:val="18"/>
                          <w:szCs w:val="36"/>
                        </w:rPr>
                        <w:t xml:space="preserve">ği önleme ile ilgili örnek bir çalışmayı </w:t>
                      </w:r>
                      <w:r w:rsidRPr="008F0D74">
                        <w:rPr>
                          <w:rFonts w:ascii="Times New Roman" w:hAnsi="Times New Roman" w:cs="Times New Roman"/>
                          <w:b/>
                          <w:sz w:val="18"/>
                          <w:szCs w:val="36"/>
                        </w:rPr>
                        <w:t>açıklamak amacındadır ve genel tavsiye niteliğinde kabul edilmemelidir.</w:t>
                      </w:r>
                    </w:p>
                  </w:txbxContent>
                </v:textbox>
                <w10:wrap anchory="page"/>
                <w10:anchorlock/>
              </v:shape>
            </w:pict>
          </mc:Fallback>
        </mc:AlternateContent>
      </w:r>
      <w:r w:rsidR="00A5791D">
        <w:rPr>
          <w:noProof/>
          <w:lang w:val="en-US" w:eastAsia="en-US"/>
        </w:rPr>
        <w:drawing>
          <wp:anchor distT="0" distB="0" distL="114300" distR="114300" simplePos="0" relativeHeight="251667456" behindDoc="0" locked="0" layoutInCell="1" allowOverlap="1" wp14:anchorId="3C24573F" wp14:editId="5933D145">
            <wp:simplePos x="0" y="0"/>
            <wp:positionH relativeFrom="column">
              <wp:posOffset>0</wp:posOffset>
            </wp:positionH>
            <wp:positionV relativeFrom="paragraph">
              <wp:posOffset>8409305</wp:posOffset>
            </wp:positionV>
            <wp:extent cx="7086600" cy="1883664"/>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Clean_Footer_v1.jpg"/>
                    <pic:cNvPicPr/>
                  </pic:nvPicPr>
                  <pic:blipFill>
                    <a:blip r:embed="rId9">
                      <a:extLst>
                        <a:ext uri="{28A0092B-C50C-407E-A947-70E740481C1C}">
                          <a14:useLocalDpi xmlns:a14="http://schemas.microsoft.com/office/drawing/2010/main" val="0"/>
                        </a:ext>
                      </a:extLst>
                    </a:blip>
                    <a:stretch>
                      <a:fillRect/>
                    </a:stretch>
                  </pic:blipFill>
                  <pic:spPr>
                    <a:xfrm>
                      <a:off x="0" y="0"/>
                      <a:ext cx="7086600" cy="1883664"/>
                    </a:xfrm>
                    <a:prstGeom prst="rect">
                      <a:avLst/>
                    </a:prstGeom>
                  </pic:spPr>
                </pic:pic>
              </a:graphicData>
            </a:graphic>
            <wp14:sizeRelH relativeFrom="margin">
              <wp14:pctWidth>0</wp14:pctWidth>
            </wp14:sizeRelH>
            <wp14:sizeRelV relativeFrom="margin">
              <wp14:pctHeight>0</wp14:pctHeight>
            </wp14:sizeRelV>
          </wp:anchor>
        </w:drawing>
      </w:r>
    </w:p>
    <w:sectPr w:rsidR="00A5791D" w:rsidSect="00A5791D">
      <w:pgSz w:w="11909" w:h="16834" w:code="9"/>
      <w:pgMar w:top="187" w:right="720" w:bottom="18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D77"/>
    <w:multiLevelType w:val="hybridMultilevel"/>
    <w:tmpl w:val="58564C26"/>
    <w:lvl w:ilvl="0" w:tplc="C9B84F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15348"/>
    <w:multiLevelType w:val="hybridMultilevel"/>
    <w:tmpl w:val="027C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03E81"/>
    <w:multiLevelType w:val="hybridMultilevel"/>
    <w:tmpl w:val="F8A202F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E486A"/>
    <w:multiLevelType w:val="hybridMultilevel"/>
    <w:tmpl w:val="99C0C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927BB5"/>
    <w:multiLevelType w:val="hybridMultilevel"/>
    <w:tmpl w:val="256C2084"/>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A30C8"/>
    <w:multiLevelType w:val="hybridMultilevel"/>
    <w:tmpl w:val="407A0FE2"/>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94D4E"/>
    <w:multiLevelType w:val="hybridMultilevel"/>
    <w:tmpl w:val="EE84EE54"/>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E02B1"/>
    <w:multiLevelType w:val="hybridMultilevel"/>
    <w:tmpl w:val="EA568F4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D0CBC"/>
    <w:multiLevelType w:val="hybridMultilevel"/>
    <w:tmpl w:val="82627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3117A0"/>
    <w:multiLevelType w:val="hybridMultilevel"/>
    <w:tmpl w:val="8B28F0F4"/>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B6E78"/>
    <w:multiLevelType w:val="hybridMultilevel"/>
    <w:tmpl w:val="F86CD010"/>
    <w:lvl w:ilvl="0" w:tplc="B8A2BD2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2522B4"/>
    <w:multiLevelType w:val="hybridMultilevel"/>
    <w:tmpl w:val="6EA06DFA"/>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4F4E46"/>
    <w:multiLevelType w:val="hybridMultilevel"/>
    <w:tmpl w:val="4E662D60"/>
    <w:lvl w:ilvl="0" w:tplc="C9B84F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F72A0"/>
    <w:multiLevelType w:val="hybridMultilevel"/>
    <w:tmpl w:val="8EC8000A"/>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B44227"/>
    <w:multiLevelType w:val="hybridMultilevel"/>
    <w:tmpl w:val="132CBFD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3C16D0"/>
    <w:multiLevelType w:val="hybridMultilevel"/>
    <w:tmpl w:val="9F0AB472"/>
    <w:lvl w:ilvl="0" w:tplc="C9B84FE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8E715F"/>
    <w:multiLevelType w:val="hybridMultilevel"/>
    <w:tmpl w:val="4A2AB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944ABC"/>
    <w:multiLevelType w:val="hybridMultilevel"/>
    <w:tmpl w:val="9B84A810"/>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A541BA"/>
    <w:multiLevelType w:val="hybridMultilevel"/>
    <w:tmpl w:val="81E4A0B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38610F"/>
    <w:multiLevelType w:val="hybridMultilevel"/>
    <w:tmpl w:val="6F546F40"/>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F47639"/>
    <w:multiLevelType w:val="hybridMultilevel"/>
    <w:tmpl w:val="50CE6BC2"/>
    <w:lvl w:ilvl="0" w:tplc="C9B84FE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912512A"/>
    <w:multiLevelType w:val="hybridMultilevel"/>
    <w:tmpl w:val="73146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67E375C"/>
    <w:multiLevelType w:val="hybridMultilevel"/>
    <w:tmpl w:val="4FDAE57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0476A5"/>
    <w:multiLevelType w:val="hybridMultilevel"/>
    <w:tmpl w:val="D56E81C8"/>
    <w:lvl w:ilvl="0" w:tplc="B8A2BD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1"/>
  </w:num>
  <w:num w:numId="4">
    <w:abstractNumId w:val="10"/>
  </w:num>
  <w:num w:numId="5">
    <w:abstractNumId w:val="9"/>
  </w:num>
  <w:num w:numId="6">
    <w:abstractNumId w:val="7"/>
  </w:num>
  <w:num w:numId="7">
    <w:abstractNumId w:val="16"/>
  </w:num>
  <w:num w:numId="8">
    <w:abstractNumId w:val="17"/>
  </w:num>
  <w:num w:numId="9">
    <w:abstractNumId w:val="0"/>
  </w:num>
  <w:num w:numId="10">
    <w:abstractNumId w:val="12"/>
  </w:num>
  <w:num w:numId="11">
    <w:abstractNumId w:val="6"/>
  </w:num>
  <w:num w:numId="12">
    <w:abstractNumId w:val="13"/>
  </w:num>
  <w:num w:numId="13">
    <w:abstractNumId w:val="11"/>
  </w:num>
  <w:num w:numId="14">
    <w:abstractNumId w:val="22"/>
  </w:num>
  <w:num w:numId="15">
    <w:abstractNumId w:val="4"/>
  </w:num>
  <w:num w:numId="16">
    <w:abstractNumId w:val="1"/>
  </w:num>
  <w:num w:numId="17">
    <w:abstractNumId w:val="20"/>
  </w:num>
  <w:num w:numId="18">
    <w:abstractNumId w:val="15"/>
  </w:num>
  <w:num w:numId="19">
    <w:abstractNumId w:val="23"/>
  </w:num>
  <w:num w:numId="20">
    <w:abstractNumId w:val="5"/>
  </w:num>
  <w:num w:numId="21">
    <w:abstractNumId w:val="19"/>
  </w:num>
  <w:num w:numId="22">
    <w:abstractNumId w:val="14"/>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mailMerge>
    <w:mainDocumentType w:val="formLetters"/>
    <w:dataType w:val="textFile"/>
    <w:activeRecord w:val="-1"/>
  </w:mailMerg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23"/>
    <w:rsid w:val="00012344"/>
    <w:rsid w:val="000210EC"/>
    <w:rsid w:val="000260C1"/>
    <w:rsid w:val="0003328E"/>
    <w:rsid w:val="00036F44"/>
    <w:rsid w:val="00077643"/>
    <w:rsid w:val="00091F9F"/>
    <w:rsid w:val="000932FB"/>
    <w:rsid w:val="00094205"/>
    <w:rsid w:val="000A6DDB"/>
    <w:rsid w:val="000B2527"/>
    <w:rsid w:val="000B32A8"/>
    <w:rsid w:val="000C41BC"/>
    <w:rsid w:val="000D2D1D"/>
    <w:rsid w:val="000D6F41"/>
    <w:rsid w:val="000E0CCD"/>
    <w:rsid w:val="000E5DAC"/>
    <w:rsid w:val="000F7596"/>
    <w:rsid w:val="001175CB"/>
    <w:rsid w:val="00126012"/>
    <w:rsid w:val="0013176D"/>
    <w:rsid w:val="001337C0"/>
    <w:rsid w:val="00137767"/>
    <w:rsid w:val="001449FA"/>
    <w:rsid w:val="0015466A"/>
    <w:rsid w:val="001602BD"/>
    <w:rsid w:val="00165749"/>
    <w:rsid w:val="00172D80"/>
    <w:rsid w:val="001762CF"/>
    <w:rsid w:val="00184F0D"/>
    <w:rsid w:val="0019720F"/>
    <w:rsid w:val="001973AC"/>
    <w:rsid w:val="001A7FA7"/>
    <w:rsid w:val="001B1B9E"/>
    <w:rsid w:val="001E64D0"/>
    <w:rsid w:val="002131B9"/>
    <w:rsid w:val="00235BFD"/>
    <w:rsid w:val="00245953"/>
    <w:rsid w:val="002505F3"/>
    <w:rsid w:val="00253D28"/>
    <w:rsid w:val="00262AFE"/>
    <w:rsid w:val="002703A2"/>
    <w:rsid w:val="00273B09"/>
    <w:rsid w:val="00275186"/>
    <w:rsid w:val="002A1BE1"/>
    <w:rsid w:val="002A4F91"/>
    <w:rsid w:val="002A57D5"/>
    <w:rsid w:val="002B1B10"/>
    <w:rsid w:val="002C6D81"/>
    <w:rsid w:val="002D2041"/>
    <w:rsid w:val="002D449F"/>
    <w:rsid w:val="00300137"/>
    <w:rsid w:val="00303DE2"/>
    <w:rsid w:val="00312885"/>
    <w:rsid w:val="00325D73"/>
    <w:rsid w:val="00334306"/>
    <w:rsid w:val="003571AD"/>
    <w:rsid w:val="003614FB"/>
    <w:rsid w:val="003834F4"/>
    <w:rsid w:val="003943F1"/>
    <w:rsid w:val="003B6264"/>
    <w:rsid w:val="003C0FB4"/>
    <w:rsid w:val="003E0C58"/>
    <w:rsid w:val="003E5B30"/>
    <w:rsid w:val="0042305C"/>
    <w:rsid w:val="004269A9"/>
    <w:rsid w:val="00431023"/>
    <w:rsid w:val="00431150"/>
    <w:rsid w:val="00435793"/>
    <w:rsid w:val="004376AC"/>
    <w:rsid w:val="00460748"/>
    <w:rsid w:val="004706E2"/>
    <w:rsid w:val="00473C7F"/>
    <w:rsid w:val="00474D94"/>
    <w:rsid w:val="00475709"/>
    <w:rsid w:val="00480555"/>
    <w:rsid w:val="0049139B"/>
    <w:rsid w:val="00497FAE"/>
    <w:rsid w:val="004A67AF"/>
    <w:rsid w:val="004A71F0"/>
    <w:rsid w:val="004B13D5"/>
    <w:rsid w:val="004C5587"/>
    <w:rsid w:val="004C77D7"/>
    <w:rsid w:val="004D3926"/>
    <w:rsid w:val="004E65A1"/>
    <w:rsid w:val="004E6C33"/>
    <w:rsid w:val="004F2C1C"/>
    <w:rsid w:val="004F4CCD"/>
    <w:rsid w:val="00503E24"/>
    <w:rsid w:val="005147AB"/>
    <w:rsid w:val="00514EE8"/>
    <w:rsid w:val="0051602D"/>
    <w:rsid w:val="00520C9E"/>
    <w:rsid w:val="005341CC"/>
    <w:rsid w:val="00544B18"/>
    <w:rsid w:val="005502F2"/>
    <w:rsid w:val="00556C3E"/>
    <w:rsid w:val="00561EC0"/>
    <w:rsid w:val="005622D9"/>
    <w:rsid w:val="00562424"/>
    <w:rsid w:val="00567294"/>
    <w:rsid w:val="00576756"/>
    <w:rsid w:val="00596110"/>
    <w:rsid w:val="005B7098"/>
    <w:rsid w:val="005E4DFB"/>
    <w:rsid w:val="005F14DF"/>
    <w:rsid w:val="005F4767"/>
    <w:rsid w:val="00602050"/>
    <w:rsid w:val="0060715F"/>
    <w:rsid w:val="00611323"/>
    <w:rsid w:val="00613271"/>
    <w:rsid w:val="00630D39"/>
    <w:rsid w:val="006319C9"/>
    <w:rsid w:val="0063236F"/>
    <w:rsid w:val="0067083E"/>
    <w:rsid w:val="00682C4D"/>
    <w:rsid w:val="00690302"/>
    <w:rsid w:val="00693B29"/>
    <w:rsid w:val="006A0ED3"/>
    <w:rsid w:val="006A1581"/>
    <w:rsid w:val="006A1B8F"/>
    <w:rsid w:val="006C1BF8"/>
    <w:rsid w:val="006C4E21"/>
    <w:rsid w:val="006E156B"/>
    <w:rsid w:val="00722E96"/>
    <w:rsid w:val="00726563"/>
    <w:rsid w:val="00732671"/>
    <w:rsid w:val="00735ECF"/>
    <w:rsid w:val="00755F93"/>
    <w:rsid w:val="00755FCC"/>
    <w:rsid w:val="007839E6"/>
    <w:rsid w:val="00786D88"/>
    <w:rsid w:val="007A06F6"/>
    <w:rsid w:val="007A6248"/>
    <w:rsid w:val="007C2066"/>
    <w:rsid w:val="00816EBC"/>
    <w:rsid w:val="00841300"/>
    <w:rsid w:val="00853DBB"/>
    <w:rsid w:val="00856789"/>
    <w:rsid w:val="00860736"/>
    <w:rsid w:val="00866569"/>
    <w:rsid w:val="00874CDE"/>
    <w:rsid w:val="00877ED3"/>
    <w:rsid w:val="00895CBF"/>
    <w:rsid w:val="008A5CED"/>
    <w:rsid w:val="008A6BAF"/>
    <w:rsid w:val="008B2D03"/>
    <w:rsid w:val="008B3DC6"/>
    <w:rsid w:val="008B6321"/>
    <w:rsid w:val="008D1C26"/>
    <w:rsid w:val="008F0D74"/>
    <w:rsid w:val="00911D38"/>
    <w:rsid w:val="00942651"/>
    <w:rsid w:val="00942826"/>
    <w:rsid w:val="00942913"/>
    <w:rsid w:val="009448F1"/>
    <w:rsid w:val="00950DBB"/>
    <w:rsid w:val="00954B16"/>
    <w:rsid w:val="00973604"/>
    <w:rsid w:val="00976CC8"/>
    <w:rsid w:val="0098321C"/>
    <w:rsid w:val="009A1D77"/>
    <w:rsid w:val="009C077A"/>
    <w:rsid w:val="009C16F6"/>
    <w:rsid w:val="009C722A"/>
    <w:rsid w:val="00A05D58"/>
    <w:rsid w:val="00A06C16"/>
    <w:rsid w:val="00A15034"/>
    <w:rsid w:val="00A5791D"/>
    <w:rsid w:val="00A72BE6"/>
    <w:rsid w:val="00A77DB0"/>
    <w:rsid w:val="00A841E9"/>
    <w:rsid w:val="00A87F18"/>
    <w:rsid w:val="00A90275"/>
    <w:rsid w:val="00A92D86"/>
    <w:rsid w:val="00AA78BA"/>
    <w:rsid w:val="00AB1264"/>
    <w:rsid w:val="00AB3AD0"/>
    <w:rsid w:val="00AE41DE"/>
    <w:rsid w:val="00AE5518"/>
    <w:rsid w:val="00AF1D69"/>
    <w:rsid w:val="00AF5A94"/>
    <w:rsid w:val="00AF5BD4"/>
    <w:rsid w:val="00B036C9"/>
    <w:rsid w:val="00B141E2"/>
    <w:rsid w:val="00B25640"/>
    <w:rsid w:val="00B438EC"/>
    <w:rsid w:val="00B5156D"/>
    <w:rsid w:val="00B51A67"/>
    <w:rsid w:val="00B51F2F"/>
    <w:rsid w:val="00B640C0"/>
    <w:rsid w:val="00B87134"/>
    <w:rsid w:val="00BB453F"/>
    <w:rsid w:val="00BB52FA"/>
    <w:rsid w:val="00BC235D"/>
    <w:rsid w:val="00BD2B11"/>
    <w:rsid w:val="00BD484B"/>
    <w:rsid w:val="00BF34F2"/>
    <w:rsid w:val="00BF5ABA"/>
    <w:rsid w:val="00C40E34"/>
    <w:rsid w:val="00C55037"/>
    <w:rsid w:val="00C570E9"/>
    <w:rsid w:val="00C57FB2"/>
    <w:rsid w:val="00C671E9"/>
    <w:rsid w:val="00C87347"/>
    <w:rsid w:val="00C927F8"/>
    <w:rsid w:val="00CA1211"/>
    <w:rsid w:val="00CA1FC2"/>
    <w:rsid w:val="00CB5EB9"/>
    <w:rsid w:val="00CC73A7"/>
    <w:rsid w:val="00CC7419"/>
    <w:rsid w:val="00CD2946"/>
    <w:rsid w:val="00CE36ED"/>
    <w:rsid w:val="00CF05E5"/>
    <w:rsid w:val="00CF098A"/>
    <w:rsid w:val="00CF447C"/>
    <w:rsid w:val="00CF59CC"/>
    <w:rsid w:val="00D07D76"/>
    <w:rsid w:val="00D17450"/>
    <w:rsid w:val="00D2655D"/>
    <w:rsid w:val="00D31A21"/>
    <w:rsid w:val="00D46E77"/>
    <w:rsid w:val="00D52E8A"/>
    <w:rsid w:val="00D62465"/>
    <w:rsid w:val="00D7755F"/>
    <w:rsid w:val="00D779F6"/>
    <w:rsid w:val="00D82F70"/>
    <w:rsid w:val="00DA535F"/>
    <w:rsid w:val="00DA60EA"/>
    <w:rsid w:val="00DB4567"/>
    <w:rsid w:val="00DC628F"/>
    <w:rsid w:val="00DD619C"/>
    <w:rsid w:val="00E14980"/>
    <w:rsid w:val="00E1650D"/>
    <w:rsid w:val="00E3376F"/>
    <w:rsid w:val="00E424AC"/>
    <w:rsid w:val="00E516B4"/>
    <w:rsid w:val="00E7129E"/>
    <w:rsid w:val="00E73A5A"/>
    <w:rsid w:val="00E819DC"/>
    <w:rsid w:val="00E8215E"/>
    <w:rsid w:val="00E82285"/>
    <w:rsid w:val="00E90F9A"/>
    <w:rsid w:val="00EC2780"/>
    <w:rsid w:val="00EC715F"/>
    <w:rsid w:val="00ED140C"/>
    <w:rsid w:val="00ED7C3C"/>
    <w:rsid w:val="00EE7690"/>
    <w:rsid w:val="00EF559B"/>
    <w:rsid w:val="00F27AF0"/>
    <w:rsid w:val="00F31B5C"/>
    <w:rsid w:val="00F3571E"/>
    <w:rsid w:val="00F443AE"/>
    <w:rsid w:val="00F5077A"/>
    <w:rsid w:val="00F5173C"/>
    <w:rsid w:val="00F56C65"/>
    <w:rsid w:val="00F651EC"/>
    <w:rsid w:val="00F72538"/>
    <w:rsid w:val="00F82D00"/>
    <w:rsid w:val="00F96ABA"/>
    <w:rsid w:val="00FB6263"/>
    <w:rsid w:val="00FC6621"/>
    <w:rsid w:val="00FC7A6D"/>
    <w:rsid w:val="00FD4AEE"/>
    <w:rsid w:val="00FE0892"/>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tr-T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211"/>
    <w:rPr>
      <w:rFonts w:ascii="Tahoma" w:hAnsi="Tahoma" w:cs="Tahoma"/>
      <w:sz w:val="16"/>
      <w:szCs w:val="16"/>
    </w:rPr>
  </w:style>
  <w:style w:type="character" w:customStyle="1" w:styleId="BalloonTextChar">
    <w:name w:val="Balloon Text Char"/>
    <w:basedOn w:val="DefaultParagraphFont"/>
    <w:link w:val="BalloonText"/>
    <w:uiPriority w:val="99"/>
    <w:semiHidden/>
    <w:rsid w:val="00CA1211"/>
    <w:rPr>
      <w:rFonts w:ascii="Tahoma" w:hAnsi="Tahoma" w:cs="Tahoma"/>
      <w:sz w:val="16"/>
      <w:szCs w:val="16"/>
    </w:rPr>
  </w:style>
  <w:style w:type="table" w:styleId="TableGrid">
    <w:name w:val="Table Grid"/>
    <w:basedOn w:val="TableNormal"/>
    <w:uiPriority w:val="59"/>
    <w:rsid w:val="00550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449F"/>
    <w:pPr>
      <w:ind w:left="720"/>
      <w:contextualSpacing/>
    </w:pPr>
  </w:style>
  <w:style w:type="character" w:styleId="CommentReference">
    <w:name w:val="annotation reference"/>
    <w:basedOn w:val="DefaultParagraphFont"/>
    <w:uiPriority w:val="99"/>
    <w:semiHidden/>
    <w:unhideWhenUsed/>
    <w:rsid w:val="00E424AC"/>
    <w:rPr>
      <w:sz w:val="16"/>
      <w:szCs w:val="16"/>
    </w:rPr>
  </w:style>
  <w:style w:type="paragraph" w:styleId="CommentText">
    <w:name w:val="annotation text"/>
    <w:basedOn w:val="Normal"/>
    <w:link w:val="CommentTextChar"/>
    <w:uiPriority w:val="99"/>
    <w:semiHidden/>
    <w:unhideWhenUsed/>
    <w:rsid w:val="00E424AC"/>
    <w:rPr>
      <w:sz w:val="20"/>
      <w:szCs w:val="20"/>
    </w:rPr>
  </w:style>
  <w:style w:type="character" w:customStyle="1" w:styleId="CommentTextChar">
    <w:name w:val="Comment Text Char"/>
    <w:basedOn w:val="DefaultParagraphFont"/>
    <w:link w:val="CommentText"/>
    <w:uiPriority w:val="99"/>
    <w:semiHidden/>
    <w:rsid w:val="00E424AC"/>
    <w:rPr>
      <w:sz w:val="20"/>
      <w:szCs w:val="20"/>
    </w:rPr>
  </w:style>
  <w:style w:type="paragraph" w:styleId="CommentSubject">
    <w:name w:val="annotation subject"/>
    <w:basedOn w:val="CommentText"/>
    <w:next w:val="CommentText"/>
    <w:link w:val="CommentSubjectChar"/>
    <w:uiPriority w:val="99"/>
    <w:semiHidden/>
    <w:unhideWhenUsed/>
    <w:rsid w:val="00E424AC"/>
    <w:rPr>
      <w:b/>
      <w:bCs/>
    </w:rPr>
  </w:style>
  <w:style w:type="character" w:customStyle="1" w:styleId="CommentSubjectChar">
    <w:name w:val="Comment Subject Char"/>
    <w:basedOn w:val="CommentTextChar"/>
    <w:link w:val="CommentSubject"/>
    <w:uiPriority w:val="99"/>
    <w:semiHidden/>
    <w:rsid w:val="00E424A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tr-T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211"/>
    <w:rPr>
      <w:rFonts w:ascii="Tahoma" w:hAnsi="Tahoma" w:cs="Tahoma"/>
      <w:sz w:val="16"/>
      <w:szCs w:val="16"/>
    </w:rPr>
  </w:style>
  <w:style w:type="character" w:customStyle="1" w:styleId="BalloonTextChar">
    <w:name w:val="Balloon Text Char"/>
    <w:basedOn w:val="DefaultParagraphFont"/>
    <w:link w:val="BalloonText"/>
    <w:uiPriority w:val="99"/>
    <w:semiHidden/>
    <w:rsid w:val="00CA1211"/>
    <w:rPr>
      <w:rFonts w:ascii="Tahoma" w:hAnsi="Tahoma" w:cs="Tahoma"/>
      <w:sz w:val="16"/>
      <w:szCs w:val="16"/>
    </w:rPr>
  </w:style>
  <w:style w:type="table" w:styleId="TableGrid">
    <w:name w:val="Table Grid"/>
    <w:basedOn w:val="TableNormal"/>
    <w:uiPriority w:val="59"/>
    <w:rsid w:val="00550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449F"/>
    <w:pPr>
      <w:ind w:left="720"/>
      <w:contextualSpacing/>
    </w:pPr>
  </w:style>
  <w:style w:type="character" w:styleId="CommentReference">
    <w:name w:val="annotation reference"/>
    <w:basedOn w:val="DefaultParagraphFont"/>
    <w:uiPriority w:val="99"/>
    <w:semiHidden/>
    <w:unhideWhenUsed/>
    <w:rsid w:val="00E424AC"/>
    <w:rPr>
      <w:sz w:val="16"/>
      <w:szCs w:val="16"/>
    </w:rPr>
  </w:style>
  <w:style w:type="paragraph" w:styleId="CommentText">
    <w:name w:val="annotation text"/>
    <w:basedOn w:val="Normal"/>
    <w:link w:val="CommentTextChar"/>
    <w:uiPriority w:val="99"/>
    <w:semiHidden/>
    <w:unhideWhenUsed/>
    <w:rsid w:val="00E424AC"/>
    <w:rPr>
      <w:sz w:val="20"/>
      <w:szCs w:val="20"/>
    </w:rPr>
  </w:style>
  <w:style w:type="character" w:customStyle="1" w:styleId="CommentTextChar">
    <w:name w:val="Comment Text Char"/>
    <w:basedOn w:val="DefaultParagraphFont"/>
    <w:link w:val="CommentText"/>
    <w:uiPriority w:val="99"/>
    <w:semiHidden/>
    <w:rsid w:val="00E424AC"/>
    <w:rPr>
      <w:sz w:val="20"/>
      <w:szCs w:val="20"/>
    </w:rPr>
  </w:style>
  <w:style w:type="paragraph" w:styleId="CommentSubject">
    <w:name w:val="annotation subject"/>
    <w:basedOn w:val="CommentText"/>
    <w:next w:val="CommentText"/>
    <w:link w:val="CommentSubjectChar"/>
    <w:uiPriority w:val="99"/>
    <w:semiHidden/>
    <w:unhideWhenUsed/>
    <w:rsid w:val="00E424AC"/>
    <w:rPr>
      <w:b/>
      <w:bCs/>
    </w:rPr>
  </w:style>
  <w:style w:type="character" w:customStyle="1" w:styleId="CommentSubjectChar">
    <w:name w:val="Comment Subject Char"/>
    <w:basedOn w:val="CommentTextChar"/>
    <w:link w:val="CommentSubject"/>
    <w:uiPriority w:val="99"/>
    <w:semiHidden/>
    <w:rsid w:val="00E424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3BD8A-225D-4294-A8D7-C4AECE60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1963</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AMS</cp:lastModifiedBy>
  <cp:revision>180</cp:revision>
  <cp:lastPrinted>2012-10-14T22:55:00Z</cp:lastPrinted>
  <dcterms:created xsi:type="dcterms:W3CDTF">2012-10-08T14:25:00Z</dcterms:created>
  <dcterms:modified xsi:type="dcterms:W3CDTF">2012-10-16T10:00:00Z</dcterms:modified>
</cp:coreProperties>
</file>