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EF" w:rsidRPr="007D4BBE" w:rsidRDefault="003F39EF" w:rsidP="004D095E">
      <w:pPr>
        <w:jc w:val="center"/>
      </w:pPr>
    </w:p>
    <w:p w:rsidR="004D095E" w:rsidRPr="007D4BBE" w:rsidRDefault="004D095E" w:rsidP="004D095E">
      <w:pPr>
        <w:jc w:val="center"/>
        <w:rPr>
          <w:b/>
        </w:rPr>
      </w:pPr>
      <w:r w:rsidRPr="007D4BBE">
        <w:rPr>
          <w:b/>
        </w:rPr>
        <w:t>TR</w:t>
      </w:r>
    </w:p>
    <w:p w:rsidR="002F557E" w:rsidRPr="007D4BBE" w:rsidRDefault="004D095E">
      <w:pPr>
        <w:rPr>
          <w:b/>
        </w:rPr>
        <w:sectPr w:rsidR="002F557E" w:rsidRPr="007D4BBE" w:rsidSect="002F557E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  <w:r w:rsidRPr="007D4BBE">
        <w:rPr>
          <w:b/>
        </w:rPr>
        <w:br w:type="page"/>
      </w:r>
    </w:p>
    <w:p w:rsidR="004D095E" w:rsidRPr="007D4BBE" w:rsidRDefault="004D095E">
      <w:pPr>
        <w:rPr>
          <w:b/>
        </w:rPr>
      </w:pPr>
    </w:p>
    <w:p w:rsidR="004D095E" w:rsidRPr="007D4BBE" w:rsidRDefault="00DD1872" w:rsidP="00DD1872">
      <w:pPr>
        <w:spacing w:before="60"/>
        <w:rPr>
          <w:rFonts w:ascii="Arial" w:hAnsi="Arial" w:cs="Arial"/>
          <w:sz w:val="24"/>
          <w:szCs w:val="24"/>
        </w:rPr>
      </w:pPr>
      <w:r w:rsidRPr="007D4BBE">
        <w:rPr>
          <w:b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22291</wp:posOffset>
            </wp:positionH>
            <wp:positionV relativeFrom="paragraph">
              <wp:posOffset>3241</wp:posOffset>
            </wp:positionV>
            <wp:extent cx="956765" cy="620973"/>
            <wp:effectExtent l="1905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65" cy="62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4BBE">
        <w:rPr>
          <w:b/>
        </w:rPr>
        <w:tab/>
      </w:r>
      <w:r w:rsidRPr="007D4BBE">
        <w:rPr>
          <w:b/>
        </w:rPr>
        <w:tab/>
      </w:r>
      <w:r w:rsidRPr="007D4BBE">
        <w:rPr>
          <w:b/>
        </w:rPr>
        <w:tab/>
      </w:r>
      <w:r w:rsidRPr="007D4BBE">
        <w:rPr>
          <w:rFonts w:ascii="Arial" w:hAnsi="Arial" w:cs="Arial"/>
          <w:sz w:val="24"/>
          <w:szCs w:val="24"/>
        </w:rPr>
        <w:t>AVRUPA KOMİSYONU</w:t>
      </w:r>
    </w:p>
    <w:p w:rsidR="00DD1872" w:rsidRPr="007D4BBE" w:rsidRDefault="00DD1872" w:rsidP="004D095E">
      <w:pPr>
        <w:rPr>
          <w:rFonts w:ascii="Arial" w:hAnsi="Arial" w:cs="Arial"/>
          <w:sz w:val="24"/>
          <w:szCs w:val="24"/>
        </w:rPr>
      </w:pPr>
    </w:p>
    <w:p w:rsidR="00DD1872" w:rsidRPr="007D4BBE" w:rsidRDefault="00DD1872" w:rsidP="004D095E">
      <w:pPr>
        <w:rPr>
          <w:rFonts w:ascii="Arial" w:hAnsi="Arial" w:cs="Arial"/>
          <w:sz w:val="24"/>
          <w:szCs w:val="24"/>
        </w:rPr>
      </w:pPr>
    </w:p>
    <w:p w:rsidR="00DD1872" w:rsidRPr="007D4BBE" w:rsidRDefault="00DD1872" w:rsidP="004D095E">
      <w:pPr>
        <w:rPr>
          <w:rFonts w:ascii="Arial" w:hAnsi="Arial" w:cs="Arial"/>
          <w:sz w:val="24"/>
          <w:szCs w:val="24"/>
        </w:rPr>
      </w:pPr>
    </w:p>
    <w:p w:rsidR="00DD1872" w:rsidRPr="007D4BBE" w:rsidRDefault="00DD1872" w:rsidP="004D095E">
      <w:pPr>
        <w:rPr>
          <w:rFonts w:ascii="Arial" w:hAnsi="Arial" w:cs="Arial"/>
          <w:sz w:val="24"/>
          <w:szCs w:val="24"/>
        </w:rPr>
      </w:pPr>
    </w:p>
    <w:p w:rsidR="004D095E" w:rsidRPr="007D4BBE" w:rsidRDefault="00515D2B" w:rsidP="00DD1872">
      <w:pPr>
        <w:ind w:left="5387"/>
        <w:rPr>
          <w:sz w:val="24"/>
          <w:szCs w:val="24"/>
        </w:rPr>
      </w:pPr>
      <w:r w:rsidRPr="007D4BBE">
        <w:rPr>
          <w:sz w:val="24"/>
          <w:szCs w:val="24"/>
        </w:rPr>
        <w:t>Brüksel, 25.10.2010</w:t>
      </w:r>
    </w:p>
    <w:p w:rsidR="00515D2B" w:rsidRPr="007D4BBE" w:rsidRDefault="00515D2B" w:rsidP="00DD1872">
      <w:pPr>
        <w:ind w:left="5387"/>
        <w:rPr>
          <w:sz w:val="24"/>
          <w:szCs w:val="24"/>
        </w:rPr>
      </w:pPr>
      <w:r w:rsidRPr="007D4BBE">
        <w:rPr>
          <w:sz w:val="24"/>
          <w:szCs w:val="24"/>
        </w:rPr>
        <w:t>COM(2010) 593 nihai</w:t>
      </w:r>
    </w:p>
    <w:p w:rsidR="004D095E" w:rsidRPr="007D4BBE" w:rsidRDefault="004D095E" w:rsidP="004D095E">
      <w:pPr>
        <w:jc w:val="center"/>
        <w:rPr>
          <w:b/>
          <w:sz w:val="24"/>
          <w:szCs w:val="24"/>
        </w:rPr>
      </w:pPr>
    </w:p>
    <w:p w:rsidR="002F557E" w:rsidRPr="007D4BBE" w:rsidRDefault="002F557E" w:rsidP="004D095E">
      <w:pPr>
        <w:jc w:val="center"/>
        <w:rPr>
          <w:b/>
          <w:sz w:val="24"/>
          <w:szCs w:val="24"/>
        </w:rPr>
      </w:pPr>
    </w:p>
    <w:p w:rsidR="00B24A74" w:rsidRPr="007D4BBE" w:rsidRDefault="00B24A74" w:rsidP="004D095E">
      <w:pPr>
        <w:jc w:val="center"/>
        <w:rPr>
          <w:b/>
          <w:sz w:val="24"/>
          <w:szCs w:val="24"/>
        </w:rPr>
      </w:pPr>
      <w:r w:rsidRPr="007D4BBE">
        <w:rPr>
          <w:b/>
          <w:sz w:val="24"/>
          <w:szCs w:val="24"/>
        </w:rPr>
        <w:t>KOMİSYON</w:t>
      </w:r>
      <w:r w:rsidR="004A7567" w:rsidRPr="007D4BBE">
        <w:rPr>
          <w:b/>
          <w:sz w:val="24"/>
          <w:szCs w:val="24"/>
        </w:rPr>
        <w:t>DAN</w:t>
      </w:r>
      <w:r w:rsidRPr="007D4BBE">
        <w:rPr>
          <w:b/>
          <w:sz w:val="24"/>
          <w:szCs w:val="24"/>
        </w:rPr>
        <w:t xml:space="preserve"> KONSEY VE AVRUPA PARLAMENTOSUNA</w:t>
      </w:r>
    </w:p>
    <w:p w:rsidR="00515D2B" w:rsidRPr="007D4BBE" w:rsidRDefault="004A7567" w:rsidP="004D095E">
      <w:pPr>
        <w:jc w:val="center"/>
        <w:rPr>
          <w:b/>
          <w:sz w:val="24"/>
          <w:szCs w:val="24"/>
        </w:rPr>
      </w:pPr>
      <w:r w:rsidRPr="007D4BBE">
        <w:rPr>
          <w:b/>
          <w:sz w:val="24"/>
          <w:szCs w:val="24"/>
        </w:rPr>
        <w:t>BİLDİRİM</w:t>
      </w:r>
    </w:p>
    <w:p w:rsidR="00B24A74" w:rsidRPr="007D4BBE" w:rsidRDefault="00B24A74" w:rsidP="004D095E">
      <w:pPr>
        <w:jc w:val="center"/>
        <w:rPr>
          <w:b/>
          <w:sz w:val="24"/>
          <w:szCs w:val="24"/>
        </w:rPr>
      </w:pPr>
    </w:p>
    <w:p w:rsidR="00B24A74" w:rsidRPr="007D4BBE" w:rsidRDefault="004A7567" w:rsidP="004D095E">
      <w:pPr>
        <w:jc w:val="center"/>
        <w:rPr>
          <w:b/>
          <w:sz w:val="24"/>
          <w:szCs w:val="24"/>
        </w:rPr>
      </w:pPr>
      <w:r w:rsidRPr="007D4BBE">
        <w:rPr>
          <w:b/>
          <w:sz w:val="24"/>
          <w:szCs w:val="24"/>
        </w:rPr>
        <w:t xml:space="preserve">Komisyondan </w:t>
      </w:r>
      <w:proofErr w:type="gramStart"/>
      <w:r w:rsidRPr="007D4BBE">
        <w:rPr>
          <w:b/>
          <w:sz w:val="24"/>
          <w:szCs w:val="24"/>
        </w:rPr>
        <w:t>e</w:t>
      </w:r>
      <w:r w:rsidR="000576E1" w:rsidRPr="007D4BBE">
        <w:rPr>
          <w:b/>
          <w:sz w:val="24"/>
          <w:szCs w:val="24"/>
        </w:rPr>
        <w:t>ntegre</w:t>
      </w:r>
      <w:proofErr w:type="gramEnd"/>
      <w:r w:rsidR="000576E1" w:rsidRPr="007D4BBE">
        <w:rPr>
          <w:b/>
          <w:sz w:val="24"/>
          <w:szCs w:val="24"/>
        </w:rPr>
        <w:t xml:space="preserve"> kirlilik önleme ve kontrolü hakkındaki 2008/1/</w:t>
      </w:r>
      <w:proofErr w:type="spellStart"/>
      <w:r w:rsidR="000576E1" w:rsidRPr="007D4BBE">
        <w:rPr>
          <w:b/>
          <w:sz w:val="24"/>
          <w:szCs w:val="24"/>
        </w:rPr>
        <w:t>EC</w:t>
      </w:r>
      <w:proofErr w:type="spellEnd"/>
      <w:r w:rsidR="000576E1" w:rsidRPr="007D4BBE">
        <w:rPr>
          <w:b/>
          <w:sz w:val="24"/>
          <w:szCs w:val="24"/>
        </w:rPr>
        <w:t xml:space="preserve"> sayılı D</w:t>
      </w:r>
      <w:r w:rsidR="008A419E" w:rsidRPr="007D4BBE">
        <w:rPr>
          <w:b/>
          <w:sz w:val="24"/>
          <w:szCs w:val="24"/>
        </w:rPr>
        <w:t>irektifin ve b</w:t>
      </w:r>
      <w:r w:rsidR="00B24A74" w:rsidRPr="007D4BBE">
        <w:rPr>
          <w:b/>
          <w:sz w:val="24"/>
          <w:szCs w:val="24"/>
        </w:rPr>
        <w:t xml:space="preserve">elirli faaliyet </w:t>
      </w:r>
      <w:r w:rsidR="00356D9F" w:rsidRPr="007D4BBE">
        <w:rPr>
          <w:b/>
          <w:sz w:val="24"/>
          <w:szCs w:val="24"/>
        </w:rPr>
        <w:t xml:space="preserve">ve işletmelerde organik </w:t>
      </w:r>
      <w:proofErr w:type="spellStart"/>
      <w:r w:rsidR="00356D9F" w:rsidRPr="007D4BBE">
        <w:rPr>
          <w:b/>
          <w:sz w:val="24"/>
          <w:szCs w:val="24"/>
        </w:rPr>
        <w:t>solvent</w:t>
      </w:r>
      <w:proofErr w:type="spellEnd"/>
      <w:r w:rsidR="00356D9F" w:rsidRPr="007D4BBE">
        <w:rPr>
          <w:b/>
          <w:sz w:val="24"/>
          <w:szCs w:val="24"/>
        </w:rPr>
        <w:t xml:space="preserve"> kullanımından kaynaklanan </w:t>
      </w:r>
      <w:r w:rsidR="00B24A74" w:rsidRPr="007D4BBE">
        <w:rPr>
          <w:b/>
          <w:sz w:val="24"/>
          <w:szCs w:val="24"/>
        </w:rPr>
        <w:t>uçucu organik bileş</w:t>
      </w:r>
      <w:r w:rsidR="000576E1" w:rsidRPr="007D4BBE">
        <w:rPr>
          <w:b/>
          <w:sz w:val="24"/>
          <w:szCs w:val="24"/>
        </w:rPr>
        <w:t>en emisyonlarının sınırlandırılmasına ilişkin 1999/13/</w:t>
      </w:r>
      <w:proofErr w:type="spellStart"/>
      <w:r w:rsidR="000576E1" w:rsidRPr="007D4BBE">
        <w:rPr>
          <w:b/>
          <w:sz w:val="24"/>
          <w:szCs w:val="24"/>
        </w:rPr>
        <w:t>EC</w:t>
      </w:r>
      <w:proofErr w:type="spellEnd"/>
      <w:r w:rsidR="000576E1" w:rsidRPr="007D4BBE">
        <w:rPr>
          <w:b/>
          <w:sz w:val="24"/>
          <w:szCs w:val="24"/>
        </w:rPr>
        <w:t xml:space="preserve"> sayılı Direktif</w:t>
      </w:r>
      <w:r w:rsidR="008A419E" w:rsidRPr="007D4BBE">
        <w:rPr>
          <w:b/>
          <w:sz w:val="24"/>
          <w:szCs w:val="24"/>
        </w:rPr>
        <w:t xml:space="preserve">in uygulanmasına ilişkin </w:t>
      </w:r>
      <w:r w:rsidRPr="007D4BBE">
        <w:rPr>
          <w:b/>
          <w:sz w:val="24"/>
          <w:szCs w:val="24"/>
        </w:rPr>
        <w:t>bildirim</w:t>
      </w:r>
    </w:p>
    <w:p w:rsidR="00B24A74" w:rsidRPr="007D4BBE" w:rsidRDefault="00B24A74" w:rsidP="004D095E">
      <w:pPr>
        <w:jc w:val="center"/>
        <w:rPr>
          <w:b/>
          <w:sz w:val="24"/>
          <w:szCs w:val="24"/>
        </w:rPr>
      </w:pPr>
    </w:p>
    <w:p w:rsidR="004A7567" w:rsidRPr="007D4BBE" w:rsidRDefault="004A7567">
      <w:pPr>
        <w:rPr>
          <w:b/>
          <w:lang w:eastAsia="tr-TR"/>
        </w:rPr>
      </w:pPr>
      <w:r w:rsidRPr="007D4BBE">
        <w:rPr>
          <w:b/>
          <w:lang w:eastAsia="tr-TR"/>
        </w:rPr>
        <w:br w:type="page"/>
      </w:r>
    </w:p>
    <w:p w:rsidR="000E5869" w:rsidRPr="007D4BBE" w:rsidRDefault="000E5869" w:rsidP="000E5869">
      <w:pPr>
        <w:jc w:val="center"/>
        <w:rPr>
          <w:b/>
          <w:sz w:val="24"/>
          <w:szCs w:val="24"/>
        </w:rPr>
      </w:pPr>
      <w:r w:rsidRPr="007D4BBE">
        <w:rPr>
          <w:b/>
          <w:sz w:val="24"/>
          <w:szCs w:val="24"/>
        </w:rPr>
        <w:lastRenderedPageBreak/>
        <w:t>KOMİSYONDAN KONSEY VE AVRUPA PARLAMENTOSUNA</w:t>
      </w:r>
    </w:p>
    <w:p w:rsidR="004D095E" w:rsidRPr="007D4BBE" w:rsidRDefault="000E5869" w:rsidP="000E5869">
      <w:pPr>
        <w:jc w:val="center"/>
        <w:rPr>
          <w:b/>
          <w:sz w:val="24"/>
          <w:szCs w:val="24"/>
        </w:rPr>
      </w:pPr>
      <w:r w:rsidRPr="007D4BBE">
        <w:rPr>
          <w:b/>
          <w:sz w:val="24"/>
          <w:szCs w:val="24"/>
        </w:rPr>
        <w:t>BİLDİRİM</w:t>
      </w:r>
    </w:p>
    <w:p w:rsidR="000E5869" w:rsidRPr="007D4BBE" w:rsidRDefault="000E5869" w:rsidP="000E5869">
      <w:pPr>
        <w:jc w:val="center"/>
        <w:rPr>
          <w:b/>
          <w:sz w:val="24"/>
          <w:szCs w:val="24"/>
        </w:rPr>
      </w:pPr>
    </w:p>
    <w:p w:rsidR="000E5869" w:rsidRPr="007D4BBE" w:rsidRDefault="000E5869" w:rsidP="000E5869">
      <w:pPr>
        <w:jc w:val="center"/>
        <w:rPr>
          <w:b/>
          <w:sz w:val="24"/>
          <w:szCs w:val="24"/>
        </w:rPr>
      </w:pPr>
      <w:r w:rsidRPr="007D4BBE">
        <w:rPr>
          <w:b/>
          <w:sz w:val="24"/>
          <w:szCs w:val="24"/>
        </w:rPr>
        <w:t xml:space="preserve">Komisyondan </w:t>
      </w:r>
      <w:proofErr w:type="gramStart"/>
      <w:r w:rsidRPr="007D4BBE">
        <w:rPr>
          <w:b/>
          <w:sz w:val="24"/>
          <w:szCs w:val="24"/>
        </w:rPr>
        <w:t>entegre</w:t>
      </w:r>
      <w:proofErr w:type="gramEnd"/>
      <w:r w:rsidRPr="007D4BBE">
        <w:rPr>
          <w:b/>
          <w:sz w:val="24"/>
          <w:szCs w:val="24"/>
        </w:rPr>
        <w:t xml:space="preserve"> kirlilik önleme ve kontrolü hakkındaki 2008/1/</w:t>
      </w:r>
      <w:proofErr w:type="spellStart"/>
      <w:r w:rsidRPr="007D4BBE">
        <w:rPr>
          <w:b/>
          <w:sz w:val="24"/>
          <w:szCs w:val="24"/>
        </w:rPr>
        <w:t>EC</w:t>
      </w:r>
      <w:proofErr w:type="spellEnd"/>
      <w:r w:rsidRPr="007D4BBE">
        <w:rPr>
          <w:b/>
          <w:sz w:val="24"/>
          <w:szCs w:val="24"/>
        </w:rPr>
        <w:t xml:space="preserve"> sayılı Direktifin ve belirli faaliyet ve işletmelerde organik </w:t>
      </w:r>
      <w:proofErr w:type="spellStart"/>
      <w:r w:rsidRPr="007D4BBE">
        <w:rPr>
          <w:b/>
          <w:sz w:val="24"/>
          <w:szCs w:val="24"/>
        </w:rPr>
        <w:t>solventlerin</w:t>
      </w:r>
      <w:proofErr w:type="spellEnd"/>
      <w:r w:rsidRPr="007D4BBE">
        <w:rPr>
          <w:b/>
          <w:sz w:val="24"/>
          <w:szCs w:val="24"/>
        </w:rPr>
        <w:t xml:space="preserve"> kullanılması dolayısıyla uçucu organik bileşen emisyonlarının sınırlandırılmasına ilişkin 1999/13/</w:t>
      </w:r>
      <w:proofErr w:type="spellStart"/>
      <w:r w:rsidRPr="007D4BBE">
        <w:rPr>
          <w:b/>
          <w:sz w:val="24"/>
          <w:szCs w:val="24"/>
        </w:rPr>
        <w:t>EC</w:t>
      </w:r>
      <w:proofErr w:type="spellEnd"/>
      <w:r w:rsidRPr="007D4BBE">
        <w:rPr>
          <w:b/>
          <w:sz w:val="24"/>
          <w:szCs w:val="24"/>
        </w:rPr>
        <w:t xml:space="preserve"> sayılı Direktifin uygulanmasına ilişkin bildirim</w:t>
      </w:r>
    </w:p>
    <w:p w:rsidR="000E5869" w:rsidRPr="007D4BBE" w:rsidRDefault="000E5869" w:rsidP="000E5869">
      <w:pPr>
        <w:jc w:val="center"/>
        <w:rPr>
          <w:b/>
          <w:sz w:val="24"/>
          <w:szCs w:val="24"/>
          <w:lang w:eastAsia="tr-TR"/>
        </w:rPr>
      </w:pPr>
      <w:r w:rsidRPr="007D4BBE">
        <w:rPr>
          <w:b/>
          <w:sz w:val="24"/>
          <w:szCs w:val="24"/>
          <w:lang w:eastAsia="tr-TR"/>
        </w:rPr>
        <w:t>(</w:t>
      </w:r>
      <w:proofErr w:type="spellStart"/>
      <w:r w:rsidRPr="007D4BBE">
        <w:rPr>
          <w:b/>
          <w:sz w:val="24"/>
          <w:szCs w:val="24"/>
          <w:lang w:eastAsia="tr-TR"/>
        </w:rPr>
        <w:t>EEA</w:t>
      </w:r>
      <w:proofErr w:type="spellEnd"/>
      <w:r w:rsidRPr="007D4BBE">
        <w:rPr>
          <w:b/>
          <w:sz w:val="24"/>
          <w:szCs w:val="24"/>
          <w:lang w:eastAsia="tr-TR"/>
        </w:rPr>
        <w:t xml:space="preserve"> ile ilgili metin)</w:t>
      </w:r>
    </w:p>
    <w:p w:rsidR="000E5869" w:rsidRPr="007D4BBE" w:rsidRDefault="000E5869" w:rsidP="000E5869">
      <w:pPr>
        <w:jc w:val="center"/>
        <w:rPr>
          <w:b/>
          <w:sz w:val="24"/>
          <w:szCs w:val="24"/>
          <w:lang w:eastAsia="tr-TR"/>
        </w:rPr>
      </w:pPr>
    </w:p>
    <w:p w:rsidR="000E5869" w:rsidRPr="007D4BBE" w:rsidRDefault="000E5869" w:rsidP="001A733A">
      <w:pPr>
        <w:pStyle w:val="ListeParagraf"/>
        <w:numPr>
          <w:ilvl w:val="0"/>
          <w:numId w:val="1"/>
        </w:numPr>
        <w:ind w:left="426" w:hanging="426"/>
        <w:rPr>
          <w:b/>
          <w:sz w:val="24"/>
          <w:szCs w:val="24"/>
          <w:lang w:eastAsia="tr-TR"/>
        </w:rPr>
      </w:pPr>
      <w:r w:rsidRPr="007D4BBE">
        <w:rPr>
          <w:b/>
          <w:sz w:val="24"/>
          <w:szCs w:val="24"/>
          <w:lang w:eastAsia="tr-TR"/>
        </w:rPr>
        <w:t>GİRİŞ</w:t>
      </w:r>
    </w:p>
    <w:p w:rsidR="000E5869" w:rsidRPr="007D4BBE" w:rsidRDefault="000E5869" w:rsidP="001A733A">
      <w:pPr>
        <w:ind w:left="426" w:hanging="426"/>
        <w:rPr>
          <w:b/>
          <w:sz w:val="24"/>
          <w:szCs w:val="24"/>
          <w:lang w:eastAsia="tr-TR"/>
        </w:rPr>
      </w:pPr>
    </w:p>
    <w:p w:rsidR="001A733A" w:rsidRPr="007D4BBE" w:rsidRDefault="001A733A" w:rsidP="002C1AB4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>Bu</w:t>
      </w:r>
      <w:r w:rsidR="00AD1E88" w:rsidRPr="007D4BBE">
        <w:rPr>
          <w:sz w:val="24"/>
          <w:szCs w:val="24"/>
          <w:lang w:eastAsia="tr-TR"/>
        </w:rPr>
        <w:t xml:space="preserve"> bildirim</w:t>
      </w:r>
      <w:r w:rsidRPr="007D4BBE">
        <w:rPr>
          <w:sz w:val="24"/>
          <w:szCs w:val="24"/>
          <w:lang w:eastAsia="tr-TR"/>
        </w:rPr>
        <w:t xml:space="preserve"> </w:t>
      </w:r>
      <w:proofErr w:type="gramStart"/>
      <w:r w:rsidR="00FB4365" w:rsidRPr="007D4BBE">
        <w:rPr>
          <w:sz w:val="24"/>
          <w:szCs w:val="24"/>
          <w:lang w:eastAsia="tr-TR"/>
        </w:rPr>
        <w:t>entegre</w:t>
      </w:r>
      <w:proofErr w:type="gramEnd"/>
      <w:r w:rsidR="00FB4365" w:rsidRPr="007D4BBE">
        <w:rPr>
          <w:sz w:val="24"/>
          <w:szCs w:val="24"/>
          <w:lang w:eastAsia="tr-TR"/>
        </w:rPr>
        <w:t xml:space="preserve"> kirlilik önleme ve kontrolü hakkındaki 2008/1/</w:t>
      </w:r>
      <w:proofErr w:type="spellStart"/>
      <w:r w:rsidR="00FB4365" w:rsidRPr="007D4BBE">
        <w:rPr>
          <w:sz w:val="24"/>
          <w:szCs w:val="24"/>
          <w:lang w:eastAsia="tr-TR"/>
        </w:rPr>
        <w:t>EC</w:t>
      </w:r>
      <w:proofErr w:type="spellEnd"/>
      <w:r w:rsidR="00FB4365" w:rsidRPr="007D4BBE">
        <w:rPr>
          <w:sz w:val="24"/>
          <w:szCs w:val="24"/>
          <w:lang w:eastAsia="tr-TR"/>
        </w:rPr>
        <w:t xml:space="preserve"> sayılı Direktifin (</w:t>
      </w:r>
      <w:proofErr w:type="spellStart"/>
      <w:r w:rsidR="00FB4365" w:rsidRPr="007D4BBE">
        <w:rPr>
          <w:sz w:val="24"/>
          <w:szCs w:val="24"/>
          <w:lang w:eastAsia="tr-TR"/>
        </w:rPr>
        <w:t>IPPCD</w:t>
      </w:r>
      <w:proofErr w:type="spellEnd"/>
      <w:r w:rsidR="00FB4365" w:rsidRPr="007D4BBE">
        <w:rPr>
          <w:sz w:val="24"/>
          <w:szCs w:val="24"/>
          <w:lang w:eastAsia="tr-TR"/>
        </w:rPr>
        <w:t xml:space="preserve">) 17(3) sayılı Maddesi </w:t>
      </w:r>
      <w:r w:rsidR="00356D9F" w:rsidRPr="007D4BBE">
        <w:rPr>
          <w:sz w:val="24"/>
          <w:szCs w:val="24"/>
          <w:lang w:eastAsia="tr-TR"/>
        </w:rPr>
        <w:t xml:space="preserve">ve belirli faaliyet ve işletmelerde organik </w:t>
      </w:r>
      <w:proofErr w:type="spellStart"/>
      <w:r w:rsidR="00356D9F" w:rsidRPr="007D4BBE">
        <w:rPr>
          <w:sz w:val="24"/>
          <w:szCs w:val="24"/>
          <w:lang w:eastAsia="tr-TR"/>
        </w:rPr>
        <w:t>solvent</w:t>
      </w:r>
      <w:proofErr w:type="spellEnd"/>
      <w:r w:rsidR="00356D9F" w:rsidRPr="007D4BBE">
        <w:rPr>
          <w:sz w:val="24"/>
          <w:szCs w:val="24"/>
          <w:lang w:eastAsia="tr-TR"/>
        </w:rPr>
        <w:t xml:space="preserve"> kullanımından kaynaklanan </w:t>
      </w:r>
      <w:r w:rsidR="002C4043" w:rsidRPr="007D4BBE">
        <w:rPr>
          <w:sz w:val="24"/>
          <w:szCs w:val="24"/>
          <w:lang w:eastAsia="tr-TR"/>
        </w:rPr>
        <w:t>uçucu organik bileşen emisyonlarının sınırlandırılmasına ilişkin 1999/13/</w:t>
      </w:r>
      <w:proofErr w:type="spellStart"/>
      <w:r w:rsidR="002C4043" w:rsidRPr="007D4BBE">
        <w:rPr>
          <w:sz w:val="24"/>
          <w:szCs w:val="24"/>
          <w:lang w:eastAsia="tr-TR"/>
        </w:rPr>
        <w:t>EC</w:t>
      </w:r>
      <w:proofErr w:type="spellEnd"/>
      <w:r w:rsidR="002C4043" w:rsidRPr="007D4BBE">
        <w:rPr>
          <w:sz w:val="24"/>
          <w:szCs w:val="24"/>
          <w:lang w:eastAsia="tr-TR"/>
        </w:rPr>
        <w:t xml:space="preserve"> sayılı Direktife ait </w:t>
      </w:r>
      <w:r w:rsidR="00AD1E88" w:rsidRPr="007D4BBE">
        <w:rPr>
          <w:sz w:val="24"/>
          <w:szCs w:val="24"/>
          <w:lang w:eastAsia="tr-TR"/>
        </w:rPr>
        <w:t xml:space="preserve"> (</w:t>
      </w:r>
      <w:proofErr w:type="spellStart"/>
      <w:r w:rsidR="00AD1E88" w:rsidRPr="007D4BBE">
        <w:rPr>
          <w:sz w:val="24"/>
          <w:szCs w:val="24"/>
          <w:lang w:eastAsia="tr-TR"/>
        </w:rPr>
        <w:t>Solvent</w:t>
      </w:r>
      <w:proofErr w:type="spellEnd"/>
      <w:r w:rsidR="00AD1E88" w:rsidRPr="007D4BBE">
        <w:rPr>
          <w:sz w:val="24"/>
          <w:szCs w:val="24"/>
          <w:lang w:eastAsia="tr-TR"/>
        </w:rPr>
        <w:t xml:space="preserve"> Emisyonları Direktifi-</w:t>
      </w:r>
      <w:proofErr w:type="spellStart"/>
      <w:r w:rsidR="00AD1E88" w:rsidRPr="007D4BBE">
        <w:rPr>
          <w:sz w:val="24"/>
          <w:szCs w:val="24"/>
          <w:lang w:eastAsia="tr-TR"/>
        </w:rPr>
        <w:t>SED</w:t>
      </w:r>
      <w:proofErr w:type="spellEnd"/>
      <w:r w:rsidR="00AD1E88" w:rsidRPr="007D4BBE">
        <w:rPr>
          <w:sz w:val="24"/>
          <w:szCs w:val="24"/>
          <w:lang w:eastAsia="tr-TR"/>
        </w:rPr>
        <w:t xml:space="preserve">) </w:t>
      </w:r>
      <w:r w:rsidR="002C4043" w:rsidRPr="007D4BBE">
        <w:rPr>
          <w:sz w:val="24"/>
          <w:szCs w:val="24"/>
          <w:lang w:eastAsia="tr-TR"/>
        </w:rPr>
        <w:t>Madde 14uyarınca hazırlanmıştır.</w:t>
      </w:r>
    </w:p>
    <w:p w:rsidR="00AD1E88" w:rsidRPr="007D4BBE" w:rsidRDefault="00AD1E88" w:rsidP="00356D9F">
      <w:pPr>
        <w:rPr>
          <w:sz w:val="24"/>
          <w:szCs w:val="24"/>
          <w:lang w:eastAsia="tr-TR"/>
        </w:rPr>
      </w:pPr>
    </w:p>
    <w:p w:rsidR="00AD1E88" w:rsidRPr="007D4BBE" w:rsidRDefault="00AD1E88" w:rsidP="002C1AB4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Bildirim, bu Direktifin uygulanmasına ilişkin önceki raporlarda yürütülen analize dayanarak </w:t>
      </w:r>
      <w:r w:rsidR="00DA39AF" w:rsidRPr="007D4BBE">
        <w:rPr>
          <w:sz w:val="24"/>
          <w:szCs w:val="24"/>
          <w:lang w:eastAsia="tr-TR"/>
        </w:rPr>
        <w:t xml:space="preserve">üçüncü </w:t>
      </w:r>
      <w:proofErr w:type="spellStart"/>
      <w:r w:rsidRPr="007D4BBE">
        <w:rPr>
          <w:sz w:val="24"/>
          <w:szCs w:val="24"/>
          <w:lang w:eastAsia="tr-TR"/>
        </w:rPr>
        <w:t>IPPCD</w:t>
      </w:r>
      <w:proofErr w:type="spellEnd"/>
      <w:r w:rsidRPr="007D4BBE">
        <w:rPr>
          <w:sz w:val="24"/>
          <w:szCs w:val="24"/>
          <w:lang w:eastAsia="tr-TR"/>
        </w:rPr>
        <w:t xml:space="preserve"> </w:t>
      </w:r>
      <w:r w:rsidR="00DA39AF" w:rsidRPr="007D4BBE">
        <w:rPr>
          <w:sz w:val="24"/>
          <w:szCs w:val="24"/>
          <w:lang w:eastAsia="tr-TR"/>
        </w:rPr>
        <w:t>raporlama dönemini (2006-2008) ele almaktadır</w:t>
      </w:r>
      <w:r w:rsidR="00DA39AF" w:rsidRPr="007D4BBE">
        <w:rPr>
          <w:rStyle w:val="DipnotBavurusu"/>
          <w:sz w:val="24"/>
          <w:szCs w:val="24"/>
          <w:lang w:eastAsia="tr-TR"/>
        </w:rPr>
        <w:footnoteReference w:id="1"/>
      </w:r>
      <w:r w:rsidR="00DA39AF" w:rsidRPr="007D4BBE">
        <w:rPr>
          <w:sz w:val="24"/>
          <w:szCs w:val="24"/>
          <w:lang w:eastAsia="tr-TR"/>
        </w:rPr>
        <w:t xml:space="preserve">. </w:t>
      </w:r>
      <w:proofErr w:type="spellStart"/>
      <w:r w:rsidR="0035622D" w:rsidRPr="007D4BBE">
        <w:rPr>
          <w:sz w:val="24"/>
          <w:szCs w:val="24"/>
          <w:lang w:eastAsia="tr-TR"/>
        </w:rPr>
        <w:t>SED</w:t>
      </w:r>
      <w:proofErr w:type="spellEnd"/>
      <w:r w:rsidR="0035622D" w:rsidRPr="007D4BBE">
        <w:rPr>
          <w:sz w:val="24"/>
          <w:szCs w:val="24"/>
          <w:lang w:eastAsia="tr-TR"/>
        </w:rPr>
        <w:t xml:space="preserve"> açısından bu bildirim 2003-2007 uygulama dönemi ile ilgili olup, bahsi geçen dönem boyunca Üye Devletler tarafından iki bildirim sunulmuştur. 2003-2004 yıllarına ilişkin bildirimler AB Üye</w:t>
      </w:r>
      <w:r w:rsidR="002C1AB4" w:rsidRPr="007D4BBE">
        <w:rPr>
          <w:sz w:val="24"/>
          <w:szCs w:val="24"/>
          <w:lang w:eastAsia="tr-TR"/>
        </w:rPr>
        <w:t>si 15 Devleti</w:t>
      </w:r>
      <w:r w:rsidR="0035622D" w:rsidRPr="007D4BBE">
        <w:rPr>
          <w:sz w:val="24"/>
          <w:szCs w:val="24"/>
          <w:lang w:eastAsia="tr-TR"/>
        </w:rPr>
        <w:t xml:space="preserve"> kapsarken, 2005-2007 yıllarına ilişkin bildirimler </w:t>
      </w:r>
      <w:r w:rsidR="002C1AB4" w:rsidRPr="007D4BBE">
        <w:rPr>
          <w:sz w:val="24"/>
          <w:szCs w:val="24"/>
          <w:lang w:eastAsia="tr-TR"/>
        </w:rPr>
        <w:t xml:space="preserve">AB Üyesi </w:t>
      </w:r>
      <w:r w:rsidR="0035622D" w:rsidRPr="007D4BBE">
        <w:rPr>
          <w:sz w:val="24"/>
          <w:szCs w:val="24"/>
          <w:lang w:eastAsia="tr-TR"/>
        </w:rPr>
        <w:t xml:space="preserve">27 Devleti kapsamıştır. </w:t>
      </w:r>
      <w:r w:rsidR="002C1AB4" w:rsidRPr="007D4BBE">
        <w:rPr>
          <w:sz w:val="24"/>
          <w:szCs w:val="24"/>
          <w:lang w:eastAsia="tr-TR"/>
        </w:rPr>
        <w:t xml:space="preserve">Bu nedenle toplanan bilgiler </w:t>
      </w:r>
      <w:r w:rsidR="0094157A" w:rsidRPr="007D4BBE">
        <w:rPr>
          <w:sz w:val="24"/>
          <w:szCs w:val="24"/>
          <w:lang w:eastAsia="tr-TR"/>
        </w:rPr>
        <w:t>çoğunlukla</w:t>
      </w:r>
      <w:r w:rsidR="002C1AB4" w:rsidRPr="007D4BBE">
        <w:rPr>
          <w:sz w:val="24"/>
          <w:szCs w:val="24"/>
          <w:lang w:eastAsia="tr-TR"/>
        </w:rPr>
        <w:t xml:space="preserve"> </w:t>
      </w:r>
      <w:proofErr w:type="spellStart"/>
      <w:r w:rsidR="002C1AB4" w:rsidRPr="007D4BBE">
        <w:rPr>
          <w:sz w:val="24"/>
          <w:szCs w:val="24"/>
          <w:lang w:eastAsia="tr-TR"/>
        </w:rPr>
        <w:t>SED’in</w:t>
      </w:r>
      <w:proofErr w:type="spellEnd"/>
      <w:r w:rsidR="002C1AB4" w:rsidRPr="007D4BBE">
        <w:rPr>
          <w:sz w:val="24"/>
          <w:szCs w:val="24"/>
          <w:lang w:eastAsia="tr-TR"/>
        </w:rPr>
        <w:t xml:space="preserve"> uygulanması için verilen 31 Ekim 2007 </w:t>
      </w:r>
      <w:r w:rsidR="0094157A" w:rsidRPr="007D4BBE">
        <w:rPr>
          <w:sz w:val="24"/>
          <w:szCs w:val="24"/>
          <w:lang w:eastAsia="tr-TR"/>
        </w:rPr>
        <w:t xml:space="preserve">nihai </w:t>
      </w:r>
      <w:r w:rsidR="002C1AB4" w:rsidRPr="007D4BBE">
        <w:rPr>
          <w:sz w:val="24"/>
          <w:szCs w:val="24"/>
          <w:lang w:eastAsia="tr-TR"/>
        </w:rPr>
        <w:t>son tarihinden önceki dönemi kapsamaktadır</w:t>
      </w:r>
      <w:r w:rsidR="0094157A" w:rsidRPr="007D4BBE">
        <w:rPr>
          <w:rStyle w:val="DipnotBavurusu"/>
          <w:sz w:val="24"/>
          <w:szCs w:val="24"/>
          <w:lang w:eastAsia="tr-TR"/>
        </w:rPr>
        <w:footnoteReference w:id="2"/>
      </w:r>
      <w:r w:rsidR="002C1AB4" w:rsidRPr="007D4BBE">
        <w:rPr>
          <w:sz w:val="24"/>
          <w:szCs w:val="24"/>
          <w:lang w:eastAsia="tr-TR"/>
        </w:rPr>
        <w:t xml:space="preserve">. </w:t>
      </w:r>
    </w:p>
    <w:p w:rsidR="0018601B" w:rsidRPr="007D4BBE" w:rsidRDefault="0018601B" w:rsidP="002C1AB4">
      <w:pPr>
        <w:jc w:val="both"/>
        <w:rPr>
          <w:sz w:val="24"/>
          <w:szCs w:val="24"/>
          <w:lang w:eastAsia="tr-TR"/>
        </w:rPr>
      </w:pPr>
    </w:p>
    <w:p w:rsidR="0018601B" w:rsidRPr="007D4BBE" w:rsidRDefault="0018601B" w:rsidP="002C1AB4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>Bildirim</w:t>
      </w:r>
      <w:r w:rsidR="00026D30" w:rsidRPr="007D4BBE">
        <w:rPr>
          <w:sz w:val="24"/>
          <w:szCs w:val="24"/>
          <w:lang w:eastAsia="tr-TR"/>
        </w:rPr>
        <w:t>, Üye Devletler üzerindeki yükü azaltmış olan, Komisyon tarafından kabul edilen ilgili anketleri</w:t>
      </w:r>
      <w:r w:rsidR="00026D30" w:rsidRPr="007D4BBE">
        <w:rPr>
          <w:rStyle w:val="DipnotBavurusu"/>
          <w:sz w:val="24"/>
          <w:szCs w:val="24"/>
          <w:lang w:eastAsia="tr-TR"/>
        </w:rPr>
        <w:footnoteReference w:id="3"/>
      </w:r>
      <w:r w:rsidR="00026D30" w:rsidRPr="007D4BBE">
        <w:rPr>
          <w:sz w:val="24"/>
          <w:szCs w:val="24"/>
          <w:lang w:eastAsia="tr-TR"/>
        </w:rPr>
        <w:t xml:space="preserve"> ve </w:t>
      </w:r>
      <w:proofErr w:type="spellStart"/>
      <w:r w:rsidR="00026D30" w:rsidRPr="007D4BBE">
        <w:rPr>
          <w:sz w:val="24"/>
          <w:szCs w:val="24"/>
          <w:lang w:eastAsia="tr-TR"/>
        </w:rPr>
        <w:t>ReportNet</w:t>
      </w:r>
      <w:proofErr w:type="spellEnd"/>
      <w:r w:rsidR="00026D30" w:rsidRPr="007D4BBE">
        <w:rPr>
          <w:sz w:val="24"/>
          <w:szCs w:val="24"/>
          <w:lang w:eastAsia="tr-TR"/>
        </w:rPr>
        <w:t xml:space="preserve"> altyapısı</w:t>
      </w:r>
      <w:r w:rsidR="002D775A" w:rsidRPr="007D4BBE">
        <w:rPr>
          <w:sz w:val="24"/>
          <w:szCs w:val="24"/>
          <w:lang w:eastAsia="tr-TR"/>
        </w:rPr>
        <w:t>nda bulunan Elektronik Raporlama Araçlarını</w:t>
      </w:r>
      <w:r w:rsidR="002D775A" w:rsidRPr="007D4BBE">
        <w:rPr>
          <w:rStyle w:val="DipnotBavurusu"/>
          <w:sz w:val="24"/>
          <w:szCs w:val="24"/>
          <w:lang w:eastAsia="tr-TR"/>
        </w:rPr>
        <w:footnoteReference w:id="4"/>
      </w:r>
      <w:r w:rsidR="002D775A" w:rsidRPr="007D4BBE">
        <w:rPr>
          <w:sz w:val="24"/>
          <w:szCs w:val="24"/>
          <w:lang w:eastAsia="tr-TR"/>
        </w:rPr>
        <w:t xml:space="preserve"> kullanarak </w:t>
      </w:r>
      <w:r w:rsidR="0030792C" w:rsidRPr="007D4BBE">
        <w:rPr>
          <w:sz w:val="24"/>
          <w:szCs w:val="24"/>
          <w:lang w:eastAsia="tr-TR"/>
        </w:rPr>
        <w:t xml:space="preserve">Üye Devletler tarafından </w:t>
      </w:r>
      <w:r w:rsidR="001F4933" w:rsidRPr="007D4BBE">
        <w:rPr>
          <w:sz w:val="24"/>
          <w:szCs w:val="24"/>
          <w:lang w:eastAsia="tr-TR"/>
        </w:rPr>
        <w:t>gönderilen bilgileri özetler. Ayrıca bildirilen bilgilere halkın tam erişimini sağlamak amacıyla Komisyon “Endüstriyel Emisyon Raporlama Bilgi Sistemi” internet sitesini geliştirmiştir</w:t>
      </w:r>
      <w:r w:rsidR="001F4933" w:rsidRPr="007D4BBE">
        <w:rPr>
          <w:rStyle w:val="DipnotBavurusu"/>
          <w:sz w:val="24"/>
          <w:szCs w:val="24"/>
          <w:lang w:eastAsia="tr-TR"/>
        </w:rPr>
        <w:footnoteReference w:id="5"/>
      </w:r>
      <w:r w:rsidR="001F4933" w:rsidRPr="007D4BBE">
        <w:rPr>
          <w:sz w:val="24"/>
          <w:szCs w:val="24"/>
          <w:lang w:eastAsia="tr-TR"/>
        </w:rPr>
        <w:t>.</w:t>
      </w:r>
    </w:p>
    <w:p w:rsidR="00B97980" w:rsidRPr="007D4BBE" w:rsidRDefault="00B97980" w:rsidP="002C1AB4">
      <w:pPr>
        <w:jc w:val="both"/>
        <w:rPr>
          <w:sz w:val="24"/>
          <w:szCs w:val="24"/>
          <w:lang w:eastAsia="tr-TR"/>
        </w:rPr>
      </w:pPr>
    </w:p>
    <w:p w:rsidR="009650E2" w:rsidRPr="007D4BBE" w:rsidRDefault="00B97980" w:rsidP="002C1AB4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Üye Devletler genel olarak </w:t>
      </w:r>
      <w:r w:rsidR="00DC7BF0" w:rsidRPr="007D4BBE">
        <w:rPr>
          <w:sz w:val="24"/>
          <w:szCs w:val="24"/>
          <w:lang w:eastAsia="tr-TR"/>
        </w:rPr>
        <w:t>her iki Direktif kapsamında da bildirimde bulunma yükümlülüklerine uymuş olsalar da birçoğu yanıt vermekte geç kalmıştır. Ancak Yunanistan</w:t>
      </w:r>
      <w:r w:rsidR="00FB1273" w:rsidRPr="007D4BBE">
        <w:rPr>
          <w:sz w:val="24"/>
          <w:szCs w:val="24"/>
          <w:lang w:eastAsia="tr-TR"/>
        </w:rPr>
        <w:t xml:space="preserve"> </w:t>
      </w:r>
      <w:proofErr w:type="spellStart"/>
      <w:r w:rsidR="00FB1273" w:rsidRPr="007D4BBE">
        <w:rPr>
          <w:sz w:val="24"/>
          <w:szCs w:val="24"/>
          <w:lang w:eastAsia="tr-TR"/>
        </w:rPr>
        <w:t>IPPCD</w:t>
      </w:r>
      <w:proofErr w:type="spellEnd"/>
      <w:r w:rsidR="00FB1273" w:rsidRPr="007D4BBE">
        <w:rPr>
          <w:sz w:val="24"/>
          <w:szCs w:val="24"/>
          <w:lang w:eastAsia="tr-TR"/>
        </w:rPr>
        <w:t xml:space="preserve"> kapsamında gerekli bilgileri </w:t>
      </w:r>
      <w:r w:rsidR="008A6A7C" w:rsidRPr="007D4BBE">
        <w:rPr>
          <w:sz w:val="24"/>
          <w:szCs w:val="24"/>
          <w:lang w:eastAsia="tr-TR"/>
        </w:rPr>
        <w:t xml:space="preserve">vermemişti; Lüksemburg ise </w:t>
      </w:r>
      <w:r w:rsidR="005E273F" w:rsidRPr="007D4BBE">
        <w:rPr>
          <w:sz w:val="24"/>
          <w:szCs w:val="24"/>
          <w:lang w:eastAsia="tr-TR"/>
        </w:rPr>
        <w:t xml:space="preserve">Komisyona bilgileri </w:t>
      </w:r>
      <w:r w:rsidR="008A6A7C" w:rsidRPr="007D4BBE">
        <w:rPr>
          <w:sz w:val="24"/>
          <w:szCs w:val="24"/>
          <w:lang w:eastAsia="tr-TR"/>
        </w:rPr>
        <w:t xml:space="preserve">bu raporun amacına uygun şekilde </w:t>
      </w:r>
      <w:r w:rsidR="005E273F" w:rsidRPr="007D4BBE">
        <w:rPr>
          <w:sz w:val="24"/>
          <w:szCs w:val="24"/>
          <w:lang w:eastAsia="tr-TR"/>
        </w:rPr>
        <w:t xml:space="preserve">değerlendirme izni vermeden </w:t>
      </w:r>
      <w:r w:rsidR="007A7D40" w:rsidRPr="007D4BBE">
        <w:rPr>
          <w:sz w:val="24"/>
          <w:szCs w:val="24"/>
          <w:lang w:eastAsia="tr-TR"/>
        </w:rPr>
        <w:t xml:space="preserve">yalnızca yakın zamanda bilgileri vermiştir. Komisyon </w:t>
      </w:r>
      <w:r w:rsidR="004E57EB" w:rsidRPr="007D4BBE">
        <w:rPr>
          <w:sz w:val="24"/>
          <w:szCs w:val="24"/>
          <w:lang w:eastAsia="tr-TR"/>
        </w:rPr>
        <w:t xml:space="preserve">ilgili Üye Devletlere uyarıda bulunmuştur ve sonuçların yetersizliğini dikkate alarak Mayıs 2010’da bir ihlal prosedürü başlatmıştır </w:t>
      </w:r>
      <w:r w:rsidR="00183BD1" w:rsidRPr="007D4BBE">
        <w:rPr>
          <w:sz w:val="24"/>
          <w:szCs w:val="24"/>
          <w:lang w:eastAsia="tr-TR"/>
        </w:rPr>
        <w:t xml:space="preserve">(bu </w:t>
      </w:r>
      <w:proofErr w:type="gramStart"/>
      <w:r w:rsidR="00183BD1" w:rsidRPr="007D4BBE">
        <w:rPr>
          <w:sz w:val="24"/>
          <w:szCs w:val="24"/>
          <w:lang w:eastAsia="tr-TR"/>
        </w:rPr>
        <w:t>prosedür</w:t>
      </w:r>
      <w:proofErr w:type="gramEnd"/>
      <w:r w:rsidR="00183BD1" w:rsidRPr="007D4BBE">
        <w:rPr>
          <w:sz w:val="24"/>
          <w:szCs w:val="24"/>
          <w:lang w:eastAsia="tr-TR"/>
        </w:rPr>
        <w:t>, bilgileri yakın zamanda temin ettiği için Lüksemburg için kapatıl</w:t>
      </w:r>
      <w:r w:rsidR="00640233" w:rsidRPr="007D4BBE">
        <w:rPr>
          <w:sz w:val="24"/>
          <w:szCs w:val="24"/>
          <w:lang w:eastAsia="tr-TR"/>
        </w:rPr>
        <w:t>acaktır</w:t>
      </w:r>
      <w:r w:rsidR="00183BD1" w:rsidRPr="007D4BBE">
        <w:rPr>
          <w:sz w:val="24"/>
          <w:szCs w:val="24"/>
          <w:lang w:eastAsia="tr-TR"/>
        </w:rPr>
        <w:t>). Sonuç olarak bu bildirim</w:t>
      </w:r>
      <w:r w:rsidR="00640233" w:rsidRPr="007D4BBE">
        <w:rPr>
          <w:sz w:val="24"/>
          <w:szCs w:val="24"/>
          <w:lang w:eastAsia="tr-TR"/>
        </w:rPr>
        <w:t xml:space="preserve"> </w:t>
      </w:r>
      <w:proofErr w:type="spellStart"/>
      <w:r w:rsidR="00640233" w:rsidRPr="007D4BBE">
        <w:rPr>
          <w:sz w:val="24"/>
          <w:szCs w:val="24"/>
          <w:lang w:eastAsia="tr-TR"/>
        </w:rPr>
        <w:t>SED</w:t>
      </w:r>
      <w:proofErr w:type="spellEnd"/>
      <w:r w:rsidR="00640233" w:rsidRPr="007D4BBE">
        <w:rPr>
          <w:sz w:val="24"/>
          <w:szCs w:val="24"/>
          <w:lang w:eastAsia="tr-TR"/>
        </w:rPr>
        <w:t xml:space="preserve"> kapsamında 27 Üye Devlet ile </w:t>
      </w:r>
      <w:proofErr w:type="spellStart"/>
      <w:r w:rsidR="00640233" w:rsidRPr="007D4BBE">
        <w:rPr>
          <w:sz w:val="24"/>
          <w:szCs w:val="24"/>
          <w:lang w:eastAsia="tr-TR"/>
        </w:rPr>
        <w:t>IPPCD</w:t>
      </w:r>
      <w:proofErr w:type="spellEnd"/>
      <w:r w:rsidR="00640233" w:rsidRPr="007D4BBE">
        <w:rPr>
          <w:sz w:val="24"/>
          <w:szCs w:val="24"/>
          <w:lang w:eastAsia="tr-TR"/>
        </w:rPr>
        <w:t xml:space="preserve"> kapsamında 25 Üye Ülke için bulgu sağlar. </w:t>
      </w:r>
    </w:p>
    <w:p w:rsidR="009650E2" w:rsidRPr="007D4BBE" w:rsidRDefault="009650E2">
      <w:pPr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br w:type="page"/>
      </w:r>
    </w:p>
    <w:p w:rsidR="000E5869" w:rsidRPr="007D4BBE" w:rsidRDefault="000E5869" w:rsidP="001A733A">
      <w:pPr>
        <w:ind w:left="426" w:hanging="426"/>
        <w:rPr>
          <w:sz w:val="24"/>
          <w:szCs w:val="24"/>
          <w:lang w:eastAsia="tr-TR"/>
        </w:rPr>
      </w:pPr>
    </w:p>
    <w:p w:rsidR="009650E2" w:rsidRPr="007D4BBE" w:rsidRDefault="00DF6B5C" w:rsidP="008C35FA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>Bu sırada her iki Direktif de mevzuatın diğer beş parçasıyla birlikte</w:t>
      </w:r>
      <w:r w:rsidR="00BB311C" w:rsidRPr="007D4BBE">
        <w:rPr>
          <w:rStyle w:val="DipnotBavurusu"/>
          <w:sz w:val="24"/>
          <w:szCs w:val="24"/>
          <w:lang w:eastAsia="tr-TR"/>
        </w:rPr>
        <w:footnoteReference w:id="6"/>
      </w:r>
      <w:r w:rsidR="00BB311C" w:rsidRPr="007D4BBE">
        <w:rPr>
          <w:sz w:val="24"/>
          <w:szCs w:val="24"/>
          <w:lang w:eastAsia="tr-TR"/>
        </w:rPr>
        <w:t xml:space="preserve"> Endüstriyel Emisyonlar Direktifiyle</w:t>
      </w:r>
      <w:r w:rsidR="008C35FA" w:rsidRPr="007D4BBE">
        <w:rPr>
          <w:sz w:val="24"/>
          <w:szCs w:val="24"/>
          <w:lang w:eastAsia="tr-TR"/>
        </w:rPr>
        <w:t xml:space="preserve"> (</w:t>
      </w:r>
      <w:proofErr w:type="spellStart"/>
      <w:r w:rsidR="008C35FA" w:rsidRPr="007D4BBE">
        <w:rPr>
          <w:sz w:val="24"/>
          <w:szCs w:val="24"/>
          <w:lang w:eastAsia="tr-TR"/>
        </w:rPr>
        <w:t>EED</w:t>
      </w:r>
      <w:proofErr w:type="spellEnd"/>
      <w:r w:rsidR="008C35FA" w:rsidRPr="007D4BBE">
        <w:rPr>
          <w:sz w:val="24"/>
          <w:szCs w:val="24"/>
          <w:lang w:eastAsia="tr-TR"/>
        </w:rPr>
        <w:t xml:space="preserve">) </w:t>
      </w:r>
      <w:r w:rsidR="00BB311C" w:rsidRPr="007D4BBE">
        <w:rPr>
          <w:sz w:val="24"/>
          <w:szCs w:val="24"/>
          <w:lang w:eastAsia="tr-TR"/>
        </w:rPr>
        <w:t xml:space="preserve">birleştirilmiş </w:t>
      </w:r>
      <w:r w:rsidR="00152305" w:rsidRPr="007D4BBE">
        <w:rPr>
          <w:sz w:val="24"/>
          <w:szCs w:val="24"/>
          <w:lang w:eastAsia="tr-TR"/>
        </w:rPr>
        <w:t xml:space="preserve">ve yeniden biçimlendirilmiştir. Yeni </w:t>
      </w:r>
      <w:proofErr w:type="spellStart"/>
      <w:r w:rsidR="00152305" w:rsidRPr="007D4BBE">
        <w:rPr>
          <w:sz w:val="24"/>
          <w:szCs w:val="24"/>
          <w:lang w:eastAsia="tr-TR"/>
        </w:rPr>
        <w:t>EED</w:t>
      </w:r>
      <w:proofErr w:type="spellEnd"/>
      <w:r w:rsidR="00152305" w:rsidRPr="007D4BBE">
        <w:rPr>
          <w:sz w:val="24"/>
          <w:szCs w:val="24"/>
          <w:lang w:eastAsia="tr-TR"/>
        </w:rPr>
        <w:t xml:space="preserve"> Konsey ve Avrupa Parlamentosu arasında prensipte kabul edilmiş olup, 2010 yılı sonuna kadar </w:t>
      </w:r>
      <w:r w:rsidR="00A433C5" w:rsidRPr="007D4BBE">
        <w:rPr>
          <w:sz w:val="24"/>
          <w:szCs w:val="24"/>
          <w:lang w:eastAsia="tr-TR"/>
        </w:rPr>
        <w:t>ortak yasa koyucular</w:t>
      </w:r>
      <w:r w:rsidR="00A433C5" w:rsidRPr="007D4BBE">
        <w:rPr>
          <w:rStyle w:val="DipnotBavurusu"/>
          <w:sz w:val="24"/>
          <w:szCs w:val="24"/>
          <w:lang w:eastAsia="tr-TR"/>
        </w:rPr>
        <w:footnoteReference w:id="7"/>
      </w:r>
      <w:r w:rsidR="00A433C5" w:rsidRPr="007D4BBE">
        <w:rPr>
          <w:sz w:val="24"/>
          <w:szCs w:val="24"/>
          <w:lang w:eastAsia="tr-TR"/>
        </w:rPr>
        <w:t xml:space="preserve"> tarafından resmi olarak benimsenmesi beklenmektedir.</w:t>
      </w:r>
      <w:r w:rsidR="00F27317" w:rsidRPr="007D4BBE">
        <w:rPr>
          <w:sz w:val="24"/>
          <w:szCs w:val="24"/>
          <w:lang w:eastAsia="tr-TR"/>
        </w:rPr>
        <w:t xml:space="preserve"> Önceki bildirimlerde ve mevcut raporlama dönemi boyunca tespit edilen eksiklikler büyük oranda </w:t>
      </w:r>
      <w:proofErr w:type="spellStart"/>
      <w:r w:rsidR="00F27317" w:rsidRPr="007D4BBE">
        <w:rPr>
          <w:sz w:val="24"/>
          <w:szCs w:val="24"/>
          <w:lang w:eastAsia="tr-TR"/>
        </w:rPr>
        <w:t>EED</w:t>
      </w:r>
      <w:proofErr w:type="spellEnd"/>
      <w:r w:rsidR="00F27317" w:rsidRPr="007D4BBE">
        <w:rPr>
          <w:sz w:val="24"/>
          <w:szCs w:val="24"/>
          <w:lang w:eastAsia="tr-TR"/>
        </w:rPr>
        <w:t xml:space="preserve"> tarafından giderilmeye çalışılmıştır. </w:t>
      </w:r>
    </w:p>
    <w:p w:rsidR="00DF6B5C" w:rsidRPr="007D4BBE" w:rsidRDefault="00DF6B5C" w:rsidP="001A733A">
      <w:pPr>
        <w:ind w:left="426" w:hanging="426"/>
        <w:rPr>
          <w:sz w:val="24"/>
          <w:szCs w:val="24"/>
          <w:lang w:eastAsia="tr-TR"/>
        </w:rPr>
      </w:pPr>
    </w:p>
    <w:p w:rsidR="000E5869" w:rsidRPr="007D4BBE" w:rsidRDefault="000B2CED" w:rsidP="001A733A">
      <w:pPr>
        <w:pStyle w:val="ListeParagraf"/>
        <w:numPr>
          <w:ilvl w:val="0"/>
          <w:numId w:val="1"/>
        </w:numPr>
        <w:ind w:left="426" w:hanging="426"/>
        <w:rPr>
          <w:b/>
          <w:sz w:val="24"/>
          <w:szCs w:val="24"/>
          <w:lang w:eastAsia="tr-TR"/>
        </w:rPr>
      </w:pPr>
      <w:proofErr w:type="spellStart"/>
      <w:r w:rsidRPr="007D4BBE">
        <w:rPr>
          <w:b/>
          <w:sz w:val="24"/>
          <w:szCs w:val="24"/>
          <w:lang w:eastAsia="tr-TR"/>
        </w:rPr>
        <w:t>IPPCD</w:t>
      </w:r>
      <w:proofErr w:type="spellEnd"/>
    </w:p>
    <w:p w:rsidR="008A419E" w:rsidRPr="007D4BBE" w:rsidRDefault="008A419E" w:rsidP="004D095E">
      <w:pPr>
        <w:jc w:val="center"/>
        <w:rPr>
          <w:b/>
          <w:sz w:val="24"/>
          <w:szCs w:val="24"/>
          <w:lang w:eastAsia="tr-TR"/>
        </w:rPr>
      </w:pPr>
    </w:p>
    <w:p w:rsidR="00640233" w:rsidRPr="007D4BBE" w:rsidRDefault="00B67D28" w:rsidP="00B67D28">
      <w:pPr>
        <w:jc w:val="both"/>
        <w:rPr>
          <w:sz w:val="24"/>
          <w:szCs w:val="24"/>
        </w:rPr>
      </w:pPr>
      <w:proofErr w:type="spellStart"/>
      <w:r w:rsidRPr="007D4BBE">
        <w:rPr>
          <w:sz w:val="24"/>
          <w:szCs w:val="24"/>
        </w:rPr>
        <w:t>IPPC</w:t>
      </w:r>
      <w:proofErr w:type="spellEnd"/>
      <w:r w:rsidRPr="007D4BBE">
        <w:rPr>
          <w:sz w:val="24"/>
          <w:szCs w:val="24"/>
        </w:rPr>
        <w:t xml:space="preserve"> Direktifinin amacı, AB Üyesi 27 ülke genelinde yaklaşık 50.000 büyük endüstriyel işletmeden kaynaklanan kirliliğin </w:t>
      </w:r>
      <w:proofErr w:type="gramStart"/>
      <w:r w:rsidRPr="007D4BBE">
        <w:rPr>
          <w:sz w:val="24"/>
          <w:szCs w:val="24"/>
        </w:rPr>
        <w:t>entegre</w:t>
      </w:r>
      <w:proofErr w:type="gramEnd"/>
      <w:r w:rsidRPr="007D4BBE">
        <w:rPr>
          <w:sz w:val="24"/>
          <w:szCs w:val="24"/>
        </w:rPr>
        <w:t xml:space="preserve"> biçimde önlenmesi ve kontrolünü sağlamaktır. </w:t>
      </w:r>
      <w:r w:rsidR="00424347" w:rsidRPr="007D4BBE">
        <w:rPr>
          <w:sz w:val="24"/>
          <w:szCs w:val="24"/>
        </w:rPr>
        <w:t>İşletmelerin</w:t>
      </w:r>
      <w:r w:rsidR="00A504DC" w:rsidRPr="007D4BBE">
        <w:rPr>
          <w:sz w:val="24"/>
          <w:szCs w:val="24"/>
        </w:rPr>
        <w:t>;</w:t>
      </w:r>
      <w:r w:rsidR="00424347" w:rsidRPr="007D4BBE">
        <w:rPr>
          <w:sz w:val="24"/>
          <w:szCs w:val="24"/>
        </w:rPr>
        <w:t xml:space="preserve"> </w:t>
      </w:r>
      <w:r w:rsidR="006A5F10" w:rsidRPr="007D4BBE">
        <w:rPr>
          <w:sz w:val="24"/>
          <w:szCs w:val="24"/>
        </w:rPr>
        <w:t>suya, havaya ve toprağa yönelik emisyonları önle</w:t>
      </w:r>
      <w:r w:rsidR="00FF05B0" w:rsidRPr="007D4BBE">
        <w:rPr>
          <w:sz w:val="24"/>
          <w:szCs w:val="24"/>
        </w:rPr>
        <w:t>me veya azaltmanın yanı sıra diğer çevresel etkileri ele alma ama</w:t>
      </w:r>
      <w:r w:rsidR="00A504DC" w:rsidRPr="007D4BBE">
        <w:rPr>
          <w:sz w:val="24"/>
          <w:szCs w:val="24"/>
        </w:rPr>
        <w:t>çlarıyla</w:t>
      </w:r>
      <w:r w:rsidR="00FF05B0" w:rsidRPr="007D4BBE">
        <w:rPr>
          <w:sz w:val="24"/>
          <w:szCs w:val="24"/>
        </w:rPr>
        <w:t xml:space="preserve"> </w:t>
      </w:r>
      <w:r w:rsidR="006A5F10" w:rsidRPr="007D4BBE">
        <w:rPr>
          <w:sz w:val="24"/>
          <w:szCs w:val="24"/>
        </w:rPr>
        <w:t>Mevcut En İyi Teknikleri (BAT) kullan</w:t>
      </w:r>
      <w:r w:rsidR="00A504DC" w:rsidRPr="007D4BBE">
        <w:rPr>
          <w:sz w:val="24"/>
          <w:szCs w:val="24"/>
        </w:rPr>
        <w:t>ımına</w:t>
      </w:r>
      <w:r w:rsidR="006A5F10" w:rsidRPr="007D4BBE">
        <w:rPr>
          <w:sz w:val="24"/>
          <w:szCs w:val="24"/>
        </w:rPr>
        <w:t xml:space="preserve"> dayanarak </w:t>
      </w:r>
      <w:proofErr w:type="gramStart"/>
      <w:r w:rsidR="006A5F10" w:rsidRPr="007D4BBE">
        <w:rPr>
          <w:sz w:val="24"/>
          <w:szCs w:val="24"/>
        </w:rPr>
        <w:t>emisyon</w:t>
      </w:r>
      <w:proofErr w:type="gramEnd"/>
      <w:r w:rsidR="006A5F10" w:rsidRPr="007D4BBE">
        <w:rPr>
          <w:sz w:val="24"/>
          <w:szCs w:val="24"/>
        </w:rPr>
        <w:t xml:space="preserve"> sınır değerlerini veya diğer teknik önlemleri de içeren </w:t>
      </w:r>
      <w:r w:rsidR="00FF05B0" w:rsidRPr="007D4BBE">
        <w:rPr>
          <w:sz w:val="24"/>
          <w:szCs w:val="24"/>
        </w:rPr>
        <w:t xml:space="preserve">izinlere uygun şekilde işletilmesini gerektirir. </w:t>
      </w:r>
    </w:p>
    <w:p w:rsidR="00A504DC" w:rsidRPr="007D4BBE" w:rsidRDefault="00A504DC" w:rsidP="00B67D28">
      <w:pPr>
        <w:jc w:val="both"/>
        <w:rPr>
          <w:sz w:val="24"/>
          <w:szCs w:val="24"/>
        </w:rPr>
      </w:pPr>
    </w:p>
    <w:p w:rsidR="00640233" w:rsidRPr="007D4BBE" w:rsidRDefault="00A504DC" w:rsidP="003B7B6C">
      <w:pPr>
        <w:jc w:val="both"/>
        <w:rPr>
          <w:sz w:val="24"/>
          <w:szCs w:val="24"/>
        </w:rPr>
      </w:pPr>
      <w:r w:rsidRPr="007D4BBE">
        <w:rPr>
          <w:sz w:val="24"/>
          <w:szCs w:val="24"/>
        </w:rPr>
        <w:t xml:space="preserve">İlk </w:t>
      </w:r>
      <w:proofErr w:type="spellStart"/>
      <w:r w:rsidRPr="007D4BBE">
        <w:rPr>
          <w:sz w:val="24"/>
          <w:szCs w:val="24"/>
        </w:rPr>
        <w:t>IPPCD</w:t>
      </w:r>
      <w:proofErr w:type="spellEnd"/>
      <w:r w:rsidRPr="007D4BBE">
        <w:rPr>
          <w:sz w:val="24"/>
          <w:szCs w:val="24"/>
        </w:rPr>
        <w:t xml:space="preserve"> 1996 yılında kabul</w:t>
      </w:r>
      <w:r w:rsidR="00D72DDF" w:rsidRPr="007D4BBE">
        <w:rPr>
          <w:sz w:val="24"/>
          <w:szCs w:val="24"/>
        </w:rPr>
        <w:t xml:space="preserve"> edilmiş olup, Ekim 1999’dan beri</w:t>
      </w:r>
      <w:r w:rsidRPr="007D4BBE">
        <w:rPr>
          <w:sz w:val="24"/>
          <w:szCs w:val="24"/>
        </w:rPr>
        <w:t xml:space="preserve"> </w:t>
      </w:r>
      <w:r w:rsidR="00D72DDF" w:rsidRPr="007D4BBE">
        <w:rPr>
          <w:sz w:val="24"/>
          <w:szCs w:val="24"/>
        </w:rPr>
        <w:t>operatörün büyük değişiklikler gerçekleştirdiği yeni işletmelere ve mevcut işletmelerde uygulanmaktadır. Direktif, 31 Ekim 2007 tarihinden b</w:t>
      </w:r>
      <w:r w:rsidR="00555C39" w:rsidRPr="007D4BBE">
        <w:rPr>
          <w:sz w:val="24"/>
          <w:szCs w:val="24"/>
        </w:rPr>
        <w:t xml:space="preserve">u yana mevcut işletmelere de uygulanmaktadır. </w:t>
      </w:r>
    </w:p>
    <w:p w:rsidR="003B7B6C" w:rsidRPr="007D4BBE" w:rsidRDefault="003B7B6C" w:rsidP="003B7B6C">
      <w:pPr>
        <w:jc w:val="both"/>
        <w:rPr>
          <w:sz w:val="24"/>
          <w:szCs w:val="24"/>
        </w:rPr>
      </w:pPr>
    </w:p>
    <w:p w:rsidR="003B7B6C" w:rsidRPr="007D4BBE" w:rsidRDefault="003B7B6C" w:rsidP="003B7B6C">
      <w:pPr>
        <w:jc w:val="both"/>
        <w:rPr>
          <w:b/>
          <w:sz w:val="24"/>
          <w:szCs w:val="24"/>
        </w:rPr>
      </w:pPr>
      <w:r w:rsidRPr="007D4BBE">
        <w:rPr>
          <w:b/>
          <w:sz w:val="24"/>
          <w:szCs w:val="24"/>
        </w:rPr>
        <w:t xml:space="preserve">2.1 </w:t>
      </w:r>
      <w:proofErr w:type="spellStart"/>
      <w:r w:rsidR="00D139C9" w:rsidRPr="007D4BBE">
        <w:rPr>
          <w:b/>
          <w:sz w:val="24"/>
          <w:szCs w:val="24"/>
        </w:rPr>
        <w:t>IPPCD’nin</w:t>
      </w:r>
      <w:proofErr w:type="spellEnd"/>
      <w:r w:rsidR="00D139C9" w:rsidRPr="007D4BBE">
        <w:rPr>
          <w:b/>
          <w:sz w:val="24"/>
          <w:szCs w:val="24"/>
        </w:rPr>
        <w:t xml:space="preserve"> </w:t>
      </w:r>
      <w:r w:rsidR="003726DF" w:rsidRPr="007D4BBE">
        <w:rPr>
          <w:b/>
          <w:sz w:val="24"/>
          <w:szCs w:val="24"/>
        </w:rPr>
        <w:t>uyarlanması</w:t>
      </w:r>
    </w:p>
    <w:p w:rsidR="00D139C9" w:rsidRPr="007D4BBE" w:rsidRDefault="00D139C9" w:rsidP="003B7B6C">
      <w:pPr>
        <w:jc w:val="both"/>
        <w:rPr>
          <w:sz w:val="24"/>
          <w:szCs w:val="24"/>
          <w:lang w:eastAsia="tr-TR"/>
        </w:rPr>
      </w:pPr>
    </w:p>
    <w:p w:rsidR="00D139C9" w:rsidRPr="007D4BBE" w:rsidRDefault="00D139C9" w:rsidP="003B7B6C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Komisyon </w:t>
      </w:r>
      <w:proofErr w:type="spellStart"/>
      <w:r w:rsidRPr="007D4BBE">
        <w:rPr>
          <w:sz w:val="24"/>
          <w:szCs w:val="24"/>
          <w:lang w:eastAsia="tr-TR"/>
        </w:rPr>
        <w:t>IPPCD’nin</w:t>
      </w:r>
      <w:proofErr w:type="spellEnd"/>
      <w:r w:rsidRPr="007D4BBE">
        <w:rPr>
          <w:sz w:val="24"/>
          <w:szCs w:val="24"/>
          <w:lang w:eastAsia="tr-TR"/>
        </w:rPr>
        <w:t xml:space="preserve"> ulusal mevzuata </w:t>
      </w:r>
      <w:r w:rsidR="00D95415" w:rsidRPr="007D4BBE">
        <w:rPr>
          <w:sz w:val="24"/>
          <w:szCs w:val="24"/>
          <w:lang w:eastAsia="tr-TR"/>
        </w:rPr>
        <w:t>uyarlanması</w:t>
      </w:r>
      <w:r w:rsidRPr="007D4BBE">
        <w:rPr>
          <w:sz w:val="24"/>
          <w:szCs w:val="24"/>
          <w:lang w:eastAsia="tr-TR"/>
        </w:rPr>
        <w:t xml:space="preserve"> önceki raporlama devreleri bağlamında değerlendirmiştir. Sonuç olarak</w:t>
      </w:r>
      <w:r w:rsidR="0060778E" w:rsidRPr="007D4BBE">
        <w:rPr>
          <w:sz w:val="24"/>
          <w:szCs w:val="24"/>
          <w:lang w:eastAsia="tr-TR"/>
        </w:rPr>
        <w:t xml:space="preserve">, yanlış </w:t>
      </w:r>
      <w:r w:rsidR="00D95415" w:rsidRPr="007D4BBE">
        <w:rPr>
          <w:sz w:val="24"/>
          <w:szCs w:val="24"/>
          <w:lang w:eastAsia="tr-TR"/>
        </w:rPr>
        <w:t>uyarlamadan</w:t>
      </w:r>
      <w:r w:rsidR="0060778E" w:rsidRPr="007D4BBE">
        <w:rPr>
          <w:sz w:val="24"/>
          <w:szCs w:val="24"/>
          <w:lang w:eastAsia="tr-TR"/>
        </w:rPr>
        <w:t xml:space="preserve"> dolayı 16 Üye Devlete karşı ihlal davası açmıştır. Üye Devletlerin </w:t>
      </w:r>
      <w:r w:rsidR="007F303F" w:rsidRPr="007D4BBE">
        <w:rPr>
          <w:sz w:val="24"/>
          <w:szCs w:val="24"/>
          <w:lang w:eastAsia="tr-TR"/>
        </w:rPr>
        <w:t>sorunlar</w:t>
      </w:r>
      <w:r w:rsidR="00160447" w:rsidRPr="007D4BBE">
        <w:rPr>
          <w:sz w:val="24"/>
          <w:szCs w:val="24"/>
          <w:lang w:eastAsia="tr-TR"/>
        </w:rPr>
        <w:t>a çözüm getirme</w:t>
      </w:r>
      <w:r w:rsidR="007F303F" w:rsidRPr="007D4BBE">
        <w:rPr>
          <w:sz w:val="24"/>
          <w:szCs w:val="24"/>
          <w:lang w:eastAsia="tr-TR"/>
        </w:rPr>
        <w:t xml:space="preserve"> </w:t>
      </w:r>
      <w:r w:rsidR="00160447" w:rsidRPr="007D4BBE">
        <w:rPr>
          <w:sz w:val="24"/>
          <w:szCs w:val="24"/>
          <w:lang w:eastAsia="tr-TR"/>
        </w:rPr>
        <w:t xml:space="preserve">çabaları zamanla önemli bir </w:t>
      </w:r>
      <w:r w:rsidR="004D6DD4" w:rsidRPr="007D4BBE">
        <w:rPr>
          <w:sz w:val="24"/>
          <w:szCs w:val="24"/>
          <w:lang w:eastAsia="tr-TR"/>
        </w:rPr>
        <w:t xml:space="preserve">gelişmeyle sonuçlanmış olup, şu anda yalnızca iki </w:t>
      </w:r>
      <w:r w:rsidR="00A85D92" w:rsidRPr="007D4BBE">
        <w:rPr>
          <w:sz w:val="24"/>
          <w:szCs w:val="24"/>
          <w:lang w:eastAsia="tr-TR"/>
        </w:rPr>
        <w:t>dava (</w:t>
      </w:r>
      <w:proofErr w:type="spellStart"/>
      <w:r w:rsidR="00A85D92" w:rsidRPr="007D4BBE">
        <w:rPr>
          <w:sz w:val="24"/>
          <w:szCs w:val="24"/>
          <w:lang w:eastAsia="tr-TR"/>
        </w:rPr>
        <w:t>Estonya</w:t>
      </w:r>
      <w:proofErr w:type="spellEnd"/>
      <w:r w:rsidR="00A85D92" w:rsidRPr="007D4BBE">
        <w:rPr>
          <w:sz w:val="24"/>
          <w:szCs w:val="24"/>
          <w:lang w:eastAsia="tr-TR"/>
        </w:rPr>
        <w:t xml:space="preserve"> ve </w:t>
      </w:r>
      <w:proofErr w:type="spellStart"/>
      <w:r w:rsidR="00A85D92" w:rsidRPr="007D4BBE">
        <w:rPr>
          <w:sz w:val="24"/>
          <w:szCs w:val="24"/>
          <w:lang w:eastAsia="tr-TR"/>
        </w:rPr>
        <w:t>Litvanya</w:t>
      </w:r>
      <w:proofErr w:type="spellEnd"/>
      <w:r w:rsidR="00A85D92" w:rsidRPr="007D4BBE">
        <w:rPr>
          <w:sz w:val="24"/>
          <w:szCs w:val="24"/>
          <w:lang w:eastAsia="tr-TR"/>
        </w:rPr>
        <w:t>) açık haldedir.</w:t>
      </w:r>
    </w:p>
    <w:p w:rsidR="00A85D92" w:rsidRPr="007D4BBE" w:rsidRDefault="00A85D92" w:rsidP="003B7B6C">
      <w:pPr>
        <w:jc w:val="both"/>
        <w:rPr>
          <w:sz w:val="24"/>
          <w:szCs w:val="24"/>
          <w:lang w:eastAsia="tr-TR"/>
        </w:rPr>
      </w:pPr>
    </w:p>
    <w:p w:rsidR="00A85D92" w:rsidRPr="007D4BBE" w:rsidRDefault="001D43D0" w:rsidP="003B7B6C">
      <w:pPr>
        <w:jc w:val="both"/>
        <w:rPr>
          <w:sz w:val="24"/>
          <w:szCs w:val="24"/>
          <w:lang w:eastAsia="tr-TR"/>
        </w:rPr>
      </w:pPr>
      <w:proofErr w:type="spellStart"/>
      <w:r w:rsidRPr="007D4BBE">
        <w:rPr>
          <w:sz w:val="24"/>
          <w:szCs w:val="24"/>
          <w:lang w:eastAsia="tr-TR"/>
        </w:rPr>
        <w:t>IPPCD’yi</w:t>
      </w:r>
      <w:proofErr w:type="spellEnd"/>
      <w:r w:rsidRPr="007D4BBE">
        <w:rPr>
          <w:sz w:val="24"/>
          <w:szCs w:val="24"/>
          <w:lang w:eastAsia="tr-TR"/>
        </w:rPr>
        <w:t xml:space="preserve"> </w:t>
      </w:r>
      <w:r w:rsidR="00D95415" w:rsidRPr="007D4BBE">
        <w:rPr>
          <w:sz w:val="24"/>
          <w:szCs w:val="24"/>
          <w:lang w:eastAsia="tr-TR"/>
        </w:rPr>
        <w:t>uyarlayan</w:t>
      </w:r>
      <w:r w:rsidRPr="007D4BBE">
        <w:rPr>
          <w:sz w:val="24"/>
          <w:szCs w:val="24"/>
          <w:lang w:eastAsia="tr-TR"/>
        </w:rPr>
        <w:t xml:space="preserve"> ulusal yasal hükümler, çoğunlukla </w:t>
      </w:r>
      <w:r w:rsidR="00C24213" w:rsidRPr="007D4BBE">
        <w:rPr>
          <w:sz w:val="24"/>
          <w:szCs w:val="24"/>
          <w:lang w:eastAsia="tr-TR"/>
        </w:rPr>
        <w:t>ulusal ve bölgesel kanunları Direktife uyarlamak, halkın katılımı ile ilgili bazı hususları iyileştirmek ve farklı makamlar arasında yetkinliklerin paylaşılması</w:t>
      </w:r>
      <w:r w:rsidR="00A81D4D" w:rsidRPr="007D4BBE">
        <w:rPr>
          <w:sz w:val="24"/>
          <w:szCs w:val="24"/>
          <w:lang w:eastAsia="tr-TR"/>
        </w:rPr>
        <w:t xml:space="preserve">ndaki değişiklikleri uygulamak amacıyla </w:t>
      </w:r>
      <w:r w:rsidRPr="007D4BBE">
        <w:rPr>
          <w:sz w:val="24"/>
          <w:szCs w:val="24"/>
          <w:lang w:eastAsia="tr-TR"/>
        </w:rPr>
        <w:t xml:space="preserve">2006-2008 dönemi boyunca 19 Üye Devlette değişikliklere tabi tutulmuştur. </w:t>
      </w:r>
    </w:p>
    <w:p w:rsidR="00A81D4D" w:rsidRPr="007D4BBE" w:rsidRDefault="00A81D4D" w:rsidP="003B7B6C">
      <w:pPr>
        <w:jc w:val="both"/>
        <w:rPr>
          <w:sz w:val="24"/>
          <w:szCs w:val="24"/>
          <w:lang w:eastAsia="tr-TR"/>
        </w:rPr>
      </w:pPr>
    </w:p>
    <w:p w:rsidR="00A81D4D" w:rsidRPr="007D4BBE" w:rsidRDefault="00A81D4D" w:rsidP="003B7B6C">
      <w:pPr>
        <w:jc w:val="both"/>
        <w:rPr>
          <w:b/>
          <w:sz w:val="24"/>
          <w:szCs w:val="24"/>
          <w:lang w:eastAsia="tr-TR"/>
        </w:rPr>
      </w:pPr>
      <w:r w:rsidRPr="007D4BBE">
        <w:rPr>
          <w:b/>
          <w:sz w:val="24"/>
          <w:szCs w:val="24"/>
          <w:lang w:eastAsia="tr-TR"/>
        </w:rPr>
        <w:t xml:space="preserve">2.2 </w:t>
      </w:r>
      <w:proofErr w:type="spellStart"/>
      <w:r w:rsidRPr="007D4BBE">
        <w:rPr>
          <w:b/>
          <w:sz w:val="24"/>
          <w:szCs w:val="24"/>
          <w:lang w:eastAsia="tr-TR"/>
        </w:rPr>
        <w:t>IPPCD’nin</w:t>
      </w:r>
      <w:proofErr w:type="spellEnd"/>
      <w:r w:rsidRPr="007D4BBE">
        <w:rPr>
          <w:b/>
          <w:sz w:val="24"/>
          <w:szCs w:val="24"/>
          <w:lang w:eastAsia="tr-TR"/>
        </w:rPr>
        <w:t xml:space="preserve"> uygulanması</w:t>
      </w:r>
    </w:p>
    <w:p w:rsidR="00A81D4D" w:rsidRPr="007D4BBE" w:rsidRDefault="00A81D4D" w:rsidP="003B7B6C">
      <w:pPr>
        <w:jc w:val="both"/>
        <w:rPr>
          <w:sz w:val="24"/>
          <w:szCs w:val="24"/>
          <w:lang w:eastAsia="tr-TR"/>
        </w:rPr>
      </w:pPr>
    </w:p>
    <w:p w:rsidR="003B7B6C" w:rsidRPr="007D4BBE" w:rsidRDefault="00A81D4D" w:rsidP="007B0A2F">
      <w:pPr>
        <w:tabs>
          <w:tab w:val="left" w:pos="993"/>
        </w:tabs>
        <w:rPr>
          <w:i/>
          <w:sz w:val="24"/>
          <w:szCs w:val="24"/>
          <w:lang w:eastAsia="tr-TR"/>
        </w:rPr>
      </w:pPr>
      <w:r w:rsidRPr="007D4BBE">
        <w:rPr>
          <w:i/>
          <w:sz w:val="24"/>
          <w:szCs w:val="24"/>
          <w:lang w:eastAsia="tr-TR"/>
        </w:rPr>
        <w:t xml:space="preserve">İzinlerin </w:t>
      </w:r>
      <w:r w:rsidR="007B0A2F" w:rsidRPr="007D4BBE">
        <w:rPr>
          <w:i/>
          <w:sz w:val="24"/>
          <w:szCs w:val="24"/>
          <w:lang w:eastAsia="tr-TR"/>
        </w:rPr>
        <w:t>verilmesi</w:t>
      </w:r>
      <w:r w:rsidRPr="007D4BBE">
        <w:rPr>
          <w:i/>
          <w:sz w:val="24"/>
          <w:szCs w:val="24"/>
          <w:lang w:eastAsia="tr-TR"/>
        </w:rPr>
        <w:t xml:space="preserve"> ve </w:t>
      </w:r>
      <w:r w:rsidR="007B0A2F" w:rsidRPr="007D4BBE">
        <w:rPr>
          <w:i/>
          <w:sz w:val="24"/>
          <w:szCs w:val="24"/>
          <w:lang w:eastAsia="tr-TR"/>
        </w:rPr>
        <w:t>kalitesi</w:t>
      </w:r>
    </w:p>
    <w:p w:rsidR="00A81D4D" w:rsidRPr="007D4BBE" w:rsidRDefault="00A81D4D" w:rsidP="00640233">
      <w:pPr>
        <w:rPr>
          <w:sz w:val="24"/>
          <w:szCs w:val="24"/>
          <w:lang w:eastAsia="tr-TR"/>
        </w:rPr>
      </w:pPr>
    </w:p>
    <w:p w:rsidR="00A81D4D" w:rsidRPr="007D4BBE" w:rsidRDefault="00A81D4D" w:rsidP="007B0A2F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Komisyon, </w:t>
      </w:r>
      <w:r w:rsidR="00A6793B" w:rsidRPr="007D4BBE">
        <w:rPr>
          <w:sz w:val="24"/>
          <w:szCs w:val="24"/>
          <w:lang w:eastAsia="tr-TR"/>
        </w:rPr>
        <w:t>Direktifin 30 Ekim 2007 son tarihin</w:t>
      </w:r>
      <w:r w:rsidR="00E85C93" w:rsidRPr="007D4BBE">
        <w:rPr>
          <w:sz w:val="24"/>
          <w:szCs w:val="24"/>
          <w:lang w:eastAsia="tr-TR"/>
        </w:rPr>
        <w:t xml:space="preserve">e uymak amacıyla izinlerin </w:t>
      </w:r>
      <w:r w:rsidR="007B0A2F" w:rsidRPr="007D4BBE">
        <w:rPr>
          <w:sz w:val="24"/>
          <w:szCs w:val="24"/>
          <w:lang w:eastAsia="tr-TR"/>
        </w:rPr>
        <w:t>verilmesi</w:t>
      </w:r>
      <w:r w:rsidR="00E85C93" w:rsidRPr="007D4BBE">
        <w:rPr>
          <w:sz w:val="24"/>
          <w:szCs w:val="24"/>
          <w:lang w:eastAsia="tr-TR"/>
        </w:rPr>
        <w:t xml:space="preserve"> görevinde Üye Devlet</w:t>
      </w:r>
      <w:r w:rsidR="00F357AA" w:rsidRPr="007D4BBE">
        <w:rPr>
          <w:sz w:val="24"/>
          <w:szCs w:val="24"/>
          <w:lang w:eastAsia="tr-TR"/>
        </w:rPr>
        <w:t>leri denetlemiş ve desteklemiştir. Ancak birçok Üye Devlet bu yükümlülüğe uymamıştır.</w:t>
      </w:r>
    </w:p>
    <w:p w:rsidR="00F357AA" w:rsidRPr="007D4BBE" w:rsidRDefault="00F357AA" w:rsidP="00640233">
      <w:pPr>
        <w:rPr>
          <w:sz w:val="24"/>
          <w:szCs w:val="24"/>
          <w:lang w:eastAsia="tr-TR"/>
        </w:rPr>
      </w:pPr>
    </w:p>
    <w:p w:rsidR="00F357AA" w:rsidRPr="007D4BBE" w:rsidRDefault="00F357AA" w:rsidP="004F048B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>İzinlerin verilmesi ve yeniden incelenmesi sürecindeki yetersizlik sonucunda Komisyon</w:t>
      </w:r>
      <w:r w:rsidR="004F048B" w:rsidRPr="007D4BBE">
        <w:rPr>
          <w:sz w:val="24"/>
          <w:szCs w:val="24"/>
          <w:lang w:eastAsia="tr-TR"/>
        </w:rPr>
        <w:t xml:space="preserve">, Belçika, Danimarka, Yunanistan, İspanya, İtalya, Malta, Portekiz, Slovenya, Avusturya, Fransa, İrlanda ve </w:t>
      </w:r>
      <w:r w:rsidR="004F048B" w:rsidRPr="007D4BBE">
        <w:rPr>
          <w:sz w:val="24"/>
          <w:szCs w:val="24"/>
          <w:lang w:eastAsia="tr-TR"/>
        </w:rPr>
        <w:lastRenderedPageBreak/>
        <w:t>İsveç’e karşı ihlal davaları açmıştır. Şu ana kadar bu davalardan yalnızca dördü</w:t>
      </w:r>
      <w:r w:rsidR="00920223" w:rsidRPr="007D4BBE">
        <w:rPr>
          <w:sz w:val="24"/>
          <w:szCs w:val="24"/>
          <w:lang w:eastAsia="tr-TR"/>
        </w:rPr>
        <w:t xml:space="preserve">, </w:t>
      </w:r>
      <w:r w:rsidR="001D5D28" w:rsidRPr="007D4BBE">
        <w:rPr>
          <w:sz w:val="24"/>
          <w:szCs w:val="24"/>
          <w:lang w:eastAsia="tr-TR"/>
        </w:rPr>
        <w:t xml:space="preserve">2010 yılında ilk davada Direktifin son tarihine uyma aczine düştüğü gerekçesiyle Belçika aleyhine </w:t>
      </w:r>
      <w:r w:rsidR="00522A13" w:rsidRPr="007D4BBE">
        <w:rPr>
          <w:sz w:val="24"/>
          <w:szCs w:val="24"/>
          <w:lang w:eastAsia="tr-TR"/>
        </w:rPr>
        <w:t>karar</w:t>
      </w:r>
      <w:r w:rsidR="001D5D28" w:rsidRPr="007D4BBE">
        <w:rPr>
          <w:sz w:val="24"/>
          <w:szCs w:val="24"/>
          <w:lang w:eastAsia="tr-TR"/>
        </w:rPr>
        <w:t xml:space="preserve"> vermiş olan</w:t>
      </w:r>
      <w:r w:rsidR="004F048B" w:rsidRPr="007D4BBE">
        <w:rPr>
          <w:sz w:val="24"/>
          <w:szCs w:val="24"/>
          <w:lang w:eastAsia="tr-TR"/>
        </w:rPr>
        <w:t xml:space="preserve"> Avrupa Adalet Divanı</w:t>
      </w:r>
      <w:r w:rsidR="00920223" w:rsidRPr="007D4BBE">
        <w:rPr>
          <w:sz w:val="24"/>
          <w:szCs w:val="24"/>
          <w:lang w:eastAsia="tr-TR"/>
        </w:rPr>
        <w:t xml:space="preserve">na </w:t>
      </w:r>
      <w:proofErr w:type="spellStart"/>
      <w:r w:rsidR="00920223" w:rsidRPr="007D4BBE">
        <w:rPr>
          <w:sz w:val="24"/>
          <w:szCs w:val="24"/>
          <w:lang w:eastAsia="tr-TR"/>
        </w:rPr>
        <w:t>sevkedilmiştir</w:t>
      </w:r>
      <w:proofErr w:type="spellEnd"/>
      <w:r w:rsidR="00920223" w:rsidRPr="007D4BBE">
        <w:rPr>
          <w:sz w:val="24"/>
          <w:szCs w:val="24"/>
          <w:lang w:eastAsia="tr-TR"/>
        </w:rPr>
        <w:t xml:space="preserve">. </w:t>
      </w:r>
    </w:p>
    <w:p w:rsidR="009120B4" w:rsidRPr="007D4BBE" w:rsidRDefault="009120B4" w:rsidP="004F048B">
      <w:pPr>
        <w:jc w:val="both"/>
        <w:rPr>
          <w:sz w:val="24"/>
          <w:szCs w:val="24"/>
          <w:lang w:eastAsia="tr-TR"/>
        </w:rPr>
      </w:pPr>
    </w:p>
    <w:p w:rsidR="009120B4" w:rsidRPr="007D4BBE" w:rsidRDefault="009120B4" w:rsidP="004F048B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Komisyon aynı zamanda </w:t>
      </w:r>
      <w:r w:rsidR="00932484" w:rsidRPr="007D4BBE">
        <w:rPr>
          <w:sz w:val="24"/>
          <w:szCs w:val="24"/>
          <w:lang w:eastAsia="tr-TR"/>
        </w:rPr>
        <w:t xml:space="preserve">çabalarını </w:t>
      </w:r>
      <w:r w:rsidR="007B0A2F" w:rsidRPr="007D4BBE">
        <w:rPr>
          <w:sz w:val="24"/>
          <w:szCs w:val="24"/>
          <w:lang w:eastAsia="tr-TR"/>
        </w:rPr>
        <w:t xml:space="preserve">verilen </w:t>
      </w:r>
      <w:r w:rsidRPr="007D4BBE">
        <w:rPr>
          <w:sz w:val="24"/>
          <w:szCs w:val="24"/>
          <w:lang w:eastAsia="tr-TR"/>
        </w:rPr>
        <w:t xml:space="preserve">izinlerin </w:t>
      </w:r>
      <w:r w:rsidR="00932484" w:rsidRPr="007D4BBE">
        <w:rPr>
          <w:sz w:val="24"/>
          <w:szCs w:val="24"/>
          <w:lang w:eastAsia="tr-TR"/>
        </w:rPr>
        <w:t xml:space="preserve">kalitesini sağlamaya yoğunlaştırmıştır. 16 Üye Devlet ve </w:t>
      </w:r>
      <w:r w:rsidR="006E1786" w:rsidRPr="007D4BBE">
        <w:rPr>
          <w:sz w:val="24"/>
          <w:szCs w:val="24"/>
          <w:lang w:eastAsia="tr-TR"/>
        </w:rPr>
        <w:t xml:space="preserve">kapsam </w:t>
      </w:r>
      <w:proofErr w:type="gramStart"/>
      <w:r w:rsidR="006E1786" w:rsidRPr="007D4BBE">
        <w:rPr>
          <w:sz w:val="24"/>
          <w:szCs w:val="24"/>
          <w:lang w:eastAsia="tr-TR"/>
        </w:rPr>
        <w:t>dahiline</w:t>
      </w:r>
      <w:proofErr w:type="gramEnd"/>
      <w:r w:rsidR="006E1786" w:rsidRPr="007D4BBE">
        <w:rPr>
          <w:sz w:val="24"/>
          <w:szCs w:val="24"/>
          <w:lang w:eastAsia="tr-TR"/>
        </w:rPr>
        <w:t xml:space="preserve"> giren </w:t>
      </w:r>
      <w:r w:rsidR="00932484" w:rsidRPr="007D4BBE">
        <w:rPr>
          <w:sz w:val="24"/>
          <w:szCs w:val="24"/>
          <w:lang w:eastAsia="tr-TR"/>
        </w:rPr>
        <w:t xml:space="preserve">12 sektör genelinde toplamda 61 </w:t>
      </w:r>
      <w:proofErr w:type="spellStart"/>
      <w:r w:rsidR="00932484" w:rsidRPr="007D4BBE">
        <w:rPr>
          <w:sz w:val="24"/>
          <w:szCs w:val="24"/>
          <w:lang w:eastAsia="tr-TR"/>
        </w:rPr>
        <w:t>IPPC</w:t>
      </w:r>
      <w:proofErr w:type="spellEnd"/>
      <w:r w:rsidR="00932484" w:rsidRPr="007D4BBE">
        <w:rPr>
          <w:sz w:val="24"/>
          <w:szCs w:val="24"/>
          <w:lang w:eastAsia="tr-TR"/>
        </w:rPr>
        <w:t xml:space="preserve"> işletmesi </w:t>
      </w:r>
      <w:r w:rsidR="006E1786" w:rsidRPr="007D4BBE">
        <w:rPr>
          <w:sz w:val="24"/>
          <w:szCs w:val="24"/>
          <w:lang w:eastAsia="tr-TR"/>
        </w:rPr>
        <w:t>örnek olay incelemesi şeklinde ayrıntılı olarak incelenmiştir. Bu incelemeler</w:t>
      </w:r>
      <w:r w:rsidR="00850EC6" w:rsidRPr="007D4BBE">
        <w:rPr>
          <w:sz w:val="24"/>
          <w:szCs w:val="24"/>
          <w:lang w:eastAsia="tr-TR"/>
        </w:rPr>
        <w:t>e</w:t>
      </w:r>
      <w:r w:rsidR="006E1786" w:rsidRPr="007D4BBE">
        <w:rPr>
          <w:sz w:val="24"/>
          <w:szCs w:val="24"/>
          <w:lang w:eastAsia="tr-TR"/>
        </w:rPr>
        <w:t xml:space="preserve"> </w:t>
      </w:r>
      <w:r w:rsidR="00850EC6" w:rsidRPr="007D4BBE">
        <w:rPr>
          <w:sz w:val="24"/>
          <w:szCs w:val="24"/>
          <w:lang w:eastAsia="tr-TR"/>
        </w:rPr>
        <w:t>Komisyonun internet sitesinden erişilebilir</w:t>
      </w:r>
      <w:r w:rsidR="00850EC6" w:rsidRPr="007D4BBE">
        <w:rPr>
          <w:rStyle w:val="DipnotBavurusu"/>
          <w:sz w:val="24"/>
          <w:szCs w:val="24"/>
          <w:lang w:eastAsia="tr-TR"/>
        </w:rPr>
        <w:footnoteReference w:id="8"/>
      </w:r>
      <w:r w:rsidR="00850EC6" w:rsidRPr="007D4BBE">
        <w:rPr>
          <w:sz w:val="24"/>
          <w:szCs w:val="24"/>
          <w:lang w:eastAsia="tr-TR"/>
        </w:rPr>
        <w:t>. Komisyon tarafından tespit edilen temel sorun, BAT Referans dokümanlarında (</w:t>
      </w:r>
      <w:proofErr w:type="spellStart"/>
      <w:r w:rsidR="00850EC6" w:rsidRPr="007D4BBE">
        <w:rPr>
          <w:sz w:val="24"/>
          <w:szCs w:val="24"/>
          <w:lang w:eastAsia="tr-TR"/>
        </w:rPr>
        <w:t>BREF</w:t>
      </w:r>
      <w:proofErr w:type="spellEnd"/>
      <w:r w:rsidR="00850EC6" w:rsidRPr="007D4BBE">
        <w:rPr>
          <w:sz w:val="24"/>
          <w:szCs w:val="24"/>
          <w:lang w:eastAsia="tr-TR"/>
        </w:rPr>
        <w:t xml:space="preserve"> dokümanları) belirtildiği üzere </w:t>
      </w:r>
      <w:proofErr w:type="spellStart"/>
      <w:r w:rsidR="00850EC6" w:rsidRPr="007D4BBE">
        <w:rPr>
          <w:sz w:val="24"/>
          <w:szCs w:val="24"/>
          <w:lang w:eastAsia="tr-TR"/>
        </w:rPr>
        <w:t>BAT’ın</w:t>
      </w:r>
      <w:proofErr w:type="spellEnd"/>
      <w:r w:rsidR="00850EC6" w:rsidRPr="007D4BBE">
        <w:rPr>
          <w:sz w:val="24"/>
          <w:szCs w:val="24"/>
          <w:lang w:eastAsia="tr-TR"/>
        </w:rPr>
        <w:t xml:space="preserve"> uygulanmasını yansıtan izinlerin düşük oranda olmasıdır. Özellikle de</w:t>
      </w:r>
      <w:r w:rsidR="00B34633" w:rsidRPr="007D4BBE">
        <w:rPr>
          <w:sz w:val="24"/>
          <w:szCs w:val="24"/>
          <w:lang w:eastAsia="tr-TR"/>
        </w:rPr>
        <w:t xml:space="preserve">, </w:t>
      </w:r>
      <w:proofErr w:type="spellStart"/>
      <w:r w:rsidR="00B34633" w:rsidRPr="007D4BBE">
        <w:rPr>
          <w:sz w:val="24"/>
          <w:szCs w:val="24"/>
          <w:lang w:eastAsia="tr-TR"/>
        </w:rPr>
        <w:t>BREF</w:t>
      </w:r>
      <w:proofErr w:type="spellEnd"/>
      <w:r w:rsidR="00B34633" w:rsidRPr="007D4BBE">
        <w:rPr>
          <w:sz w:val="24"/>
          <w:szCs w:val="24"/>
          <w:lang w:eastAsia="tr-TR"/>
        </w:rPr>
        <w:t xml:space="preserve"> dokümanları ile </w:t>
      </w:r>
      <w:r w:rsidR="00B83616" w:rsidRPr="007D4BBE">
        <w:rPr>
          <w:sz w:val="24"/>
          <w:szCs w:val="24"/>
          <w:lang w:eastAsia="tr-TR"/>
        </w:rPr>
        <w:t>incelenen</w:t>
      </w:r>
      <w:r w:rsidR="00B34633" w:rsidRPr="007D4BBE">
        <w:rPr>
          <w:sz w:val="24"/>
          <w:szCs w:val="24"/>
          <w:lang w:eastAsia="tr-TR"/>
        </w:rPr>
        <w:t xml:space="preserve"> işletmelerin yüzde 50’sinden daha fazlası için koyulan izin koşulları arasındaki önemli farklılıklara ilişkin hiçbir gerekçe bulunamamıştır. </w:t>
      </w:r>
      <w:r w:rsidR="00137D69" w:rsidRPr="007D4BBE">
        <w:rPr>
          <w:sz w:val="24"/>
          <w:szCs w:val="24"/>
          <w:lang w:eastAsia="tr-TR"/>
        </w:rPr>
        <w:t xml:space="preserve">Şu anda </w:t>
      </w:r>
      <w:r w:rsidR="007F32C5" w:rsidRPr="007D4BBE">
        <w:rPr>
          <w:sz w:val="24"/>
          <w:szCs w:val="24"/>
          <w:lang w:eastAsia="tr-TR"/>
        </w:rPr>
        <w:t xml:space="preserve">devam etmekte olan ileri bir inceleme 10 Üye Devletteki 50 işletmeyi daha kapsayacaktır. </w:t>
      </w:r>
    </w:p>
    <w:p w:rsidR="009F63CC" w:rsidRPr="007D4BBE" w:rsidRDefault="009F63CC" w:rsidP="004F048B">
      <w:pPr>
        <w:jc w:val="both"/>
        <w:rPr>
          <w:sz w:val="24"/>
          <w:szCs w:val="24"/>
          <w:lang w:eastAsia="tr-TR"/>
        </w:rPr>
      </w:pPr>
    </w:p>
    <w:p w:rsidR="009F63CC" w:rsidRPr="007D4BBE" w:rsidRDefault="009F63CC" w:rsidP="004F048B">
      <w:pPr>
        <w:jc w:val="both"/>
        <w:rPr>
          <w:sz w:val="24"/>
          <w:szCs w:val="24"/>
          <w:lang w:eastAsia="tr-TR"/>
        </w:rPr>
      </w:pPr>
      <w:proofErr w:type="spellStart"/>
      <w:r w:rsidRPr="007D4BBE">
        <w:rPr>
          <w:sz w:val="24"/>
          <w:szCs w:val="24"/>
          <w:lang w:eastAsia="tr-TR"/>
        </w:rPr>
        <w:t>EED</w:t>
      </w:r>
      <w:proofErr w:type="spellEnd"/>
      <w:r w:rsidRPr="007D4BBE">
        <w:rPr>
          <w:sz w:val="24"/>
          <w:szCs w:val="24"/>
          <w:lang w:eastAsia="tr-TR"/>
        </w:rPr>
        <w:t xml:space="preserve"> kapsamında, izin koşullarının belirlenmesine yönelik </w:t>
      </w:r>
      <w:proofErr w:type="spellStart"/>
      <w:r w:rsidRPr="007D4BBE">
        <w:rPr>
          <w:sz w:val="24"/>
          <w:szCs w:val="24"/>
          <w:lang w:eastAsia="tr-TR"/>
        </w:rPr>
        <w:t>BREF</w:t>
      </w:r>
      <w:proofErr w:type="spellEnd"/>
      <w:r w:rsidRPr="007D4BBE">
        <w:rPr>
          <w:sz w:val="24"/>
          <w:szCs w:val="24"/>
          <w:lang w:eastAsia="tr-TR"/>
        </w:rPr>
        <w:t xml:space="preserve"> dokümanlarından </w:t>
      </w:r>
      <w:r w:rsidR="00BC1383" w:rsidRPr="007D4BBE">
        <w:rPr>
          <w:sz w:val="24"/>
          <w:szCs w:val="24"/>
          <w:lang w:eastAsia="tr-TR"/>
        </w:rPr>
        <w:t>elde edilen BAT sonuçlarının kullanılmasına büyük önem verilecektir. Bu</w:t>
      </w:r>
      <w:r w:rsidR="00772182" w:rsidRPr="007D4BBE">
        <w:rPr>
          <w:sz w:val="24"/>
          <w:szCs w:val="24"/>
          <w:lang w:eastAsia="tr-TR"/>
        </w:rPr>
        <w:t xml:space="preserve"> BAT sonuçları, uygulayıcı kanunlar olarak kabul edilecek olup hukuki etkiye sahip olacaklardır. Bu nedenle de Komisyon</w:t>
      </w:r>
      <w:r w:rsidR="00684083" w:rsidRPr="007D4BBE">
        <w:rPr>
          <w:sz w:val="24"/>
          <w:szCs w:val="24"/>
          <w:lang w:eastAsia="tr-TR"/>
        </w:rPr>
        <w:t xml:space="preserve">, </w:t>
      </w:r>
      <w:proofErr w:type="spellStart"/>
      <w:r w:rsidR="00684083" w:rsidRPr="007D4BBE">
        <w:rPr>
          <w:sz w:val="24"/>
          <w:szCs w:val="24"/>
          <w:lang w:eastAsia="tr-TR"/>
        </w:rPr>
        <w:t>BAT’ın</w:t>
      </w:r>
      <w:proofErr w:type="spellEnd"/>
      <w:r w:rsidR="00684083" w:rsidRPr="007D4BBE">
        <w:rPr>
          <w:sz w:val="24"/>
          <w:szCs w:val="24"/>
          <w:lang w:eastAsia="tr-TR"/>
        </w:rPr>
        <w:t xml:space="preserve"> uygulanmasının </w:t>
      </w:r>
      <w:proofErr w:type="spellStart"/>
      <w:r w:rsidR="00684083" w:rsidRPr="007D4BBE">
        <w:rPr>
          <w:sz w:val="24"/>
          <w:szCs w:val="24"/>
          <w:lang w:eastAsia="tr-TR"/>
        </w:rPr>
        <w:t>IPPC</w:t>
      </w:r>
      <w:proofErr w:type="spellEnd"/>
      <w:r w:rsidR="00684083" w:rsidRPr="007D4BBE">
        <w:rPr>
          <w:sz w:val="24"/>
          <w:szCs w:val="24"/>
          <w:lang w:eastAsia="tr-TR"/>
        </w:rPr>
        <w:t xml:space="preserve"> izinlerinde daha açık bir biçimde yansıtılmasını beklemektedir.</w:t>
      </w:r>
    </w:p>
    <w:p w:rsidR="003B7B6C" w:rsidRPr="007D4BBE" w:rsidRDefault="003B7B6C" w:rsidP="00640233">
      <w:pPr>
        <w:rPr>
          <w:sz w:val="24"/>
          <w:szCs w:val="24"/>
          <w:lang w:eastAsia="tr-TR"/>
        </w:rPr>
      </w:pPr>
    </w:p>
    <w:p w:rsidR="00684083" w:rsidRPr="007D4BBE" w:rsidRDefault="00684083" w:rsidP="00640233">
      <w:pPr>
        <w:rPr>
          <w:i/>
          <w:sz w:val="24"/>
          <w:szCs w:val="24"/>
          <w:lang w:eastAsia="tr-TR"/>
        </w:rPr>
      </w:pPr>
      <w:r w:rsidRPr="007D4BBE">
        <w:rPr>
          <w:i/>
          <w:sz w:val="24"/>
          <w:szCs w:val="24"/>
          <w:lang w:eastAsia="tr-TR"/>
        </w:rPr>
        <w:t>İzinlerin incelenmesi</w:t>
      </w:r>
    </w:p>
    <w:p w:rsidR="00684083" w:rsidRPr="007D4BBE" w:rsidRDefault="00684083" w:rsidP="00640233">
      <w:pPr>
        <w:rPr>
          <w:sz w:val="24"/>
          <w:szCs w:val="24"/>
          <w:lang w:eastAsia="tr-TR"/>
        </w:rPr>
      </w:pPr>
    </w:p>
    <w:p w:rsidR="00684083" w:rsidRPr="007D4BBE" w:rsidRDefault="002A6386" w:rsidP="001B08F4">
      <w:pPr>
        <w:jc w:val="both"/>
        <w:rPr>
          <w:sz w:val="24"/>
          <w:szCs w:val="24"/>
          <w:lang w:eastAsia="tr-TR"/>
        </w:rPr>
      </w:pPr>
      <w:proofErr w:type="spellStart"/>
      <w:r w:rsidRPr="007D4BBE">
        <w:rPr>
          <w:sz w:val="24"/>
          <w:szCs w:val="24"/>
          <w:lang w:eastAsia="tr-TR"/>
        </w:rPr>
        <w:t>IPPCD’nin</w:t>
      </w:r>
      <w:proofErr w:type="spellEnd"/>
      <w:r w:rsidRPr="007D4BBE">
        <w:rPr>
          <w:sz w:val="24"/>
          <w:szCs w:val="24"/>
          <w:lang w:eastAsia="tr-TR"/>
        </w:rPr>
        <w:t xml:space="preserve"> 13. Maddesi, izinlerin belirli aralıklarla yeniden incelenmesini ve gerektiği durumlarda güncellenmesini gerektirir. Bu durum özellikle de BAT kapsamındaki büyük değişikliklerin </w:t>
      </w:r>
      <w:r w:rsidR="001B08F4" w:rsidRPr="007D4BBE">
        <w:rPr>
          <w:sz w:val="24"/>
          <w:szCs w:val="24"/>
          <w:lang w:eastAsia="tr-TR"/>
        </w:rPr>
        <w:t xml:space="preserve">aşırı maliyete yol açmadan </w:t>
      </w:r>
      <w:proofErr w:type="gramStart"/>
      <w:r w:rsidR="001B08F4" w:rsidRPr="007D4BBE">
        <w:rPr>
          <w:sz w:val="24"/>
          <w:szCs w:val="24"/>
          <w:lang w:eastAsia="tr-TR"/>
        </w:rPr>
        <w:t>emisyonların</w:t>
      </w:r>
      <w:proofErr w:type="gramEnd"/>
      <w:r w:rsidR="001B08F4" w:rsidRPr="007D4BBE">
        <w:rPr>
          <w:sz w:val="24"/>
          <w:szCs w:val="24"/>
          <w:lang w:eastAsia="tr-TR"/>
        </w:rPr>
        <w:t xml:space="preserve"> önemli oranda azaltılmasını mümkün kıldığı zamanlarda gereklidir.</w:t>
      </w:r>
    </w:p>
    <w:p w:rsidR="001B08F4" w:rsidRPr="007D4BBE" w:rsidRDefault="001B08F4" w:rsidP="001B08F4">
      <w:pPr>
        <w:jc w:val="both"/>
        <w:rPr>
          <w:sz w:val="24"/>
          <w:szCs w:val="24"/>
          <w:lang w:eastAsia="tr-TR"/>
        </w:rPr>
      </w:pPr>
    </w:p>
    <w:p w:rsidR="001B08F4" w:rsidRPr="007D4BBE" w:rsidRDefault="00456C28" w:rsidP="001B08F4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>Birçok Üye Devlet, söz konusu kurallar önemli oranda farklılık gösterse de hukuk sistemlerindeki izinlerin yeniden incelenmesi ve güncellenmesine ilişkin özel kurallar koyar. Bazı Üye Devletler</w:t>
      </w:r>
      <w:r w:rsidR="004A6774" w:rsidRPr="007D4BBE">
        <w:rPr>
          <w:sz w:val="24"/>
          <w:szCs w:val="24"/>
          <w:lang w:eastAsia="tr-TR"/>
        </w:rPr>
        <w:t xml:space="preserve"> </w:t>
      </w:r>
      <w:proofErr w:type="spellStart"/>
      <w:r w:rsidR="004A6774" w:rsidRPr="007D4BBE">
        <w:rPr>
          <w:sz w:val="24"/>
          <w:szCs w:val="24"/>
          <w:lang w:eastAsia="tr-TR"/>
        </w:rPr>
        <w:t>IPPC</w:t>
      </w:r>
      <w:proofErr w:type="spellEnd"/>
      <w:r w:rsidR="004A6774" w:rsidRPr="007D4BBE">
        <w:rPr>
          <w:sz w:val="24"/>
          <w:szCs w:val="24"/>
          <w:lang w:eastAsia="tr-TR"/>
        </w:rPr>
        <w:t xml:space="preserve"> izinleri için bir zaman aralığı belirlemiştir ve bu süre sona erdikten sonra izinlerin yenilenmesi zorunludur. Örneğin Avusturya ve Romanya’da izinler 10 yıl boyunca geçerliyken Çek Cumhuriyeti, Slovakya ve İspanya’da 8 yıl boyunca geçerlidir. Slovakya</w:t>
      </w:r>
      <w:r w:rsidR="00BD751F" w:rsidRPr="007D4BBE">
        <w:rPr>
          <w:sz w:val="24"/>
          <w:szCs w:val="24"/>
          <w:lang w:eastAsia="tr-TR"/>
        </w:rPr>
        <w:t xml:space="preserve">, işletmenin Çevresel </w:t>
      </w:r>
      <w:proofErr w:type="gramStart"/>
      <w:r w:rsidR="00BD751F" w:rsidRPr="007D4BBE">
        <w:rPr>
          <w:sz w:val="24"/>
          <w:szCs w:val="24"/>
          <w:lang w:eastAsia="tr-TR"/>
        </w:rPr>
        <w:t xml:space="preserve">Yönetim </w:t>
      </w:r>
      <w:r w:rsidR="004A6774" w:rsidRPr="007D4BBE">
        <w:rPr>
          <w:sz w:val="24"/>
          <w:szCs w:val="24"/>
          <w:lang w:eastAsia="tr-TR"/>
        </w:rPr>
        <w:t xml:space="preserve"> </w:t>
      </w:r>
      <w:r w:rsidR="00BD751F" w:rsidRPr="007D4BBE">
        <w:rPr>
          <w:sz w:val="24"/>
          <w:szCs w:val="24"/>
          <w:lang w:eastAsia="tr-TR"/>
        </w:rPr>
        <w:t>Planı</w:t>
      </w:r>
      <w:proofErr w:type="gramEnd"/>
      <w:r w:rsidR="00BD751F" w:rsidRPr="007D4BBE">
        <w:rPr>
          <w:sz w:val="24"/>
          <w:szCs w:val="24"/>
          <w:lang w:eastAsia="tr-TR"/>
        </w:rPr>
        <w:t xml:space="preserve"> uygulaması halinde bu süreyi 10 yıla kadar uzatır. Polonya veya Birleşik Krallık gibi diğer bazı ülkeler ise</w:t>
      </w:r>
      <w:r w:rsidR="00A3758E" w:rsidRPr="007D4BBE">
        <w:rPr>
          <w:sz w:val="24"/>
          <w:szCs w:val="24"/>
          <w:lang w:eastAsia="tr-TR"/>
        </w:rPr>
        <w:t xml:space="preserve">, kendilerine ait izinde belirtilen dönemsel </w:t>
      </w:r>
      <w:proofErr w:type="gramStart"/>
      <w:r w:rsidR="00A3758E" w:rsidRPr="007D4BBE">
        <w:rPr>
          <w:sz w:val="24"/>
          <w:szCs w:val="24"/>
          <w:lang w:eastAsia="tr-TR"/>
        </w:rPr>
        <w:t>bazda</w:t>
      </w:r>
      <w:proofErr w:type="gramEnd"/>
      <w:r w:rsidR="00A3758E" w:rsidRPr="007D4BBE">
        <w:rPr>
          <w:sz w:val="24"/>
          <w:szCs w:val="24"/>
          <w:lang w:eastAsia="tr-TR"/>
        </w:rPr>
        <w:t xml:space="preserve"> izinlerin incelenmesi için genel bir gereklilik </w:t>
      </w:r>
      <w:r w:rsidR="00343846" w:rsidRPr="007D4BBE">
        <w:rPr>
          <w:sz w:val="24"/>
          <w:szCs w:val="24"/>
          <w:lang w:eastAsia="tr-TR"/>
        </w:rPr>
        <w:t>getirmiştir.</w:t>
      </w:r>
    </w:p>
    <w:p w:rsidR="00343846" w:rsidRPr="007D4BBE" w:rsidRDefault="00343846" w:rsidP="001B08F4">
      <w:pPr>
        <w:jc w:val="both"/>
        <w:rPr>
          <w:sz w:val="24"/>
          <w:szCs w:val="24"/>
          <w:lang w:eastAsia="tr-TR"/>
        </w:rPr>
      </w:pPr>
    </w:p>
    <w:p w:rsidR="00343846" w:rsidRPr="007D4BBE" w:rsidRDefault="00343846" w:rsidP="001B08F4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BAT zamanla gelişen dinamik bir kavram olup, </w:t>
      </w:r>
      <w:r w:rsidR="00566317" w:rsidRPr="007D4BBE">
        <w:rPr>
          <w:sz w:val="24"/>
          <w:szCs w:val="24"/>
          <w:lang w:eastAsia="tr-TR"/>
        </w:rPr>
        <w:t xml:space="preserve">endüstri tarafından </w:t>
      </w:r>
      <w:r w:rsidRPr="007D4BBE">
        <w:rPr>
          <w:sz w:val="24"/>
          <w:szCs w:val="24"/>
          <w:lang w:eastAsia="tr-TR"/>
        </w:rPr>
        <w:t>devam eden çevresel gelişmenin</w:t>
      </w:r>
      <w:r w:rsidR="00566317" w:rsidRPr="007D4BBE">
        <w:rPr>
          <w:sz w:val="24"/>
          <w:szCs w:val="24"/>
          <w:lang w:eastAsia="tr-TR"/>
        </w:rPr>
        <w:t xml:space="preserve"> teşvik edilmesi amacıyla izinlerin güncellenmesi gerekir. </w:t>
      </w:r>
      <w:proofErr w:type="spellStart"/>
      <w:r w:rsidR="00566317" w:rsidRPr="007D4BBE">
        <w:rPr>
          <w:sz w:val="24"/>
          <w:szCs w:val="24"/>
          <w:lang w:eastAsia="tr-TR"/>
        </w:rPr>
        <w:t>EED</w:t>
      </w:r>
      <w:proofErr w:type="spellEnd"/>
      <w:r w:rsidR="00566317" w:rsidRPr="007D4BBE">
        <w:rPr>
          <w:sz w:val="24"/>
          <w:szCs w:val="24"/>
          <w:lang w:eastAsia="tr-TR"/>
        </w:rPr>
        <w:t xml:space="preserve">, izinlerin incelenmesi konusunda ayrıntılı kurallar koyar ve özellikle de </w:t>
      </w:r>
      <w:r w:rsidR="00494620" w:rsidRPr="007D4BBE">
        <w:rPr>
          <w:sz w:val="24"/>
          <w:szCs w:val="24"/>
          <w:lang w:eastAsia="tr-TR"/>
        </w:rPr>
        <w:t xml:space="preserve">BAT sonuçları hakkındaki kararların yayınlanmasını takip eden dört yıl içinde izinlerin mecburi olarak yeniden incelenmesini öngörür. </w:t>
      </w:r>
    </w:p>
    <w:p w:rsidR="00726DF6" w:rsidRPr="007D4BBE" w:rsidRDefault="00726DF6" w:rsidP="001B08F4">
      <w:pPr>
        <w:jc w:val="both"/>
        <w:rPr>
          <w:sz w:val="24"/>
          <w:szCs w:val="24"/>
          <w:lang w:eastAsia="tr-TR"/>
        </w:rPr>
      </w:pPr>
    </w:p>
    <w:p w:rsidR="00726DF6" w:rsidRPr="007D4BBE" w:rsidRDefault="00726DF6" w:rsidP="001B08F4">
      <w:pPr>
        <w:jc w:val="both"/>
        <w:rPr>
          <w:b/>
          <w:i/>
          <w:sz w:val="24"/>
          <w:szCs w:val="24"/>
          <w:lang w:eastAsia="tr-TR"/>
        </w:rPr>
      </w:pPr>
      <w:r w:rsidRPr="007D4BBE">
        <w:rPr>
          <w:b/>
          <w:i/>
          <w:sz w:val="24"/>
          <w:szCs w:val="24"/>
          <w:lang w:eastAsia="tr-TR"/>
        </w:rPr>
        <w:t>Yeni Üye Devletlere verilen geçiş dönemleri</w:t>
      </w:r>
    </w:p>
    <w:p w:rsidR="00726DF6" w:rsidRPr="007D4BBE" w:rsidRDefault="00726DF6" w:rsidP="001B08F4">
      <w:pPr>
        <w:jc w:val="both"/>
        <w:rPr>
          <w:sz w:val="24"/>
          <w:szCs w:val="24"/>
          <w:lang w:eastAsia="tr-TR"/>
        </w:rPr>
      </w:pPr>
    </w:p>
    <w:p w:rsidR="00726DF6" w:rsidRPr="007D4BBE" w:rsidRDefault="00E15FD4" w:rsidP="001B08F4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Çok sayıda yeni Üye Devlette bulunan belirli işletmeler, </w:t>
      </w:r>
      <w:r w:rsidR="0078590A" w:rsidRPr="007D4BBE">
        <w:rPr>
          <w:sz w:val="24"/>
          <w:szCs w:val="24"/>
          <w:lang w:eastAsia="tr-TR"/>
        </w:rPr>
        <w:t xml:space="preserve">Katılım Antlaşmaları ve ilgili Kanunları kapsamında </w:t>
      </w:r>
      <w:r w:rsidR="00CC0563" w:rsidRPr="007D4BBE">
        <w:rPr>
          <w:sz w:val="24"/>
          <w:szCs w:val="24"/>
          <w:lang w:eastAsia="tr-TR"/>
        </w:rPr>
        <w:t>özel muafiyetlere tabi tutulur. Bu gibi muafiyetler</w:t>
      </w:r>
      <w:r w:rsidR="000D0CED" w:rsidRPr="007D4BBE">
        <w:rPr>
          <w:sz w:val="24"/>
          <w:szCs w:val="24"/>
          <w:lang w:eastAsia="tr-TR"/>
        </w:rPr>
        <w:t xml:space="preserve">, bahsi geçen işletmeleri </w:t>
      </w:r>
      <w:proofErr w:type="gramStart"/>
      <w:r w:rsidR="000D0CED" w:rsidRPr="007D4BBE">
        <w:rPr>
          <w:sz w:val="24"/>
          <w:szCs w:val="24"/>
          <w:lang w:eastAsia="tr-TR"/>
        </w:rPr>
        <w:t>emisyon</w:t>
      </w:r>
      <w:proofErr w:type="gramEnd"/>
      <w:r w:rsidR="000D0CED" w:rsidRPr="007D4BBE">
        <w:rPr>
          <w:sz w:val="24"/>
          <w:szCs w:val="24"/>
          <w:lang w:eastAsia="tr-TR"/>
        </w:rPr>
        <w:t xml:space="preserve"> </w:t>
      </w:r>
      <w:r w:rsidR="000D0CED" w:rsidRPr="007D4BBE">
        <w:rPr>
          <w:sz w:val="24"/>
          <w:szCs w:val="24"/>
          <w:lang w:eastAsia="tr-TR"/>
        </w:rPr>
        <w:lastRenderedPageBreak/>
        <w:t>sınır değerleri</w:t>
      </w:r>
      <w:r w:rsidR="00E073E4" w:rsidRPr="007D4BBE">
        <w:rPr>
          <w:sz w:val="24"/>
          <w:szCs w:val="24"/>
          <w:lang w:eastAsia="tr-TR"/>
        </w:rPr>
        <w:t>, eşdeğer parametreler veya 9. Maddenin (3) ve (4). Paragraflarına göre mevcut en iyi teknikleri temel alan teknik önlemler</w:t>
      </w:r>
      <w:r w:rsidR="000D0CED" w:rsidRPr="007D4BBE">
        <w:rPr>
          <w:sz w:val="24"/>
          <w:szCs w:val="24"/>
          <w:lang w:eastAsia="tr-TR"/>
        </w:rPr>
        <w:t xml:space="preserve">e göre işletme </w:t>
      </w:r>
      <w:r w:rsidR="00E073E4" w:rsidRPr="007D4BBE">
        <w:rPr>
          <w:sz w:val="24"/>
          <w:szCs w:val="24"/>
          <w:lang w:eastAsia="tr-TR"/>
        </w:rPr>
        <w:t>gerekliliği ile ilgilidir.</w:t>
      </w:r>
      <w:r w:rsidR="00D308D8" w:rsidRPr="007D4BBE">
        <w:rPr>
          <w:sz w:val="24"/>
          <w:szCs w:val="24"/>
          <w:lang w:eastAsia="tr-TR"/>
        </w:rPr>
        <w:t xml:space="preserve"> Katılım Antlaşması kapsamında muafiyetlere uygunluk, Komisyon tarafından yakından izlenmektedir. Bu muafiyetlerin tamamının süresi 31 Aralık 2015 tarihinde sona er</w:t>
      </w:r>
      <w:r w:rsidR="00BD463B" w:rsidRPr="007D4BBE">
        <w:rPr>
          <w:sz w:val="24"/>
          <w:szCs w:val="24"/>
          <w:lang w:eastAsia="tr-TR"/>
        </w:rPr>
        <w:t>ecektir</w:t>
      </w:r>
      <w:r w:rsidR="00D308D8" w:rsidRPr="007D4BBE">
        <w:rPr>
          <w:sz w:val="24"/>
          <w:szCs w:val="24"/>
          <w:lang w:eastAsia="tr-TR"/>
        </w:rPr>
        <w:t xml:space="preserve">. </w:t>
      </w:r>
    </w:p>
    <w:p w:rsidR="00BD463B" w:rsidRPr="007D4BBE" w:rsidRDefault="00BD463B" w:rsidP="001B08F4">
      <w:pPr>
        <w:jc w:val="both"/>
        <w:rPr>
          <w:sz w:val="24"/>
          <w:szCs w:val="24"/>
          <w:lang w:eastAsia="tr-TR"/>
        </w:rPr>
      </w:pPr>
    </w:p>
    <w:p w:rsidR="00BD463B" w:rsidRPr="007D4BBE" w:rsidRDefault="00BD463B" w:rsidP="001B08F4">
      <w:pPr>
        <w:jc w:val="both"/>
        <w:rPr>
          <w:b/>
          <w:i/>
          <w:sz w:val="24"/>
          <w:szCs w:val="24"/>
          <w:lang w:eastAsia="tr-TR"/>
        </w:rPr>
      </w:pPr>
      <w:r w:rsidRPr="007D4BBE">
        <w:rPr>
          <w:b/>
          <w:i/>
          <w:sz w:val="24"/>
          <w:szCs w:val="24"/>
          <w:lang w:eastAsia="tr-TR"/>
        </w:rPr>
        <w:t xml:space="preserve">İzin verme </w:t>
      </w:r>
      <w:proofErr w:type="gramStart"/>
      <w:r w:rsidRPr="007D4BBE">
        <w:rPr>
          <w:b/>
          <w:i/>
          <w:sz w:val="24"/>
          <w:szCs w:val="24"/>
          <w:lang w:eastAsia="tr-TR"/>
        </w:rPr>
        <w:t>prosedürü</w:t>
      </w:r>
      <w:proofErr w:type="gramEnd"/>
      <w:r w:rsidRPr="007D4BBE">
        <w:rPr>
          <w:b/>
          <w:i/>
          <w:sz w:val="24"/>
          <w:szCs w:val="24"/>
          <w:lang w:eastAsia="tr-TR"/>
        </w:rPr>
        <w:t xml:space="preserve"> sırasında makamlar arasında işbirliği</w:t>
      </w:r>
    </w:p>
    <w:p w:rsidR="00522A13" w:rsidRPr="007D4BBE" w:rsidRDefault="00522A13" w:rsidP="00640233">
      <w:pPr>
        <w:rPr>
          <w:sz w:val="24"/>
          <w:szCs w:val="24"/>
          <w:lang w:eastAsia="tr-TR"/>
        </w:rPr>
      </w:pPr>
    </w:p>
    <w:p w:rsidR="00BD463B" w:rsidRPr="007D4BBE" w:rsidRDefault="00BD463B" w:rsidP="004F41C9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İzin verme prosedürü sırasında farklı çevre makamlarının sürece dahil olduğu durumlarda </w:t>
      </w:r>
      <w:proofErr w:type="spellStart"/>
      <w:r w:rsidRPr="007D4BBE">
        <w:rPr>
          <w:sz w:val="24"/>
          <w:szCs w:val="24"/>
          <w:lang w:eastAsia="tr-TR"/>
        </w:rPr>
        <w:t>IPPCD</w:t>
      </w:r>
      <w:proofErr w:type="spellEnd"/>
      <w:r w:rsidRPr="007D4BBE">
        <w:rPr>
          <w:sz w:val="24"/>
          <w:szCs w:val="24"/>
          <w:lang w:eastAsia="tr-TR"/>
        </w:rPr>
        <w:t xml:space="preserve">, etkili bir </w:t>
      </w:r>
      <w:proofErr w:type="gramStart"/>
      <w:r w:rsidRPr="007D4BBE">
        <w:rPr>
          <w:sz w:val="24"/>
          <w:szCs w:val="24"/>
          <w:lang w:eastAsia="tr-TR"/>
        </w:rPr>
        <w:t>entegre</w:t>
      </w:r>
      <w:proofErr w:type="gramEnd"/>
      <w:r w:rsidRPr="007D4BBE">
        <w:rPr>
          <w:sz w:val="24"/>
          <w:szCs w:val="24"/>
          <w:lang w:eastAsia="tr-TR"/>
        </w:rPr>
        <w:t xml:space="preserve"> yaklaşım sağlamak amacıyla </w:t>
      </w:r>
      <w:r w:rsidR="004F41C9" w:rsidRPr="007D4BBE">
        <w:rPr>
          <w:sz w:val="24"/>
          <w:szCs w:val="24"/>
          <w:lang w:eastAsia="tr-TR"/>
        </w:rPr>
        <w:t>iç koordinasyon gerektirir. Bununla birlikte, koordinasyon derecesi ve ilgili id</w:t>
      </w:r>
      <w:r w:rsidR="000344CD" w:rsidRPr="007D4BBE">
        <w:rPr>
          <w:sz w:val="24"/>
          <w:szCs w:val="24"/>
          <w:lang w:eastAsia="tr-TR"/>
        </w:rPr>
        <w:t>a</w:t>
      </w:r>
      <w:r w:rsidR="004F41C9" w:rsidRPr="007D4BBE">
        <w:rPr>
          <w:sz w:val="24"/>
          <w:szCs w:val="24"/>
          <w:lang w:eastAsia="tr-TR"/>
        </w:rPr>
        <w:t>ri kurumlar</w:t>
      </w:r>
      <w:r w:rsidR="00CF5290" w:rsidRPr="007D4BBE">
        <w:rPr>
          <w:sz w:val="24"/>
          <w:szCs w:val="24"/>
          <w:lang w:eastAsia="tr-TR"/>
        </w:rPr>
        <w:t xml:space="preserve">, </w:t>
      </w:r>
      <w:r w:rsidR="001335D9" w:rsidRPr="007D4BBE">
        <w:rPr>
          <w:sz w:val="24"/>
          <w:szCs w:val="24"/>
          <w:lang w:eastAsia="tr-TR"/>
        </w:rPr>
        <w:t xml:space="preserve">büyük oranda iç idari teşkilatlarındaki farklılıklar dolayısıyla </w:t>
      </w:r>
      <w:r w:rsidR="00CF5290" w:rsidRPr="007D4BBE">
        <w:rPr>
          <w:sz w:val="24"/>
          <w:szCs w:val="24"/>
          <w:lang w:eastAsia="tr-TR"/>
        </w:rPr>
        <w:t xml:space="preserve">Üye Devletlerarasında farklılık gösterir. </w:t>
      </w:r>
      <w:r w:rsidR="001335D9" w:rsidRPr="007D4BBE">
        <w:rPr>
          <w:sz w:val="24"/>
          <w:szCs w:val="24"/>
          <w:lang w:eastAsia="tr-TR"/>
        </w:rPr>
        <w:t>İspanya diğer makamlardan</w:t>
      </w:r>
      <w:r w:rsidR="00A93E62" w:rsidRPr="007D4BBE">
        <w:rPr>
          <w:sz w:val="24"/>
          <w:szCs w:val="24"/>
          <w:lang w:eastAsia="tr-TR"/>
        </w:rPr>
        <w:t xml:space="preserve"> (örneğin belediyeler, Nehir Havzası Yetkili Makamları)</w:t>
      </w:r>
      <w:r w:rsidR="001335D9" w:rsidRPr="007D4BBE">
        <w:rPr>
          <w:sz w:val="24"/>
          <w:szCs w:val="24"/>
          <w:lang w:eastAsia="tr-TR"/>
        </w:rPr>
        <w:t xml:space="preserve"> </w:t>
      </w:r>
      <w:r w:rsidR="00ED4570" w:rsidRPr="007D4BBE">
        <w:rPr>
          <w:sz w:val="24"/>
          <w:szCs w:val="24"/>
          <w:lang w:eastAsia="tr-TR"/>
        </w:rPr>
        <w:t xml:space="preserve">yardım alan </w:t>
      </w:r>
      <w:r w:rsidR="00A93E62" w:rsidRPr="007D4BBE">
        <w:rPr>
          <w:sz w:val="24"/>
          <w:szCs w:val="24"/>
          <w:lang w:eastAsia="tr-TR"/>
        </w:rPr>
        <w:t>asıl sorumlu bir makam görevlendir</w:t>
      </w:r>
      <w:r w:rsidR="00B83616" w:rsidRPr="007D4BBE">
        <w:rPr>
          <w:sz w:val="24"/>
          <w:szCs w:val="24"/>
          <w:lang w:eastAsia="tr-TR"/>
        </w:rPr>
        <w:t>miş</w:t>
      </w:r>
      <w:r w:rsidR="00E24506" w:rsidRPr="007D4BBE">
        <w:rPr>
          <w:sz w:val="24"/>
          <w:szCs w:val="24"/>
          <w:lang w:eastAsia="tr-TR"/>
        </w:rPr>
        <w:t>, Avusturya</w:t>
      </w:r>
      <w:r w:rsidR="00B83616" w:rsidRPr="007D4BBE">
        <w:rPr>
          <w:sz w:val="24"/>
          <w:szCs w:val="24"/>
          <w:lang w:eastAsia="tr-TR"/>
        </w:rPr>
        <w:t xml:space="preserve"> ise</w:t>
      </w:r>
      <w:r w:rsidR="00E24506" w:rsidRPr="007D4BBE">
        <w:rPr>
          <w:sz w:val="24"/>
          <w:szCs w:val="24"/>
          <w:lang w:eastAsia="tr-TR"/>
        </w:rPr>
        <w:t xml:space="preserve"> izin verme </w:t>
      </w:r>
      <w:proofErr w:type="gramStart"/>
      <w:r w:rsidR="00E24506" w:rsidRPr="007D4BBE">
        <w:rPr>
          <w:sz w:val="24"/>
          <w:szCs w:val="24"/>
          <w:lang w:eastAsia="tr-TR"/>
        </w:rPr>
        <w:t>prosedürün</w:t>
      </w:r>
      <w:r w:rsidR="00B83616" w:rsidRPr="007D4BBE">
        <w:rPr>
          <w:sz w:val="24"/>
          <w:szCs w:val="24"/>
          <w:lang w:eastAsia="tr-TR"/>
        </w:rPr>
        <w:t>ün</w:t>
      </w:r>
      <w:proofErr w:type="gramEnd"/>
      <w:r w:rsidR="00B83616" w:rsidRPr="007D4BBE">
        <w:rPr>
          <w:sz w:val="24"/>
          <w:szCs w:val="24"/>
          <w:lang w:eastAsia="tr-TR"/>
        </w:rPr>
        <w:t xml:space="preserve"> tamamından</w:t>
      </w:r>
      <w:r w:rsidR="00E24506" w:rsidRPr="007D4BBE">
        <w:rPr>
          <w:sz w:val="24"/>
          <w:szCs w:val="24"/>
          <w:lang w:eastAsia="tr-TR"/>
        </w:rPr>
        <w:t xml:space="preserve"> ve özel konu alanlarına ilgili uzmanların tayin edilmesinden sorumlu bir makam oluştur</w:t>
      </w:r>
      <w:r w:rsidR="00B83616" w:rsidRPr="007D4BBE">
        <w:rPr>
          <w:sz w:val="24"/>
          <w:szCs w:val="24"/>
          <w:lang w:eastAsia="tr-TR"/>
        </w:rPr>
        <w:t xml:space="preserve">muştur. </w:t>
      </w:r>
    </w:p>
    <w:p w:rsidR="000E2EDE" w:rsidRPr="007D4BBE" w:rsidRDefault="000E2EDE" w:rsidP="004F41C9">
      <w:pPr>
        <w:jc w:val="both"/>
        <w:rPr>
          <w:sz w:val="24"/>
          <w:szCs w:val="24"/>
          <w:lang w:eastAsia="tr-TR"/>
        </w:rPr>
      </w:pPr>
    </w:p>
    <w:p w:rsidR="000E2EDE" w:rsidRPr="007D4BBE" w:rsidRDefault="000E2EDE" w:rsidP="004F41C9">
      <w:pPr>
        <w:jc w:val="both"/>
        <w:rPr>
          <w:b/>
          <w:i/>
          <w:sz w:val="24"/>
          <w:szCs w:val="24"/>
          <w:lang w:eastAsia="tr-TR"/>
        </w:rPr>
      </w:pPr>
      <w:r w:rsidRPr="007D4BBE">
        <w:rPr>
          <w:b/>
          <w:i/>
          <w:sz w:val="24"/>
          <w:szCs w:val="24"/>
          <w:lang w:eastAsia="tr-TR"/>
        </w:rPr>
        <w:t>BAT konusunda Bilgi Alışverişi</w:t>
      </w:r>
    </w:p>
    <w:p w:rsidR="000E2EDE" w:rsidRPr="007D4BBE" w:rsidRDefault="000E2EDE" w:rsidP="004F41C9">
      <w:pPr>
        <w:jc w:val="both"/>
        <w:rPr>
          <w:sz w:val="24"/>
          <w:szCs w:val="24"/>
          <w:lang w:eastAsia="tr-TR"/>
        </w:rPr>
      </w:pPr>
    </w:p>
    <w:p w:rsidR="000E2EDE" w:rsidRPr="007D4BBE" w:rsidRDefault="000E2EDE" w:rsidP="004F41C9">
      <w:pPr>
        <w:jc w:val="both"/>
        <w:rPr>
          <w:sz w:val="24"/>
          <w:szCs w:val="24"/>
          <w:lang w:eastAsia="tr-TR"/>
        </w:rPr>
      </w:pPr>
      <w:proofErr w:type="spellStart"/>
      <w:r w:rsidRPr="007D4BBE">
        <w:rPr>
          <w:sz w:val="24"/>
          <w:szCs w:val="24"/>
          <w:lang w:eastAsia="tr-TR"/>
        </w:rPr>
        <w:t>IPPCD’nin</w:t>
      </w:r>
      <w:proofErr w:type="spellEnd"/>
      <w:r w:rsidRPr="007D4BBE">
        <w:rPr>
          <w:sz w:val="24"/>
          <w:szCs w:val="24"/>
          <w:lang w:eastAsia="tr-TR"/>
        </w:rPr>
        <w:t xml:space="preserve"> 17(2) sayılı Maddesi, Komisyonun BAT hakkında bilgi alışverişi düzenlemesini gerektirir. Bu amaçla, çok paydaşlı Bilgi Alışverişi Forumu</w:t>
      </w:r>
      <w:r w:rsidR="00C23EB3" w:rsidRPr="007D4BBE">
        <w:rPr>
          <w:sz w:val="24"/>
          <w:szCs w:val="24"/>
          <w:lang w:eastAsia="tr-TR"/>
        </w:rPr>
        <w:t xml:space="preserve"> </w:t>
      </w:r>
      <w:r w:rsidR="00C8208B" w:rsidRPr="007D4BBE">
        <w:rPr>
          <w:sz w:val="24"/>
          <w:szCs w:val="24"/>
          <w:lang w:eastAsia="tr-TR"/>
        </w:rPr>
        <w:t>(</w:t>
      </w:r>
      <w:proofErr w:type="spellStart"/>
      <w:r w:rsidR="00C8208B" w:rsidRPr="007D4BBE">
        <w:rPr>
          <w:sz w:val="24"/>
          <w:szCs w:val="24"/>
          <w:lang w:eastAsia="tr-TR"/>
        </w:rPr>
        <w:t>BAF</w:t>
      </w:r>
      <w:proofErr w:type="spellEnd"/>
      <w:r w:rsidR="00C8208B" w:rsidRPr="007D4BBE">
        <w:rPr>
          <w:sz w:val="24"/>
          <w:szCs w:val="24"/>
          <w:lang w:eastAsia="tr-TR"/>
        </w:rPr>
        <w:t xml:space="preserve">) </w:t>
      </w:r>
      <w:r w:rsidR="00C23EB3" w:rsidRPr="007D4BBE">
        <w:rPr>
          <w:sz w:val="24"/>
          <w:szCs w:val="24"/>
          <w:lang w:eastAsia="tr-TR"/>
        </w:rPr>
        <w:t>tüm Üye Ülkeler</w:t>
      </w:r>
      <w:r w:rsidR="00C8208B" w:rsidRPr="007D4BBE">
        <w:rPr>
          <w:sz w:val="24"/>
          <w:szCs w:val="24"/>
          <w:lang w:eastAsia="tr-TR"/>
        </w:rPr>
        <w:t>in</w:t>
      </w:r>
      <w:r w:rsidR="00C23EB3" w:rsidRPr="007D4BBE">
        <w:rPr>
          <w:sz w:val="24"/>
          <w:szCs w:val="24"/>
          <w:lang w:eastAsia="tr-TR"/>
        </w:rPr>
        <w:t xml:space="preserve"> temsilcilerin</w:t>
      </w:r>
      <w:r w:rsidR="00C8208B" w:rsidRPr="007D4BBE">
        <w:rPr>
          <w:sz w:val="24"/>
          <w:szCs w:val="24"/>
          <w:lang w:eastAsia="tr-TR"/>
        </w:rPr>
        <w:t>in</w:t>
      </w:r>
      <w:r w:rsidR="00C23EB3" w:rsidRPr="007D4BBE">
        <w:rPr>
          <w:sz w:val="24"/>
          <w:szCs w:val="24"/>
          <w:lang w:eastAsia="tr-TR"/>
        </w:rPr>
        <w:t xml:space="preserve"> yanı sıra ilgili endüstri sektörleri</w:t>
      </w:r>
      <w:r w:rsidR="00801FFA" w:rsidRPr="007D4BBE">
        <w:rPr>
          <w:sz w:val="24"/>
          <w:szCs w:val="24"/>
          <w:lang w:eastAsia="tr-TR"/>
        </w:rPr>
        <w:t xml:space="preserve"> ve çevre ile ilgili Sivil Toplum Kuruluşlarından</w:t>
      </w:r>
      <w:r w:rsidR="00BD2AF3" w:rsidRPr="007D4BBE">
        <w:rPr>
          <w:sz w:val="24"/>
          <w:szCs w:val="24"/>
          <w:lang w:eastAsia="tr-TR"/>
        </w:rPr>
        <w:t xml:space="preserve"> (</w:t>
      </w:r>
      <w:proofErr w:type="spellStart"/>
      <w:r w:rsidR="00BD2AF3" w:rsidRPr="007D4BBE">
        <w:rPr>
          <w:sz w:val="24"/>
          <w:szCs w:val="24"/>
          <w:lang w:eastAsia="tr-TR"/>
        </w:rPr>
        <w:t>STK</w:t>
      </w:r>
      <w:proofErr w:type="spellEnd"/>
      <w:r w:rsidR="00BD2AF3" w:rsidRPr="007D4BBE">
        <w:rPr>
          <w:sz w:val="24"/>
          <w:szCs w:val="24"/>
          <w:lang w:eastAsia="tr-TR"/>
        </w:rPr>
        <w:t>)</w:t>
      </w:r>
      <w:r w:rsidR="00801FFA" w:rsidRPr="007D4BBE">
        <w:rPr>
          <w:sz w:val="24"/>
          <w:szCs w:val="24"/>
          <w:lang w:eastAsia="tr-TR"/>
        </w:rPr>
        <w:t xml:space="preserve"> temsilcileri </w:t>
      </w:r>
      <w:r w:rsidR="00C23EB3" w:rsidRPr="007D4BBE">
        <w:rPr>
          <w:sz w:val="24"/>
          <w:szCs w:val="24"/>
          <w:lang w:eastAsia="tr-TR"/>
        </w:rPr>
        <w:t>bir araya getirir.</w:t>
      </w:r>
      <w:r w:rsidR="00C8208B" w:rsidRPr="007D4BBE">
        <w:rPr>
          <w:sz w:val="24"/>
          <w:szCs w:val="24"/>
          <w:lang w:eastAsia="tr-TR"/>
        </w:rPr>
        <w:t xml:space="preserve"> </w:t>
      </w:r>
      <w:proofErr w:type="spellStart"/>
      <w:r w:rsidR="00C8208B" w:rsidRPr="007D4BBE">
        <w:rPr>
          <w:sz w:val="24"/>
          <w:szCs w:val="24"/>
          <w:lang w:eastAsia="tr-TR"/>
        </w:rPr>
        <w:t>BAF</w:t>
      </w:r>
      <w:proofErr w:type="spellEnd"/>
      <w:r w:rsidR="00C8208B" w:rsidRPr="007D4BBE">
        <w:rPr>
          <w:sz w:val="24"/>
          <w:szCs w:val="24"/>
          <w:lang w:eastAsia="tr-TR"/>
        </w:rPr>
        <w:t xml:space="preserve">, BAT bilgi alışverişi ile ilgili genel konuları tartışır ve bu konular Komisyon tarafından </w:t>
      </w:r>
      <w:r w:rsidR="007B22E8" w:rsidRPr="007D4BBE">
        <w:rPr>
          <w:sz w:val="24"/>
          <w:szCs w:val="24"/>
          <w:lang w:eastAsia="tr-TR"/>
        </w:rPr>
        <w:t>kabul edilmeden önce işletme</w:t>
      </w:r>
      <w:r w:rsidR="006A04FF" w:rsidRPr="007D4BBE">
        <w:rPr>
          <w:sz w:val="24"/>
          <w:szCs w:val="24"/>
          <w:lang w:eastAsia="tr-TR"/>
        </w:rPr>
        <w:t xml:space="preserve">lere ait </w:t>
      </w:r>
      <w:proofErr w:type="spellStart"/>
      <w:r w:rsidR="007B22E8" w:rsidRPr="007D4BBE">
        <w:rPr>
          <w:sz w:val="24"/>
          <w:szCs w:val="24"/>
          <w:lang w:eastAsia="tr-TR"/>
        </w:rPr>
        <w:t>BREF</w:t>
      </w:r>
      <w:proofErr w:type="spellEnd"/>
      <w:r w:rsidR="007B22E8" w:rsidRPr="007D4BBE">
        <w:rPr>
          <w:sz w:val="24"/>
          <w:szCs w:val="24"/>
          <w:lang w:eastAsia="tr-TR"/>
        </w:rPr>
        <w:t xml:space="preserve"> dokümanları</w:t>
      </w:r>
      <w:r w:rsidR="006A04FF" w:rsidRPr="007D4BBE">
        <w:rPr>
          <w:sz w:val="24"/>
          <w:szCs w:val="24"/>
          <w:lang w:eastAsia="tr-TR"/>
        </w:rPr>
        <w:t xml:space="preserve"> hakkında görüşlerini sunar.</w:t>
      </w:r>
    </w:p>
    <w:p w:rsidR="006A04FF" w:rsidRPr="007D4BBE" w:rsidRDefault="006A04FF" w:rsidP="004F41C9">
      <w:pPr>
        <w:jc w:val="both"/>
        <w:rPr>
          <w:sz w:val="24"/>
          <w:szCs w:val="24"/>
          <w:lang w:eastAsia="tr-TR"/>
        </w:rPr>
      </w:pPr>
    </w:p>
    <w:p w:rsidR="00522A13" w:rsidRPr="007D4BBE" w:rsidRDefault="006A04FF" w:rsidP="00444B57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>Bilgi alışverişi,</w:t>
      </w:r>
      <w:r w:rsidR="00BD2AF3" w:rsidRPr="007D4BBE">
        <w:rPr>
          <w:sz w:val="24"/>
          <w:szCs w:val="24"/>
          <w:lang w:eastAsia="tr-TR"/>
        </w:rPr>
        <w:t xml:space="preserve"> Üye Devletleri, endüstri ve </w:t>
      </w:r>
      <w:proofErr w:type="spellStart"/>
      <w:r w:rsidR="00BD2AF3" w:rsidRPr="007D4BBE">
        <w:rPr>
          <w:sz w:val="24"/>
          <w:szCs w:val="24"/>
          <w:lang w:eastAsia="tr-TR"/>
        </w:rPr>
        <w:t>STK</w:t>
      </w:r>
      <w:proofErr w:type="spellEnd"/>
      <w:r w:rsidR="00BD2AF3" w:rsidRPr="007D4BBE">
        <w:rPr>
          <w:sz w:val="24"/>
          <w:szCs w:val="24"/>
          <w:lang w:eastAsia="tr-TR"/>
        </w:rPr>
        <w:t xml:space="preserve"> uzmanlarını bir araya getiren sektöre özel teknik çalışma grupları aracılığıyla gerçekleşir ve Komisyon’un Avrupa </w:t>
      </w:r>
      <w:proofErr w:type="spellStart"/>
      <w:r w:rsidR="00BD2AF3" w:rsidRPr="007D4BBE">
        <w:rPr>
          <w:sz w:val="24"/>
          <w:szCs w:val="24"/>
          <w:lang w:eastAsia="tr-TR"/>
        </w:rPr>
        <w:t>IPPC</w:t>
      </w:r>
      <w:proofErr w:type="spellEnd"/>
      <w:r w:rsidR="00BD2AF3" w:rsidRPr="007D4BBE">
        <w:rPr>
          <w:sz w:val="24"/>
          <w:szCs w:val="24"/>
          <w:lang w:eastAsia="tr-TR"/>
        </w:rPr>
        <w:t xml:space="preserve"> Bürosu</w:t>
      </w:r>
      <w:r w:rsidR="00BD2AF3" w:rsidRPr="007D4BBE">
        <w:rPr>
          <w:rStyle w:val="DipnotBavurusu"/>
          <w:sz w:val="24"/>
          <w:szCs w:val="24"/>
          <w:lang w:eastAsia="tr-TR"/>
        </w:rPr>
        <w:footnoteReference w:id="9"/>
      </w:r>
      <w:r w:rsidR="00BD2AF3" w:rsidRPr="007D4BBE">
        <w:rPr>
          <w:sz w:val="24"/>
          <w:szCs w:val="24"/>
          <w:lang w:eastAsia="tr-TR"/>
        </w:rPr>
        <w:t xml:space="preserve"> </w:t>
      </w:r>
      <w:r w:rsidR="006B2DB0" w:rsidRPr="007D4BBE">
        <w:rPr>
          <w:sz w:val="24"/>
          <w:szCs w:val="24"/>
          <w:lang w:eastAsia="tr-TR"/>
        </w:rPr>
        <w:t>(</w:t>
      </w:r>
      <w:proofErr w:type="spellStart"/>
      <w:r w:rsidR="006B2DB0" w:rsidRPr="007D4BBE">
        <w:rPr>
          <w:sz w:val="24"/>
          <w:szCs w:val="24"/>
          <w:lang w:eastAsia="tr-TR"/>
        </w:rPr>
        <w:t>EIPPCB</w:t>
      </w:r>
      <w:proofErr w:type="spellEnd"/>
      <w:r w:rsidR="006B2DB0" w:rsidRPr="007D4BBE">
        <w:rPr>
          <w:sz w:val="24"/>
          <w:szCs w:val="24"/>
          <w:lang w:eastAsia="tr-TR"/>
        </w:rPr>
        <w:t xml:space="preserve">) tarafından yönetilir. </w:t>
      </w:r>
      <w:proofErr w:type="spellStart"/>
      <w:r w:rsidR="006B2DB0" w:rsidRPr="007D4BBE">
        <w:rPr>
          <w:sz w:val="24"/>
          <w:szCs w:val="24"/>
          <w:lang w:eastAsia="tr-TR"/>
        </w:rPr>
        <w:t>EIPPCB</w:t>
      </w:r>
      <w:proofErr w:type="spellEnd"/>
      <w:r w:rsidR="006B2DB0" w:rsidRPr="007D4BBE">
        <w:rPr>
          <w:sz w:val="24"/>
          <w:szCs w:val="24"/>
          <w:lang w:eastAsia="tr-TR"/>
        </w:rPr>
        <w:t xml:space="preserve">, </w:t>
      </w:r>
      <w:proofErr w:type="spellStart"/>
      <w:r w:rsidR="006B2DB0" w:rsidRPr="007D4BBE">
        <w:rPr>
          <w:sz w:val="24"/>
          <w:szCs w:val="24"/>
          <w:lang w:eastAsia="tr-TR"/>
        </w:rPr>
        <w:t>BREF</w:t>
      </w:r>
      <w:proofErr w:type="spellEnd"/>
      <w:r w:rsidR="006B2DB0" w:rsidRPr="007D4BBE">
        <w:rPr>
          <w:sz w:val="24"/>
          <w:szCs w:val="24"/>
          <w:lang w:eastAsia="tr-TR"/>
        </w:rPr>
        <w:t xml:space="preserve"> dokümanları taslaklarının hazırlanmasından sorumludur. </w:t>
      </w:r>
    </w:p>
    <w:p w:rsidR="00444B57" w:rsidRPr="007D4BBE" w:rsidRDefault="00444B57" w:rsidP="00444B57">
      <w:pPr>
        <w:jc w:val="both"/>
        <w:rPr>
          <w:sz w:val="24"/>
          <w:szCs w:val="24"/>
          <w:lang w:eastAsia="tr-TR"/>
        </w:rPr>
      </w:pPr>
    </w:p>
    <w:p w:rsidR="00E07F52" w:rsidRPr="007D4BBE" w:rsidRDefault="00E07F52" w:rsidP="00444B57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Şimdiye kadar hem ayrı sektörleri (27) hem de yatay konuları (6) kapsayarak Komisyon toplamda 33 </w:t>
      </w:r>
      <w:proofErr w:type="spellStart"/>
      <w:r w:rsidRPr="007D4BBE">
        <w:rPr>
          <w:sz w:val="24"/>
          <w:szCs w:val="24"/>
          <w:lang w:eastAsia="tr-TR"/>
        </w:rPr>
        <w:t>BREF</w:t>
      </w:r>
      <w:proofErr w:type="spellEnd"/>
      <w:r w:rsidRPr="007D4BBE">
        <w:rPr>
          <w:sz w:val="24"/>
          <w:szCs w:val="24"/>
          <w:lang w:eastAsia="tr-TR"/>
        </w:rPr>
        <w:t xml:space="preserve"> dokümanı</w:t>
      </w:r>
      <w:r w:rsidR="00FE405A" w:rsidRPr="007D4BBE">
        <w:rPr>
          <w:sz w:val="24"/>
          <w:szCs w:val="24"/>
          <w:lang w:eastAsia="tr-TR"/>
        </w:rPr>
        <w:t xml:space="preserve">nı kabul etmiştir. </w:t>
      </w:r>
      <w:proofErr w:type="spellStart"/>
      <w:r w:rsidR="00FE405A" w:rsidRPr="007D4BBE">
        <w:rPr>
          <w:sz w:val="24"/>
          <w:szCs w:val="24"/>
          <w:lang w:eastAsia="tr-TR"/>
        </w:rPr>
        <w:t>BREF</w:t>
      </w:r>
      <w:proofErr w:type="spellEnd"/>
      <w:r w:rsidR="00FE405A" w:rsidRPr="007D4BBE">
        <w:rPr>
          <w:sz w:val="24"/>
          <w:szCs w:val="24"/>
          <w:lang w:eastAsia="tr-TR"/>
        </w:rPr>
        <w:t xml:space="preserve"> dokümanlarının düzenli olarak gözden geçirilmesi gerekir; Komisyon gözden geçirme için yaklaşık 8 yıllık bir zaman aralığı amaçlamaktadır. </w:t>
      </w:r>
      <w:r w:rsidR="006E5339" w:rsidRPr="007D4BBE">
        <w:rPr>
          <w:sz w:val="24"/>
          <w:szCs w:val="24"/>
          <w:lang w:eastAsia="tr-TR"/>
        </w:rPr>
        <w:t xml:space="preserve">Gözden geçirilen ilk </w:t>
      </w:r>
      <w:proofErr w:type="spellStart"/>
      <w:r w:rsidR="006E5339" w:rsidRPr="007D4BBE">
        <w:rPr>
          <w:sz w:val="24"/>
          <w:szCs w:val="24"/>
          <w:lang w:eastAsia="tr-TR"/>
        </w:rPr>
        <w:t>BREF</w:t>
      </w:r>
      <w:proofErr w:type="spellEnd"/>
      <w:r w:rsidR="006E5339" w:rsidRPr="007D4BBE">
        <w:rPr>
          <w:sz w:val="24"/>
          <w:szCs w:val="24"/>
          <w:lang w:eastAsia="tr-TR"/>
        </w:rPr>
        <w:t xml:space="preserve"> dokümanı (Çimento, Kireç ve Magnezyum Oksit</w:t>
      </w:r>
      <w:r w:rsidR="005961BD" w:rsidRPr="007D4BBE">
        <w:rPr>
          <w:sz w:val="24"/>
          <w:szCs w:val="24"/>
          <w:lang w:eastAsia="tr-TR"/>
        </w:rPr>
        <w:t xml:space="preserve"> imalatı) Haziran 2010’da kabul edilmiştir. Dokuz </w:t>
      </w:r>
      <w:proofErr w:type="spellStart"/>
      <w:r w:rsidR="005961BD" w:rsidRPr="007D4BBE">
        <w:rPr>
          <w:sz w:val="24"/>
          <w:szCs w:val="24"/>
          <w:lang w:eastAsia="tr-TR"/>
        </w:rPr>
        <w:t>BREF</w:t>
      </w:r>
      <w:proofErr w:type="spellEnd"/>
      <w:r w:rsidR="005961BD" w:rsidRPr="007D4BBE">
        <w:rPr>
          <w:sz w:val="24"/>
          <w:szCs w:val="24"/>
          <w:lang w:eastAsia="tr-TR"/>
        </w:rPr>
        <w:t xml:space="preserve"> dokümanı ise mevcut durumda incelenmektedir. </w:t>
      </w:r>
    </w:p>
    <w:p w:rsidR="005961BD" w:rsidRPr="007D4BBE" w:rsidRDefault="005961BD" w:rsidP="00444B57">
      <w:pPr>
        <w:jc w:val="both"/>
        <w:rPr>
          <w:sz w:val="24"/>
          <w:szCs w:val="24"/>
          <w:lang w:eastAsia="tr-TR"/>
        </w:rPr>
      </w:pPr>
    </w:p>
    <w:p w:rsidR="005961BD" w:rsidRPr="007D4BBE" w:rsidRDefault="001D27FA" w:rsidP="00444B57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Üye Devletler, Direktifin uygulanmasında </w:t>
      </w:r>
      <w:proofErr w:type="spellStart"/>
      <w:r w:rsidRPr="007D4BBE">
        <w:rPr>
          <w:sz w:val="24"/>
          <w:szCs w:val="24"/>
          <w:lang w:eastAsia="tr-TR"/>
        </w:rPr>
        <w:t>BREF</w:t>
      </w:r>
      <w:proofErr w:type="spellEnd"/>
      <w:r w:rsidRPr="007D4BBE">
        <w:rPr>
          <w:sz w:val="24"/>
          <w:szCs w:val="24"/>
          <w:lang w:eastAsia="tr-TR"/>
        </w:rPr>
        <w:t xml:space="preserve"> dokümanlarının faydalı olduğunu doğrulamış ve dokümanların içeriğine ilişkin genel memnuniyetlerini dile getirmişlerdir. Fransa, Almanya, İtalya, Polonya ve İspanya gibi bazı Üye Devletler</w:t>
      </w:r>
      <w:r w:rsidR="00AB19D5" w:rsidRPr="007D4BBE">
        <w:rPr>
          <w:sz w:val="24"/>
          <w:szCs w:val="24"/>
          <w:lang w:eastAsia="tr-TR"/>
        </w:rPr>
        <w:t xml:space="preserve">, </w:t>
      </w:r>
      <w:proofErr w:type="spellStart"/>
      <w:r w:rsidR="00AB19D5" w:rsidRPr="007D4BBE">
        <w:rPr>
          <w:sz w:val="24"/>
          <w:szCs w:val="24"/>
          <w:lang w:eastAsia="tr-TR"/>
        </w:rPr>
        <w:t>BREF</w:t>
      </w:r>
      <w:proofErr w:type="spellEnd"/>
      <w:r w:rsidR="00AB19D5" w:rsidRPr="007D4BBE">
        <w:rPr>
          <w:sz w:val="24"/>
          <w:szCs w:val="24"/>
          <w:lang w:eastAsia="tr-TR"/>
        </w:rPr>
        <w:t xml:space="preserve"> dokümanlarının tamamını veya bir kısmını tercüme eder.</w:t>
      </w:r>
    </w:p>
    <w:p w:rsidR="00AB19D5" w:rsidRPr="007D4BBE" w:rsidRDefault="00AB19D5" w:rsidP="00444B57">
      <w:pPr>
        <w:jc w:val="both"/>
        <w:rPr>
          <w:sz w:val="24"/>
          <w:szCs w:val="24"/>
          <w:lang w:eastAsia="tr-TR"/>
        </w:rPr>
      </w:pPr>
    </w:p>
    <w:p w:rsidR="00AB19D5" w:rsidRPr="007D4BBE" w:rsidRDefault="00AB19D5" w:rsidP="00444B57">
      <w:pPr>
        <w:jc w:val="both"/>
        <w:rPr>
          <w:sz w:val="24"/>
          <w:szCs w:val="24"/>
          <w:lang w:eastAsia="tr-TR"/>
        </w:rPr>
      </w:pPr>
      <w:proofErr w:type="spellStart"/>
      <w:r w:rsidRPr="007D4BBE">
        <w:rPr>
          <w:sz w:val="24"/>
          <w:szCs w:val="24"/>
          <w:lang w:eastAsia="tr-TR"/>
        </w:rPr>
        <w:t>EED</w:t>
      </w:r>
      <w:proofErr w:type="spellEnd"/>
      <w:r w:rsidRPr="007D4BBE">
        <w:rPr>
          <w:sz w:val="24"/>
          <w:szCs w:val="24"/>
          <w:lang w:eastAsia="tr-TR"/>
        </w:rPr>
        <w:t xml:space="preserve"> kapsamında yalnızca </w:t>
      </w:r>
      <w:proofErr w:type="spellStart"/>
      <w:r w:rsidRPr="007D4BBE">
        <w:rPr>
          <w:sz w:val="24"/>
          <w:szCs w:val="24"/>
          <w:lang w:eastAsia="tr-TR"/>
        </w:rPr>
        <w:t>BREF</w:t>
      </w:r>
      <w:proofErr w:type="spellEnd"/>
      <w:r w:rsidRPr="007D4BBE">
        <w:rPr>
          <w:sz w:val="24"/>
          <w:szCs w:val="24"/>
          <w:lang w:eastAsia="tr-TR"/>
        </w:rPr>
        <w:t xml:space="preserve"> dokümanlarının yasal statüsü değil, aynı zamanda çeşitli aktörlerin bilgi alışverişindeki rolü açıklığa kavuşturulmuştur. </w:t>
      </w:r>
      <w:r w:rsidR="00AC0C35" w:rsidRPr="007D4BBE">
        <w:rPr>
          <w:sz w:val="24"/>
          <w:szCs w:val="24"/>
          <w:lang w:eastAsia="tr-TR"/>
        </w:rPr>
        <w:t xml:space="preserve">Bu durum, süreçten yüksek kalitede sonuç elde edilmesini sağlayacak ve Direktifin uygulanmasında BAT sonuçlarının kullanımını artıracaktır. </w:t>
      </w:r>
    </w:p>
    <w:p w:rsidR="00AC0C35" w:rsidRPr="007D4BBE" w:rsidRDefault="00AC0C35" w:rsidP="00444B57">
      <w:pPr>
        <w:jc w:val="both"/>
        <w:rPr>
          <w:sz w:val="24"/>
          <w:szCs w:val="24"/>
          <w:lang w:eastAsia="tr-TR"/>
        </w:rPr>
      </w:pPr>
    </w:p>
    <w:p w:rsidR="00AC0C35" w:rsidRPr="007D4BBE" w:rsidRDefault="00AC0C35" w:rsidP="00444B57">
      <w:pPr>
        <w:jc w:val="both"/>
        <w:rPr>
          <w:b/>
          <w:i/>
          <w:sz w:val="24"/>
          <w:szCs w:val="24"/>
          <w:lang w:eastAsia="tr-TR"/>
        </w:rPr>
      </w:pPr>
      <w:r w:rsidRPr="007D4BBE">
        <w:rPr>
          <w:b/>
          <w:i/>
          <w:sz w:val="24"/>
          <w:szCs w:val="24"/>
          <w:lang w:eastAsia="tr-TR"/>
        </w:rPr>
        <w:lastRenderedPageBreak/>
        <w:t xml:space="preserve">İnceleme ve </w:t>
      </w:r>
      <w:r w:rsidR="00D425A1" w:rsidRPr="007D4BBE">
        <w:rPr>
          <w:b/>
          <w:i/>
          <w:sz w:val="24"/>
          <w:szCs w:val="24"/>
          <w:lang w:eastAsia="tr-TR"/>
        </w:rPr>
        <w:t>yürütme faaliyetleri</w:t>
      </w:r>
    </w:p>
    <w:p w:rsidR="00D425A1" w:rsidRPr="007D4BBE" w:rsidRDefault="00D425A1" w:rsidP="00444B57">
      <w:pPr>
        <w:jc w:val="both"/>
        <w:rPr>
          <w:sz w:val="24"/>
          <w:szCs w:val="24"/>
          <w:lang w:eastAsia="tr-TR"/>
        </w:rPr>
      </w:pPr>
    </w:p>
    <w:p w:rsidR="00444B57" w:rsidRPr="007D4BBE" w:rsidRDefault="005B1F5E" w:rsidP="00444B57">
      <w:pPr>
        <w:jc w:val="both"/>
        <w:rPr>
          <w:sz w:val="24"/>
          <w:szCs w:val="24"/>
          <w:lang w:eastAsia="tr-TR"/>
        </w:rPr>
      </w:pPr>
      <w:proofErr w:type="spellStart"/>
      <w:r w:rsidRPr="007D4BBE">
        <w:rPr>
          <w:sz w:val="24"/>
          <w:szCs w:val="24"/>
          <w:lang w:eastAsia="tr-TR"/>
        </w:rPr>
        <w:t>IPPCD’nin</w:t>
      </w:r>
      <w:proofErr w:type="spellEnd"/>
      <w:r w:rsidRPr="007D4BBE">
        <w:rPr>
          <w:sz w:val="24"/>
          <w:szCs w:val="24"/>
          <w:lang w:eastAsia="tr-TR"/>
        </w:rPr>
        <w:t xml:space="preserve"> 14. Maddesi</w:t>
      </w:r>
      <w:r w:rsidR="00F30046" w:rsidRPr="007D4BBE">
        <w:rPr>
          <w:sz w:val="24"/>
          <w:szCs w:val="24"/>
          <w:lang w:eastAsia="tr-TR"/>
        </w:rPr>
        <w:t xml:space="preserve"> operatörlerin yetkili makamları </w:t>
      </w:r>
      <w:proofErr w:type="gramStart"/>
      <w:r w:rsidR="00F30046" w:rsidRPr="007D4BBE">
        <w:rPr>
          <w:sz w:val="24"/>
          <w:szCs w:val="24"/>
          <w:lang w:eastAsia="tr-TR"/>
        </w:rPr>
        <w:t>emisyon</w:t>
      </w:r>
      <w:proofErr w:type="gramEnd"/>
      <w:r w:rsidR="00F30046" w:rsidRPr="007D4BBE">
        <w:rPr>
          <w:sz w:val="24"/>
          <w:szCs w:val="24"/>
          <w:lang w:eastAsia="tr-TR"/>
        </w:rPr>
        <w:t xml:space="preserve"> izleme sonuçları hakkında düzenli olarak bilgilendirmesini ve </w:t>
      </w:r>
      <w:r w:rsidR="00D07FD9" w:rsidRPr="007D4BBE">
        <w:rPr>
          <w:sz w:val="24"/>
          <w:szCs w:val="24"/>
          <w:lang w:eastAsia="tr-TR"/>
        </w:rPr>
        <w:t xml:space="preserve">yetkili makam temsilcilerinin yerinde denetimler yapması için gerekli tüm yardımı </w:t>
      </w:r>
      <w:r w:rsidR="00E40683" w:rsidRPr="007D4BBE">
        <w:rPr>
          <w:sz w:val="24"/>
          <w:szCs w:val="24"/>
          <w:lang w:eastAsia="tr-TR"/>
        </w:rPr>
        <w:t xml:space="preserve">sağlamasını </w:t>
      </w:r>
      <w:r w:rsidR="002F6F7B" w:rsidRPr="007D4BBE">
        <w:rPr>
          <w:sz w:val="24"/>
          <w:szCs w:val="24"/>
          <w:lang w:eastAsia="tr-TR"/>
        </w:rPr>
        <w:t>gerektirir. Gerçek uygunluk izleme ve yürütme uygulamaları</w:t>
      </w:r>
      <w:r w:rsidR="00D75C14" w:rsidRPr="007D4BBE">
        <w:rPr>
          <w:sz w:val="24"/>
          <w:szCs w:val="24"/>
          <w:lang w:eastAsia="tr-TR"/>
        </w:rPr>
        <w:t xml:space="preserve"> Üye Devlet arasında ve hatta içinde değişiklik gösterir. Birçok Üye Devlet çevrimiçi veritabanları ve/veya e-posta ile izleme raporları sunma sistemi geliştirmiştir. Komisyon, operatörler ve makamlar arasında veri akışını kolaylaştıran ve idari yükü azaltan </w:t>
      </w:r>
      <w:r w:rsidR="00E82E43" w:rsidRPr="007D4BBE">
        <w:rPr>
          <w:sz w:val="24"/>
          <w:szCs w:val="24"/>
          <w:lang w:eastAsia="tr-TR"/>
        </w:rPr>
        <w:t>bu gibi araçların kullanılmasını teşvik eder.</w:t>
      </w:r>
    </w:p>
    <w:p w:rsidR="00E82E43" w:rsidRPr="007D4BBE" w:rsidRDefault="00E82E43" w:rsidP="00444B57">
      <w:pPr>
        <w:jc w:val="both"/>
        <w:rPr>
          <w:sz w:val="24"/>
          <w:szCs w:val="24"/>
          <w:lang w:eastAsia="tr-TR"/>
        </w:rPr>
      </w:pPr>
    </w:p>
    <w:p w:rsidR="00E82E43" w:rsidRPr="007D4BBE" w:rsidRDefault="00E82E43" w:rsidP="00444B57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Birkaç Üye Devlet, </w:t>
      </w:r>
      <w:r w:rsidR="001D41F3" w:rsidRPr="007D4BBE">
        <w:rPr>
          <w:sz w:val="24"/>
          <w:szCs w:val="24"/>
          <w:lang w:eastAsia="tr-TR"/>
        </w:rPr>
        <w:t xml:space="preserve">asgari yerinde denetim sıklığı belirlemiş olup, bu sıklık yılda bir kez şeklindedir (örneğin Slovenya, Birleşik Krallık, </w:t>
      </w:r>
      <w:proofErr w:type="spellStart"/>
      <w:r w:rsidR="001D41F3" w:rsidRPr="007D4BBE">
        <w:rPr>
          <w:sz w:val="24"/>
          <w:szCs w:val="24"/>
          <w:lang w:eastAsia="tr-TR"/>
        </w:rPr>
        <w:t>Estonya</w:t>
      </w:r>
      <w:proofErr w:type="spellEnd"/>
      <w:r w:rsidR="001D41F3" w:rsidRPr="007D4BBE">
        <w:rPr>
          <w:sz w:val="24"/>
          <w:szCs w:val="24"/>
          <w:lang w:eastAsia="tr-TR"/>
        </w:rPr>
        <w:t xml:space="preserve">, </w:t>
      </w:r>
      <w:proofErr w:type="spellStart"/>
      <w:r w:rsidR="001D41F3" w:rsidRPr="007D4BBE">
        <w:rPr>
          <w:sz w:val="24"/>
          <w:szCs w:val="24"/>
          <w:lang w:eastAsia="tr-TR"/>
        </w:rPr>
        <w:t>Litvanya</w:t>
      </w:r>
      <w:proofErr w:type="spellEnd"/>
      <w:r w:rsidR="001D41F3" w:rsidRPr="007D4BBE">
        <w:rPr>
          <w:sz w:val="24"/>
          <w:szCs w:val="24"/>
          <w:lang w:eastAsia="tr-TR"/>
        </w:rPr>
        <w:t>, Fransa, Malta veya Kıbrıs’ta).</w:t>
      </w:r>
      <w:r w:rsidR="00B52FA6" w:rsidRPr="007D4BBE">
        <w:rPr>
          <w:sz w:val="24"/>
          <w:szCs w:val="24"/>
          <w:lang w:eastAsia="tr-TR"/>
        </w:rPr>
        <w:t xml:space="preserve"> Ancak bazı durumlarda daha düşük bir sıklık belirlenir. </w:t>
      </w:r>
    </w:p>
    <w:p w:rsidR="00B52FA6" w:rsidRPr="007D4BBE" w:rsidRDefault="00B52FA6" w:rsidP="00444B57">
      <w:pPr>
        <w:jc w:val="both"/>
        <w:rPr>
          <w:sz w:val="24"/>
          <w:szCs w:val="24"/>
          <w:lang w:eastAsia="tr-TR"/>
        </w:rPr>
      </w:pPr>
    </w:p>
    <w:p w:rsidR="00B52FA6" w:rsidRPr="007D4BBE" w:rsidRDefault="00B52FA6" w:rsidP="00444B57">
      <w:pPr>
        <w:jc w:val="both"/>
        <w:rPr>
          <w:sz w:val="24"/>
          <w:szCs w:val="24"/>
          <w:lang w:eastAsia="tr-TR"/>
        </w:rPr>
      </w:pPr>
      <w:proofErr w:type="spellStart"/>
      <w:r w:rsidRPr="007D4BBE">
        <w:rPr>
          <w:sz w:val="24"/>
          <w:szCs w:val="24"/>
          <w:lang w:eastAsia="tr-TR"/>
        </w:rPr>
        <w:t>EED</w:t>
      </w:r>
      <w:proofErr w:type="spellEnd"/>
      <w:r w:rsidRPr="007D4BBE">
        <w:rPr>
          <w:sz w:val="24"/>
          <w:szCs w:val="24"/>
          <w:lang w:eastAsia="tr-TR"/>
        </w:rPr>
        <w:t xml:space="preserve"> kapsamında </w:t>
      </w:r>
      <w:r w:rsidR="002D3C00" w:rsidRPr="007D4BBE">
        <w:rPr>
          <w:sz w:val="24"/>
          <w:szCs w:val="24"/>
          <w:lang w:eastAsia="tr-TR"/>
        </w:rPr>
        <w:t xml:space="preserve">uygunluk izleme hükümleri daha da geliştirilmiştir. </w:t>
      </w:r>
      <w:r w:rsidR="00E45356" w:rsidRPr="007D4BBE">
        <w:rPr>
          <w:sz w:val="24"/>
          <w:szCs w:val="24"/>
          <w:lang w:eastAsia="tr-TR"/>
        </w:rPr>
        <w:t>D</w:t>
      </w:r>
      <w:r w:rsidR="00B711FD" w:rsidRPr="007D4BBE">
        <w:rPr>
          <w:sz w:val="24"/>
          <w:szCs w:val="24"/>
          <w:lang w:eastAsia="tr-TR"/>
        </w:rPr>
        <w:t xml:space="preserve">enetimlere yönelik </w:t>
      </w:r>
      <w:r w:rsidR="00A814A2" w:rsidRPr="007D4BBE">
        <w:rPr>
          <w:sz w:val="24"/>
          <w:szCs w:val="24"/>
          <w:lang w:eastAsia="tr-TR"/>
        </w:rPr>
        <w:t xml:space="preserve">risk temelli bir </w:t>
      </w:r>
      <w:r w:rsidR="005735D0" w:rsidRPr="007D4BBE">
        <w:rPr>
          <w:sz w:val="24"/>
          <w:szCs w:val="24"/>
          <w:lang w:eastAsia="tr-TR"/>
        </w:rPr>
        <w:t xml:space="preserve">yaklaşım benimsemeyi amaçlamakla birlikte </w:t>
      </w:r>
      <w:r w:rsidR="00E45356" w:rsidRPr="007D4BBE">
        <w:rPr>
          <w:sz w:val="24"/>
          <w:szCs w:val="24"/>
          <w:lang w:eastAsia="tr-TR"/>
        </w:rPr>
        <w:t xml:space="preserve">ayrıca </w:t>
      </w:r>
      <w:r w:rsidR="005735D0" w:rsidRPr="007D4BBE">
        <w:rPr>
          <w:sz w:val="24"/>
          <w:szCs w:val="24"/>
          <w:lang w:eastAsia="tr-TR"/>
        </w:rPr>
        <w:t xml:space="preserve">saha ziyaretleri için minimum sıklıkları içerir. </w:t>
      </w:r>
      <w:r w:rsidR="00E45356" w:rsidRPr="007D4BBE">
        <w:rPr>
          <w:sz w:val="24"/>
          <w:szCs w:val="24"/>
          <w:lang w:eastAsia="tr-TR"/>
        </w:rPr>
        <w:t xml:space="preserve">Bu durum </w:t>
      </w:r>
      <w:proofErr w:type="spellStart"/>
      <w:r w:rsidR="00E91FE2" w:rsidRPr="007D4BBE">
        <w:rPr>
          <w:sz w:val="24"/>
          <w:szCs w:val="24"/>
          <w:lang w:eastAsia="tr-TR"/>
        </w:rPr>
        <w:t>EED’yi</w:t>
      </w:r>
      <w:proofErr w:type="spellEnd"/>
      <w:r w:rsidR="00E91FE2" w:rsidRPr="007D4BBE">
        <w:rPr>
          <w:sz w:val="24"/>
          <w:szCs w:val="24"/>
          <w:lang w:eastAsia="tr-TR"/>
        </w:rPr>
        <w:t xml:space="preserve"> yürütme ve denetim faaliyetleri konusunda çevre ile ilgili en gelişmiş Direktif haline getirir.</w:t>
      </w:r>
    </w:p>
    <w:p w:rsidR="00E91FE2" w:rsidRPr="007D4BBE" w:rsidRDefault="00E91FE2" w:rsidP="00444B57">
      <w:pPr>
        <w:jc w:val="both"/>
        <w:rPr>
          <w:sz w:val="24"/>
          <w:szCs w:val="24"/>
          <w:lang w:eastAsia="tr-TR"/>
        </w:rPr>
      </w:pPr>
    </w:p>
    <w:p w:rsidR="00E91FE2" w:rsidRPr="007D4BBE" w:rsidRDefault="0035604C" w:rsidP="00444B57">
      <w:pPr>
        <w:jc w:val="both"/>
        <w:rPr>
          <w:b/>
          <w:i/>
          <w:sz w:val="24"/>
          <w:szCs w:val="24"/>
          <w:lang w:eastAsia="tr-TR"/>
        </w:rPr>
      </w:pPr>
      <w:r w:rsidRPr="007D4BBE">
        <w:rPr>
          <w:b/>
          <w:i/>
          <w:sz w:val="24"/>
          <w:szCs w:val="24"/>
          <w:lang w:eastAsia="tr-TR"/>
        </w:rPr>
        <w:t>Halkın b</w:t>
      </w:r>
      <w:r w:rsidR="00E91FE2" w:rsidRPr="007D4BBE">
        <w:rPr>
          <w:b/>
          <w:i/>
          <w:sz w:val="24"/>
          <w:szCs w:val="24"/>
          <w:lang w:eastAsia="tr-TR"/>
        </w:rPr>
        <w:t>ilgilendir</w:t>
      </w:r>
      <w:r w:rsidRPr="007D4BBE">
        <w:rPr>
          <w:b/>
          <w:i/>
          <w:sz w:val="24"/>
          <w:szCs w:val="24"/>
          <w:lang w:eastAsia="tr-TR"/>
        </w:rPr>
        <w:t>il</w:t>
      </w:r>
      <w:r w:rsidR="00E91FE2" w:rsidRPr="007D4BBE">
        <w:rPr>
          <w:b/>
          <w:i/>
          <w:sz w:val="24"/>
          <w:szCs w:val="24"/>
          <w:lang w:eastAsia="tr-TR"/>
        </w:rPr>
        <w:t>me</w:t>
      </w:r>
      <w:r w:rsidRPr="007D4BBE">
        <w:rPr>
          <w:b/>
          <w:i/>
          <w:sz w:val="24"/>
          <w:szCs w:val="24"/>
          <w:lang w:eastAsia="tr-TR"/>
        </w:rPr>
        <w:t>si ve katılımı</w:t>
      </w:r>
    </w:p>
    <w:p w:rsidR="0035604C" w:rsidRPr="007D4BBE" w:rsidRDefault="0035604C" w:rsidP="00444B57">
      <w:pPr>
        <w:jc w:val="both"/>
        <w:rPr>
          <w:sz w:val="24"/>
          <w:szCs w:val="24"/>
          <w:lang w:eastAsia="tr-TR"/>
        </w:rPr>
      </w:pPr>
    </w:p>
    <w:p w:rsidR="0035604C" w:rsidRPr="007D4BBE" w:rsidRDefault="0035604C" w:rsidP="00444B57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En yakın raporlama dönemi boyunca birçok Üye Devlet hem halka bilgi verilmesini hem de halkın katılımını iyileştirmiştir. </w:t>
      </w:r>
      <w:r w:rsidR="00DF2254" w:rsidRPr="007D4BBE">
        <w:rPr>
          <w:sz w:val="24"/>
          <w:szCs w:val="24"/>
          <w:lang w:eastAsia="tr-TR"/>
        </w:rPr>
        <w:t>İyileştirmeye yönelik işlemler arasında daha sık bilgi güncelleme yapılması, halka açık veritabanı veya internet sitelerine eklemeler yapılması ve diğer Üye Devletlerin bilgiye eriş</w:t>
      </w:r>
      <w:r w:rsidR="00394444" w:rsidRPr="007D4BBE">
        <w:rPr>
          <w:sz w:val="24"/>
          <w:szCs w:val="24"/>
          <w:lang w:eastAsia="tr-TR"/>
        </w:rPr>
        <w:t>me imkânı bulunmaktadır. Ayrıca bilgiye erişime ilişkin yeni teknolojilerin kullanılması Üye Devletler tarafından desteklenmekte olup izinler</w:t>
      </w:r>
      <w:r w:rsidR="00FE1AE0" w:rsidRPr="007D4BBE">
        <w:rPr>
          <w:sz w:val="24"/>
          <w:szCs w:val="24"/>
          <w:lang w:eastAsia="tr-TR"/>
        </w:rPr>
        <w:t>in</w:t>
      </w:r>
      <w:r w:rsidR="00394444" w:rsidRPr="007D4BBE">
        <w:rPr>
          <w:sz w:val="24"/>
          <w:szCs w:val="24"/>
          <w:lang w:eastAsia="tr-TR"/>
        </w:rPr>
        <w:t xml:space="preserve"> internet ortamında erişebil</w:t>
      </w:r>
      <w:r w:rsidR="00FE1AE0" w:rsidRPr="007D4BBE">
        <w:rPr>
          <w:sz w:val="24"/>
          <w:szCs w:val="24"/>
          <w:lang w:eastAsia="tr-TR"/>
        </w:rPr>
        <w:t xml:space="preserve">irliği daha yaygın hale gelmektedir. </w:t>
      </w:r>
    </w:p>
    <w:p w:rsidR="00FE1AE0" w:rsidRPr="007D4BBE" w:rsidRDefault="00FE1AE0" w:rsidP="00444B57">
      <w:pPr>
        <w:jc w:val="both"/>
        <w:rPr>
          <w:sz w:val="24"/>
          <w:szCs w:val="24"/>
          <w:lang w:eastAsia="tr-TR"/>
        </w:rPr>
      </w:pPr>
    </w:p>
    <w:p w:rsidR="00FE1AE0" w:rsidRPr="007D4BBE" w:rsidRDefault="00FE1AE0" w:rsidP="00444B57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>Bazı Üye Devletler, örneğin Kirletici Salım ve Taşınım Kay</w:t>
      </w:r>
      <w:r w:rsidR="006B3BB5" w:rsidRPr="007D4BBE">
        <w:rPr>
          <w:sz w:val="24"/>
          <w:szCs w:val="24"/>
          <w:lang w:eastAsia="tr-TR"/>
        </w:rPr>
        <w:t>ıtları</w:t>
      </w:r>
      <w:r w:rsidRPr="007D4BBE">
        <w:rPr>
          <w:sz w:val="24"/>
          <w:szCs w:val="24"/>
          <w:lang w:eastAsia="tr-TR"/>
        </w:rPr>
        <w:t xml:space="preserve"> (</w:t>
      </w:r>
      <w:proofErr w:type="spellStart"/>
      <w:r w:rsidRPr="007D4BBE">
        <w:rPr>
          <w:sz w:val="24"/>
          <w:szCs w:val="24"/>
          <w:lang w:eastAsia="tr-TR"/>
        </w:rPr>
        <w:t>PRTR’ler</w:t>
      </w:r>
      <w:proofErr w:type="spellEnd"/>
      <w:r w:rsidRPr="007D4BBE">
        <w:rPr>
          <w:sz w:val="24"/>
          <w:szCs w:val="24"/>
          <w:lang w:eastAsia="tr-TR"/>
        </w:rPr>
        <w:t xml:space="preserve">) </w:t>
      </w:r>
      <w:r w:rsidR="00CF57ED" w:rsidRPr="007D4BBE">
        <w:rPr>
          <w:sz w:val="24"/>
          <w:szCs w:val="24"/>
          <w:lang w:eastAsia="tr-TR"/>
        </w:rPr>
        <w:t xml:space="preserve">aracılığıyla toplanan verileri </w:t>
      </w:r>
      <w:r w:rsidR="006B3BB5" w:rsidRPr="007D4BBE">
        <w:rPr>
          <w:sz w:val="24"/>
          <w:szCs w:val="24"/>
          <w:lang w:eastAsia="tr-TR"/>
        </w:rPr>
        <w:t xml:space="preserve">ve </w:t>
      </w:r>
      <w:proofErr w:type="spellStart"/>
      <w:r w:rsidR="006B3BB5" w:rsidRPr="007D4BBE">
        <w:rPr>
          <w:sz w:val="24"/>
          <w:szCs w:val="24"/>
          <w:lang w:eastAsia="tr-TR"/>
        </w:rPr>
        <w:t>IPPC</w:t>
      </w:r>
      <w:proofErr w:type="spellEnd"/>
      <w:r w:rsidR="006B3BB5" w:rsidRPr="007D4BBE">
        <w:rPr>
          <w:sz w:val="24"/>
          <w:szCs w:val="24"/>
          <w:lang w:eastAsia="tr-TR"/>
        </w:rPr>
        <w:t xml:space="preserve"> işletmeleri hakkındaki bilgiler</w:t>
      </w:r>
      <w:r w:rsidR="00CF57ED" w:rsidRPr="007D4BBE">
        <w:rPr>
          <w:sz w:val="24"/>
          <w:szCs w:val="24"/>
          <w:lang w:eastAsia="tr-TR"/>
        </w:rPr>
        <w:t xml:space="preserve">i sunarak </w:t>
      </w:r>
      <w:r w:rsidRPr="007D4BBE">
        <w:rPr>
          <w:sz w:val="24"/>
          <w:szCs w:val="24"/>
          <w:lang w:eastAsia="tr-TR"/>
        </w:rPr>
        <w:t xml:space="preserve">endüstriyel emisyonlar hakkındaki bilgileri tek bir bilgi sistemine </w:t>
      </w:r>
      <w:proofErr w:type="gramStart"/>
      <w:r w:rsidRPr="007D4BBE">
        <w:rPr>
          <w:sz w:val="24"/>
          <w:szCs w:val="24"/>
          <w:lang w:eastAsia="tr-TR"/>
        </w:rPr>
        <w:t>entegre</w:t>
      </w:r>
      <w:proofErr w:type="gramEnd"/>
      <w:r w:rsidRPr="007D4BBE">
        <w:rPr>
          <w:sz w:val="24"/>
          <w:szCs w:val="24"/>
          <w:lang w:eastAsia="tr-TR"/>
        </w:rPr>
        <w:t xml:space="preserve"> etmektedir</w:t>
      </w:r>
      <w:r w:rsidR="00CF57ED" w:rsidRPr="007D4BBE">
        <w:rPr>
          <w:sz w:val="24"/>
          <w:szCs w:val="24"/>
          <w:lang w:eastAsia="tr-TR"/>
        </w:rPr>
        <w:t>. Komisyon bu gi</w:t>
      </w:r>
      <w:r w:rsidR="00B26A56" w:rsidRPr="007D4BBE">
        <w:rPr>
          <w:sz w:val="24"/>
          <w:szCs w:val="24"/>
          <w:lang w:eastAsia="tr-TR"/>
        </w:rPr>
        <w:t>rişimleri</w:t>
      </w:r>
      <w:r w:rsidR="00CF57ED" w:rsidRPr="007D4BBE">
        <w:rPr>
          <w:sz w:val="24"/>
          <w:szCs w:val="24"/>
          <w:lang w:eastAsia="tr-TR"/>
        </w:rPr>
        <w:t xml:space="preserve"> </w:t>
      </w:r>
      <w:r w:rsidR="00B26A56" w:rsidRPr="007D4BBE">
        <w:rPr>
          <w:sz w:val="24"/>
          <w:szCs w:val="24"/>
          <w:lang w:eastAsia="tr-TR"/>
        </w:rPr>
        <w:t>memnuniyetle</w:t>
      </w:r>
      <w:r w:rsidR="00CF57ED" w:rsidRPr="007D4BBE">
        <w:rPr>
          <w:sz w:val="24"/>
          <w:szCs w:val="24"/>
          <w:lang w:eastAsia="tr-TR"/>
        </w:rPr>
        <w:t xml:space="preserve"> karşılar ve Üye Devletleri bu </w:t>
      </w:r>
      <w:proofErr w:type="gramStart"/>
      <w:r w:rsidR="00B26A56" w:rsidRPr="007D4BBE">
        <w:rPr>
          <w:sz w:val="24"/>
          <w:szCs w:val="24"/>
          <w:lang w:eastAsia="tr-TR"/>
        </w:rPr>
        <w:t>entegrasyon</w:t>
      </w:r>
      <w:proofErr w:type="gramEnd"/>
      <w:r w:rsidR="00B26A56" w:rsidRPr="007D4BBE">
        <w:rPr>
          <w:sz w:val="24"/>
          <w:szCs w:val="24"/>
          <w:lang w:eastAsia="tr-TR"/>
        </w:rPr>
        <w:t xml:space="preserve"> </w:t>
      </w:r>
      <w:r w:rsidR="00CF57ED" w:rsidRPr="007D4BBE">
        <w:rPr>
          <w:sz w:val="24"/>
          <w:szCs w:val="24"/>
          <w:lang w:eastAsia="tr-TR"/>
        </w:rPr>
        <w:t xml:space="preserve">sürecini </w:t>
      </w:r>
      <w:r w:rsidR="00040CAF" w:rsidRPr="007D4BBE">
        <w:rPr>
          <w:sz w:val="24"/>
          <w:szCs w:val="24"/>
          <w:lang w:eastAsia="tr-TR"/>
        </w:rPr>
        <w:t>teşvik etmeye</w:t>
      </w:r>
      <w:r w:rsidR="00CF57ED" w:rsidRPr="007D4BBE">
        <w:rPr>
          <w:sz w:val="24"/>
          <w:szCs w:val="24"/>
          <w:lang w:eastAsia="tr-TR"/>
        </w:rPr>
        <w:t xml:space="preserve"> davet eder. </w:t>
      </w:r>
    </w:p>
    <w:p w:rsidR="00040CAF" w:rsidRPr="007D4BBE" w:rsidRDefault="00040CAF" w:rsidP="00444B57">
      <w:pPr>
        <w:jc w:val="both"/>
        <w:rPr>
          <w:sz w:val="24"/>
          <w:szCs w:val="24"/>
          <w:lang w:eastAsia="tr-TR"/>
        </w:rPr>
      </w:pPr>
    </w:p>
    <w:p w:rsidR="00040CAF" w:rsidRPr="007D4BBE" w:rsidRDefault="00040CAF" w:rsidP="00444B57">
      <w:pPr>
        <w:jc w:val="both"/>
        <w:rPr>
          <w:sz w:val="24"/>
          <w:szCs w:val="24"/>
        </w:rPr>
      </w:pPr>
      <w:r w:rsidRPr="007D4BBE">
        <w:rPr>
          <w:sz w:val="24"/>
          <w:szCs w:val="24"/>
          <w:lang w:eastAsia="tr-TR"/>
        </w:rPr>
        <w:t xml:space="preserve">AB seviyesinde Avrupa </w:t>
      </w:r>
      <w:proofErr w:type="spellStart"/>
      <w:r w:rsidRPr="007D4BBE">
        <w:rPr>
          <w:sz w:val="24"/>
          <w:szCs w:val="24"/>
          <w:lang w:eastAsia="tr-TR"/>
        </w:rPr>
        <w:t>PRTR</w:t>
      </w:r>
      <w:proofErr w:type="spellEnd"/>
      <w:r w:rsidRPr="007D4BBE">
        <w:rPr>
          <w:sz w:val="24"/>
          <w:szCs w:val="24"/>
          <w:lang w:eastAsia="tr-TR"/>
        </w:rPr>
        <w:t xml:space="preserve"> </w:t>
      </w:r>
      <w:r w:rsidR="004536D2" w:rsidRPr="007D4BBE">
        <w:rPr>
          <w:sz w:val="24"/>
          <w:szCs w:val="24"/>
          <w:lang w:eastAsia="tr-TR"/>
        </w:rPr>
        <w:t>(</w:t>
      </w:r>
      <w:r w:rsidR="004536D2" w:rsidRPr="007D4BBE">
        <w:rPr>
          <w:color w:val="0000FF"/>
          <w:sz w:val="24"/>
          <w:szCs w:val="24"/>
        </w:rPr>
        <w:t>http://prtr.ec.europa.eu/</w:t>
      </w:r>
      <w:r w:rsidR="004536D2" w:rsidRPr="007D4BBE">
        <w:rPr>
          <w:sz w:val="24"/>
          <w:szCs w:val="24"/>
        </w:rPr>
        <w:t>)</w:t>
      </w:r>
      <w:r w:rsidR="002A0642" w:rsidRPr="007D4BBE">
        <w:rPr>
          <w:sz w:val="24"/>
          <w:szCs w:val="24"/>
        </w:rPr>
        <w:t xml:space="preserve">, </w:t>
      </w:r>
      <w:r w:rsidR="00400A0C" w:rsidRPr="007D4BBE">
        <w:rPr>
          <w:sz w:val="24"/>
          <w:szCs w:val="24"/>
        </w:rPr>
        <w:t xml:space="preserve">büyük bir çoğunluğu </w:t>
      </w:r>
      <w:proofErr w:type="spellStart"/>
      <w:r w:rsidR="00400A0C" w:rsidRPr="007D4BBE">
        <w:rPr>
          <w:sz w:val="24"/>
          <w:szCs w:val="24"/>
        </w:rPr>
        <w:t>IPPC</w:t>
      </w:r>
      <w:proofErr w:type="spellEnd"/>
      <w:r w:rsidR="00400A0C" w:rsidRPr="007D4BBE">
        <w:rPr>
          <w:sz w:val="24"/>
          <w:szCs w:val="24"/>
        </w:rPr>
        <w:t xml:space="preserve"> işletmesi olan </w:t>
      </w:r>
      <w:r w:rsidR="002A0642" w:rsidRPr="007D4BBE">
        <w:rPr>
          <w:sz w:val="24"/>
          <w:szCs w:val="24"/>
        </w:rPr>
        <w:t>neredeyse 25.000 endüstriyel tesis için bilgi sağlar.</w:t>
      </w:r>
      <w:r w:rsidR="004536D2" w:rsidRPr="007D4BBE">
        <w:rPr>
          <w:sz w:val="24"/>
          <w:szCs w:val="24"/>
        </w:rPr>
        <w:t xml:space="preserve"> </w:t>
      </w:r>
      <w:r w:rsidR="00400A0C" w:rsidRPr="007D4BBE">
        <w:rPr>
          <w:sz w:val="24"/>
          <w:szCs w:val="24"/>
        </w:rPr>
        <w:t xml:space="preserve">Komisyon ayrıca Üye Devletler tarafından </w:t>
      </w:r>
      <w:proofErr w:type="spellStart"/>
      <w:r w:rsidR="00400A0C" w:rsidRPr="007D4BBE">
        <w:rPr>
          <w:sz w:val="24"/>
          <w:szCs w:val="24"/>
        </w:rPr>
        <w:t>IPPCD</w:t>
      </w:r>
      <w:proofErr w:type="spellEnd"/>
      <w:r w:rsidR="00400A0C" w:rsidRPr="007D4BBE">
        <w:rPr>
          <w:sz w:val="24"/>
          <w:szCs w:val="24"/>
        </w:rPr>
        <w:t xml:space="preserve"> hakkında bildirilen bilgiler</w:t>
      </w:r>
      <w:r w:rsidR="00806345" w:rsidRPr="007D4BBE">
        <w:rPr>
          <w:sz w:val="24"/>
          <w:szCs w:val="24"/>
        </w:rPr>
        <w:t xml:space="preserve">in yanı sıra endüstriyel </w:t>
      </w:r>
      <w:proofErr w:type="gramStart"/>
      <w:r w:rsidR="00806345" w:rsidRPr="007D4BBE">
        <w:rPr>
          <w:sz w:val="24"/>
          <w:szCs w:val="24"/>
        </w:rPr>
        <w:t>emisyonları</w:t>
      </w:r>
      <w:proofErr w:type="gramEnd"/>
      <w:r w:rsidR="00806345" w:rsidRPr="007D4BBE">
        <w:rPr>
          <w:sz w:val="24"/>
          <w:szCs w:val="24"/>
        </w:rPr>
        <w:t xml:space="preserve"> “Endüstriyel Emisyon Raporlama Bilgi Sistemi” (</w:t>
      </w:r>
      <w:r w:rsidR="00806345" w:rsidRPr="007D4BBE">
        <w:rPr>
          <w:color w:val="0000FF"/>
          <w:sz w:val="24"/>
          <w:szCs w:val="24"/>
        </w:rPr>
        <w:t>http://iris.</w:t>
      </w:r>
      <w:proofErr w:type="spellStart"/>
      <w:r w:rsidR="00806345" w:rsidRPr="007D4BBE">
        <w:rPr>
          <w:color w:val="0000FF"/>
          <w:sz w:val="24"/>
          <w:szCs w:val="24"/>
        </w:rPr>
        <w:t>eionet</w:t>
      </w:r>
      <w:proofErr w:type="spellEnd"/>
      <w:r w:rsidR="00806345" w:rsidRPr="007D4BBE">
        <w:rPr>
          <w:color w:val="0000FF"/>
          <w:sz w:val="24"/>
          <w:szCs w:val="24"/>
        </w:rPr>
        <w:t>.</w:t>
      </w:r>
      <w:proofErr w:type="spellStart"/>
      <w:r w:rsidR="00806345" w:rsidRPr="007D4BBE">
        <w:rPr>
          <w:color w:val="0000FF"/>
          <w:sz w:val="24"/>
          <w:szCs w:val="24"/>
        </w:rPr>
        <w:t>europa</w:t>
      </w:r>
      <w:proofErr w:type="spellEnd"/>
      <w:r w:rsidR="00806345" w:rsidRPr="007D4BBE">
        <w:rPr>
          <w:color w:val="0000FF"/>
          <w:sz w:val="24"/>
          <w:szCs w:val="24"/>
        </w:rPr>
        <w:t>.</w:t>
      </w:r>
      <w:proofErr w:type="spellStart"/>
      <w:r w:rsidR="00806345" w:rsidRPr="007D4BBE">
        <w:rPr>
          <w:color w:val="0000FF"/>
          <w:sz w:val="24"/>
          <w:szCs w:val="24"/>
        </w:rPr>
        <w:t>eu</w:t>
      </w:r>
      <w:proofErr w:type="spellEnd"/>
      <w:r w:rsidR="00806345" w:rsidRPr="007D4BBE">
        <w:rPr>
          <w:color w:val="0000FF"/>
          <w:sz w:val="24"/>
          <w:szCs w:val="24"/>
        </w:rPr>
        <w:t xml:space="preserve">/ </w:t>
      </w:r>
      <w:r w:rsidR="00806345" w:rsidRPr="007D4BBE">
        <w:rPr>
          <w:sz w:val="24"/>
          <w:szCs w:val="24"/>
        </w:rPr>
        <w:t>adresinden ulaşılabilir</w:t>
      </w:r>
      <w:r w:rsidR="00286A9C" w:rsidRPr="007D4BBE">
        <w:rPr>
          <w:sz w:val="24"/>
          <w:szCs w:val="24"/>
        </w:rPr>
        <w:t xml:space="preserve">) </w:t>
      </w:r>
      <w:r w:rsidR="00806345" w:rsidRPr="007D4BBE">
        <w:rPr>
          <w:sz w:val="24"/>
          <w:szCs w:val="24"/>
        </w:rPr>
        <w:t>aracılığıyla düzenleyen çeşitli başka direktiflere</w:t>
      </w:r>
      <w:r w:rsidR="00400A0C" w:rsidRPr="007D4BBE">
        <w:rPr>
          <w:sz w:val="24"/>
          <w:szCs w:val="24"/>
        </w:rPr>
        <w:t xml:space="preserve"> erişim sağlar. </w:t>
      </w:r>
    </w:p>
    <w:p w:rsidR="00286A9C" w:rsidRPr="007D4BBE" w:rsidRDefault="00286A9C" w:rsidP="00444B57">
      <w:pPr>
        <w:jc w:val="both"/>
        <w:rPr>
          <w:sz w:val="24"/>
          <w:szCs w:val="24"/>
        </w:rPr>
      </w:pPr>
    </w:p>
    <w:p w:rsidR="00286A9C" w:rsidRPr="007D4BBE" w:rsidRDefault="00286A9C" w:rsidP="00444B57">
      <w:pPr>
        <w:jc w:val="both"/>
        <w:rPr>
          <w:sz w:val="24"/>
          <w:szCs w:val="24"/>
        </w:rPr>
      </w:pPr>
      <w:proofErr w:type="spellStart"/>
      <w:r w:rsidRPr="007D4BBE">
        <w:rPr>
          <w:sz w:val="24"/>
          <w:szCs w:val="24"/>
        </w:rPr>
        <w:t>EED</w:t>
      </w:r>
      <w:proofErr w:type="spellEnd"/>
      <w:r w:rsidRPr="007D4BBE">
        <w:rPr>
          <w:sz w:val="24"/>
          <w:szCs w:val="24"/>
        </w:rPr>
        <w:t xml:space="preserve"> vatandaşların bilgiye erişimle </w:t>
      </w:r>
      <w:r w:rsidR="001326C9" w:rsidRPr="007D4BBE">
        <w:rPr>
          <w:sz w:val="24"/>
          <w:szCs w:val="24"/>
        </w:rPr>
        <w:t>ve özellikle de izin verme sürecinde BAT sonuçlarından sapmayı gerektiren kararların halkın erişimine açılması ihtiyacı veya bu hakların güvence altına alınması için İnternet</w:t>
      </w:r>
      <w:r w:rsidR="00E07430" w:rsidRPr="007D4BBE">
        <w:rPr>
          <w:sz w:val="24"/>
          <w:szCs w:val="24"/>
        </w:rPr>
        <w:t xml:space="preserve">in kullanılmasıyla </w:t>
      </w:r>
      <w:r w:rsidRPr="007D4BBE">
        <w:rPr>
          <w:sz w:val="24"/>
          <w:szCs w:val="24"/>
        </w:rPr>
        <w:t>ilgili haklarını artırır</w:t>
      </w:r>
      <w:r w:rsidR="00E07430" w:rsidRPr="007D4BBE">
        <w:rPr>
          <w:sz w:val="24"/>
          <w:szCs w:val="24"/>
        </w:rPr>
        <w:t>.</w:t>
      </w:r>
    </w:p>
    <w:p w:rsidR="00E07430" w:rsidRPr="007D4BBE" w:rsidRDefault="00E07430" w:rsidP="00444B57">
      <w:pPr>
        <w:jc w:val="both"/>
        <w:rPr>
          <w:sz w:val="24"/>
          <w:szCs w:val="24"/>
        </w:rPr>
      </w:pPr>
    </w:p>
    <w:p w:rsidR="00E07430" w:rsidRPr="007D4BBE" w:rsidRDefault="00E07430" w:rsidP="00444B57">
      <w:pPr>
        <w:jc w:val="both"/>
        <w:rPr>
          <w:b/>
          <w:i/>
          <w:sz w:val="24"/>
          <w:szCs w:val="24"/>
        </w:rPr>
      </w:pPr>
      <w:r w:rsidRPr="007D4BBE">
        <w:rPr>
          <w:b/>
          <w:i/>
          <w:sz w:val="24"/>
          <w:szCs w:val="24"/>
        </w:rPr>
        <w:t>Çevresel Kalite Standartları</w:t>
      </w:r>
    </w:p>
    <w:p w:rsidR="00E07430" w:rsidRPr="007D4BBE" w:rsidRDefault="00E07430" w:rsidP="00444B57">
      <w:pPr>
        <w:jc w:val="both"/>
        <w:rPr>
          <w:sz w:val="24"/>
          <w:szCs w:val="24"/>
          <w:lang w:eastAsia="tr-TR"/>
        </w:rPr>
      </w:pPr>
    </w:p>
    <w:p w:rsidR="00A92F52" w:rsidRPr="007D4BBE" w:rsidRDefault="007A1964" w:rsidP="00444B57">
      <w:pPr>
        <w:jc w:val="both"/>
        <w:rPr>
          <w:sz w:val="24"/>
          <w:szCs w:val="24"/>
          <w:lang w:eastAsia="tr-TR"/>
        </w:rPr>
      </w:pPr>
      <w:proofErr w:type="spellStart"/>
      <w:r w:rsidRPr="007D4BBE">
        <w:rPr>
          <w:sz w:val="24"/>
          <w:szCs w:val="24"/>
          <w:lang w:eastAsia="tr-TR"/>
        </w:rPr>
        <w:lastRenderedPageBreak/>
        <w:t>IPPCD</w:t>
      </w:r>
      <w:proofErr w:type="spellEnd"/>
      <w:r w:rsidR="00177E93" w:rsidRPr="007D4BBE">
        <w:rPr>
          <w:sz w:val="24"/>
          <w:szCs w:val="24"/>
          <w:lang w:eastAsia="tr-TR"/>
        </w:rPr>
        <w:t>, bir çevresel kalite standardının</w:t>
      </w:r>
      <w:r w:rsidRPr="007D4BBE">
        <w:rPr>
          <w:sz w:val="24"/>
          <w:szCs w:val="24"/>
          <w:lang w:eastAsia="tr-TR"/>
        </w:rPr>
        <w:t xml:space="preserve"> </w:t>
      </w:r>
      <w:r w:rsidR="00DB488E" w:rsidRPr="007D4BBE">
        <w:rPr>
          <w:sz w:val="24"/>
          <w:szCs w:val="24"/>
          <w:lang w:eastAsia="tr-TR"/>
        </w:rPr>
        <w:t>yetkili makamların BAT kullanımıyla gerçekleştirebileceğin</w:t>
      </w:r>
      <w:r w:rsidR="00177E93" w:rsidRPr="007D4BBE">
        <w:rPr>
          <w:sz w:val="24"/>
          <w:szCs w:val="24"/>
          <w:lang w:eastAsia="tr-TR"/>
        </w:rPr>
        <w:t>den</w:t>
      </w:r>
      <w:r w:rsidR="00DB488E" w:rsidRPr="007D4BBE">
        <w:rPr>
          <w:sz w:val="24"/>
          <w:szCs w:val="24"/>
          <w:lang w:eastAsia="tr-TR"/>
        </w:rPr>
        <w:t xml:space="preserve"> daha </w:t>
      </w:r>
      <w:r w:rsidR="00177E93" w:rsidRPr="007D4BBE">
        <w:rPr>
          <w:sz w:val="24"/>
          <w:szCs w:val="24"/>
          <w:lang w:eastAsia="tr-TR"/>
        </w:rPr>
        <w:t xml:space="preserve">katı koşullar gerektirdiği durumlarda </w:t>
      </w:r>
      <w:r w:rsidR="00A92F52" w:rsidRPr="007D4BBE">
        <w:rPr>
          <w:sz w:val="24"/>
          <w:szCs w:val="24"/>
          <w:lang w:eastAsia="tr-TR"/>
        </w:rPr>
        <w:t xml:space="preserve">yetkili makamların </w:t>
      </w:r>
      <w:proofErr w:type="spellStart"/>
      <w:r w:rsidR="00177E93" w:rsidRPr="007D4BBE">
        <w:rPr>
          <w:sz w:val="24"/>
          <w:szCs w:val="24"/>
          <w:lang w:eastAsia="tr-TR"/>
        </w:rPr>
        <w:t>IPPC</w:t>
      </w:r>
      <w:proofErr w:type="spellEnd"/>
      <w:r w:rsidR="00177E93" w:rsidRPr="007D4BBE">
        <w:rPr>
          <w:sz w:val="24"/>
          <w:szCs w:val="24"/>
          <w:lang w:eastAsia="tr-TR"/>
        </w:rPr>
        <w:t xml:space="preserve"> izinlerin</w:t>
      </w:r>
      <w:r w:rsidR="001E0971" w:rsidRPr="007D4BBE">
        <w:rPr>
          <w:sz w:val="24"/>
          <w:szCs w:val="24"/>
          <w:lang w:eastAsia="tr-TR"/>
        </w:rPr>
        <w:t>e ek önlemleri içer</w:t>
      </w:r>
      <w:r w:rsidR="00A92F52" w:rsidRPr="007D4BBE">
        <w:rPr>
          <w:sz w:val="24"/>
          <w:szCs w:val="24"/>
          <w:lang w:eastAsia="tr-TR"/>
        </w:rPr>
        <w:t>mesini gerektirir. Bu gereklilik tüm Üye Devletlerin ulusal hukukunda mevcuttur. Ancak yalnızca altı Üye Devlet bu hükümleri uygulama ihtiyacını bildirmiştir.</w:t>
      </w:r>
    </w:p>
    <w:p w:rsidR="00A92F52" w:rsidRPr="007D4BBE" w:rsidRDefault="00A92F52" w:rsidP="00444B57">
      <w:pPr>
        <w:jc w:val="both"/>
        <w:rPr>
          <w:sz w:val="24"/>
          <w:szCs w:val="24"/>
          <w:lang w:eastAsia="tr-TR"/>
        </w:rPr>
      </w:pPr>
    </w:p>
    <w:p w:rsidR="007A1964" w:rsidRPr="007D4BBE" w:rsidRDefault="006A566A" w:rsidP="00444B57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>Alınan e</w:t>
      </w:r>
      <w:r w:rsidR="00A92F52" w:rsidRPr="007D4BBE">
        <w:rPr>
          <w:sz w:val="24"/>
          <w:szCs w:val="24"/>
          <w:lang w:eastAsia="tr-TR"/>
        </w:rPr>
        <w:t xml:space="preserve">k </w:t>
      </w:r>
      <w:r w:rsidRPr="007D4BBE">
        <w:rPr>
          <w:sz w:val="24"/>
          <w:szCs w:val="24"/>
          <w:lang w:eastAsia="tr-TR"/>
        </w:rPr>
        <w:t xml:space="preserve">önlemlere ilişkin örnekler arasında Danimarka, İrlanda, İtalya ve Belçika’daki </w:t>
      </w:r>
      <w:r w:rsidR="00FC2AC2" w:rsidRPr="007D4BBE">
        <w:rPr>
          <w:sz w:val="24"/>
          <w:szCs w:val="24"/>
          <w:lang w:eastAsia="tr-TR"/>
        </w:rPr>
        <w:t xml:space="preserve">içme suyu alanlarına atık su boşaltımı ile ilgili gereklilikler bulunmaktadır. </w:t>
      </w:r>
    </w:p>
    <w:p w:rsidR="00E07430" w:rsidRPr="007D4BBE" w:rsidRDefault="00E07430" w:rsidP="00444B57">
      <w:pPr>
        <w:jc w:val="both"/>
        <w:rPr>
          <w:sz w:val="24"/>
          <w:szCs w:val="24"/>
          <w:lang w:eastAsia="tr-TR"/>
        </w:rPr>
      </w:pPr>
    </w:p>
    <w:p w:rsidR="00204C8B" w:rsidRPr="007D4BBE" w:rsidRDefault="00204C8B" w:rsidP="00444B57">
      <w:pPr>
        <w:jc w:val="both"/>
        <w:rPr>
          <w:b/>
          <w:i/>
          <w:sz w:val="24"/>
          <w:szCs w:val="24"/>
          <w:lang w:eastAsia="tr-TR"/>
        </w:rPr>
      </w:pPr>
      <w:r w:rsidRPr="007D4BBE">
        <w:rPr>
          <w:b/>
          <w:i/>
          <w:sz w:val="24"/>
          <w:szCs w:val="24"/>
          <w:lang w:eastAsia="tr-TR"/>
        </w:rPr>
        <w:t>Sınır ötesi işbirliği</w:t>
      </w:r>
    </w:p>
    <w:p w:rsidR="00204C8B" w:rsidRPr="007D4BBE" w:rsidRDefault="00204C8B" w:rsidP="00444B57">
      <w:pPr>
        <w:jc w:val="both"/>
        <w:rPr>
          <w:sz w:val="24"/>
          <w:szCs w:val="24"/>
          <w:lang w:eastAsia="tr-TR"/>
        </w:rPr>
      </w:pPr>
    </w:p>
    <w:p w:rsidR="00204C8B" w:rsidRPr="007D4BBE" w:rsidRDefault="00681987" w:rsidP="00444B57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>Üye Devlet</w:t>
      </w:r>
      <w:r w:rsidR="004029B2" w:rsidRPr="007D4BBE">
        <w:rPr>
          <w:sz w:val="24"/>
          <w:szCs w:val="24"/>
          <w:lang w:eastAsia="tr-TR"/>
        </w:rPr>
        <w:t>lerden birinin</w:t>
      </w:r>
      <w:r w:rsidR="002E3782" w:rsidRPr="007D4BBE">
        <w:rPr>
          <w:sz w:val="24"/>
          <w:szCs w:val="24"/>
          <w:lang w:eastAsia="tr-TR"/>
        </w:rPr>
        <w:t>,</w:t>
      </w:r>
      <w:r w:rsidR="004029B2" w:rsidRPr="007D4BBE">
        <w:rPr>
          <w:sz w:val="24"/>
          <w:szCs w:val="24"/>
          <w:lang w:eastAsia="tr-TR"/>
        </w:rPr>
        <w:t xml:space="preserve"> bir işletmenin işletiminin başka bir Üye Devlet</w:t>
      </w:r>
      <w:r w:rsidR="00743248" w:rsidRPr="007D4BBE">
        <w:rPr>
          <w:sz w:val="24"/>
          <w:szCs w:val="24"/>
          <w:lang w:eastAsia="tr-TR"/>
        </w:rPr>
        <w:t xml:space="preserve">in çevresi üzerinde önemli olumsuz etkilerinin olabileceğinin bilincinde olduğu durumlarda </w:t>
      </w:r>
      <w:proofErr w:type="spellStart"/>
      <w:r w:rsidR="00743248" w:rsidRPr="007D4BBE">
        <w:rPr>
          <w:sz w:val="24"/>
          <w:szCs w:val="24"/>
          <w:lang w:eastAsia="tr-TR"/>
        </w:rPr>
        <w:t>IPPCD</w:t>
      </w:r>
      <w:proofErr w:type="spellEnd"/>
      <w:r w:rsidR="00743248" w:rsidRPr="007D4BBE">
        <w:rPr>
          <w:sz w:val="24"/>
          <w:szCs w:val="24"/>
          <w:lang w:eastAsia="tr-TR"/>
        </w:rPr>
        <w:t xml:space="preserve">, </w:t>
      </w:r>
      <w:r w:rsidR="007A64DA" w:rsidRPr="007D4BBE">
        <w:rPr>
          <w:sz w:val="24"/>
          <w:szCs w:val="24"/>
          <w:lang w:eastAsia="tr-TR"/>
        </w:rPr>
        <w:t xml:space="preserve">operatörün </w:t>
      </w:r>
      <w:r w:rsidR="00743248" w:rsidRPr="007D4BBE">
        <w:rPr>
          <w:sz w:val="24"/>
          <w:szCs w:val="24"/>
          <w:lang w:eastAsia="tr-TR"/>
        </w:rPr>
        <w:t xml:space="preserve">aynı Direktife ait Ek V kapsamında </w:t>
      </w:r>
      <w:r w:rsidR="007A64DA" w:rsidRPr="007D4BBE">
        <w:rPr>
          <w:sz w:val="24"/>
          <w:szCs w:val="24"/>
          <w:lang w:eastAsia="tr-TR"/>
        </w:rPr>
        <w:t xml:space="preserve">kullanılabilir hale gelmiş tüm bilgileri ilgili Üye Devlet makamına aktarmasını gerektirir. Bu bilgilere izin başvurusu ve izin kararını vermekle yükümlü yetkili makamın ayrıntıları </w:t>
      </w:r>
      <w:r w:rsidR="002B57E0" w:rsidRPr="007D4BBE">
        <w:rPr>
          <w:sz w:val="24"/>
          <w:szCs w:val="24"/>
          <w:lang w:eastAsia="tr-TR"/>
        </w:rPr>
        <w:t>dâhildir</w:t>
      </w:r>
      <w:r w:rsidR="007A64DA" w:rsidRPr="007D4BBE">
        <w:rPr>
          <w:sz w:val="24"/>
          <w:szCs w:val="24"/>
          <w:lang w:eastAsia="tr-TR"/>
        </w:rPr>
        <w:t>.</w:t>
      </w:r>
      <w:r w:rsidR="00C277E0" w:rsidRPr="007D4BBE">
        <w:rPr>
          <w:sz w:val="24"/>
          <w:szCs w:val="24"/>
          <w:lang w:eastAsia="tr-TR"/>
        </w:rPr>
        <w:t xml:space="preserve"> </w:t>
      </w:r>
      <w:r w:rsidR="002B57E0" w:rsidRPr="007D4BBE">
        <w:rPr>
          <w:sz w:val="24"/>
          <w:szCs w:val="24"/>
          <w:lang w:eastAsia="tr-TR"/>
        </w:rPr>
        <w:t>Önceki raporlama devrelerinde olduğu gibi Üye Devletler sınır ötesi işbirliğinin sınırl</w:t>
      </w:r>
      <w:r w:rsidR="00863F60" w:rsidRPr="007D4BBE">
        <w:rPr>
          <w:sz w:val="24"/>
          <w:szCs w:val="24"/>
          <w:lang w:eastAsia="tr-TR"/>
        </w:rPr>
        <w:t>ı olduğunu</w:t>
      </w:r>
      <w:r w:rsidR="002B57E0" w:rsidRPr="007D4BBE">
        <w:rPr>
          <w:sz w:val="24"/>
          <w:szCs w:val="24"/>
          <w:lang w:eastAsia="tr-TR"/>
        </w:rPr>
        <w:t xml:space="preserve"> ifade etmiştir. Sekiz Üye Devlet (Almanya, Belçika, İtalya, Romanya, Slovenya, Slovakya, Fransa ve Holland</w:t>
      </w:r>
      <w:r w:rsidR="00C277E0" w:rsidRPr="007D4BBE">
        <w:rPr>
          <w:sz w:val="24"/>
          <w:szCs w:val="24"/>
          <w:lang w:eastAsia="tr-TR"/>
        </w:rPr>
        <w:t>a</w:t>
      </w:r>
      <w:r w:rsidR="002B57E0" w:rsidRPr="007D4BBE">
        <w:rPr>
          <w:sz w:val="24"/>
          <w:szCs w:val="24"/>
          <w:lang w:eastAsia="tr-TR"/>
        </w:rPr>
        <w:t>)</w:t>
      </w:r>
      <w:r w:rsidR="004C266C" w:rsidRPr="007D4BBE">
        <w:rPr>
          <w:sz w:val="24"/>
          <w:szCs w:val="24"/>
          <w:lang w:eastAsia="tr-TR"/>
        </w:rPr>
        <w:t xml:space="preserve">, </w:t>
      </w:r>
      <w:r w:rsidR="00863F60" w:rsidRPr="007D4BBE">
        <w:rPr>
          <w:sz w:val="24"/>
          <w:szCs w:val="24"/>
          <w:lang w:eastAsia="tr-TR"/>
        </w:rPr>
        <w:t xml:space="preserve">az sayıda izni ilgilendiren bu hükümlerin kullanıldığını bildirir. </w:t>
      </w:r>
    </w:p>
    <w:p w:rsidR="00863F60" w:rsidRPr="007D4BBE" w:rsidRDefault="00863F60" w:rsidP="00444B57">
      <w:pPr>
        <w:jc w:val="both"/>
        <w:rPr>
          <w:sz w:val="24"/>
          <w:szCs w:val="24"/>
          <w:lang w:eastAsia="tr-TR"/>
        </w:rPr>
      </w:pPr>
    </w:p>
    <w:p w:rsidR="00863F60" w:rsidRPr="007D4BBE" w:rsidRDefault="00863F60" w:rsidP="00444B57">
      <w:pPr>
        <w:jc w:val="both"/>
        <w:rPr>
          <w:b/>
          <w:sz w:val="24"/>
          <w:szCs w:val="24"/>
          <w:lang w:eastAsia="tr-TR"/>
        </w:rPr>
      </w:pPr>
      <w:r w:rsidRPr="007D4BBE">
        <w:rPr>
          <w:b/>
          <w:sz w:val="24"/>
          <w:szCs w:val="24"/>
          <w:lang w:eastAsia="tr-TR"/>
        </w:rPr>
        <w:t xml:space="preserve">2.3 Komisyon’un </w:t>
      </w:r>
      <w:proofErr w:type="spellStart"/>
      <w:r w:rsidRPr="007D4BBE">
        <w:rPr>
          <w:b/>
          <w:sz w:val="24"/>
          <w:szCs w:val="24"/>
          <w:lang w:eastAsia="tr-TR"/>
        </w:rPr>
        <w:t>IPPC</w:t>
      </w:r>
      <w:proofErr w:type="spellEnd"/>
      <w:r w:rsidRPr="007D4BBE">
        <w:rPr>
          <w:b/>
          <w:sz w:val="24"/>
          <w:szCs w:val="24"/>
          <w:lang w:eastAsia="tr-TR"/>
        </w:rPr>
        <w:t xml:space="preserve"> uygulama eylem planı</w:t>
      </w:r>
    </w:p>
    <w:p w:rsidR="00863F60" w:rsidRPr="007D4BBE" w:rsidRDefault="00863F60" w:rsidP="00444B57">
      <w:pPr>
        <w:jc w:val="both"/>
        <w:rPr>
          <w:sz w:val="24"/>
          <w:szCs w:val="24"/>
          <w:lang w:eastAsia="tr-TR"/>
        </w:rPr>
      </w:pPr>
    </w:p>
    <w:p w:rsidR="003A1CC6" w:rsidRPr="007D4BBE" w:rsidRDefault="00E97243" w:rsidP="00444B57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Komisyon ‘Endüstriyel </w:t>
      </w:r>
      <w:proofErr w:type="gramStart"/>
      <w:r w:rsidRPr="007D4BBE">
        <w:rPr>
          <w:sz w:val="24"/>
          <w:szCs w:val="24"/>
          <w:lang w:eastAsia="tr-TR"/>
        </w:rPr>
        <w:t>emisyonlar</w:t>
      </w:r>
      <w:proofErr w:type="gramEnd"/>
      <w:r w:rsidRPr="007D4BBE">
        <w:rPr>
          <w:sz w:val="24"/>
          <w:szCs w:val="24"/>
          <w:lang w:eastAsia="tr-TR"/>
        </w:rPr>
        <w:t xml:space="preserve"> hakkındaki iyileştirilmiş bir </w:t>
      </w:r>
      <w:r w:rsidR="001F6399" w:rsidRPr="007D4BBE">
        <w:rPr>
          <w:sz w:val="24"/>
          <w:szCs w:val="24"/>
          <w:lang w:eastAsia="tr-TR"/>
        </w:rPr>
        <w:t>politikaya yönelik’</w:t>
      </w:r>
      <w:r w:rsidR="001F6399" w:rsidRPr="007D4BBE">
        <w:rPr>
          <w:rStyle w:val="DipnotBavurusu"/>
          <w:sz w:val="24"/>
          <w:szCs w:val="24"/>
          <w:lang w:eastAsia="tr-TR"/>
        </w:rPr>
        <w:footnoteReference w:id="10"/>
      </w:r>
      <w:r w:rsidR="001F6399" w:rsidRPr="007D4BBE">
        <w:rPr>
          <w:sz w:val="24"/>
          <w:szCs w:val="24"/>
          <w:lang w:eastAsia="tr-TR"/>
        </w:rPr>
        <w:t xml:space="preserve"> </w:t>
      </w:r>
      <w:r w:rsidR="00C70D7F" w:rsidRPr="007D4BBE">
        <w:rPr>
          <w:sz w:val="24"/>
          <w:szCs w:val="24"/>
          <w:lang w:eastAsia="tr-TR"/>
        </w:rPr>
        <w:t>Tebliğ</w:t>
      </w:r>
      <w:r w:rsidRPr="007D4BBE">
        <w:rPr>
          <w:sz w:val="24"/>
          <w:szCs w:val="24"/>
          <w:lang w:eastAsia="tr-TR"/>
        </w:rPr>
        <w:t>in</w:t>
      </w:r>
      <w:r w:rsidR="00C70D7F" w:rsidRPr="007D4BBE">
        <w:rPr>
          <w:sz w:val="24"/>
          <w:szCs w:val="24"/>
          <w:lang w:eastAsia="tr-TR"/>
        </w:rPr>
        <w:t>de</w:t>
      </w:r>
      <w:r w:rsidR="007F4198" w:rsidRPr="007D4BBE">
        <w:rPr>
          <w:sz w:val="24"/>
          <w:szCs w:val="24"/>
          <w:lang w:eastAsia="tr-TR"/>
        </w:rPr>
        <w:t xml:space="preserve"> </w:t>
      </w:r>
      <w:r w:rsidR="000D500F" w:rsidRPr="007D4BBE">
        <w:rPr>
          <w:sz w:val="24"/>
          <w:szCs w:val="24"/>
          <w:lang w:eastAsia="tr-TR"/>
        </w:rPr>
        <w:t>Üye Devletler</w:t>
      </w:r>
      <w:r w:rsidR="00A416A9" w:rsidRPr="007D4BBE">
        <w:rPr>
          <w:sz w:val="24"/>
          <w:szCs w:val="24"/>
          <w:lang w:eastAsia="tr-TR"/>
        </w:rPr>
        <w:t xml:space="preserve"> tarafından</w:t>
      </w:r>
      <w:r w:rsidR="000D500F" w:rsidRPr="007D4BBE">
        <w:rPr>
          <w:sz w:val="24"/>
          <w:szCs w:val="24"/>
          <w:lang w:eastAsia="tr-TR"/>
        </w:rPr>
        <w:t xml:space="preserve"> uyarlama ve uygulama ile </w:t>
      </w:r>
      <w:proofErr w:type="spellStart"/>
      <w:r w:rsidR="00A416A9" w:rsidRPr="007D4BBE">
        <w:rPr>
          <w:sz w:val="24"/>
          <w:szCs w:val="24"/>
          <w:lang w:eastAsia="tr-TR"/>
        </w:rPr>
        <w:t>BREF</w:t>
      </w:r>
      <w:proofErr w:type="spellEnd"/>
      <w:r w:rsidR="00A416A9" w:rsidRPr="007D4BBE">
        <w:rPr>
          <w:sz w:val="24"/>
          <w:szCs w:val="24"/>
          <w:lang w:eastAsia="tr-TR"/>
        </w:rPr>
        <w:t xml:space="preserve"> </w:t>
      </w:r>
      <w:proofErr w:type="spellStart"/>
      <w:r w:rsidR="00872A2B" w:rsidRPr="007D4BBE">
        <w:rPr>
          <w:sz w:val="24"/>
          <w:szCs w:val="24"/>
          <w:lang w:eastAsia="tr-TR"/>
        </w:rPr>
        <w:t>ayrıntılandırma</w:t>
      </w:r>
      <w:proofErr w:type="spellEnd"/>
      <w:r w:rsidR="00A416A9" w:rsidRPr="007D4BBE">
        <w:rPr>
          <w:sz w:val="24"/>
          <w:szCs w:val="24"/>
          <w:lang w:eastAsia="tr-TR"/>
        </w:rPr>
        <w:t xml:space="preserve"> sürecini</w:t>
      </w:r>
      <w:r w:rsidR="00860E8D" w:rsidRPr="007D4BBE">
        <w:rPr>
          <w:sz w:val="24"/>
          <w:szCs w:val="24"/>
          <w:lang w:eastAsia="tr-TR"/>
        </w:rPr>
        <w:t>n</w:t>
      </w:r>
      <w:r w:rsidR="00A416A9" w:rsidRPr="007D4BBE">
        <w:rPr>
          <w:sz w:val="24"/>
          <w:szCs w:val="24"/>
          <w:lang w:eastAsia="tr-TR"/>
        </w:rPr>
        <w:t xml:space="preserve"> iyileştirilmesi dâhil olmak üzere bir</w:t>
      </w:r>
      <w:r w:rsidR="00872A2B" w:rsidRPr="007D4BBE">
        <w:rPr>
          <w:sz w:val="24"/>
          <w:szCs w:val="24"/>
          <w:lang w:eastAsia="tr-TR"/>
        </w:rPr>
        <w:t xml:space="preserve">kaç kilit konuyu </w:t>
      </w:r>
      <w:r w:rsidR="00F1532C" w:rsidRPr="007D4BBE">
        <w:rPr>
          <w:sz w:val="24"/>
          <w:szCs w:val="24"/>
          <w:lang w:eastAsia="tr-TR"/>
        </w:rPr>
        <w:t xml:space="preserve">ele alan bir uygulama planını ana hatlarıyla çizmiştir. Ek </w:t>
      </w:r>
      <w:proofErr w:type="spellStart"/>
      <w:r w:rsidR="00F1532C" w:rsidRPr="007D4BBE">
        <w:rPr>
          <w:sz w:val="24"/>
          <w:szCs w:val="24"/>
          <w:lang w:eastAsia="tr-TR"/>
        </w:rPr>
        <w:t>I’deki</w:t>
      </w:r>
      <w:proofErr w:type="spellEnd"/>
      <w:r w:rsidR="00F1532C" w:rsidRPr="007D4BBE">
        <w:rPr>
          <w:sz w:val="24"/>
          <w:szCs w:val="24"/>
          <w:lang w:eastAsia="tr-TR"/>
        </w:rPr>
        <w:t xml:space="preserve"> özet tablosu, eylem planının artık </w:t>
      </w:r>
      <w:r w:rsidR="000F7A82" w:rsidRPr="007D4BBE">
        <w:rPr>
          <w:sz w:val="24"/>
          <w:szCs w:val="24"/>
          <w:lang w:eastAsia="tr-TR"/>
        </w:rPr>
        <w:t xml:space="preserve">çoğunlukla </w:t>
      </w:r>
      <w:proofErr w:type="spellStart"/>
      <w:r w:rsidR="000F7A82" w:rsidRPr="007D4BBE">
        <w:rPr>
          <w:sz w:val="24"/>
          <w:szCs w:val="24"/>
          <w:lang w:eastAsia="tr-TR"/>
        </w:rPr>
        <w:t>EED</w:t>
      </w:r>
      <w:proofErr w:type="spellEnd"/>
      <w:r w:rsidR="000F7A82" w:rsidRPr="007D4BBE">
        <w:rPr>
          <w:sz w:val="24"/>
          <w:szCs w:val="24"/>
          <w:lang w:eastAsia="tr-TR"/>
        </w:rPr>
        <w:t xml:space="preserve"> aracılığıyla </w:t>
      </w:r>
      <w:r w:rsidR="00F1532C" w:rsidRPr="007D4BBE">
        <w:rPr>
          <w:sz w:val="24"/>
          <w:szCs w:val="24"/>
          <w:lang w:eastAsia="tr-TR"/>
        </w:rPr>
        <w:t xml:space="preserve">neredeyse tamamen uygulanmış </w:t>
      </w:r>
      <w:r w:rsidR="000F7A82" w:rsidRPr="007D4BBE">
        <w:rPr>
          <w:sz w:val="24"/>
          <w:szCs w:val="24"/>
          <w:lang w:eastAsia="tr-TR"/>
        </w:rPr>
        <w:t>olduğunu göstermektedir.</w:t>
      </w:r>
    </w:p>
    <w:p w:rsidR="000F7A82" w:rsidRPr="007D4BBE" w:rsidRDefault="000F7A82" w:rsidP="00444B57">
      <w:pPr>
        <w:jc w:val="both"/>
        <w:rPr>
          <w:sz w:val="24"/>
          <w:szCs w:val="24"/>
          <w:lang w:eastAsia="tr-TR"/>
        </w:rPr>
      </w:pPr>
    </w:p>
    <w:p w:rsidR="000F7A82" w:rsidRPr="007D4BBE" w:rsidRDefault="000F7A82" w:rsidP="00444B57">
      <w:pPr>
        <w:jc w:val="both"/>
        <w:rPr>
          <w:sz w:val="24"/>
          <w:szCs w:val="24"/>
          <w:lang w:eastAsia="tr-TR"/>
        </w:rPr>
      </w:pPr>
      <w:proofErr w:type="spellStart"/>
      <w:r w:rsidRPr="007D4BBE">
        <w:rPr>
          <w:sz w:val="24"/>
          <w:szCs w:val="24"/>
          <w:lang w:eastAsia="tr-TR"/>
        </w:rPr>
        <w:t>EED’nin</w:t>
      </w:r>
      <w:proofErr w:type="spellEnd"/>
      <w:r w:rsidRPr="007D4BBE">
        <w:rPr>
          <w:sz w:val="24"/>
          <w:szCs w:val="24"/>
          <w:lang w:eastAsia="tr-TR"/>
        </w:rPr>
        <w:t xml:space="preserve"> yürürlü</w:t>
      </w:r>
      <w:r w:rsidR="00192CDD" w:rsidRPr="007D4BBE">
        <w:rPr>
          <w:sz w:val="24"/>
          <w:szCs w:val="24"/>
          <w:lang w:eastAsia="tr-TR"/>
        </w:rPr>
        <w:t>ğe girmesiyle birlikte Komisyon</w:t>
      </w:r>
      <w:r w:rsidR="003109D0" w:rsidRPr="007D4BBE">
        <w:rPr>
          <w:sz w:val="24"/>
          <w:szCs w:val="24"/>
          <w:lang w:eastAsia="tr-TR"/>
        </w:rPr>
        <w:t>,</w:t>
      </w:r>
      <w:r w:rsidRPr="007D4BBE">
        <w:rPr>
          <w:sz w:val="24"/>
          <w:szCs w:val="24"/>
          <w:lang w:eastAsia="tr-TR"/>
        </w:rPr>
        <w:t xml:space="preserve"> </w:t>
      </w:r>
      <w:r w:rsidR="003331F6" w:rsidRPr="007D4BBE">
        <w:rPr>
          <w:sz w:val="24"/>
          <w:szCs w:val="24"/>
          <w:lang w:eastAsia="tr-TR"/>
        </w:rPr>
        <w:t xml:space="preserve">söz konusu Direktifi tam anlamıyla uyarlama ve uygulama yönündeki çabalarında </w:t>
      </w:r>
      <w:r w:rsidR="00192CDD" w:rsidRPr="007D4BBE">
        <w:rPr>
          <w:sz w:val="24"/>
          <w:szCs w:val="24"/>
          <w:lang w:eastAsia="tr-TR"/>
        </w:rPr>
        <w:t xml:space="preserve">dikkatini </w:t>
      </w:r>
      <w:r w:rsidRPr="007D4BBE">
        <w:rPr>
          <w:sz w:val="24"/>
          <w:szCs w:val="24"/>
          <w:lang w:eastAsia="tr-TR"/>
        </w:rPr>
        <w:t>des</w:t>
      </w:r>
      <w:r w:rsidR="003109D0" w:rsidRPr="007D4BBE">
        <w:rPr>
          <w:sz w:val="24"/>
          <w:szCs w:val="24"/>
          <w:lang w:eastAsia="tr-TR"/>
        </w:rPr>
        <w:t>tek</w:t>
      </w:r>
      <w:r w:rsidR="00EB745F" w:rsidRPr="007D4BBE">
        <w:rPr>
          <w:sz w:val="24"/>
          <w:szCs w:val="24"/>
          <w:lang w:eastAsia="tr-TR"/>
        </w:rPr>
        <w:t xml:space="preserve"> veren</w:t>
      </w:r>
      <w:r w:rsidRPr="007D4BBE">
        <w:rPr>
          <w:sz w:val="24"/>
          <w:szCs w:val="24"/>
          <w:lang w:eastAsia="tr-TR"/>
        </w:rPr>
        <w:t xml:space="preserve"> Üye </w:t>
      </w:r>
      <w:r w:rsidR="003109D0" w:rsidRPr="007D4BBE">
        <w:rPr>
          <w:sz w:val="24"/>
          <w:szCs w:val="24"/>
          <w:lang w:eastAsia="tr-TR"/>
        </w:rPr>
        <w:t xml:space="preserve">Devletlere </w:t>
      </w:r>
      <w:r w:rsidR="003331F6" w:rsidRPr="007D4BBE">
        <w:rPr>
          <w:sz w:val="24"/>
          <w:szCs w:val="24"/>
          <w:lang w:eastAsia="tr-TR"/>
        </w:rPr>
        <w:t>verecektir.</w:t>
      </w:r>
      <w:r w:rsidR="00192CDD" w:rsidRPr="007D4BBE">
        <w:rPr>
          <w:sz w:val="24"/>
          <w:szCs w:val="24"/>
          <w:lang w:eastAsia="tr-TR"/>
        </w:rPr>
        <w:t xml:space="preserve"> EK </w:t>
      </w:r>
      <w:proofErr w:type="spellStart"/>
      <w:r w:rsidR="00192CDD" w:rsidRPr="007D4BBE">
        <w:rPr>
          <w:sz w:val="24"/>
          <w:szCs w:val="24"/>
          <w:lang w:eastAsia="tr-TR"/>
        </w:rPr>
        <w:t>I’de</w:t>
      </w:r>
      <w:proofErr w:type="spellEnd"/>
      <w:r w:rsidR="00192CDD" w:rsidRPr="007D4BBE">
        <w:rPr>
          <w:sz w:val="24"/>
          <w:szCs w:val="24"/>
          <w:lang w:eastAsia="tr-TR"/>
        </w:rPr>
        <w:t xml:space="preserve"> sıralanan işlerden bazıları bu nedenle </w:t>
      </w:r>
      <w:proofErr w:type="spellStart"/>
      <w:r w:rsidR="00192CDD" w:rsidRPr="007D4BBE">
        <w:rPr>
          <w:sz w:val="24"/>
          <w:szCs w:val="24"/>
          <w:lang w:eastAsia="tr-TR"/>
        </w:rPr>
        <w:t>EED</w:t>
      </w:r>
      <w:proofErr w:type="spellEnd"/>
      <w:r w:rsidR="00192CDD" w:rsidRPr="007D4BBE">
        <w:rPr>
          <w:sz w:val="24"/>
          <w:szCs w:val="24"/>
          <w:lang w:eastAsia="tr-TR"/>
        </w:rPr>
        <w:t xml:space="preserve"> bağlamında sürdürülecektir. </w:t>
      </w:r>
    </w:p>
    <w:p w:rsidR="00EB745F" w:rsidRPr="007D4BBE" w:rsidRDefault="00EB745F" w:rsidP="00444B57">
      <w:pPr>
        <w:jc w:val="both"/>
        <w:rPr>
          <w:sz w:val="24"/>
          <w:szCs w:val="24"/>
          <w:lang w:eastAsia="tr-TR"/>
        </w:rPr>
      </w:pPr>
    </w:p>
    <w:p w:rsidR="00EB745F" w:rsidRPr="007D4BBE" w:rsidRDefault="00EB745F" w:rsidP="00EB745F">
      <w:pPr>
        <w:pStyle w:val="ListeParagraf"/>
        <w:numPr>
          <w:ilvl w:val="0"/>
          <w:numId w:val="1"/>
        </w:numPr>
        <w:ind w:left="284" w:hanging="284"/>
        <w:jc w:val="both"/>
        <w:rPr>
          <w:b/>
          <w:sz w:val="24"/>
          <w:szCs w:val="24"/>
          <w:lang w:eastAsia="tr-TR"/>
        </w:rPr>
      </w:pPr>
      <w:proofErr w:type="spellStart"/>
      <w:r w:rsidRPr="007D4BBE">
        <w:rPr>
          <w:b/>
          <w:sz w:val="24"/>
          <w:szCs w:val="24"/>
          <w:lang w:eastAsia="tr-TR"/>
        </w:rPr>
        <w:t>SED</w:t>
      </w:r>
      <w:proofErr w:type="spellEnd"/>
    </w:p>
    <w:p w:rsidR="008A419E" w:rsidRPr="007D4BBE" w:rsidRDefault="008A419E" w:rsidP="00640233">
      <w:pPr>
        <w:rPr>
          <w:sz w:val="24"/>
          <w:szCs w:val="24"/>
        </w:rPr>
      </w:pPr>
    </w:p>
    <w:p w:rsidR="007F024F" w:rsidRPr="007D4BBE" w:rsidRDefault="00EB745F" w:rsidP="004E4B26">
      <w:pPr>
        <w:jc w:val="both"/>
        <w:rPr>
          <w:sz w:val="24"/>
          <w:szCs w:val="24"/>
        </w:rPr>
      </w:pPr>
      <w:proofErr w:type="spellStart"/>
      <w:r w:rsidRPr="007D4BBE">
        <w:rPr>
          <w:sz w:val="24"/>
          <w:szCs w:val="24"/>
        </w:rPr>
        <w:t>SED’in</w:t>
      </w:r>
      <w:proofErr w:type="spellEnd"/>
      <w:r w:rsidRPr="007D4BBE">
        <w:rPr>
          <w:sz w:val="24"/>
          <w:szCs w:val="24"/>
        </w:rPr>
        <w:t xml:space="preserve"> amacı</w:t>
      </w:r>
      <w:r w:rsidR="00F10B0E" w:rsidRPr="007D4BBE">
        <w:rPr>
          <w:sz w:val="24"/>
          <w:szCs w:val="24"/>
        </w:rPr>
        <w:t xml:space="preserve">, havaya salınan uçucu organik bileşen </w:t>
      </w:r>
      <w:proofErr w:type="gramStart"/>
      <w:r w:rsidR="00F10B0E" w:rsidRPr="007D4BBE">
        <w:rPr>
          <w:sz w:val="24"/>
          <w:szCs w:val="24"/>
        </w:rPr>
        <w:t>emisyonlarının</w:t>
      </w:r>
      <w:proofErr w:type="gramEnd"/>
      <w:r w:rsidR="00F10B0E" w:rsidRPr="007D4BBE">
        <w:rPr>
          <w:sz w:val="24"/>
          <w:szCs w:val="24"/>
        </w:rPr>
        <w:t xml:space="preserve"> insan sağlığı ve çevre üzerinde etkilerini önlemek veya azaltmaktır. </w:t>
      </w:r>
      <w:proofErr w:type="spellStart"/>
      <w:r w:rsidR="00F10B0E" w:rsidRPr="007D4BBE">
        <w:rPr>
          <w:sz w:val="24"/>
          <w:szCs w:val="24"/>
        </w:rPr>
        <w:t>SED</w:t>
      </w:r>
      <w:proofErr w:type="spellEnd"/>
      <w:r w:rsidR="00F10B0E" w:rsidRPr="007D4BBE">
        <w:rPr>
          <w:sz w:val="24"/>
          <w:szCs w:val="24"/>
        </w:rPr>
        <w:t xml:space="preserve"> özellikle de </w:t>
      </w:r>
      <w:r w:rsidR="004E10EE" w:rsidRPr="007D4BBE">
        <w:rPr>
          <w:sz w:val="24"/>
          <w:szCs w:val="24"/>
        </w:rPr>
        <w:t xml:space="preserve">sağlık üzerinde en ciddi etkilere sahip </w:t>
      </w:r>
      <w:proofErr w:type="spellStart"/>
      <w:r w:rsidR="004E10EE" w:rsidRPr="007D4BBE">
        <w:rPr>
          <w:sz w:val="24"/>
          <w:szCs w:val="24"/>
        </w:rPr>
        <w:t>solventlerin</w:t>
      </w:r>
      <w:proofErr w:type="spellEnd"/>
      <w:r w:rsidR="004E10EE" w:rsidRPr="007D4BBE">
        <w:rPr>
          <w:sz w:val="24"/>
          <w:szCs w:val="24"/>
        </w:rPr>
        <w:t xml:space="preserve"> </w:t>
      </w:r>
      <w:r w:rsidR="002A5D78" w:rsidRPr="007D4BBE">
        <w:rPr>
          <w:sz w:val="24"/>
          <w:szCs w:val="24"/>
        </w:rPr>
        <w:t xml:space="preserve">potansiyel olarak daha az zararlı ikame maddelerle </w:t>
      </w:r>
      <w:r w:rsidR="004E10EE" w:rsidRPr="007D4BBE">
        <w:rPr>
          <w:sz w:val="24"/>
          <w:szCs w:val="24"/>
        </w:rPr>
        <w:t>değiştirilmesini teşvik eder</w:t>
      </w:r>
      <w:r w:rsidR="002A5D78" w:rsidRPr="007D4BBE">
        <w:rPr>
          <w:sz w:val="24"/>
          <w:szCs w:val="24"/>
        </w:rPr>
        <w:t xml:space="preserve">. </w:t>
      </w:r>
      <w:proofErr w:type="spellStart"/>
      <w:r w:rsidR="002A5D78" w:rsidRPr="007D4BBE">
        <w:rPr>
          <w:sz w:val="24"/>
          <w:szCs w:val="24"/>
        </w:rPr>
        <w:t>SED</w:t>
      </w:r>
      <w:proofErr w:type="spellEnd"/>
      <w:r w:rsidR="002A5D78" w:rsidRPr="007D4BBE">
        <w:rPr>
          <w:sz w:val="24"/>
          <w:szCs w:val="24"/>
        </w:rPr>
        <w:t xml:space="preserve">,  organik </w:t>
      </w:r>
      <w:proofErr w:type="spellStart"/>
      <w:r w:rsidR="002A5D78" w:rsidRPr="007D4BBE">
        <w:rPr>
          <w:sz w:val="24"/>
          <w:szCs w:val="24"/>
        </w:rPr>
        <w:t>solventlerin</w:t>
      </w:r>
      <w:proofErr w:type="spellEnd"/>
      <w:r w:rsidR="002A5D78" w:rsidRPr="007D4BBE">
        <w:rPr>
          <w:sz w:val="24"/>
          <w:szCs w:val="24"/>
        </w:rPr>
        <w:t xml:space="preserve"> kullanımını içeren kaplama, yağ giderme, basma ve mürekkep imalatı gibi çeşitli faaliyetleri </w:t>
      </w:r>
      <w:r w:rsidR="007F024F" w:rsidRPr="007D4BBE">
        <w:rPr>
          <w:sz w:val="24"/>
          <w:szCs w:val="24"/>
        </w:rPr>
        <w:t xml:space="preserve">kapsarken, </w:t>
      </w:r>
      <w:proofErr w:type="spellStart"/>
      <w:r w:rsidR="007F024F" w:rsidRPr="007D4BBE">
        <w:rPr>
          <w:sz w:val="24"/>
          <w:szCs w:val="24"/>
        </w:rPr>
        <w:t>SED</w:t>
      </w:r>
      <w:proofErr w:type="spellEnd"/>
      <w:r w:rsidR="007F024F" w:rsidRPr="007D4BBE">
        <w:rPr>
          <w:sz w:val="24"/>
          <w:szCs w:val="24"/>
        </w:rPr>
        <w:t xml:space="preserve"> kapsamına giren tüm işletmelerin Ekim 2007 sonuna kadar yetkilendirilmesi veya tescil edilmesi gerekiyordu. </w:t>
      </w:r>
    </w:p>
    <w:p w:rsidR="007F024F" w:rsidRPr="007D4BBE" w:rsidRDefault="007F024F" w:rsidP="007F024F">
      <w:pPr>
        <w:rPr>
          <w:sz w:val="24"/>
          <w:szCs w:val="24"/>
        </w:rPr>
      </w:pPr>
    </w:p>
    <w:p w:rsidR="007F024F" w:rsidRPr="007D4BBE" w:rsidRDefault="007F024F" w:rsidP="007F024F">
      <w:pPr>
        <w:rPr>
          <w:sz w:val="24"/>
          <w:szCs w:val="24"/>
        </w:rPr>
      </w:pPr>
      <w:proofErr w:type="spellStart"/>
      <w:r w:rsidRPr="007D4BBE">
        <w:rPr>
          <w:sz w:val="24"/>
          <w:szCs w:val="24"/>
        </w:rPr>
        <w:t>EED</w:t>
      </w:r>
      <w:proofErr w:type="spellEnd"/>
      <w:r w:rsidRPr="007D4BBE">
        <w:rPr>
          <w:sz w:val="24"/>
          <w:szCs w:val="24"/>
        </w:rPr>
        <w:t xml:space="preserve"> bu Direktifin hükümlerini </w:t>
      </w:r>
      <w:r w:rsidR="00C807CF" w:rsidRPr="007D4BBE">
        <w:rPr>
          <w:sz w:val="24"/>
          <w:szCs w:val="24"/>
        </w:rPr>
        <w:t>bünyesinde bulundurur.</w:t>
      </w:r>
    </w:p>
    <w:p w:rsidR="00C807CF" w:rsidRPr="007D4BBE" w:rsidRDefault="00C807CF" w:rsidP="007F024F">
      <w:pPr>
        <w:rPr>
          <w:sz w:val="24"/>
          <w:szCs w:val="24"/>
        </w:rPr>
      </w:pPr>
    </w:p>
    <w:p w:rsidR="00A90EC1" w:rsidRPr="007D4BBE" w:rsidRDefault="00A90EC1">
      <w:pPr>
        <w:rPr>
          <w:b/>
          <w:sz w:val="24"/>
          <w:szCs w:val="24"/>
        </w:rPr>
      </w:pPr>
      <w:r w:rsidRPr="007D4BBE">
        <w:rPr>
          <w:b/>
          <w:sz w:val="24"/>
          <w:szCs w:val="24"/>
        </w:rPr>
        <w:br w:type="page"/>
      </w:r>
    </w:p>
    <w:p w:rsidR="00C807CF" w:rsidRPr="007D4BBE" w:rsidRDefault="00C807CF" w:rsidP="007F024F">
      <w:pPr>
        <w:rPr>
          <w:b/>
          <w:sz w:val="24"/>
          <w:szCs w:val="24"/>
        </w:rPr>
      </w:pPr>
      <w:r w:rsidRPr="007D4BBE">
        <w:rPr>
          <w:b/>
          <w:sz w:val="24"/>
          <w:szCs w:val="24"/>
        </w:rPr>
        <w:lastRenderedPageBreak/>
        <w:t xml:space="preserve">3.1 </w:t>
      </w:r>
      <w:proofErr w:type="spellStart"/>
      <w:r w:rsidRPr="007D4BBE">
        <w:rPr>
          <w:b/>
          <w:sz w:val="24"/>
          <w:szCs w:val="24"/>
        </w:rPr>
        <w:t>SED’in</w:t>
      </w:r>
      <w:proofErr w:type="spellEnd"/>
      <w:r w:rsidRPr="007D4BBE">
        <w:rPr>
          <w:b/>
          <w:sz w:val="24"/>
          <w:szCs w:val="24"/>
        </w:rPr>
        <w:t xml:space="preserve"> uyarlanması</w:t>
      </w:r>
    </w:p>
    <w:p w:rsidR="00C807CF" w:rsidRPr="007D4BBE" w:rsidRDefault="00C807CF" w:rsidP="007F024F">
      <w:pPr>
        <w:rPr>
          <w:sz w:val="24"/>
          <w:szCs w:val="24"/>
        </w:rPr>
      </w:pPr>
    </w:p>
    <w:p w:rsidR="00C807CF" w:rsidRPr="007D4BBE" w:rsidRDefault="00C807CF" w:rsidP="00C807CF">
      <w:pPr>
        <w:jc w:val="both"/>
        <w:rPr>
          <w:sz w:val="24"/>
          <w:szCs w:val="24"/>
        </w:rPr>
      </w:pPr>
      <w:r w:rsidRPr="007D4BBE">
        <w:rPr>
          <w:sz w:val="24"/>
          <w:szCs w:val="24"/>
        </w:rPr>
        <w:t xml:space="preserve">Genel olarak Üye Devletler Direktifi ulusal mevzuatlarına uyarlamış olmakla birlikte yakın zamanda yapılan uygunluk kontrol </w:t>
      </w:r>
      <w:r w:rsidR="00045400" w:rsidRPr="007D4BBE">
        <w:rPr>
          <w:sz w:val="24"/>
          <w:szCs w:val="24"/>
        </w:rPr>
        <w:t>uygulaması</w:t>
      </w:r>
      <w:r w:rsidRPr="007D4BBE">
        <w:rPr>
          <w:sz w:val="24"/>
          <w:szCs w:val="24"/>
        </w:rPr>
        <w:t xml:space="preserve"> sırasında </w:t>
      </w:r>
      <w:r w:rsidR="00981FB8" w:rsidRPr="007D4BBE">
        <w:rPr>
          <w:sz w:val="24"/>
          <w:szCs w:val="24"/>
        </w:rPr>
        <w:t xml:space="preserve">başta belirli tanımların, izleme gerekliliklerinin, Direktif kapsamının ve </w:t>
      </w:r>
      <w:proofErr w:type="gramStart"/>
      <w:r w:rsidR="00981FB8" w:rsidRPr="007D4BBE">
        <w:rPr>
          <w:sz w:val="24"/>
          <w:szCs w:val="24"/>
        </w:rPr>
        <w:t>emisyon</w:t>
      </w:r>
      <w:proofErr w:type="gramEnd"/>
      <w:r w:rsidR="00981FB8" w:rsidRPr="007D4BBE">
        <w:rPr>
          <w:sz w:val="24"/>
          <w:szCs w:val="24"/>
        </w:rPr>
        <w:t xml:space="preserve"> sınır değerlerinin uyarlanması hususunda olmak üzere </w:t>
      </w:r>
      <w:r w:rsidRPr="007D4BBE">
        <w:rPr>
          <w:sz w:val="24"/>
          <w:szCs w:val="24"/>
        </w:rPr>
        <w:t xml:space="preserve">bazı sorunlar belirlenmiştir. </w:t>
      </w:r>
      <w:r w:rsidR="00981FB8" w:rsidRPr="007D4BBE">
        <w:rPr>
          <w:sz w:val="24"/>
          <w:szCs w:val="24"/>
        </w:rPr>
        <w:t xml:space="preserve">Komisyon, </w:t>
      </w:r>
      <w:proofErr w:type="spellStart"/>
      <w:r w:rsidR="00981FB8" w:rsidRPr="007D4BBE">
        <w:rPr>
          <w:sz w:val="24"/>
          <w:szCs w:val="24"/>
        </w:rPr>
        <w:t>EED</w:t>
      </w:r>
      <w:proofErr w:type="spellEnd"/>
      <w:r w:rsidR="00981FB8" w:rsidRPr="007D4BBE">
        <w:rPr>
          <w:sz w:val="24"/>
          <w:szCs w:val="24"/>
        </w:rPr>
        <w:t xml:space="preserve"> uyarlama aşamasında Üye Devletlere yardımcı olurken bu </w:t>
      </w:r>
      <w:r w:rsidR="00003864" w:rsidRPr="007D4BBE">
        <w:rPr>
          <w:sz w:val="24"/>
          <w:szCs w:val="24"/>
        </w:rPr>
        <w:t>uygulamanın bulgularını dikkate alacaktır.</w:t>
      </w:r>
    </w:p>
    <w:p w:rsidR="00003864" w:rsidRPr="007D4BBE" w:rsidRDefault="00003864" w:rsidP="00C807CF">
      <w:pPr>
        <w:jc w:val="both"/>
        <w:rPr>
          <w:sz w:val="24"/>
          <w:szCs w:val="24"/>
        </w:rPr>
      </w:pPr>
    </w:p>
    <w:p w:rsidR="00003864" w:rsidRPr="007D4BBE" w:rsidRDefault="00003864" w:rsidP="00C807CF">
      <w:pPr>
        <w:jc w:val="both"/>
        <w:rPr>
          <w:b/>
          <w:sz w:val="24"/>
          <w:szCs w:val="24"/>
        </w:rPr>
      </w:pPr>
      <w:r w:rsidRPr="007D4BBE">
        <w:rPr>
          <w:b/>
          <w:sz w:val="24"/>
          <w:szCs w:val="24"/>
        </w:rPr>
        <w:t xml:space="preserve">3.2 </w:t>
      </w:r>
      <w:proofErr w:type="spellStart"/>
      <w:r w:rsidRPr="007D4BBE">
        <w:rPr>
          <w:b/>
          <w:sz w:val="24"/>
          <w:szCs w:val="24"/>
        </w:rPr>
        <w:t>SED’in</w:t>
      </w:r>
      <w:proofErr w:type="spellEnd"/>
      <w:r w:rsidRPr="007D4BBE">
        <w:rPr>
          <w:b/>
          <w:sz w:val="24"/>
          <w:szCs w:val="24"/>
        </w:rPr>
        <w:t xml:space="preserve"> uygulanması (2003-2007)</w:t>
      </w:r>
    </w:p>
    <w:p w:rsidR="00003864" w:rsidRPr="007D4BBE" w:rsidRDefault="00003864" w:rsidP="00C807CF">
      <w:pPr>
        <w:jc w:val="both"/>
        <w:rPr>
          <w:sz w:val="24"/>
          <w:szCs w:val="24"/>
        </w:rPr>
      </w:pPr>
    </w:p>
    <w:p w:rsidR="00003864" w:rsidRPr="007D4BBE" w:rsidRDefault="00003864" w:rsidP="00C807CF">
      <w:pPr>
        <w:jc w:val="both"/>
        <w:rPr>
          <w:b/>
          <w:i/>
          <w:sz w:val="24"/>
          <w:szCs w:val="24"/>
        </w:rPr>
      </w:pPr>
      <w:r w:rsidRPr="007D4BBE">
        <w:rPr>
          <w:b/>
          <w:i/>
          <w:sz w:val="24"/>
          <w:szCs w:val="24"/>
        </w:rPr>
        <w:t>Genel uygulama sorunları</w:t>
      </w:r>
    </w:p>
    <w:p w:rsidR="00003864" w:rsidRPr="007D4BBE" w:rsidRDefault="00003864" w:rsidP="00C807CF">
      <w:pPr>
        <w:jc w:val="both"/>
        <w:rPr>
          <w:sz w:val="24"/>
          <w:szCs w:val="24"/>
        </w:rPr>
      </w:pPr>
    </w:p>
    <w:p w:rsidR="00003864" w:rsidRPr="007D4BBE" w:rsidRDefault="00003864" w:rsidP="00C807CF">
      <w:pPr>
        <w:jc w:val="both"/>
        <w:rPr>
          <w:sz w:val="24"/>
          <w:szCs w:val="24"/>
        </w:rPr>
      </w:pPr>
      <w:r w:rsidRPr="007D4BBE">
        <w:rPr>
          <w:sz w:val="24"/>
          <w:szCs w:val="24"/>
        </w:rPr>
        <w:t xml:space="preserve">Üye Devletlerin sağladığı bilgiler, </w:t>
      </w:r>
      <w:proofErr w:type="spellStart"/>
      <w:r w:rsidR="005B4632" w:rsidRPr="007D4BBE">
        <w:rPr>
          <w:sz w:val="24"/>
          <w:szCs w:val="24"/>
        </w:rPr>
        <w:t>SED’in</w:t>
      </w:r>
      <w:proofErr w:type="spellEnd"/>
      <w:r w:rsidR="005B4632" w:rsidRPr="007D4BBE">
        <w:rPr>
          <w:sz w:val="24"/>
          <w:szCs w:val="24"/>
        </w:rPr>
        <w:t xml:space="preserve"> uygulanması</w:t>
      </w:r>
      <w:r w:rsidR="00411B2D" w:rsidRPr="007D4BBE">
        <w:rPr>
          <w:sz w:val="24"/>
          <w:szCs w:val="24"/>
        </w:rPr>
        <w:t xml:space="preserve">yla ilgili </w:t>
      </w:r>
      <w:r w:rsidR="00203756" w:rsidRPr="007D4BBE">
        <w:rPr>
          <w:sz w:val="24"/>
          <w:szCs w:val="24"/>
        </w:rPr>
        <w:t>herhangi bir sorunun</w:t>
      </w:r>
      <w:r w:rsidR="00A03D4D" w:rsidRPr="007D4BBE">
        <w:rPr>
          <w:sz w:val="24"/>
          <w:szCs w:val="24"/>
        </w:rPr>
        <w:t xml:space="preserve"> varlığına işaret etmez. </w:t>
      </w:r>
      <w:r w:rsidR="006401D2" w:rsidRPr="007D4BBE">
        <w:rPr>
          <w:sz w:val="24"/>
          <w:szCs w:val="24"/>
        </w:rPr>
        <w:t>Genel olarak Üye Devletler Direktifin çeşitli yönlerine uy</w:t>
      </w:r>
      <w:r w:rsidR="002D2B92" w:rsidRPr="007D4BBE">
        <w:rPr>
          <w:sz w:val="24"/>
          <w:szCs w:val="24"/>
        </w:rPr>
        <w:t>gunluğu</w:t>
      </w:r>
      <w:r w:rsidR="006401D2" w:rsidRPr="007D4BBE">
        <w:rPr>
          <w:sz w:val="24"/>
          <w:szCs w:val="24"/>
        </w:rPr>
        <w:t xml:space="preserve"> sağlamak için gerekli hüküm, önlem ve uygulamaları uygulamıştır. </w:t>
      </w:r>
      <w:r w:rsidR="002D2B92" w:rsidRPr="007D4BBE">
        <w:rPr>
          <w:sz w:val="24"/>
          <w:szCs w:val="24"/>
        </w:rPr>
        <w:t>Uygunluk</w:t>
      </w:r>
      <w:r w:rsidR="00927FE7" w:rsidRPr="007D4BBE">
        <w:rPr>
          <w:sz w:val="24"/>
          <w:szCs w:val="24"/>
        </w:rPr>
        <w:t>,</w:t>
      </w:r>
      <w:r w:rsidR="00D65C3D" w:rsidRPr="007D4BBE">
        <w:rPr>
          <w:sz w:val="24"/>
          <w:szCs w:val="24"/>
        </w:rPr>
        <w:t xml:space="preserve"> denetim ve yürütme faaliyetlerinin yanı sıra</w:t>
      </w:r>
      <w:r w:rsidR="00927FE7" w:rsidRPr="007D4BBE">
        <w:rPr>
          <w:sz w:val="24"/>
          <w:szCs w:val="24"/>
        </w:rPr>
        <w:t xml:space="preserve"> izleme ve raporlama yükümlülükl</w:t>
      </w:r>
      <w:r w:rsidR="00D65C3D" w:rsidRPr="007D4BBE">
        <w:rPr>
          <w:sz w:val="24"/>
          <w:szCs w:val="24"/>
        </w:rPr>
        <w:t xml:space="preserve">eri aracılığıyla belge kontrolü ve saha ziyaretleri şeklinde sağlanıp, eğitim </w:t>
      </w:r>
      <w:r w:rsidR="00C11E4C" w:rsidRPr="007D4BBE">
        <w:rPr>
          <w:sz w:val="24"/>
          <w:szCs w:val="24"/>
        </w:rPr>
        <w:t xml:space="preserve">verme </w:t>
      </w:r>
      <w:r w:rsidR="00D65C3D" w:rsidRPr="007D4BBE">
        <w:rPr>
          <w:sz w:val="24"/>
          <w:szCs w:val="24"/>
        </w:rPr>
        <w:t xml:space="preserve">ve yetkili makamlara yönelik kılavuz taslağı hazırlama </w:t>
      </w:r>
      <w:r w:rsidR="00C11E4C" w:rsidRPr="007D4BBE">
        <w:rPr>
          <w:sz w:val="24"/>
          <w:szCs w:val="24"/>
        </w:rPr>
        <w:t>gibi destekleyici önlemlerle daha da geliştirilir.</w:t>
      </w:r>
    </w:p>
    <w:p w:rsidR="00C11E4C" w:rsidRPr="007D4BBE" w:rsidRDefault="00C11E4C" w:rsidP="00C807CF">
      <w:pPr>
        <w:jc w:val="both"/>
        <w:rPr>
          <w:sz w:val="24"/>
          <w:szCs w:val="24"/>
        </w:rPr>
      </w:pPr>
    </w:p>
    <w:p w:rsidR="00C11E4C" w:rsidRPr="007D4BBE" w:rsidRDefault="00C11E4C" w:rsidP="00C807CF">
      <w:pPr>
        <w:jc w:val="both"/>
        <w:rPr>
          <w:sz w:val="24"/>
          <w:szCs w:val="24"/>
        </w:rPr>
      </w:pPr>
      <w:r w:rsidRPr="007D4BBE">
        <w:rPr>
          <w:sz w:val="24"/>
          <w:szCs w:val="24"/>
        </w:rPr>
        <w:t>Bazı Üye Devletler</w:t>
      </w:r>
      <w:r w:rsidR="00E72EBD" w:rsidRPr="007D4BBE">
        <w:rPr>
          <w:sz w:val="24"/>
          <w:szCs w:val="24"/>
        </w:rPr>
        <w:t xml:space="preserve">, </w:t>
      </w:r>
      <w:proofErr w:type="spellStart"/>
      <w:r w:rsidR="00E72EBD" w:rsidRPr="007D4BBE">
        <w:rPr>
          <w:sz w:val="24"/>
          <w:szCs w:val="24"/>
        </w:rPr>
        <w:t>SED’in</w:t>
      </w:r>
      <w:proofErr w:type="spellEnd"/>
      <w:r w:rsidR="00E72EBD" w:rsidRPr="007D4BBE">
        <w:rPr>
          <w:sz w:val="24"/>
          <w:szCs w:val="24"/>
        </w:rPr>
        <w:t xml:space="preserve"> kuru temizleme sektöründe uygulanmasının </w:t>
      </w:r>
      <w:r w:rsidR="006B541D" w:rsidRPr="007D4BBE">
        <w:rPr>
          <w:sz w:val="24"/>
          <w:szCs w:val="24"/>
        </w:rPr>
        <w:t>bazı sorunlar</w:t>
      </w:r>
      <w:r w:rsidR="00AC5A9D" w:rsidRPr="007D4BBE">
        <w:rPr>
          <w:sz w:val="24"/>
          <w:szCs w:val="24"/>
        </w:rPr>
        <w:t xml:space="preserve"> ortaya çıkardığını bildirmiştir. İşletme seviyesi uygunluğunun değerlendirilmesine ilişkin kilit araç olan </w:t>
      </w:r>
      <w:proofErr w:type="spellStart"/>
      <w:r w:rsidR="00AC5A9D" w:rsidRPr="007D4BBE">
        <w:rPr>
          <w:sz w:val="24"/>
          <w:szCs w:val="24"/>
        </w:rPr>
        <w:t>solvent</w:t>
      </w:r>
      <w:proofErr w:type="spellEnd"/>
      <w:r w:rsidR="00AC5A9D" w:rsidRPr="007D4BBE">
        <w:rPr>
          <w:sz w:val="24"/>
          <w:szCs w:val="24"/>
        </w:rPr>
        <w:t xml:space="preserve"> yönetim planının kullanılması</w:t>
      </w:r>
      <w:r w:rsidR="007577E2" w:rsidRPr="007D4BBE">
        <w:rPr>
          <w:sz w:val="24"/>
          <w:szCs w:val="24"/>
        </w:rPr>
        <w:t xml:space="preserve">, </w:t>
      </w:r>
      <w:r w:rsidR="00BD742F" w:rsidRPr="007D4BBE">
        <w:rPr>
          <w:sz w:val="24"/>
          <w:szCs w:val="24"/>
        </w:rPr>
        <w:t>sürece dâhil olan</w:t>
      </w:r>
      <w:r w:rsidR="007577E2" w:rsidRPr="007D4BBE">
        <w:rPr>
          <w:sz w:val="24"/>
          <w:szCs w:val="24"/>
        </w:rPr>
        <w:t xml:space="preserve"> şirketlerden birçoğunun küçük</w:t>
      </w:r>
      <w:r w:rsidR="00BD742F" w:rsidRPr="007D4BBE">
        <w:rPr>
          <w:sz w:val="24"/>
          <w:szCs w:val="24"/>
        </w:rPr>
        <w:t xml:space="preserve"> çaplı olması ve işletme sayısının çokluğu dikkate alındığında </w:t>
      </w:r>
      <w:r w:rsidR="007577E2" w:rsidRPr="007D4BBE">
        <w:rPr>
          <w:sz w:val="24"/>
          <w:szCs w:val="24"/>
        </w:rPr>
        <w:t>bazı yetkili makamlar tarafından bu sektör için çok karmaşık ve yürütülmesi çok zor olarak görülmektedir.</w:t>
      </w:r>
      <w:r w:rsidR="00BD742F" w:rsidRPr="007D4BBE">
        <w:rPr>
          <w:sz w:val="24"/>
          <w:szCs w:val="24"/>
        </w:rPr>
        <w:t xml:space="preserve"> Birkaç Üye Devlet,</w:t>
      </w:r>
      <w:r w:rsidR="00F95DE4" w:rsidRPr="007D4BBE">
        <w:rPr>
          <w:sz w:val="24"/>
          <w:szCs w:val="24"/>
        </w:rPr>
        <w:t xml:space="preserve"> </w:t>
      </w:r>
      <w:proofErr w:type="spellStart"/>
      <w:r w:rsidR="004E2374" w:rsidRPr="007D4BBE">
        <w:rPr>
          <w:sz w:val="24"/>
          <w:szCs w:val="24"/>
        </w:rPr>
        <w:t>SED</w:t>
      </w:r>
      <w:proofErr w:type="spellEnd"/>
      <w:r w:rsidR="004E2374" w:rsidRPr="007D4BBE">
        <w:rPr>
          <w:sz w:val="24"/>
          <w:szCs w:val="24"/>
        </w:rPr>
        <w:t xml:space="preserve"> hükümleri doğrultusunda uygulama ve uygunluk kontrolüne yönelik basitleştirilmiş yaklaşımlar geliştirmiştir ve Komisyon bu konu hakkında daha fazla görüşme</w:t>
      </w:r>
      <w:r w:rsidR="00074FD1" w:rsidRPr="007D4BBE">
        <w:rPr>
          <w:sz w:val="24"/>
          <w:szCs w:val="24"/>
        </w:rPr>
        <w:t xml:space="preserve">de bulunmaktadır. </w:t>
      </w:r>
    </w:p>
    <w:p w:rsidR="00074FD1" w:rsidRPr="007D4BBE" w:rsidRDefault="00074FD1" w:rsidP="00C807CF">
      <w:pPr>
        <w:jc w:val="both"/>
        <w:rPr>
          <w:sz w:val="24"/>
          <w:szCs w:val="24"/>
        </w:rPr>
      </w:pPr>
    </w:p>
    <w:p w:rsidR="00074FD1" w:rsidRPr="007D4BBE" w:rsidRDefault="00074FD1" w:rsidP="00C807CF">
      <w:pPr>
        <w:jc w:val="both"/>
        <w:rPr>
          <w:b/>
          <w:i/>
          <w:sz w:val="24"/>
          <w:szCs w:val="24"/>
        </w:rPr>
      </w:pPr>
      <w:r w:rsidRPr="007D4BBE">
        <w:rPr>
          <w:b/>
          <w:i/>
          <w:sz w:val="24"/>
          <w:szCs w:val="24"/>
        </w:rPr>
        <w:t>Kapsam dâhilindeki işletmeler</w:t>
      </w:r>
    </w:p>
    <w:p w:rsidR="00074FD1" w:rsidRPr="007D4BBE" w:rsidRDefault="00074FD1" w:rsidP="00C807CF">
      <w:pPr>
        <w:jc w:val="both"/>
        <w:rPr>
          <w:sz w:val="24"/>
          <w:szCs w:val="24"/>
        </w:rPr>
      </w:pPr>
    </w:p>
    <w:p w:rsidR="00074FD1" w:rsidRPr="007D4BBE" w:rsidRDefault="00074FD1" w:rsidP="00C807CF">
      <w:pPr>
        <w:jc w:val="both"/>
        <w:rPr>
          <w:sz w:val="24"/>
          <w:szCs w:val="24"/>
        </w:rPr>
      </w:pPr>
      <w:r w:rsidRPr="007D4BBE">
        <w:rPr>
          <w:sz w:val="24"/>
          <w:szCs w:val="24"/>
        </w:rPr>
        <w:t xml:space="preserve">2007 yılı sonuna kadar </w:t>
      </w:r>
      <w:proofErr w:type="spellStart"/>
      <w:r w:rsidRPr="007D4BBE">
        <w:rPr>
          <w:sz w:val="24"/>
          <w:szCs w:val="24"/>
        </w:rPr>
        <w:t>SED</w:t>
      </w:r>
      <w:proofErr w:type="spellEnd"/>
      <w:r w:rsidRPr="007D4BBE">
        <w:rPr>
          <w:sz w:val="24"/>
          <w:szCs w:val="24"/>
        </w:rPr>
        <w:t xml:space="preserve"> kapsamına giren yaklaşık 53.000 mevcut işletme AB Üyesi 27 Ülkede faaliyet gösteriyordu. </w:t>
      </w:r>
      <w:proofErr w:type="spellStart"/>
      <w:r w:rsidR="00282D11" w:rsidRPr="007D4BBE">
        <w:rPr>
          <w:sz w:val="24"/>
          <w:szCs w:val="24"/>
        </w:rPr>
        <w:t>SED’in</w:t>
      </w:r>
      <w:proofErr w:type="spellEnd"/>
      <w:r w:rsidR="00282D11" w:rsidRPr="007D4BBE">
        <w:rPr>
          <w:sz w:val="24"/>
          <w:szCs w:val="24"/>
        </w:rPr>
        <w:t xml:space="preserve">, </w:t>
      </w:r>
      <w:proofErr w:type="spellStart"/>
      <w:r w:rsidR="00083CD2" w:rsidRPr="007D4BBE">
        <w:rPr>
          <w:sz w:val="24"/>
          <w:szCs w:val="24"/>
        </w:rPr>
        <w:t>SED</w:t>
      </w:r>
      <w:proofErr w:type="spellEnd"/>
      <w:r w:rsidR="00083CD2" w:rsidRPr="007D4BBE">
        <w:rPr>
          <w:sz w:val="24"/>
          <w:szCs w:val="24"/>
        </w:rPr>
        <w:t xml:space="preserve"> </w:t>
      </w:r>
      <w:r w:rsidR="00282D11" w:rsidRPr="007D4BBE">
        <w:rPr>
          <w:sz w:val="24"/>
          <w:szCs w:val="24"/>
        </w:rPr>
        <w:t xml:space="preserve">açısından </w:t>
      </w:r>
      <w:r w:rsidR="0045593D" w:rsidRPr="007D4BBE">
        <w:rPr>
          <w:sz w:val="24"/>
          <w:szCs w:val="24"/>
        </w:rPr>
        <w:t xml:space="preserve">yeniden </w:t>
      </w:r>
      <w:r w:rsidR="00282D11" w:rsidRPr="007D4BBE">
        <w:rPr>
          <w:sz w:val="24"/>
          <w:szCs w:val="24"/>
        </w:rPr>
        <w:t>araç cila</w:t>
      </w:r>
      <w:r w:rsidR="0045593D" w:rsidRPr="007D4BBE">
        <w:rPr>
          <w:sz w:val="24"/>
          <w:szCs w:val="24"/>
        </w:rPr>
        <w:t>lamayı</w:t>
      </w:r>
      <w:r w:rsidR="00282D11" w:rsidRPr="007D4BBE">
        <w:rPr>
          <w:sz w:val="24"/>
          <w:szCs w:val="24"/>
        </w:rPr>
        <w:t xml:space="preserve"> büyük oranda hariç tutan</w:t>
      </w:r>
      <w:r w:rsidR="00C47112" w:rsidRPr="007D4BBE">
        <w:rPr>
          <w:sz w:val="24"/>
          <w:szCs w:val="24"/>
        </w:rPr>
        <w:t xml:space="preserve"> 2004/42/</w:t>
      </w:r>
      <w:proofErr w:type="spellStart"/>
      <w:r w:rsidR="00C47112" w:rsidRPr="007D4BBE">
        <w:rPr>
          <w:sz w:val="24"/>
          <w:szCs w:val="24"/>
        </w:rPr>
        <w:t>EC</w:t>
      </w:r>
      <w:proofErr w:type="spellEnd"/>
      <w:r w:rsidR="00E8416A" w:rsidRPr="007D4BBE">
        <w:rPr>
          <w:sz w:val="24"/>
          <w:szCs w:val="24"/>
        </w:rPr>
        <w:t xml:space="preserve"> sayılı Direktifle </w:t>
      </w:r>
      <w:r w:rsidR="00730383" w:rsidRPr="007D4BBE">
        <w:rPr>
          <w:sz w:val="24"/>
          <w:szCs w:val="24"/>
        </w:rPr>
        <w:t>(</w:t>
      </w:r>
      <w:r w:rsidR="00D73B4A" w:rsidRPr="007D4BBE">
        <w:rPr>
          <w:sz w:val="24"/>
          <w:szCs w:val="24"/>
        </w:rPr>
        <w:t>Dekoratif Boyalar Direktifi</w:t>
      </w:r>
      <w:r w:rsidR="00730383" w:rsidRPr="007D4BBE">
        <w:rPr>
          <w:sz w:val="24"/>
          <w:szCs w:val="24"/>
        </w:rPr>
        <w:t xml:space="preserve">) </w:t>
      </w:r>
      <w:r w:rsidR="00E8416A" w:rsidRPr="007D4BBE">
        <w:rPr>
          <w:sz w:val="24"/>
          <w:szCs w:val="24"/>
        </w:rPr>
        <w:t>değiştirilmesini takiben</w:t>
      </w:r>
      <w:r w:rsidR="00347A9D" w:rsidRPr="007D4BBE">
        <w:rPr>
          <w:rStyle w:val="DipnotBavurusu"/>
          <w:sz w:val="24"/>
          <w:szCs w:val="24"/>
        </w:rPr>
        <w:footnoteReference w:id="11"/>
      </w:r>
      <w:r w:rsidR="00E8416A" w:rsidRPr="007D4BBE">
        <w:rPr>
          <w:sz w:val="24"/>
          <w:szCs w:val="24"/>
        </w:rPr>
        <w:t xml:space="preserve"> </w:t>
      </w:r>
      <w:r w:rsidR="00282D11" w:rsidRPr="007D4BBE">
        <w:rPr>
          <w:sz w:val="24"/>
          <w:szCs w:val="24"/>
        </w:rPr>
        <w:t xml:space="preserve">Üye Devletlerdeki mevcut işletmelerin sayısı önemli oranda azalmıştır. </w:t>
      </w:r>
      <w:r w:rsidR="00AF7286" w:rsidRPr="007D4BBE">
        <w:rPr>
          <w:sz w:val="24"/>
          <w:szCs w:val="24"/>
        </w:rPr>
        <w:t xml:space="preserve">2004 yılı sonunda (AB Üyesi 15 Ülkede bulunan) </w:t>
      </w:r>
      <w:proofErr w:type="spellStart"/>
      <w:r w:rsidR="00AF7286" w:rsidRPr="007D4BBE">
        <w:rPr>
          <w:sz w:val="24"/>
          <w:szCs w:val="24"/>
        </w:rPr>
        <w:t>SED</w:t>
      </w:r>
      <w:proofErr w:type="spellEnd"/>
      <w:r w:rsidR="00AF7286" w:rsidRPr="007D4BBE">
        <w:rPr>
          <w:sz w:val="24"/>
          <w:szCs w:val="24"/>
        </w:rPr>
        <w:t xml:space="preserve"> kapsamındaki işletmelerin birçoğu </w:t>
      </w:r>
      <w:r w:rsidR="009261B1" w:rsidRPr="007D4BBE">
        <w:rPr>
          <w:sz w:val="24"/>
          <w:szCs w:val="24"/>
        </w:rPr>
        <w:t xml:space="preserve">araç </w:t>
      </w:r>
      <w:r w:rsidR="00935C45" w:rsidRPr="007D4BBE">
        <w:rPr>
          <w:sz w:val="24"/>
          <w:szCs w:val="24"/>
        </w:rPr>
        <w:t>yeniden cilalama sektörüne (%54’ü) ve kuru temizleme sektörüne (%16) aittir; ancak 2007 yılı sonunda kuru temizleme</w:t>
      </w:r>
      <w:r w:rsidR="00D7215E" w:rsidRPr="007D4BBE">
        <w:rPr>
          <w:sz w:val="24"/>
          <w:szCs w:val="24"/>
        </w:rPr>
        <w:t>,</w:t>
      </w:r>
      <w:r w:rsidR="00935C45" w:rsidRPr="007D4BBE">
        <w:rPr>
          <w:sz w:val="24"/>
          <w:szCs w:val="24"/>
        </w:rPr>
        <w:t xml:space="preserve"> </w:t>
      </w:r>
      <w:r w:rsidR="00D7215E" w:rsidRPr="007D4BBE">
        <w:rPr>
          <w:sz w:val="24"/>
          <w:szCs w:val="24"/>
        </w:rPr>
        <w:t xml:space="preserve">(işletmelerin %39’unu oluşturarak) </w:t>
      </w:r>
      <w:r w:rsidR="00935C45" w:rsidRPr="007D4BBE">
        <w:rPr>
          <w:sz w:val="24"/>
          <w:szCs w:val="24"/>
        </w:rPr>
        <w:t xml:space="preserve">en büyük </w:t>
      </w:r>
      <w:r w:rsidR="00D7215E" w:rsidRPr="007D4BBE">
        <w:rPr>
          <w:sz w:val="24"/>
          <w:szCs w:val="24"/>
        </w:rPr>
        <w:t xml:space="preserve">sektör haline gelmiştir. Birkaç Üye Devlet, </w:t>
      </w:r>
      <w:proofErr w:type="spellStart"/>
      <w:r w:rsidR="00D7215E" w:rsidRPr="007D4BBE">
        <w:rPr>
          <w:sz w:val="24"/>
          <w:szCs w:val="24"/>
        </w:rPr>
        <w:t>SED</w:t>
      </w:r>
      <w:proofErr w:type="spellEnd"/>
      <w:r w:rsidR="00D7215E" w:rsidRPr="007D4BBE">
        <w:rPr>
          <w:sz w:val="24"/>
          <w:szCs w:val="24"/>
        </w:rPr>
        <w:t xml:space="preserve"> kapsamında araç kaplama ve yeniden cilalama hakkında bildirimde bulu</w:t>
      </w:r>
      <w:r w:rsidR="00CA593F" w:rsidRPr="007D4BBE">
        <w:rPr>
          <w:sz w:val="24"/>
          <w:szCs w:val="24"/>
        </w:rPr>
        <w:t>nmaya devam etse de bu faaliyet</w:t>
      </w:r>
      <w:r w:rsidR="001F4F3A" w:rsidRPr="007D4BBE">
        <w:rPr>
          <w:sz w:val="24"/>
          <w:szCs w:val="24"/>
        </w:rPr>
        <w:t xml:space="preserve"> </w:t>
      </w:r>
      <w:proofErr w:type="spellStart"/>
      <w:r w:rsidR="001F4F3A" w:rsidRPr="007D4BBE">
        <w:rPr>
          <w:sz w:val="24"/>
          <w:szCs w:val="24"/>
        </w:rPr>
        <w:t>SED</w:t>
      </w:r>
      <w:proofErr w:type="spellEnd"/>
      <w:r w:rsidR="001F4F3A" w:rsidRPr="007D4BBE">
        <w:rPr>
          <w:sz w:val="24"/>
          <w:szCs w:val="24"/>
        </w:rPr>
        <w:t xml:space="preserve"> kapsamından büyük oranda çıkarılmıştır. </w:t>
      </w:r>
    </w:p>
    <w:p w:rsidR="001F4F3A" w:rsidRPr="007D4BBE" w:rsidRDefault="001F4F3A" w:rsidP="00C807CF">
      <w:pPr>
        <w:jc w:val="both"/>
        <w:rPr>
          <w:sz w:val="24"/>
          <w:szCs w:val="24"/>
        </w:rPr>
      </w:pPr>
    </w:p>
    <w:p w:rsidR="001F4F3A" w:rsidRPr="007D4BBE" w:rsidRDefault="001F4F3A" w:rsidP="00C807CF">
      <w:pPr>
        <w:jc w:val="both"/>
        <w:rPr>
          <w:sz w:val="24"/>
          <w:szCs w:val="24"/>
        </w:rPr>
      </w:pPr>
      <w:r w:rsidRPr="007D4BBE">
        <w:rPr>
          <w:sz w:val="24"/>
          <w:szCs w:val="24"/>
        </w:rPr>
        <w:t>Sağlanan verilere göre mevcut işletmelerin yalnızca küçük bir oranı 2003 yılından sonra yetkilendirilmiş veya tescil edilmiştir. Bu ise, söz konusu tarihten önce birçok Üye Devlet</w:t>
      </w:r>
      <w:r w:rsidR="0094293B" w:rsidRPr="007D4BBE">
        <w:rPr>
          <w:sz w:val="24"/>
          <w:szCs w:val="24"/>
        </w:rPr>
        <w:t>te mevzuat</w:t>
      </w:r>
      <w:r w:rsidR="00B64144" w:rsidRPr="007D4BBE">
        <w:rPr>
          <w:sz w:val="24"/>
          <w:szCs w:val="24"/>
        </w:rPr>
        <w:t>ın</w:t>
      </w:r>
      <w:r w:rsidR="0094293B" w:rsidRPr="007D4BBE">
        <w:rPr>
          <w:sz w:val="24"/>
          <w:szCs w:val="24"/>
        </w:rPr>
        <w:t xml:space="preserve"> yürürlükt</w:t>
      </w:r>
      <w:r w:rsidR="00B64144" w:rsidRPr="007D4BBE">
        <w:rPr>
          <w:sz w:val="24"/>
          <w:szCs w:val="24"/>
        </w:rPr>
        <w:t>e ol</w:t>
      </w:r>
      <w:r w:rsidR="006975E1" w:rsidRPr="007D4BBE">
        <w:rPr>
          <w:sz w:val="24"/>
          <w:szCs w:val="24"/>
        </w:rPr>
        <w:t>duğunu ve bahsedilen</w:t>
      </w:r>
      <w:r w:rsidR="00B64144" w:rsidRPr="007D4BBE">
        <w:rPr>
          <w:sz w:val="24"/>
          <w:szCs w:val="24"/>
        </w:rPr>
        <w:t xml:space="preserve"> işletmelerin </w:t>
      </w:r>
      <w:r w:rsidR="006975E1" w:rsidRPr="007D4BBE">
        <w:rPr>
          <w:sz w:val="24"/>
          <w:szCs w:val="24"/>
        </w:rPr>
        <w:t xml:space="preserve">bu mevzuat kapsamında </w:t>
      </w:r>
      <w:r w:rsidR="00B64144" w:rsidRPr="007D4BBE">
        <w:rPr>
          <w:sz w:val="24"/>
          <w:szCs w:val="24"/>
        </w:rPr>
        <w:t xml:space="preserve">tescil edilmek veya yetkilendirilmek zorunda </w:t>
      </w:r>
      <w:r w:rsidR="00B64144" w:rsidRPr="00B35FA0">
        <w:rPr>
          <w:sz w:val="24"/>
          <w:szCs w:val="24"/>
        </w:rPr>
        <w:t>olduğunu</w:t>
      </w:r>
      <w:r w:rsidR="008A2E6C" w:rsidRPr="00B35FA0">
        <w:rPr>
          <w:sz w:val="24"/>
          <w:szCs w:val="24"/>
        </w:rPr>
        <w:t xml:space="preserve"> öne sürer</w:t>
      </w:r>
      <w:r w:rsidR="008A2E6C" w:rsidRPr="007D4BBE">
        <w:rPr>
          <w:sz w:val="24"/>
          <w:szCs w:val="24"/>
        </w:rPr>
        <w:t xml:space="preserve">. </w:t>
      </w:r>
    </w:p>
    <w:p w:rsidR="00C807CF" w:rsidRPr="007D4BBE" w:rsidRDefault="00C807CF" w:rsidP="00C807CF">
      <w:pPr>
        <w:jc w:val="both"/>
        <w:rPr>
          <w:sz w:val="24"/>
          <w:szCs w:val="24"/>
        </w:rPr>
      </w:pPr>
    </w:p>
    <w:p w:rsidR="00A90EC1" w:rsidRPr="007D4BBE" w:rsidRDefault="0040031F" w:rsidP="00640233">
      <w:pPr>
        <w:rPr>
          <w:b/>
          <w:i/>
          <w:sz w:val="24"/>
          <w:szCs w:val="24"/>
        </w:rPr>
      </w:pPr>
      <w:r w:rsidRPr="007D4BBE">
        <w:rPr>
          <w:sz w:val="24"/>
          <w:szCs w:val="24"/>
        </w:rPr>
        <w:br w:type="page"/>
      </w:r>
      <w:r w:rsidR="006975E1" w:rsidRPr="007D4BBE">
        <w:rPr>
          <w:b/>
          <w:i/>
          <w:sz w:val="24"/>
          <w:szCs w:val="24"/>
        </w:rPr>
        <w:lastRenderedPageBreak/>
        <w:t xml:space="preserve">Emisyonların azaltılmasına ilişkin seçeneklerin </w:t>
      </w:r>
      <w:r w:rsidRPr="007D4BBE">
        <w:rPr>
          <w:b/>
          <w:i/>
          <w:sz w:val="24"/>
          <w:szCs w:val="24"/>
        </w:rPr>
        <w:t>kullanılması</w:t>
      </w:r>
    </w:p>
    <w:p w:rsidR="0040031F" w:rsidRPr="007D4BBE" w:rsidRDefault="0040031F" w:rsidP="00640233">
      <w:pPr>
        <w:rPr>
          <w:sz w:val="24"/>
          <w:szCs w:val="24"/>
        </w:rPr>
      </w:pPr>
    </w:p>
    <w:p w:rsidR="0040031F" w:rsidRPr="007D4BBE" w:rsidRDefault="0040031F" w:rsidP="00640233">
      <w:pPr>
        <w:rPr>
          <w:sz w:val="24"/>
          <w:szCs w:val="24"/>
        </w:rPr>
      </w:pPr>
      <w:proofErr w:type="spellStart"/>
      <w:r w:rsidRPr="007D4BBE">
        <w:rPr>
          <w:sz w:val="24"/>
          <w:szCs w:val="24"/>
        </w:rPr>
        <w:t>SED</w:t>
      </w:r>
      <w:proofErr w:type="spellEnd"/>
      <w:r w:rsidRPr="007D4BBE">
        <w:rPr>
          <w:sz w:val="24"/>
          <w:szCs w:val="24"/>
        </w:rPr>
        <w:t xml:space="preserve"> </w:t>
      </w:r>
      <w:r w:rsidR="00A5432B" w:rsidRPr="007D4BBE">
        <w:rPr>
          <w:sz w:val="24"/>
          <w:szCs w:val="24"/>
        </w:rPr>
        <w:t>ayrı işletmelerin gerek</w:t>
      </w:r>
      <w:r w:rsidR="008E18CC" w:rsidRPr="007D4BBE">
        <w:rPr>
          <w:sz w:val="24"/>
          <w:szCs w:val="24"/>
        </w:rPr>
        <w:t>li</w:t>
      </w:r>
      <w:r w:rsidR="00A5432B" w:rsidRPr="007D4BBE">
        <w:rPr>
          <w:sz w:val="24"/>
          <w:szCs w:val="24"/>
        </w:rPr>
        <w:t xml:space="preserve"> </w:t>
      </w:r>
      <w:proofErr w:type="spellStart"/>
      <w:r w:rsidR="00A5432B" w:rsidRPr="007D4BBE">
        <w:rPr>
          <w:sz w:val="24"/>
          <w:szCs w:val="24"/>
        </w:rPr>
        <w:t>VOC</w:t>
      </w:r>
      <w:proofErr w:type="spellEnd"/>
      <w:r w:rsidR="00A5432B" w:rsidRPr="007D4BBE">
        <w:rPr>
          <w:sz w:val="24"/>
          <w:szCs w:val="24"/>
        </w:rPr>
        <w:t xml:space="preserve"> </w:t>
      </w:r>
      <w:proofErr w:type="gramStart"/>
      <w:r w:rsidR="00A5432B" w:rsidRPr="007D4BBE">
        <w:rPr>
          <w:sz w:val="24"/>
          <w:szCs w:val="24"/>
        </w:rPr>
        <w:t>emisyon</w:t>
      </w:r>
      <w:proofErr w:type="gramEnd"/>
      <w:r w:rsidR="00A5432B" w:rsidRPr="007D4BBE">
        <w:rPr>
          <w:sz w:val="24"/>
          <w:szCs w:val="24"/>
        </w:rPr>
        <w:t xml:space="preserve"> </w:t>
      </w:r>
      <w:proofErr w:type="spellStart"/>
      <w:r w:rsidR="008E18CC" w:rsidRPr="007D4BBE">
        <w:rPr>
          <w:sz w:val="24"/>
          <w:szCs w:val="24"/>
        </w:rPr>
        <w:t>azaltımını</w:t>
      </w:r>
      <w:proofErr w:type="spellEnd"/>
      <w:r w:rsidR="008E18CC" w:rsidRPr="007D4BBE">
        <w:rPr>
          <w:sz w:val="24"/>
          <w:szCs w:val="24"/>
        </w:rPr>
        <w:t xml:space="preserve"> sağlaması için </w:t>
      </w:r>
      <w:r w:rsidR="00A5432B" w:rsidRPr="007D4BBE">
        <w:rPr>
          <w:sz w:val="24"/>
          <w:szCs w:val="24"/>
        </w:rPr>
        <w:t>Üye Devletlere</w:t>
      </w:r>
      <w:r w:rsidR="008E18CC" w:rsidRPr="007D4BBE">
        <w:rPr>
          <w:sz w:val="24"/>
          <w:szCs w:val="24"/>
        </w:rPr>
        <w:t xml:space="preserve"> iki temel olasılık sunar</w:t>
      </w:r>
      <w:r w:rsidR="00F356C5" w:rsidRPr="007D4BBE">
        <w:rPr>
          <w:sz w:val="24"/>
          <w:szCs w:val="24"/>
        </w:rPr>
        <w:t xml:space="preserve">; emisyon sınır değerlerine veya bir azatlım planı kapsamında tanımlanan eşdeğer hedeflere uymak zorundadırlar. </w:t>
      </w:r>
    </w:p>
    <w:p w:rsidR="00AC3C89" w:rsidRPr="007D4BBE" w:rsidRDefault="00AC3C89" w:rsidP="00640233">
      <w:pPr>
        <w:rPr>
          <w:sz w:val="24"/>
          <w:szCs w:val="24"/>
        </w:rPr>
      </w:pPr>
    </w:p>
    <w:p w:rsidR="00AC3C89" w:rsidRPr="007D4BBE" w:rsidRDefault="00AC3C89" w:rsidP="00A92310">
      <w:pPr>
        <w:jc w:val="both"/>
        <w:rPr>
          <w:sz w:val="24"/>
          <w:szCs w:val="24"/>
        </w:rPr>
      </w:pPr>
      <w:r w:rsidRPr="007D4BBE">
        <w:rPr>
          <w:sz w:val="24"/>
          <w:szCs w:val="24"/>
        </w:rPr>
        <w:t xml:space="preserve">Bildirilen bilgiler birçok Üye Devlette varsa çok az sayıda işletmenin </w:t>
      </w:r>
      <w:proofErr w:type="spellStart"/>
      <w:r w:rsidR="00472250" w:rsidRPr="007D4BBE">
        <w:rPr>
          <w:sz w:val="24"/>
          <w:szCs w:val="24"/>
        </w:rPr>
        <w:t>azalt</w:t>
      </w:r>
      <w:r w:rsidRPr="007D4BBE">
        <w:rPr>
          <w:sz w:val="24"/>
          <w:szCs w:val="24"/>
        </w:rPr>
        <w:t>ım</w:t>
      </w:r>
      <w:proofErr w:type="spellEnd"/>
      <w:r w:rsidRPr="007D4BBE">
        <w:rPr>
          <w:sz w:val="24"/>
          <w:szCs w:val="24"/>
        </w:rPr>
        <w:t xml:space="preserve"> planı seçeneğini uyguladığını göstermektedir. </w:t>
      </w:r>
      <w:r w:rsidR="00A92310" w:rsidRPr="007D4BBE">
        <w:rPr>
          <w:sz w:val="24"/>
          <w:szCs w:val="24"/>
        </w:rPr>
        <w:t>Ayrıca çeşitli yetkili makamların</w:t>
      </w:r>
      <w:r w:rsidR="00924BCB" w:rsidRPr="007D4BBE">
        <w:rPr>
          <w:sz w:val="24"/>
          <w:szCs w:val="24"/>
        </w:rPr>
        <w:t xml:space="preserve"> </w:t>
      </w:r>
      <w:proofErr w:type="spellStart"/>
      <w:r w:rsidR="00924BCB" w:rsidRPr="007D4BBE">
        <w:rPr>
          <w:sz w:val="24"/>
          <w:szCs w:val="24"/>
        </w:rPr>
        <w:t>azaltım</w:t>
      </w:r>
      <w:proofErr w:type="spellEnd"/>
      <w:r w:rsidR="00924BCB" w:rsidRPr="007D4BBE">
        <w:rPr>
          <w:sz w:val="24"/>
          <w:szCs w:val="24"/>
        </w:rPr>
        <w:t xml:space="preserve"> planları ve sınır değerlerin uygulanması arasındaki eşdeğerliğin değerlendirilmesine ilişkin güçlüklerden dolayı</w:t>
      </w:r>
      <w:r w:rsidR="00A92310" w:rsidRPr="007D4BBE">
        <w:rPr>
          <w:sz w:val="24"/>
          <w:szCs w:val="24"/>
        </w:rPr>
        <w:t xml:space="preserve"> </w:t>
      </w:r>
      <w:proofErr w:type="gramStart"/>
      <w:r w:rsidR="00A92310" w:rsidRPr="007D4BBE">
        <w:rPr>
          <w:sz w:val="24"/>
          <w:szCs w:val="24"/>
        </w:rPr>
        <w:t>emisyon</w:t>
      </w:r>
      <w:proofErr w:type="gramEnd"/>
      <w:r w:rsidR="00A92310" w:rsidRPr="007D4BBE">
        <w:rPr>
          <w:sz w:val="24"/>
          <w:szCs w:val="24"/>
        </w:rPr>
        <w:t xml:space="preserve"> sınır değerlerinin uygulanmasını tercih ettiği görülmektedir. </w:t>
      </w:r>
      <w:r w:rsidR="00161BE4" w:rsidRPr="007D4BBE">
        <w:rPr>
          <w:sz w:val="24"/>
          <w:szCs w:val="24"/>
        </w:rPr>
        <w:t>Bu durum</w:t>
      </w:r>
      <w:r w:rsidR="000E4D4B" w:rsidRPr="007D4BBE">
        <w:rPr>
          <w:sz w:val="24"/>
          <w:szCs w:val="24"/>
        </w:rPr>
        <w:t xml:space="preserve">, </w:t>
      </w:r>
      <w:proofErr w:type="spellStart"/>
      <w:r w:rsidR="000E4D4B" w:rsidRPr="007D4BBE">
        <w:rPr>
          <w:sz w:val="24"/>
          <w:szCs w:val="24"/>
        </w:rPr>
        <w:t>SED’in</w:t>
      </w:r>
      <w:proofErr w:type="spellEnd"/>
      <w:r w:rsidR="000E4D4B" w:rsidRPr="007D4BBE">
        <w:rPr>
          <w:sz w:val="24"/>
          <w:szCs w:val="24"/>
        </w:rPr>
        <w:t xml:space="preserve"> uygulanması öncesinde</w:t>
      </w:r>
      <w:r w:rsidR="00161BE4" w:rsidRPr="007D4BBE">
        <w:rPr>
          <w:sz w:val="24"/>
          <w:szCs w:val="24"/>
        </w:rPr>
        <w:t xml:space="preserve"> özellikle de işletmelerin </w:t>
      </w:r>
      <w:proofErr w:type="gramStart"/>
      <w:r w:rsidR="00161BE4" w:rsidRPr="007D4BBE">
        <w:rPr>
          <w:sz w:val="24"/>
          <w:szCs w:val="24"/>
        </w:rPr>
        <w:t>emisyon</w:t>
      </w:r>
      <w:proofErr w:type="gramEnd"/>
      <w:r w:rsidR="00161BE4" w:rsidRPr="007D4BBE">
        <w:rPr>
          <w:sz w:val="24"/>
          <w:szCs w:val="24"/>
        </w:rPr>
        <w:t xml:space="preserve"> sınır değerleri</w:t>
      </w:r>
      <w:r w:rsidR="000E4D4B" w:rsidRPr="007D4BBE">
        <w:rPr>
          <w:sz w:val="24"/>
          <w:szCs w:val="24"/>
        </w:rPr>
        <w:t xml:space="preserve">ne tabi olduğu </w:t>
      </w:r>
      <w:r w:rsidR="00161BE4" w:rsidRPr="007D4BBE">
        <w:rPr>
          <w:sz w:val="24"/>
          <w:szCs w:val="24"/>
        </w:rPr>
        <w:t xml:space="preserve">Üye Devletlerde </w:t>
      </w:r>
      <w:r w:rsidR="000E4D4B" w:rsidRPr="007D4BBE">
        <w:rPr>
          <w:sz w:val="24"/>
          <w:szCs w:val="24"/>
        </w:rPr>
        <w:t>söz konusudur.</w:t>
      </w:r>
    </w:p>
    <w:p w:rsidR="000E4D4B" w:rsidRPr="007D4BBE" w:rsidRDefault="000E4D4B" w:rsidP="00A92310">
      <w:pPr>
        <w:jc w:val="both"/>
        <w:rPr>
          <w:sz w:val="24"/>
          <w:szCs w:val="24"/>
        </w:rPr>
      </w:pPr>
    </w:p>
    <w:p w:rsidR="000E4D4B" w:rsidRPr="007D4BBE" w:rsidRDefault="000E4D4B" w:rsidP="00A92310">
      <w:pPr>
        <w:jc w:val="both"/>
        <w:rPr>
          <w:sz w:val="24"/>
          <w:szCs w:val="24"/>
        </w:rPr>
      </w:pPr>
      <w:proofErr w:type="spellStart"/>
      <w:r w:rsidRPr="007D4BBE">
        <w:rPr>
          <w:sz w:val="24"/>
          <w:szCs w:val="24"/>
        </w:rPr>
        <w:t>SED</w:t>
      </w:r>
      <w:proofErr w:type="spellEnd"/>
      <w:r w:rsidRPr="007D4BBE">
        <w:rPr>
          <w:sz w:val="24"/>
          <w:szCs w:val="24"/>
        </w:rPr>
        <w:t xml:space="preserve">, </w:t>
      </w:r>
      <w:r w:rsidR="00317671" w:rsidRPr="007D4BBE">
        <w:rPr>
          <w:sz w:val="24"/>
          <w:szCs w:val="24"/>
        </w:rPr>
        <w:t xml:space="preserve">işletme seviyesi yaklaşımını uygulayarak elde edilebilecek olana eşdeğer </w:t>
      </w:r>
      <w:proofErr w:type="spellStart"/>
      <w:r w:rsidRPr="007D4BBE">
        <w:rPr>
          <w:sz w:val="24"/>
          <w:szCs w:val="24"/>
        </w:rPr>
        <w:t>VOC</w:t>
      </w:r>
      <w:proofErr w:type="spellEnd"/>
      <w:r w:rsidRPr="007D4BBE">
        <w:rPr>
          <w:sz w:val="24"/>
          <w:szCs w:val="24"/>
        </w:rPr>
        <w:t xml:space="preserve"> </w:t>
      </w:r>
      <w:proofErr w:type="gramStart"/>
      <w:r w:rsidRPr="007D4BBE">
        <w:rPr>
          <w:sz w:val="24"/>
          <w:szCs w:val="24"/>
        </w:rPr>
        <w:t>emisyonlar</w:t>
      </w:r>
      <w:r w:rsidR="00317671" w:rsidRPr="007D4BBE">
        <w:rPr>
          <w:sz w:val="24"/>
          <w:szCs w:val="24"/>
        </w:rPr>
        <w:t>ının</w:t>
      </w:r>
      <w:proofErr w:type="gramEnd"/>
      <w:r w:rsidR="00317671" w:rsidRPr="007D4BBE">
        <w:rPr>
          <w:sz w:val="24"/>
          <w:szCs w:val="24"/>
        </w:rPr>
        <w:t xml:space="preserve"> genel olarak azaltılmasını sağlayacak şekilde tasarlanmış olan bir Ulusal Eylem Planının hazırlanması yoluyla</w:t>
      </w:r>
      <w:r w:rsidR="00EA3E75" w:rsidRPr="007D4BBE">
        <w:rPr>
          <w:sz w:val="24"/>
          <w:szCs w:val="24"/>
        </w:rPr>
        <w:t>,</w:t>
      </w:r>
      <w:r w:rsidR="00317671" w:rsidRPr="007D4BBE">
        <w:rPr>
          <w:sz w:val="24"/>
          <w:szCs w:val="24"/>
        </w:rPr>
        <w:t xml:space="preserve"> uygunluk için üçüncü</w:t>
      </w:r>
      <w:r w:rsidR="004A03A4" w:rsidRPr="007D4BBE">
        <w:rPr>
          <w:sz w:val="24"/>
          <w:szCs w:val="24"/>
        </w:rPr>
        <w:t xml:space="preserve"> bir seçenek sunar. </w:t>
      </w:r>
      <w:r w:rsidR="00EA3E75" w:rsidRPr="007D4BBE">
        <w:rPr>
          <w:sz w:val="24"/>
          <w:szCs w:val="24"/>
        </w:rPr>
        <w:t xml:space="preserve">Hiçbir Üye Devlet buna benzer bir Ulusal Plan uygulamamıştır. </w:t>
      </w:r>
    </w:p>
    <w:p w:rsidR="008A2E6C" w:rsidRPr="007D4BBE" w:rsidRDefault="008A2E6C" w:rsidP="00A90EC1">
      <w:pPr>
        <w:rPr>
          <w:sz w:val="24"/>
          <w:szCs w:val="24"/>
        </w:rPr>
      </w:pPr>
    </w:p>
    <w:p w:rsidR="00EA3E75" w:rsidRPr="007D4BBE" w:rsidRDefault="00EA3E75" w:rsidP="00A90EC1">
      <w:pPr>
        <w:rPr>
          <w:b/>
          <w:i/>
          <w:sz w:val="24"/>
          <w:szCs w:val="24"/>
        </w:rPr>
      </w:pPr>
      <w:r w:rsidRPr="007D4BBE">
        <w:rPr>
          <w:b/>
          <w:i/>
          <w:sz w:val="24"/>
          <w:szCs w:val="24"/>
        </w:rPr>
        <w:t xml:space="preserve">Emisyon sınır değerlerinden </w:t>
      </w:r>
      <w:r w:rsidR="002B6C91" w:rsidRPr="007D4BBE">
        <w:rPr>
          <w:b/>
          <w:i/>
          <w:sz w:val="24"/>
          <w:szCs w:val="24"/>
        </w:rPr>
        <w:t>sapmalar</w:t>
      </w:r>
    </w:p>
    <w:p w:rsidR="008A2E6C" w:rsidRPr="007D4BBE" w:rsidRDefault="008A2E6C" w:rsidP="008A2E6C">
      <w:pPr>
        <w:rPr>
          <w:sz w:val="24"/>
          <w:szCs w:val="24"/>
        </w:rPr>
      </w:pPr>
    </w:p>
    <w:p w:rsidR="00EA3E75" w:rsidRPr="007D4BBE" w:rsidRDefault="00EA3E75" w:rsidP="002B6C91">
      <w:pPr>
        <w:jc w:val="both"/>
        <w:rPr>
          <w:sz w:val="24"/>
          <w:szCs w:val="24"/>
        </w:rPr>
      </w:pPr>
      <w:proofErr w:type="spellStart"/>
      <w:r w:rsidRPr="007D4BBE">
        <w:rPr>
          <w:sz w:val="24"/>
          <w:szCs w:val="24"/>
        </w:rPr>
        <w:t>SED</w:t>
      </w:r>
      <w:proofErr w:type="spellEnd"/>
      <w:r w:rsidRPr="007D4BBE">
        <w:rPr>
          <w:sz w:val="24"/>
          <w:szCs w:val="24"/>
        </w:rPr>
        <w:t xml:space="preserve">, </w:t>
      </w:r>
      <w:proofErr w:type="spellStart"/>
      <w:r w:rsidR="0042750E" w:rsidRPr="007D4BBE">
        <w:rPr>
          <w:sz w:val="24"/>
          <w:szCs w:val="24"/>
        </w:rPr>
        <w:t>azaltıma</w:t>
      </w:r>
      <w:proofErr w:type="spellEnd"/>
      <w:r w:rsidR="0042750E" w:rsidRPr="007D4BBE">
        <w:rPr>
          <w:sz w:val="24"/>
          <w:szCs w:val="24"/>
        </w:rPr>
        <w:t xml:space="preserve"> ilişkin önemlerin ekonomik ve teknik olarak uygulanabilir olmadığını</w:t>
      </w:r>
      <w:r w:rsidR="00181B70" w:rsidRPr="007D4BBE">
        <w:rPr>
          <w:sz w:val="24"/>
          <w:szCs w:val="24"/>
        </w:rPr>
        <w:t xml:space="preserve">n </w:t>
      </w:r>
      <w:r w:rsidR="002B6C91" w:rsidRPr="007D4BBE">
        <w:rPr>
          <w:sz w:val="24"/>
          <w:szCs w:val="24"/>
        </w:rPr>
        <w:t xml:space="preserve">ortaya çıktığı durumlarda bazı sınır değerlerden sapmalara izin verir. Bu durum, </w:t>
      </w:r>
      <w:r w:rsidR="00741440" w:rsidRPr="007D4BBE">
        <w:rPr>
          <w:sz w:val="24"/>
          <w:szCs w:val="24"/>
        </w:rPr>
        <w:t xml:space="preserve">sınırlı </w:t>
      </w:r>
      <w:r w:rsidR="00EB4E49" w:rsidRPr="007D4BBE">
        <w:rPr>
          <w:sz w:val="24"/>
          <w:szCs w:val="24"/>
        </w:rPr>
        <w:t xml:space="preserve">koşullar altında yürütülemeyen </w:t>
      </w:r>
      <w:r w:rsidR="002B6C91" w:rsidRPr="007D4BBE">
        <w:rPr>
          <w:sz w:val="24"/>
          <w:szCs w:val="24"/>
        </w:rPr>
        <w:t>gemi ve uçak inşaatı gibi faaliyetler için</w:t>
      </w:r>
      <w:r w:rsidR="00EB4E49" w:rsidRPr="007D4BBE">
        <w:rPr>
          <w:sz w:val="24"/>
          <w:szCs w:val="24"/>
        </w:rPr>
        <w:t xml:space="preserve"> söz konusu olabilir. Üye Devletlerin yaklaşık yarısı sapma bildiriminde bulunmuş olup, bunlar toplam işletme sayısının %0.01’inden daha az</w:t>
      </w:r>
      <w:r w:rsidR="002E667F" w:rsidRPr="007D4BBE">
        <w:rPr>
          <w:sz w:val="24"/>
          <w:szCs w:val="24"/>
        </w:rPr>
        <w:t xml:space="preserve">a denk gelmiştir. Alınan bilgilere dayanarak, kullanılan </w:t>
      </w:r>
      <w:proofErr w:type="gramStart"/>
      <w:r w:rsidR="002E667F" w:rsidRPr="007D4BBE">
        <w:rPr>
          <w:sz w:val="24"/>
          <w:szCs w:val="24"/>
        </w:rPr>
        <w:t>kriterlerin</w:t>
      </w:r>
      <w:proofErr w:type="gramEnd"/>
      <w:r w:rsidR="002E667F" w:rsidRPr="007D4BBE">
        <w:rPr>
          <w:sz w:val="24"/>
          <w:szCs w:val="24"/>
        </w:rPr>
        <w:t xml:space="preserve"> veya gerekli alternatif koşulların değerlendirilmesi mümkün olmamıştır. </w:t>
      </w:r>
    </w:p>
    <w:p w:rsidR="002E667F" w:rsidRPr="007D4BBE" w:rsidRDefault="002E667F" w:rsidP="002B6C91">
      <w:pPr>
        <w:jc w:val="both"/>
        <w:rPr>
          <w:sz w:val="24"/>
          <w:szCs w:val="24"/>
        </w:rPr>
      </w:pPr>
    </w:p>
    <w:p w:rsidR="002E667F" w:rsidRPr="007D4BBE" w:rsidRDefault="007564E2" w:rsidP="002B6C91">
      <w:pPr>
        <w:jc w:val="both"/>
        <w:rPr>
          <w:b/>
          <w:i/>
          <w:sz w:val="24"/>
          <w:szCs w:val="24"/>
        </w:rPr>
      </w:pPr>
      <w:r w:rsidRPr="007D4BBE">
        <w:rPr>
          <w:b/>
          <w:i/>
          <w:sz w:val="24"/>
          <w:szCs w:val="24"/>
        </w:rPr>
        <w:t xml:space="preserve">Uygulamayı teşvik etmeye yönelik komisyon </w:t>
      </w:r>
      <w:r w:rsidR="0063029D" w:rsidRPr="007D4BBE">
        <w:rPr>
          <w:b/>
          <w:i/>
          <w:sz w:val="24"/>
          <w:szCs w:val="24"/>
        </w:rPr>
        <w:t>girişimleri</w:t>
      </w:r>
    </w:p>
    <w:p w:rsidR="0063029D" w:rsidRPr="007D4BBE" w:rsidRDefault="0063029D" w:rsidP="002B6C91">
      <w:pPr>
        <w:jc w:val="both"/>
        <w:rPr>
          <w:sz w:val="24"/>
          <w:szCs w:val="24"/>
        </w:rPr>
      </w:pPr>
    </w:p>
    <w:p w:rsidR="0063029D" w:rsidRPr="007D4BBE" w:rsidRDefault="0063029D" w:rsidP="002B6C91">
      <w:pPr>
        <w:jc w:val="both"/>
        <w:rPr>
          <w:sz w:val="24"/>
          <w:szCs w:val="24"/>
        </w:rPr>
      </w:pPr>
      <w:proofErr w:type="spellStart"/>
      <w:r w:rsidRPr="007D4BBE">
        <w:rPr>
          <w:sz w:val="24"/>
          <w:szCs w:val="24"/>
        </w:rPr>
        <w:t>SED’in</w:t>
      </w:r>
      <w:proofErr w:type="spellEnd"/>
      <w:r w:rsidRPr="007D4BBE">
        <w:rPr>
          <w:sz w:val="24"/>
          <w:szCs w:val="24"/>
        </w:rPr>
        <w:t xml:space="preserve"> 7. Maddesi Komisyonun </w:t>
      </w:r>
      <w:r w:rsidR="002818A3" w:rsidRPr="007D4BBE">
        <w:rPr>
          <w:sz w:val="24"/>
          <w:szCs w:val="24"/>
        </w:rPr>
        <w:t xml:space="preserve">organik </w:t>
      </w:r>
      <w:proofErr w:type="spellStart"/>
      <w:r w:rsidR="002818A3" w:rsidRPr="007D4BBE">
        <w:rPr>
          <w:sz w:val="24"/>
          <w:szCs w:val="24"/>
        </w:rPr>
        <w:t>solventlerin</w:t>
      </w:r>
      <w:proofErr w:type="spellEnd"/>
      <w:r w:rsidR="002818A3" w:rsidRPr="007D4BBE">
        <w:rPr>
          <w:sz w:val="24"/>
          <w:szCs w:val="24"/>
        </w:rPr>
        <w:t xml:space="preserve"> kullanımı ve değiştirilmesi konusunda bir bilgi alışverişinin gerçekleşmesini sağlamasını gerektirir. Bu amaçla Komisyon, </w:t>
      </w:r>
      <w:proofErr w:type="spellStart"/>
      <w:r w:rsidR="002818A3" w:rsidRPr="007D4BBE">
        <w:rPr>
          <w:sz w:val="24"/>
          <w:szCs w:val="24"/>
        </w:rPr>
        <w:t>solventlerin</w:t>
      </w:r>
      <w:proofErr w:type="spellEnd"/>
      <w:r w:rsidR="002818A3" w:rsidRPr="007D4BBE">
        <w:rPr>
          <w:sz w:val="24"/>
          <w:szCs w:val="24"/>
        </w:rPr>
        <w:t xml:space="preserve"> değiştirilmesi </w:t>
      </w:r>
      <w:r w:rsidR="00824EAE" w:rsidRPr="007D4BBE">
        <w:rPr>
          <w:sz w:val="24"/>
          <w:szCs w:val="24"/>
        </w:rPr>
        <w:t>hakkında</w:t>
      </w:r>
      <w:r w:rsidR="00187EE8" w:rsidRPr="007D4BBE">
        <w:rPr>
          <w:sz w:val="24"/>
          <w:szCs w:val="24"/>
        </w:rPr>
        <w:t>ki kılavuz belgelerin yanı sıra</w:t>
      </w:r>
      <w:r w:rsidR="00187EE8" w:rsidRPr="007D4BBE">
        <w:rPr>
          <w:rStyle w:val="DipnotBavurusu"/>
          <w:sz w:val="24"/>
          <w:szCs w:val="24"/>
        </w:rPr>
        <w:footnoteReference w:id="12"/>
      </w:r>
      <w:r w:rsidR="00187EE8" w:rsidRPr="007D4BBE">
        <w:rPr>
          <w:sz w:val="24"/>
          <w:szCs w:val="24"/>
        </w:rPr>
        <w:t xml:space="preserve"> faaliyete özgü kılavuz belgelere erişim sağlayan bir internet sitesi geliştirmiştir</w:t>
      </w:r>
      <w:r w:rsidR="00187EE8" w:rsidRPr="007D4BBE">
        <w:rPr>
          <w:rStyle w:val="DipnotBavurusu"/>
          <w:sz w:val="24"/>
          <w:szCs w:val="24"/>
        </w:rPr>
        <w:footnoteReference w:id="13"/>
      </w:r>
      <w:r w:rsidR="00187EE8" w:rsidRPr="007D4BBE">
        <w:rPr>
          <w:sz w:val="24"/>
          <w:szCs w:val="24"/>
        </w:rPr>
        <w:t xml:space="preserve">. Komisyon </w:t>
      </w:r>
      <w:r w:rsidR="00697A3A" w:rsidRPr="007D4BBE">
        <w:rPr>
          <w:sz w:val="24"/>
          <w:szCs w:val="24"/>
        </w:rPr>
        <w:t>aynı zamanda</w:t>
      </w:r>
      <w:r w:rsidR="00A86603" w:rsidRPr="007D4BBE">
        <w:rPr>
          <w:sz w:val="24"/>
          <w:szCs w:val="24"/>
        </w:rPr>
        <w:t xml:space="preserve">, başta </w:t>
      </w:r>
      <w:proofErr w:type="spellStart"/>
      <w:r w:rsidR="00A86603" w:rsidRPr="007D4BBE">
        <w:rPr>
          <w:sz w:val="24"/>
          <w:szCs w:val="24"/>
        </w:rPr>
        <w:t>azal</w:t>
      </w:r>
      <w:r w:rsidR="00696DD2" w:rsidRPr="007D4BBE">
        <w:rPr>
          <w:sz w:val="24"/>
          <w:szCs w:val="24"/>
        </w:rPr>
        <w:t>t</w:t>
      </w:r>
      <w:r w:rsidR="00A86603" w:rsidRPr="007D4BBE">
        <w:rPr>
          <w:sz w:val="24"/>
          <w:szCs w:val="24"/>
        </w:rPr>
        <w:t>ım</w:t>
      </w:r>
      <w:proofErr w:type="spellEnd"/>
      <w:r w:rsidR="00A86603" w:rsidRPr="007D4BBE">
        <w:rPr>
          <w:sz w:val="24"/>
          <w:szCs w:val="24"/>
        </w:rPr>
        <w:t xml:space="preserve"> planının kapsamı ve uygulanması </w:t>
      </w:r>
      <w:r w:rsidR="00696DD2" w:rsidRPr="007D4BBE">
        <w:rPr>
          <w:sz w:val="24"/>
          <w:szCs w:val="24"/>
        </w:rPr>
        <w:t xml:space="preserve">hakkında olmak üzer </w:t>
      </w:r>
      <w:proofErr w:type="spellStart"/>
      <w:r w:rsidR="00697A3A" w:rsidRPr="007D4BBE">
        <w:rPr>
          <w:sz w:val="24"/>
          <w:szCs w:val="24"/>
        </w:rPr>
        <w:t>SED’in</w:t>
      </w:r>
      <w:proofErr w:type="spellEnd"/>
      <w:r w:rsidR="00697A3A" w:rsidRPr="007D4BBE">
        <w:rPr>
          <w:sz w:val="24"/>
          <w:szCs w:val="24"/>
        </w:rPr>
        <w:t xml:space="preserve"> uygulanması ile ilgili </w:t>
      </w:r>
      <w:r w:rsidR="00587270" w:rsidRPr="007D4BBE">
        <w:rPr>
          <w:sz w:val="24"/>
          <w:szCs w:val="24"/>
        </w:rPr>
        <w:t xml:space="preserve">olarak </w:t>
      </w:r>
      <w:r w:rsidR="00A86603" w:rsidRPr="007D4BBE">
        <w:rPr>
          <w:sz w:val="24"/>
          <w:szCs w:val="24"/>
        </w:rPr>
        <w:t>ortaya çıkan sorulara cevap verme konusunda Üye Devletlerle yakın işbirliği içinde çalışmıştır</w:t>
      </w:r>
      <w:r w:rsidR="00696DD2" w:rsidRPr="007D4BBE">
        <w:rPr>
          <w:sz w:val="24"/>
          <w:szCs w:val="24"/>
        </w:rPr>
        <w:t xml:space="preserve">. </w:t>
      </w:r>
    </w:p>
    <w:p w:rsidR="00696DD2" w:rsidRPr="007D4BBE" w:rsidRDefault="00696DD2" w:rsidP="002B6C91">
      <w:pPr>
        <w:jc w:val="both"/>
        <w:rPr>
          <w:sz w:val="24"/>
          <w:szCs w:val="24"/>
        </w:rPr>
      </w:pPr>
    </w:p>
    <w:p w:rsidR="00696DD2" w:rsidRPr="007D4BBE" w:rsidRDefault="00696DD2" w:rsidP="002B6C91">
      <w:pPr>
        <w:jc w:val="both"/>
        <w:rPr>
          <w:b/>
          <w:i/>
          <w:sz w:val="24"/>
          <w:szCs w:val="24"/>
        </w:rPr>
      </w:pPr>
      <w:r w:rsidRPr="007D4BBE">
        <w:rPr>
          <w:b/>
          <w:i/>
          <w:sz w:val="24"/>
          <w:szCs w:val="24"/>
        </w:rPr>
        <w:t>Diğer AB mevzuatlarıyla etkileşim</w:t>
      </w:r>
    </w:p>
    <w:p w:rsidR="00696DD2" w:rsidRPr="007D4BBE" w:rsidRDefault="00696DD2" w:rsidP="002B6C91">
      <w:pPr>
        <w:jc w:val="both"/>
        <w:rPr>
          <w:sz w:val="24"/>
          <w:szCs w:val="24"/>
        </w:rPr>
      </w:pPr>
    </w:p>
    <w:p w:rsidR="005C0F07" w:rsidRPr="007D4BBE" w:rsidRDefault="00D0390E" w:rsidP="00D0390E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Dekoratif Boyalar Direktifi, belirli dekoratif boyaların </w:t>
      </w:r>
      <w:proofErr w:type="spellStart"/>
      <w:r w:rsidRPr="007D4BBE">
        <w:rPr>
          <w:sz w:val="24"/>
          <w:szCs w:val="24"/>
          <w:lang w:eastAsia="tr-TR"/>
        </w:rPr>
        <w:t>VOC</w:t>
      </w:r>
      <w:proofErr w:type="spellEnd"/>
      <w:r w:rsidRPr="007D4BBE">
        <w:rPr>
          <w:sz w:val="24"/>
          <w:szCs w:val="24"/>
          <w:lang w:eastAsia="tr-TR"/>
        </w:rPr>
        <w:t xml:space="preserve"> içeriği ve araç yeniden cilalama ürünleri için sınır değerler belirler. Bu ürünlerden birkaçı, </w:t>
      </w:r>
      <w:proofErr w:type="spellStart"/>
      <w:r w:rsidRPr="007D4BBE">
        <w:rPr>
          <w:sz w:val="24"/>
          <w:szCs w:val="24"/>
          <w:lang w:eastAsia="tr-TR"/>
        </w:rPr>
        <w:t>SED</w:t>
      </w:r>
      <w:proofErr w:type="spellEnd"/>
      <w:r w:rsidRPr="007D4BBE">
        <w:rPr>
          <w:sz w:val="24"/>
          <w:szCs w:val="24"/>
          <w:lang w:eastAsia="tr-TR"/>
        </w:rPr>
        <w:t xml:space="preserve"> kapsamında düzenlenen işletmelerde kullanılır.</w:t>
      </w:r>
      <w:r w:rsidR="00713607" w:rsidRPr="007D4BBE">
        <w:rPr>
          <w:sz w:val="24"/>
          <w:szCs w:val="24"/>
          <w:lang w:eastAsia="tr-TR"/>
        </w:rPr>
        <w:t xml:space="preserve"> Sonuç olarak </w:t>
      </w:r>
      <w:proofErr w:type="spellStart"/>
      <w:r w:rsidR="00713607" w:rsidRPr="007D4BBE">
        <w:rPr>
          <w:sz w:val="24"/>
          <w:szCs w:val="24"/>
          <w:lang w:eastAsia="tr-TR"/>
        </w:rPr>
        <w:t>SED</w:t>
      </w:r>
      <w:proofErr w:type="spellEnd"/>
      <w:r w:rsidR="00713607" w:rsidRPr="007D4BBE">
        <w:rPr>
          <w:sz w:val="24"/>
          <w:szCs w:val="24"/>
          <w:lang w:eastAsia="tr-TR"/>
        </w:rPr>
        <w:t xml:space="preserve">, bu faaliyeti kapsamından </w:t>
      </w:r>
      <w:r w:rsidR="003E03BD" w:rsidRPr="007D4BBE">
        <w:rPr>
          <w:sz w:val="24"/>
          <w:szCs w:val="24"/>
          <w:lang w:eastAsia="tr-TR"/>
        </w:rPr>
        <w:t xml:space="preserve">çıkarmak için değiştirildi. </w:t>
      </w:r>
      <w:r w:rsidRPr="007D4BBE">
        <w:rPr>
          <w:sz w:val="24"/>
          <w:szCs w:val="24"/>
          <w:lang w:eastAsia="tr-TR"/>
        </w:rPr>
        <w:t xml:space="preserve">Yukarıda </w:t>
      </w:r>
      <w:r w:rsidR="00BD601C" w:rsidRPr="007D4BBE">
        <w:rPr>
          <w:sz w:val="24"/>
          <w:szCs w:val="24"/>
          <w:lang w:eastAsia="tr-TR"/>
        </w:rPr>
        <w:t xml:space="preserve">belirtildiği gibi bu değişiklik, </w:t>
      </w:r>
      <w:proofErr w:type="spellStart"/>
      <w:proofErr w:type="gramStart"/>
      <w:r w:rsidR="00BD601C" w:rsidRPr="007D4BBE">
        <w:rPr>
          <w:sz w:val="24"/>
          <w:szCs w:val="24"/>
          <w:lang w:eastAsia="tr-TR"/>
        </w:rPr>
        <w:t>SED</w:t>
      </w:r>
      <w:proofErr w:type="spellEnd"/>
      <w:r w:rsidR="00BD601C" w:rsidRPr="007D4BBE">
        <w:rPr>
          <w:sz w:val="24"/>
          <w:szCs w:val="24"/>
          <w:lang w:eastAsia="tr-TR"/>
        </w:rPr>
        <w:t xml:space="preserve">  kapsamına</w:t>
      </w:r>
      <w:proofErr w:type="gramEnd"/>
      <w:r w:rsidR="00BD601C" w:rsidRPr="007D4BBE">
        <w:rPr>
          <w:sz w:val="24"/>
          <w:szCs w:val="24"/>
          <w:lang w:eastAsia="tr-TR"/>
        </w:rPr>
        <w:t xml:space="preserve"> giren işletmelerin sayısında </w:t>
      </w:r>
      <w:r w:rsidR="003E03BD" w:rsidRPr="007D4BBE">
        <w:rPr>
          <w:sz w:val="24"/>
          <w:szCs w:val="24"/>
          <w:lang w:eastAsia="tr-TR"/>
        </w:rPr>
        <w:t xml:space="preserve">önemli bir azalmaya yol açmıştır. </w:t>
      </w:r>
      <w:r w:rsidR="00091CCB" w:rsidRPr="007D4BBE">
        <w:rPr>
          <w:sz w:val="24"/>
          <w:szCs w:val="24"/>
          <w:lang w:eastAsia="tr-TR"/>
        </w:rPr>
        <w:t xml:space="preserve">Ancak bazı Üye Devletler, Dekoratif Boyalar Direktifi kapsamında açıkça izin </w:t>
      </w:r>
      <w:r w:rsidR="00CE4358" w:rsidRPr="007D4BBE">
        <w:rPr>
          <w:sz w:val="24"/>
          <w:szCs w:val="24"/>
          <w:lang w:eastAsia="tr-TR"/>
        </w:rPr>
        <w:t xml:space="preserve">verildiği üzere bu sektöre ilişkin </w:t>
      </w:r>
      <w:proofErr w:type="spellStart"/>
      <w:r w:rsidR="00CE4358" w:rsidRPr="007D4BBE">
        <w:rPr>
          <w:sz w:val="24"/>
          <w:szCs w:val="24"/>
          <w:lang w:eastAsia="tr-TR"/>
        </w:rPr>
        <w:t>SED</w:t>
      </w:r>
      <w:proofErr w:type="spellEnd"/>
      <w:r w:rsidR="00CE4358" w:rsidRPr="007D4BBE">
        <w:rPr>
          <w:sz w:val="24"/>
          <w:szCs w:val="24"/>
          <w:lang w:eastAsia="tr-TR"/>
        </w:rPr>
        <w:t xml:space="preserve"> gerekliliklerini sürdürmeyi tercih etmiştir. Dekoratif </w:t>
      </w:r>
      <w:r w:rsidR="00CE4358" w:rsidRPr="007D4BBE">
        <w:rPr>
          <w:sz w:val="24"/>
          <w:szCs w:val="24"/>
          <w:lang w:eastAsia="tr-TR"/>
        </w:rPr>
        <w:lastRenderedPageBreak/>
        <w:t xml:space="preserve">Boyalar Direktifi aynı zamanda </w:t>
      </w:r>
      <w:r w:rsidR="005C0F07" w:rsidRPr="007D4BBE">
        <w:rPr>
          <w:sz w:val="24"/>
          <w:szCs w:val="24"/>
          <w:lang w:eastAsia="tr-TR"/>
        </w:rPr>
        <w:t xml:space="preserve">bazı ürünlerin </w:t>
      </w:r>
      <w:proofErr w:type="spellStart"/>
      <w:r w:rsidR="005C0F07" w:rsidRPr="007D4BBE">
        <w:rPr>
          <w:sz w:val="24"/>
          <w:szCs w:val="24"/>
          <w:lang w:eastAsia="tr-TR"/>
        </w:rPr>
        <w:t>SED</w:t>
      </w:r>
      <w:proofErr w:type="spellEnd"/>
      <w:r w:rsidR="005C0F07" w:rsidRPr="007D4BBE">
        <w:rPr>
          <w:sz w:val="24"/>
          <w:szCs w:val="24"/>
          <w:lang w:eastAsia="tr-TR"/>
        </w:rPr>
        <w:t xml:space="preserve"> kapsamında düzenlenen bir işletmede özel kullanım için satılması halinde bu ürünlerin </w:t>
      </w:r>
      <w:proofErr w:type="spellStart"/>
      <w:r w:rsidR="005C0F07" w:rsidRPr="007D4BBE">
        <w:rPr>
          <w:sz w:val="24"/>
          <w:szCs w:val="24"/>
          <w:lang w:eastAsia="tr-TR"/>
        </w:rPr>
        <w:t>VOC</w:t>
      </w:r>
      <w:proofErr w:type="spellEnd"/>
      <w:r w:rsidR="005C0F07" w:rsidRPr="007D4BBE">
        <w:rPr>
          <w:sz w:val="24"/>
          <w:szCs w:val="24"/>
          <w:lang w:eastAsia="tr-TR"/>
        </w:rPr>
        <w:t xml:space="preserve"> sınır değerlerine uyma zorunluluğundan muaf tutar. </w:t>
      </w:r>
    </w:p>
    <w:p w:rsidR="00AB2660" w:rsidRPr="007D4BBE" w:rsidRDefault="00AB2660" w:rsidP="00D0390E">
      <w:pPr>
        <w:jc w:val="both"/>
        <w:rPr>
          <w:sz w:val="24"/>
          <w:szCs w:val="24"/>
          <w:lang w:eastAsia="tr-TR"/>
        </w:rPr>
      </w:pPr>
    </w:p>
    <w:p w:rsidR="00AB2660" w:rsidRPr="007D4BBE" w:rsidRDefault="00AB2660" w:rsidP="00D0390E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İki Direktif arasındaki </w:t>
      </w:r>
      <w:r w:rsidR="00B322D1" w:rsidRPr="007D4BBE">
        <w:rPr>
          <w:sz w:val="24"/>
          <w:szCs w:val="24"/>
          <w:lang w:eastAsia="tr-TR"/>
        </w:rPr>
        <w:t xml:space="preserve">kesişme, paydaş ve yetkili makamlara ait kısım hakkında </w:t>
      </w:r>
      <w:r w:rsidR="00AC2461" w:rsidRPr="007D4BBE">
        <w:rPr>
          <w:sz w:val="24"/>
          <w:szCs w:val="24"/>
          <w:lang w:eastAsia="tr-TR"/>
        </w:rPr>
        <w:t>bazı endişeler ortaya çıkarmıştır. Komisyon durumu açıklığa kavuşturma</w:t>
      </w:r>
      <w:r w:rsidR="000478D0" w:rsidRPr="007D4BBE">
        <w:rPr>
          <w:sz w:val="24"/>
          <w:szCs w:val="24"/>
          <w:lang w:eastAsia="tr-TR"/>
        </w:rPr>
        <w:t>ya çalışmıştır ve bu konu, Komisyonun ayrı bir Tebliğ’de bildir</w:t>
      </w:r>
      <w:r w:rsidR="00B37C10" w:rsidRPr="007D4BBE">
        <w:rPr>
          <w:sz w:val="24"/>
          <w:szCs w:val="24"/>
          <w:lang w:eastAsia="tr-TR"/>
        </w:rPr>
        <w:t>imde bulunacağı</w:t>
      </w:r>
      <w:r w:rsidR="000478D0" w:rsidRPr="007D4BBE">
        <w:rPr>
          <w:sz w:val="24"/>
          <w:szCs w:val="24"/>
          <w:lang w:eastAsia="tr-TR"/>
        </w:rPr>
        <w:t xml:space="preserve"> Dekoratif Boyalar Direktifinin incelenmesi bağlamında da dikkate alınmıştır. </w:t>
      </w:r>
    </w:p>
    <w:p w:rsidR="00B37C10" w:rsidRPr="007D4BBE" w:rsidRDefault="00B37C10" w:rsidP="00D0390E">
      <w:pPr>
        <w:jc w:val="both"/>
        <w:rPr>
          <w:sz w:val="24"/>
          <w:szCs w:val="24"/>
          <w:lang w:eastAsia="tr-TR"/>
        </w:rPr>
      </w:pPr>
    </w:p>
    <w:p w:rsidR="00B37C10" w:rsidRPr="007D4BBE" w:rsidRDefault="00B37C10" w:rsidP="00D0390E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>Yüzey işleme faaliyetleri yürüten daha büyük işletmelerden bazıları</w:t>
      </w:r>
      <w:r w:rsidR="009647C5" w:rsidRPr="007D4BBE">
        <w:rPr>
          <w:sz w:val="24"/>
          <w:szCs w:val="24"/>
          <w:lang w:eastAsia="tr-TR"/>
        </w:rPr>
        <w:t xml:space="preserve"> hem </w:t>
      </w:r>
      <w:proofErr w:type="spellStart"/>
      <w:r w:rsidR="009647C5" w:rsidRPr="007D4BBE">
        <w:rPr>
          <w:sz w:val="24"/>
          <w:szCs w:val="24"/>
          <w:lang w:eastAsia="tr-TR"/>
        </w:rPr>
        <w:t>SED</w:t>
      </w:r>
      <w:proofErr w:type="spellEnd"/>
      <w:r w:rsidR="009647C5" w:rsidRPr="007D4BBE">
        <w:rPr>
          <w:sz w:val="24"/>
          <w:szCs w:val="24"/>
          <w:lang w:eastAsia="tr-TR"/>
        </w:rPr>
        <w:t xml:space="preserve"> hem de </w:t>
      </w:r>
      <w:proofErr w:type="spellStart"/>
      <w:r w:rsidR="009647C5" w:rsidRPr="007D4BBE">
        <w:rPr>
          <w:sz w:val="24"/>
          <w:szCs w:val="24"/>
          <w:lang w:eastAsia="tr-TR"/>
        </w:rPr>
        <w:t>IPPCD</w:t>
      </w:r>
      <w:proofErr w:type="spellEnd"/>
      <w:r w:rsidR="009647C5" w:rsidRPr="007D4BBE">
        <w:rPr>
          <w:sz w:val="24"/>
          <w:szCs w:val="24"/>
          <w:lang w:eastAsia="tr-TR"/>
        </w:rPr>
        <w:t xml:space="preserve"> kapsamına girmektedir. Bu nedenle</w:t>
      </w:r>
      <w:r w:rsidR="00A0470F" w:rsidRPr="007D4BBE">
        <w:rPr>
          <w:sz w:val="24"/>
          <w:szCs w:val="24"/>
          <w:lang w:eastAsia="tr-TR"/>
        </w:rPr>
        <w:t xml:space="preserve">, izinlerde belirlenecek </w:t>
      </w:r>
      <w:proofErr w:type="gramStart"/>
      <w:r w:rsidR="00A0470F" w:rsidRPr="007D4BBE">
        <w:rPr>
          <w:sz w:val="24"/>
          <w:szCs w:val="24"/>
          <w:lang w:eastAsia="tr-TR"/>
        </w:rPr>
        <w:t>emisyon</w:t>
      </w:r>
      <w:proofErr w:type="gramEnd"/>
      <w:r w:rsidR="00A0470F" w:rsidRPr="007D4BBE">
        <w:rPr>
          <w:sz w:val="24"/>
          <w:szCs w:val="24"/>
          <w:lang w:eastAsia="tr-TR"/>
        </w:rPr>
        <w:t xml:space="preserve"> sınır değerlerin </w:t>
      </w:r>
      <w:proofErr w:type="spellStart"/>
      <w:r w:rsidR="00A0470F" w:rsidRPr="007D4BBE">
        <w:rPr>
          <w:sz w:val="24"/>
          <w:szCs w:val="24"/>
          <w:lang w:eastAsia="tr-TR"/>
        </w:rPr>
        <w:t>BAT’ı</w:t>
      </w:r>
      <w:proofErr w:type="spellEnd"/>
      <w:r w:rsidR="00A0470F" w:rsidRPr="007D4BBE">
        <w:rPr>
          <w:sz w:val="24"/>
          <w:szCs w:val="24"/>
          <w:lang w:eastAsia="tr-TR"/>
        </w:rPr>
        <w:t xml:space="preserve"> temel almasıyla birlikte </w:t>
      </w:r>
      <w:r w:rsidR="006E6819" w:rsidRPr="007D4BBE">
        <w:rPr>
          <w:sz w:val="24"/>
          <w:szCs w:val="24"/>
          <w:lang w:eastAsia="tr-TR"/>
        </w:rPr>
        <w:t xml:space="preserve">bu işletmelere izin verilmek zorundadır. Bu durumlarda </w:t>
      </w:r>
      <w:proofErr w:type="spellStart"/>
      <w:r w:rsidR="006E6819" w:rsidRPr="007D4BBE">
        <w:rPr>
          <w:sz w:val="24"/>
          <w:szCs w:val="24"/>
          <w:lang w:eastAsia="tr-TR"/>
        </w:rPr>
        <w:t>SED’de</w:t>
      </w:r>
      <w:proofErr w:type="spellEnd"/>
      <w:r w:rsidR="006E6819" w:rsidRPr="007D4BBE">
        <w:rPr>
          <w:sz w:val="24"/>
          <w:szCs w:val="24"/>
          <w:lang w:eastAsia="tr-TR"/>
        </w:rPr>
        <w:t xml:space="preserve"> belirlenen sınır değerleri minimum gereklilikler olarak uygulanacaktır. </w:t>
      </w:r>
      <w:proofErr w:type="spellStart"/>
      <w:r w:rsidR="004B2F34" w:rsidRPr="007D4BBE">
        <w:rPr>
          <w:sz w:val="24"/>
          <w:szCs w:val="24"/>
          <w:lang w:eastAsia="tr-TR"/>
        </w:rPr>
        <w:t>EED</w:t>
      </w:r>
      <w:proofErr w:type="spellEnd"/>
      <w:r w:rsidR="004B2F34" w:rsidRPr="007D4BBE">
        <w:rPr>
          <w:sz w:val="24"/>
          <w:szCs w:val="24"/>
          <w:lang w:eastAsia="tr-TR"/>
        </w:rPr>
        <w:t xml:space="preserve"> aracılığıyla </w:t>
      </w:r>
      <w:proofErr w:type="spellStart"/>
      <w:r w:rsidR="006E6819" w:rsidRPr="007D4BBE">
        <w:rPr>
          <w:sz w:val="24"/>
          <w:szCs w:val="24"/>
          <w:lang w:eastAsia="tr-TR"/>
        </w:rPr>
        <w:t>SED</w:t>
      </w:r>
      <w:proofErr w:type="spellEnd"/>
      <w:r w:rsidR="004B2F34" w:rsidRPr="007D4BBE">
        <w:rPr>
          <w:sz w:val="24"/>
          <w:szCs w:val="24"/>
          <w:lang w:eastAsia="tr-TR"/>
        </w:rPr>
        <w:t xml:space="preserve"> ve </w:t>
      </w:r>
      <w:proofErr w:type="spellStart"/>
      <w:r w:rsidR="004B2F34" w:rsidRPr="007D4BBE">
        <w:rPr>
          <w:sz w:val="24"/>
          <w:szCs w:val="24"/>
          <w:lang w:eastAsia="tr-TR"/>
        </w:rPr>
        <w:t>IPPCD</w:t>
      </w:r>
      <w:proofErr w:type="spellEnd"/>
      <w:r w:rsidR="004B2F34" w:rsidRPr="007D4BBE">
        <w:rPr>
          <w:sz w:val="24"/>
          <w:szCs w:val="24"/>
          <w:lang w:eastAsia="tr-TR"/>
        </w:rPr>
        <w:t xml:space="preserve"> arasındaki etkileşimin ayrıntılı olarak üzerinde durulmuştur.</w:t>
      </w:r>
    </w:p>
    <w:p w:rsidR="004B2F34" w:rsidRPr="007D4BBE" w:rsidRDefault="004B2F34" w:rsidP="00D0390E">
      <w:pPr>
        <w:jc w:val="both"/>
        <w:rPr>
          <w:sz w:val="24"/>
          <w:szCs w:val="24"/>
          <w:lang w:eastAsia="tr-TR"/>
        </w:rPr>
      </w:pPr>
    </w:p>
    <w:p w:rsidR="004B2F34" w:rsidRPr="007D4BBE" w:rsidRDefault="004B2F34" w:rsidP="00D0390E">
      <w:pPr>
        <w:jc w:val="both"/>
        <w:rPr>
          <w:b/>
          <w:i/>
          <w:sz w:val="24"/>
          <w:szCs w:val="24"/>
          <w:lang w:eastAsia="tr-TR"/>
        </w:rPr>
      </w:pPr>
      <w:r w:rsidRPr="007D4BBE">
        <w:rPr>
          <w:b/>
          <w:i/>
          <w:sz w:val="24"/>
          <w:szCs w:val="24"/>
          <w:lang w:eastAsia="tr-TR"/>
        </w:rPr>
        <w:t>4. SON TESPİTLER</w:t>
      </w:r>
    </w:p>
    <w:p w:rsidR="004B2F34" w:rsidRPr="007D4BBE" w:rsidRDefault="004B2F34" w:rsidP="00D0390E">
      <w:pPr>
        <w:jc w:val="both"/>
        <w:rPr>
          <w:sz w:val="24"/>
          <w:szCs w:val="24"/>
          <w:lang w:eastAsia="tr-TR"/>
        </w:rPr>
      </w:pPr>
    </w:p>
    <w:p w:rsidR="004B2F34" w:rsidRPr="007D4BBE" w:rsidRDefault="004B2F34" w:rsidP="00D0390E">
      <w:pPr>
        <w:jc w:val="both"/>
        <w:rPr>
          <w:b/>
          <w:i/>
          <w:sz w:val="24"/>
          <w:szCs w:val="24"/>
          <w:lang w:eastAsia="tr-TR"/>
        </w:rPr>
      </w:pPr>
      <w:proofErr w:type="spellStart"/>
      <w:r w:rsidRPr="007D4BBE">
        <w:rPr>
          <w:b/>
          <w:i/>
          <w:sz w:val="24"/>
          <w:szCs w:val="24"/>
          <w:lang w:eastAsia="tr-TR"/>
        </w:rPr>
        <w:t>IPPCD</w:t>
      </w:r>
      <w:proofErr w:type="spellEnd"/>
    </w:p>
    <w:p w:rsidR="004B2F34" w:rsidRPr="007D4BBE" w:rsidRDefault="004B2F34" w:rsidP="00D0390E">
      <w:pPr>
        <w:jc w:val="both"/>
        <w:rPr>
          <w:sz w:val="24"/>
          <w:szCs w:val="24"/>
          <w:lang w:eastAsia="tr-TR"/>
        </w:rPr>
      </w:pPr>
    </w:p>
    <w:p w:rsidR="004B2F34" w:rsidRPr="007D4BBE" w:rsidRDefault="00E361A1" w:rsidP="00D0390E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Üye Devletlerin </w:t>
      </w:r>
      <w:proofErr w:type="spellStart"/>
      <w:r w:rsidR="004B2F34" w:rsidRPr="007D4BBE">
        <w:rPr>
          <w:sz w:val="24"/>
          <w:szCs w:val="24"/>
          <w:lang w:eastAsia="tr-TR"/>
        </w:rPr>
        <w:t>IPPCD</w:t>
      </w:r>
      <w:r w:rsidR="000053AB" w:rsidRPr="007D4BBE">
        <w:rPr>
          <w:sz w:val="24"/>
          <w:szCs w:val="24"/>
          <w:lang w:eastAsia="tr-TR"/>
        </w:rPr>
        <w:t>’nin</w:t>
      </w:r>
      <w:proofErr w:type="spellEnd"/>
      <w:r w:rsidR="004B2F34" w:rsidRPr="007D4BBE">
        <w:rPr>
          <w:sz w:val="24"/>
          <w:szCs w:val="24"/>
          <w:lang w:eastAsia="tr-TR"/>
        </w:rPr>
        <w:t xml:space="preserve"> uygula</w:t>
      </w:r>
      <w:r w:rsidR="000053AB" w:rsidRPr="007D4BBE">
        <w:rPr>
          <w:sz w:val="24"/>
          <w:szCs w:val="24"/>
          <w:lang w:eastAsia="tr-TR"/>
        </w:rPr>
        <w:t>n</w:t>
      </w:r>
      <w:r w:rsidR="004B2F34" w:rsidRPr="007D4BBE">
        <w:rPr>
          <w:sz w:val="24"/>
          <w:szCs w:val="24"/>
          <w:lang w:eastAsia="tr-TR"/>
        </w:rPr>
        <w:t>ması hakkındaki</w:t>
      </w:r>
      <w:r w:rsidRPr="007D4BBE">
        <w:rPr>
          <w:sz w:val="24"/>
          <w:szCs w:val="24"/>
          <w:lang w:eastAsia="tr-TR"/>
        </w:rPr>
        <w:t xml:space="preserve"> </w:t>
      </w:r>
      <w:r w:rsidR="004B2F34" w:rsidRPr="007D4BBE">
        <w:rPr>
          <w:sz w:val="24"/>
          <w:szCs w:val="24"/>
          <w:lang w:eastAsia="tr-TR"/>
        </w:rPr>
        <w:t>raporlar</w:t>
      </w:r>
      <w:r w:rsidR="000053AB" w:rsidRPr="007D4BBE">
        <w:rPr>
          <w:sz w:val="24"/>
          <w:szCs w:val="24"/>
          <w:lang w:eastAsia="tr-TR"/>
        </w:rPr>
        <w:t>ı</w:t>
      </w:r>
      <w:r w:rsidRPr="007D4BBE">
        <w:rPr>
          <w:sz w:val="24"/>
          <w:szCs w:val="24"/>
          <w:lang w:eastAsia="tr-TR"/>
        </w:rPr>
        <w:t xml:space="preserve">, bazı ülkeler için Direktife uygunluğu sağlamak amacıyla izinlerin düzenlenmesini sonlandırma yönünde bir ihtiyaç ortaya çıkarmıştır. </w:t>
      </w:r>
      <w:r w:rsidR="000053AB" w:rsidRPr="007D4BBE">
        <w:rPr>
          <w:sz w:val="24"/>
          <w:szCs w:val="24"/>
          <w:lang w:eastAsia="tr-TR"/>
        </w:rPr>
        <w:t xml:space="preserve">Buna ek olarak Komisyonun üstlendiği örnek olay incelemeleri, izinlerin yeterince </w:t>
      </w:r>
      <w:proofErr w:type="spellStart"/>
      <w:r w:rsidR="000053AB" w:rsidRPr="007D4BBE">
        <w:rPr>
          <w:sz w:val="24"/>
          <w:szCs w:val="24"/>
          <w:lang w:eastAsia="tr-TR"/>
        </w:rPr>
        <w:t>BAT’ı</w:t>
      </w:r>
      <w:proofErr w:type="spellEnd"/>
      <w:r w:rsidR="000053AB" w:rsidRPr="007D4BBE">
        <w:rPr>
          <w:sz w:val="24"/>
          <w:szCs w:val="24"/>
          <w:lang w:eastAsia="tr-TR"/>
        </w:rPr>
        <w:t xml:space="preserve"> temel almadığını göstermiştir. Ayrıca </w:t>
      </w:r>
      <w:r w:rsidR="00921529" w:rsidRPr="007D4BBE">
        <w:rPr>
          <w:sz w:val="24"/>
          <w:szCs w:val="24"/>
          <w:lang w:eastAsia="tr-TR"/>
        </w:rPr>
        <w:t>daha tutarlı bir denetim me</w:t>
      </w:r>
      <w:r w:rsidR="000F01B2" w:rsidRPr="007D4BBE">
        <w:rPr>
          <w:sz w:val="24"/>
          <w:szCs w:val="24"/>
          <w:lang w:eastAsia="tr-TR"/>
        </w:rPr>
        <w:t>k</w:t>
      </w:r>
      <w:r w:rsidR="00921529" w:rsidRPr="007D4BBE">
        <w:rPr>
          <w:sz w:val="24"/>
          <w:szCs w:val="24"/>
          <w:lang w:eastAsia="tr-TR"/>
        </w:rPr>
        <w:t xml:space="preserve">anizması ihtiyacı, idari yükü azaltma ihtiyacı ve </w:t>
      </w:r>
      <w:proofErr w:type="spellStart"/>
      <w:r w:rsidR="00921529" w:rsidRPr="007D4BBE">
        <w:rPr>
          <w:sz w:val="24"/>
          <w:szCs w:val="24"/>
          <w:lang w:eastAsia="tr-TR"/>
        </w:rPr>
        <w:t>IPPCD’nin</w:t>
      </w:r>
      <w:proofErr w:type="spellEnd"/>
      <w:r w:rsidR="00921529" w:rsidRPr="007D4BBE">
        <w:rPr>
          <w:sz w:val="24"/>
          <w:szCs w:val="24"/>
          <w:lang w:eastAsia="tr-TR"/>
        </w:rPr>
        <w:t xml:space="preserve"> belirli temel politika hedeflerini karşılayamaması </w:t>
      </w:r>
      <w:r w:rsidR="000F01B2" w:rsidRPr="007D4BBE">
        <w:rPr>
          <w:sz w:val="24"/>
          <w:szCs w:val="24"/>
          <w:lang w:eastAsia="tr-TR"/>
        </w:rPr>
        <w:t xml:space="preserve">gibi </w:t>
      </w:r>
      <w:r w:rsidR="00921529" w:rsidRPr="007D4BBE">
        <w:rPr>
          <w:sz w:val="24"/>
          <w:szCs w:val="24"/>
          <w:lang w:eastAsia="tr-TR"/>
        </w:rPr>
        <w:t>bir dizi başka konu da belirlen</w:t>
      </w:r>
      <w:r w:rsidR="000F01B2" w:rsidRPr="007D4BBE">
        <w:rPr>
          <w:sz w:val="24"/>
          <w:szCs w:val="24"/>
          <w:lang w:eastAsia="tr-TR"/>
        </w:rPr>
        <w:t xml:space="preserve">mektedir. Bu konular </w:t>
      </w:r>
      <w:r w:rsidR="002729AC" w:rsidRPr="007D4BBE">
        <w:rPr>
          <w:sz w:val="24"/>
          <w:szCs w:val="24"/>
          <w:lang w:eastAsia="tr-TR"/>
        </w:rPr>
        <w:t>genellikle</w:t>
      </w:r>
      <w:r w:rsidR="000F01B2" w:rsidRPr="007D4BBE">
        <w:rPr>
          <w:sz w:val="24"/>
          <w:szCs w:val="24"/>
          <w:lang w:eastAsia="tr-TR"/>
        </w:rPr>
        <w:t xml:space="preserve"> </w:t>
      </w:r>
      <w:proofErr w:type="spellStart"/>
      <w:r w:rsidR="000F01B2" w:rsidRPr="007D4BBE">
        <w:rPr>
          <w:sz w:val="24"/>
          <w:szCs w:val="24"/>
          <w:lang w:eastAsia="tr-TR"/>
        </w:rPr>
        <w:t>EED</w:t>
      </w:r>
      <w:proofErr w:type="spellEnd"/>
      <w:r w:rsidR="000F01B2" w:rsidRPr="007D4BBE">
        <w:rPr>
          <w:sz w:val="24"/>
          <w:szCs w:val="24"/>
          <w:lang w:eastAsia="tr-TR"/>
        </w:rPr>
        <w:t xml:space="preserve"> aracılığıyla </w:t>
      </w:r>
      <w:r w:rsidR="002729AC" w:rsidRPr="007D4BBE">
        <w:rPr>
          <w:sz w:val="24"/>
          <w:szCs w:val="24"/>
          <w:lang w:eastAsia="tr-TR"/>
        </w:rPr>
        <w:t>ele alınmalıdır.</w:t>
      </w:r>
      <w:r w:rsidR="00921529" w:rsidRPr="007D4BBE">
        <w:rPr>
          <w:sz w:val="24"/>
          <w:szCs w:val="24"/>
          <w:lang w:eastAsia="tr-TR"/>
        </w:rPr>
        <w:t xml:space="preserve"> </w:t>
      </w:r>
    </w:p>
    <w:p w:rsidR="00491A91" w:rsidRPr="007D4BBE" w:rsidRDefault="00491A91" w:rsidP="00D0390E">
      <w:pPr>
        <w:jc w:val="both"/>
        <w:rPr>
          <w:sz w:val="24"/>
          <w:szCs w:val="24"/>
          <w:lang w:eastAsia="tr-TR"/>
        </w:rPr>
      </w:pPr>
    </w:p>
    <w:p w:rsidR="00491A91" w:rsidRPr="007D4BBE" w:rsidRDefault="00491A91" w:rsidP="00D0390E">
      <w:pPr>
        <w:jc w:val="both"/>
        <w:rPr>
          <w:b/>
          <w:i/>
          <w:sz w:val="24"/>
          <w:szCs w:val="24"/>
          <w:lang w:eastAsia="tr-TR"/>
        </w:rPr>
      </w:pPr>
      <w:proofErr w:type="spellStart"/>
      <w:r w:rsidRPr="007D4BBE">
        <w:rPr>
          <w:b/>
          <w:i/>
          <w:sz w:val="24"/>
          <w:szCs w:val="24"/>
          <w:lang w:eastAsia="tr-TR"/>
        </w:rPr>
        <w:t>SED</w:t>
      </w:r>
      <w:proofErr w:type="spellEnd"/>
    </w:p>
    <w:p w:rsidR="00491A91" w:rsidRPr="007D4BBE" w:rsidRDefault="00491A91" w:rsidP="00D0390E">
      <w:pPr>
        <w:jc w:val="both"/>
        <w:rPr>
          <w:b/>
          <w:i/>
          <w:sz w:val="24"/>
          <w:szCs w:val="24"/>
          <w:lang w:eastAsia="tr-TR"/>
        </w:rPr>
      </w:pPr>
    </w:p>
    <w:p w:rsidR="00491A91" w:rsidRPr="007D4BBE" w:rsidRDefault="00491A91" w:rsidP="00D0390E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Mevcut işletmelere </w:t>
      </w:r>
      <w:r w:rsidR="00D1144B" w:rsidRPr="007D4BBE">
        <w:rPr>
          <w:sz w:val="24"/>
          <w:szCs w:val="24"/>
          <w:lang w:eastAsia="tr-TR"/>
        </w:rPr>
        <w:t xml:space="preserve">ilişkin nihai uygulama son tarihi öncesinde </w:t>
      </w:r>
      <w:r w:rsidRPr="007D4BBE">
        <w:rPr>
          <w:sz w:val="24"/>
          <w:szCs w:val="24"/>
          <w:lang w:eastAsia="tr-TR"/>
        </w:rPr>
        <w:t xml:space="preserve">Üye Devletlerin </w:t>
      </w:r>
      <w:proofErr w:type="spellStart"/>
      <w:r w:rsidRPr="007D4BBE">
        <w:rPr>
          <w:sz w:val="24"/>
          <w:szCs w:val="24"/>
          <w:lang w:eastAsia="tr-TR"/>
        </w:rPr>
        <w:t>SED</w:t>
      </w:r>
      <w:proofErr w:type="spellEnd"/>
      <w:r w:rsidRPr="007D4BBE">
        <w:rPr>
          <w:sz w:val="24"/>
          <w:szCs w:val="24"/>
          <w:lang w:eastAsia="tr-TR"/>
        </w:rPr>
        <w:t xml:space="preserve"> uygulaması hakkında bildirimde bulunması</w:t>
      </w:r>
      <w:r w:rsidR="00B1702A" w:rsidRPr="007D4BBE">
        <w:rPr>
          <w:sz w:val="24"/>
          <w:szCs w:val="24"/>
          <w:lang w:eastAsia="tr-TR"/>
        </w:rPr>
        <w:t>, hiçbir büyük çaplı yatay sorun ortaya çıkarmamıştır</w:t>
      </w:r>
      <w:r w:rsidR="00A2487C" w:rsidRPr="007D4BBE">
        <w:rPr>
          <w:sz w:val="24"/>
          <w:szCs w:val="24"/>
          <w:lang w:eastAsia="tr-TR"/>
        </w:rPr>
        <w:t xml:space="preserve">. </w:t>
      </w:r>
      <w:proofErr w:type="spellStart"/>
      <w:r w:rsidR="00A2487C" w:rsidRPr="007D4BBE">
        <w:rPr>
          <w:sz w:val="24"/>
          <w:szCs w:val="24"/>
          <w:lang w:eastAsia="tr-TR"/>
        </w:rPr>
        <w:t>SED’in</w:t>
      </w:r>
      <w:proofErr w:type="spellEnd"/>
      <w:r w:rsidR="00A2487C" w:rsidRPr="007D4BBE">
        <w:rPr>
          <w:sz w:val="24"/>
          <w:szCs w:val="24"/>
          <w:lang w:eastAsia="tr-TR"/>
        </w:rPr>
        <w:t xml:space="preserve"> kuru temizleme sektöründe uygulanması, sektör</w:t>
      </w:r>
      <w:r w:rsidR="00E00FAB" w:rsidRPr="007D4BBE">
        <w:rPr>
          <w:sz w:val="24"/>
          <w:szCs w:val="24"/>
          <w:lang w:eastAsia="tr-TR"/>
        </w:rPr>
        <w:t>e özgü özellikler dolayısıyla bazı sorunlar ortaya koymuş</w:t>
      </w:r>
      <w:r w:rsidR="00E72388" w:rsidRPr="007D4BBE">
        <w:rPr>
          <w:sz w:val="24"/>
          <w:szCs w:val="24"/>
          <w:lang w:eastAsia="tr-TR"/>
        </w:rPr>
        <w:t xml:space="preserve"> olmakla birlikte, faydalı basitleştirilmiş yaklaşımlar geliştirilmektedir. </w:t>
      </w:r>
    </w:p>
    <w:p w:rsidR="00B97FEA" w:rsidRPr="007D4BBE" w:rsidRDefault="00B97FEA" w:rsidP="00D0390E">
      <w:pPr>
        <w:jc w:val="both"/>
        <w:rPr>
          <w:sz w:val="24"/>
          <w:szCs w:val="24"/>
          <w:lang w:eastAsia="tr-TR"/>
        </w:rPr>
      </w:pPr>
    </w:p>
    <w:p w:rsidR="00B97FEA" w:rsidRPr="007D4BBE" w:rsidRDefault="00B97FEA" w:rsidP="00D0390E">
      <w:pPr>
        <w:jc w:val="both"/>
        <w:rPr>
          <w:b/>
          <w:i/>
          <w:sz w:val="24"/>
          <w:szCs w:val="24"/>
          <w:lang w:eastAsia="tr-TR"/>
        </w:rPr>
      </w:pPr>
      <w:r w:rsidRPr="007D4BBE">
        <w:rPr>
          <w:b/>
          <w:i/>
          <w:sz w:val="24"/>
          <w:szCs w:val="24"/>
          <w:lang w:eastAsia="tr-TR"/>
        </w:rPr>
        <w:t>Endüstriyel Emisyonlar hakkındaki Gelecek</w:t>
      </w:r>
      <w:r w:rsidR="00B759F6" w:rsidRPr="007D4BBE">
        <w:rPr>
          <w:b/>
          <w:i/>
          <w:sz w:val="24"/>
          <w:szCs w:val="24"/>
          <w:lang w:eastAsia="tr-TR"/>
        </w:rPr>
        <w:t xml:space="preserve"> Direktif</w:t>
      </w:r>
    </w:p>
    <w:p w:rsidR="00B759F6" w:rsidRPr="007D4BBE" w:rsidRDefault="00B759F6" w:rsidP="00D0390E">
      <w:pPr>
        <w:jc w:val="both"/>
        <w:rPr>
          <w:sz w:val="24"/>
          <w:szCs w:val="24"/>
          <w:lang w:eastAsia="tr-TR"/>
        </w:rPr>
      </w:pPr>
    </w:p>
    <w:p w:rsidR="00B759F6" w:rsidRPr="007D4BBE" w:rsidRDefault="00B759F6" w:rsidP="00D0390E">
      <w:pPr>
        <w:jc w:val="both"/>
        <w:rPr>
          <w:sz w:val="24"/>
          <w:szCs w:val="24"/>
          <w:lang w:eastAsia="tr-TR"/>
        </w:rPr>
      </w:pPr>
      <w:r w:rsidRPr="007D4BBE">
        <w:rPr>
          <w:sz w:val="24"/>
          <w:szCs w:val="24"/>
          <w:lang w:eastAsia="tr-TR"/>
        </w:rPr>
        <w:t xml:space="preserve">Nihai kabul bekleyen </w:t>
      </w:r>
      <w:proofErr w:type="spellStart"/>
      <w:r w:rsidRPr="007D4BBE">
        <w:rPr>
          <w:sz w:val="24"/>
          <w:szCs w:val="24"/>
          <w:lang w:eastAsia="tr-TR"/>
        </w:rPr>
        <w:t>EED</w:t>
      </w:r>
      <w:proofErr w:type="spellEnd"/>
      <w:r w:rsidRPr="007D4BBE">
        <w:rPr>
          <w:sz w:val="24"/>
          <w:szCs w:val="24"/>
          <w:lang w:eastAsia="tr-TR"/>
        </w:rPr>
        <w:t xml:space="preserve">, </w:t>
      </w:r>
      <w:proofErr w:type="spellStart"/>
      <w:r w:rsidRPr="007D4BBE">
        <w:rPr>
          <w:sz w:val="24"/>
          <w:szCs w:val="24"/>
          <w:lang w:eastAsia="tr-TR"/>
        </w:rPr>
        <w:t>IPPCD</w:t>
      </w:r>
      <w:proofErr w:type="spellEnd"/>
      <w:r w:rsidRPr="007D4BBE">
        <w:rPr>
          <w:sz w:val="24"/>
          <w:szCs w:val="24"/>
          <w:lang w:eastAsia="tr-TR"/>
        </w:rPr>
        <w:t xml:space="preserve"> ve </w:t>
      </w:r>
      <w:proofErr w:type="spellStart"/>
      <w:r w:rsidRPr="007D4BBE">
        <w:rPr>
          <w:sz w:val="24"/>
          <w:szCs w:val="24"/>
          <w:lang w:eastAsia="tr-TR"/>
        </w:rPr>
        <w:t>SED’in</w:t>
      </w:r>
      <w:proofErr w:type="spellEnd"/>
      <w:r w:rsidRPr="007D4BBE">
        <w:rPr>
          <w:sz w:val="24"/>
          <w:szCs w:val="24"/>
          <w:lang w:eastAsia="tr-TR"/>
        </w:rPr>
        <w:t xml:space="preserve"> de aralarında bulunduğu yedi adet Direktifi tek bir yasal belge olacak şekilde birleştirecektir. Bu durum</w:t>
      </w:r>
      <w:r w:rsidR="00621EC8" w:rsidRPr="007D4BBE">
        <w:rPr>
          <w:sz w:val="24"/>
          <w:szCs w:val="24"/>
          <w:lang w:eastAsia="tr-TR"/>
        </w:rPr>
        <w:t xml:space="preserve">, tüm bu yasal belgeler arasındaki etkileşimi açıklığa kavuşturacak ve izleme ve raporlama ile ilgili olan hükümler </w:t>
      </w:r>
      <w:proofErr w:type="gramStart"/>
      <w:r w:rsidR="00621EC8" w:rsidRPr="007D4BBE">
        <w:rPr>
          <w:sz w:val="24"/>
          <w:szCs w:val="24"/>
          <w:lang w:eastAsia="tr-TR"/>
        </w:rPr>
        <w:t>dahil</w:t>
      </w:r>
      <w:proofErr w:type="gramEnd"/>
      <w:r w:rsidR="00621EC8" w:rsidRPr="007D4BBE">
        <w:rPr>
          <w:sz w:val="24"/>
          <w:szCs w:val="24"/>
          <w:lang w:eastAsia="tr-TR"/>
        </w:rPr>
        <w:t xml:space="preserve"> olmak üzere birçok önemli hükmü düzene koyacaktır. </w:t>
      </w:r>
    </w:p>
    <w:p w:rsidR="00621EC8" w:rsidRPr="007D4BBE" w:rsidRDefault="00621EC8" w:rsidP="00D0390E">
      <w:pPr>
        <w:jc w:val="both"/>
        <w:rPr>
          <w:sz w:val="24"/>
          <w:szCs w:val="24"/>
          <w:lang w:eastAsia="tr-TR"/>
        </w:rPr>
      </w:pPr>
    </w:p>
    <w:p w:rsidR="00621EC8" w:rsidRPr="007D4BBE" w:rsidRDefault="00621EC8" w:rsidP="00D0390E">
      <w:pPr>
        <w:jc w:val="both"/>
        <w:rPr>
          <w:sz w:val="24"/>
          <w:szCs w:val="24"/>
          <w:lang w:eastAsia="tr-TR"/>
        </w:rPr>
      </w:pPr>
      <w:proofErr w:type="spellStart"/>
      <w:r w:rsidRPr="007D4BBE">
        <w:rPr>
          <w:sz w:val="24"/>
          <w:szCs w:val="24"/>
          <w:lang w:eastAsia="tr-TR"/>
        </w:rPr>
        <w:t>EED</w:t>
      </w:r>
      <w:proofErr w:type="spellEnd"/>
      <w:r w:rsidR="00157A42" w:rsidRPr="007D4BBE">
        <w:rPr>
          <w:sz w:val="24"/>
          <w:szCs w:val="24"/>
          <w:lang w:eastAsia="tr-TR"/>
        </w:rPr>
        <w:t xml:space="preserve">, izin verme </w:t>
      </w:r>
      <w:proofErr w:type="gramStart"/>
      <w:r w:rsidR="00157A42" w:rsidRPr="007D4BBE">
        <w:rPr>
          <w:sz w:val="24"/>
          <w:szCs w:val="24"/>
          <w:lang w:eastAsia="tr-TR"/>
        </w:rPr>
        <w:t>prosedüründe</w:t>
      </w:r>
      <w:proofErr w:type="gramEnd"/>
      <w:r w:rsidR="00157A42" w:rsidRPr="007D4BBE">
        <w:rPr>
          <w:sz w:val="24"/>
          <w:szCs w:val="24"/>
          <w:lang w:eastAsia="tr-TR"/>
        </w:rPr>
        <w:t xml:space="preserve"> </w:t>
      </w:r>
      <w:proofErr w:type="spellStart"/>
      <w:r w:rsidR="00157A42" w:rsidRPr="007D4BBE">
        <w:rPr>
          <w:sz w:val="24"/>
          <w:szCs w:val="24"/>
          <w:lang w:eastAsia="tr-TR"/>
        </w:rPr>
        <w:t>BAT’ın</w:t>
      </w:r>
      <w:proofErr w:type="spellEnd"/>
      <w:r w:rsidR="00157A42" w:rsidRPr="007D4BBE">
        <w:rPr>
          <w:sz w:val="24"/>
          <w:szCs w:val="24"/>
          <w:lang w:eastAsia="tr-TR"/>
        </w:rPr>
        <w:t xml:space="preserve"> önemini büyük oranda güçlendirir ve başta izin inceleme ve denetimleri konularında olmak üzere </w:t>
      </w:r>
      <w:proofErr w:type="spellStart"/>
      <w:r w:rsidR="00157A42" w:rsidRPr="007D4BBE">
        <w:rPr>
          <w:sz w:val="24"/>
          <w:szCs w:val="24"/>
          <w:lang w:eastAsia="tr-TR"/>
        </w:rPr>
        <w:t>IPPCD’nin</w:t>
      </w:r>
      <w:proofErr w:type="spellEnd"/>
      <w:r w:rsidR="00157A42" w:rsidRPr="007D4BBE">
        <w:rPr>
          <w:sz w:val="24"/>
          <w:szCs w:val="24"/>
          <w:lang w:eastAsia="tr-TR"/>
        </w:rPr>
        <w:t xml:space="preserve"> bazı eksikliklerini ele alır. </w:t>
      </w:r>
      <w:proofErr w:type="spellStart"/>
      <w:r w:rsidR="00157A42" w:rsidRPr="007D4BBE">
        <w:rPr>
          <w:sz w:val="24"/>
          <w:szCs w:val="24"/>
          <w:lang w:eastAsia="tr-TR"/>
        </w:rPr>
        <w:t>EED</w:t>
      </w:r>
      <w:proofErr w:type="spellEnd"/>
      <w:r w:rsidR="00157A42" w:rsidRPr="007D4BBE">
        <w:rPr>
          <w:sz w:val="24"/>
          <w:szCs w:val="24"/>
          <w:lang w:eastAsia="tr-TR"/>
        </w:rPr>
        <w:t xml:space="preserve"> yürürlüğe girdikten sonra Üye Devletler tarafından uygulamanın daha etkili hale gelmesi beklenmektedir.</w:t>
      </w:r>
    </w:p>
    <w:p w:rsidR="005C0F07" w:rsidRPr="007D4BBE" w:rsidRDefault="005C0F07" w:rsidP="00D0390E">
      <w:pPr>
        <w:jc w:val="both"/>
        <w:rPr>
          <w:sz w:val="24"/>
          <w:szCs w:val="24"/>
          <w:lang w:eastAsia="tr-TR"/>
        </w:rPr>
      </w:pPr>
    </w:p>
    <w:p w:rsidR="00EA3E75" w:rsidRPr="007D4BBE" w:rsidRDefault="00157A42" w:rsidP="00D0390E">
      <w:pPr>
        <w:jc w:val="both"/>
        <w:rPr>
          <w:b/>
          <w:i/>
          <w:sz w:val="24"/>
          <w:szCs w:val="24"/>
          <w:lang w:eastAsia="tr-TR"/>
        </w:rPr>
      </w:pPr>
      <w:r w:rsidRPr="007D4BBE">
        <w:rPr>
          <w:b/>
          <w:i/>
          <w:sz w:val="24"/>
          <w:szCs w:val="24"/>
          <w:lang w:eastAsia="tr-TR"/>
        </w:rPr>
        <w:t xml:space="preserve">Gelecek </w:t>
      </w:r>
      <w:r w:rsidR="000526B3" w:rsidRPr="007D4BBE">
        <w:rPr>
          <w:b/>
          <w:i/>
          <w:sz w:val="24"/>
          <w:szCs w:val="24"/>
          <w:lang w:eastAsia="tr-TR"/>
        </w:rPr>
        <w:t>eylem</w:t>
      </w:r>
    </w:p>
    <w:p w:rsidR="000526B3" w:rsidRPr="007D4BBE" w:rsidRDefault="000526B3" w:rsidP="00D0390E">
      <w:pPr>
        <w:jc w:val="both"/>
        <w:rPr>
          <w:sz w:val="24"/>
          <w:szCs w:val="24"/>
          <w:lang w:eastAsia="tr-TR"/>
        </w:rPr>
      </w:pPr>
      <w:proofErr w:type="spellStart"/>
      <w:r w:rsidRPr="007D4BBE">
        <w:rPr>
          <w:sz w:val="24"/>
          <w:szCs w:val="24"/>
          <w:lang w:eastAsia="tr-TR"/>
        </w:rPr>
        <w:lastRenderedPageBreak/>
        <w:t>EED</w:t>
      </w:r>
      <w:proofErr w:type="spellEnd"/>
      <w:r w:rsidRPr="007D4BBE">
        <w:rPr>
          <w:sz w:val="24"/>
          <w:szCs w:val="24"/>
          <w:lang w:eastAsia="tr-TR"/>
        </w:rPr>
        <w:t xml:space="preserve"> yürürlüğe girmeden önce </w:t>
      </w:r>
      <w:proofErr w:type="spellStart"/>
      <w:r w:rsidRPr="007D4BBE">
        <w:rPr>
          <w:sz w:val="24"/>
          <w:szCs w:val="24"/>
          <w:lang w:eastAsia="tr-TR"/>
        </w:rPr>
        <w:t>SED</w:t>
      </w:r>
      <w:proofErr w:type="spellEnd"/>
      <w:r w:rsidRPr="007D4BBE">
        <w:rPr>
          <w:sz w:val="24"/>
          <w:szCs w:val="24"/>
          <w:lang w:eastAsia="tr-TR"/>
        </w:rPr>
        <w:t xml:space="preserve"> (2008-2010) ve </w:t>
      </w:r>
      <w:proofErr w:type="spellStart"/>
      <w:r w:rsidRPr="007D4BBE">
        <w:rPr>
          <w:sz w:val="24"/>
          <w:szCs w:val="24"/>
          <w:lang w:eastAsia="tr-TR"/>
        </w:rPr>
        <w:t>IPPCD</w:t>
      </w:r>
      <w:proofErr w:type="spellEnd"/>
      <w:r w:rsidRPr="007D4BBE">
        <w:rPr>
          <w:sz w:val="24"/>
          <w:szCs w:val="24"/>
          <w:lang w:eastAsia="tr-TR"/>
        </w:rPr>
        <w:t xml:space="preserve"> (2009-2011) için başka bir raporlama dönemine yönelik planlar hala mevcut olup, Komisyon </w:t>
      </w:r>
      <w:r w:rsidR="0015013F" w:rsidRPr="007D4BBE">
        <w:rPr>
          <w:sz w:val="24"/>
          <w:szCs w:val="24"/>
          <w:lang w:eastAsia="tr-TR"/>
        </w:rPr>
        <w:t xml:space="preserve">mevzuatın bu iki kısmının uygulanmasını takibe devam edecektir. Komisyon aynı zamanda </w:t>
      </w:r>
      <w:proofErr w:type="spellStart"/>
      <w:r w:rsidR="0015013F" w:rsidRPr="007D4BBE">
        <w:rPr>
          <w:sz w:val="24"/>
          <w:szCs w:val="24"/>
          <w:lang w:eastAsia="tr-TR"/>
        </w:rPr>
        <w:t>EED’nin</w:t>
      </w:r>
      <w:proofErr w:type="spellEnd"/>
      <w:r w:rsidR="0015013F" w:rsidRPr="007D4BBE">
        <w:rPr>
          <w:sz w:val="24"/>
          <w:szCs w:val="24"/>
          <w:lang w:eastAsia="tr-TR"/>
        </w:rPr>
        <w:t xml:space="preserve"> Üye Devletler tarafından uyarlanmasını ve uygulamasını desteklemek ve teşvik etmek üzere zemin hazırlayacaktır. </w:t>
      </w:r>
    </w:p>
    <w:p w:rsidR="00157A42" w:rsidRPr="007D4BBE" w:rsidRDefault="00157A42" w:rsidP="00D0390E">
      <w:pPr>
        <w:jc w:val="both"/>
        <w:rPr>
          <w:sz w:val="24"/>
          <w:szCs w:val="24"/>
          <w:lang w:eastAsia="tr-TR"/>
        </w:rPr>
      </w:pPr>
    </w:p>
    <w:p w:rsidR="0015013F" w:rsidRPr="007D4BBE" w:rsidRDefault="0015013F" w:rsidP="0015013F">
      <w:pPr>
        <w:jc w:val="center"/>
        <w:rPr>
          <w:b/>
          <w:i/>
          <w:sz w:val="24"/>
          <w:szCs w:val="24"/>
          <w:lang w:eastAsia="tr-TR"/>
        </w:rPr>
      </w:pPr>
      <w:r w:rsidRPr="007D4BBE">
        <w:rPr>
          <w:b/>
          <w:i/>
          <w:sz w:val="24"/>
          <w:szCs w:val="24"/>
          <w:lang w:eastAsia="tr-TR"/>
        </w:rPr>
        <w:t>Ek I:</w:t>
      </w:r>
      <w:r w:rsidR="00F04229" w:rsidRPr="007D4BBE">
        <w:rPr>
          <w:b/>
          <w:i/>
          <w:sz w:val="24"/>
          <w:szCs w:val="24"/>
          <w:lang w:eastAsia="tr-TR"/>
        </w:rPr>
        <w:t xml:space="preserve"> Komisyonun 2007 </w:t>
      </w:r>
      <w:proofErr w:type="spellStart"/>
      <w:r w:rsidR="00F04229" w:rsidRPr="007D4BBE">
        <w:rPr>
          <w:b/>
          <w:i/>
          <w:sz w:val="24"/>
          <w:szCs w:val="24"/>
          <w:lang w:eastAsia="tr-TR"/>
        </w:rPr>
        <w:t>IPPC</w:t>
      </w:r>
      <w:proofErr w:type="spellEnd"/>
      <w:r w:rsidR="00F04229" w:rsidRPr="007D4BBE">
        <w:rPr>
          <w:b/>
          <w:i/>
          <w:sz w:val="24"/>
          <w:szCs w:val="24"/>
          <w:lang w:eastAsia="tr-TR"/>
        </w:rPr>
        <w:t xml:space="preserve"> Eylem Planını uygulama konusundaki ilerlemenin değerlendirilmesi</w:t>
      </w:r>
    </w:p>
    <w:p w:rsidR="0015013F" w:rsidRPr="007D4BBE" w:rsidRDefault="0015013F" w:rsidP="00D0390E">
      <w:pPr>
        <w:jc w:val="both"/>
        <w:rPr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/>
      </w:tblPr>
      <w:tblGrid>
        <w:gridCol w:w="4889"/>
        <w:gridCol w:w="4889"/>
      </w:tblGrid>
      <w:tr w:rsidR="00F04229" w:rsidRPr="007D4BBE" w:rsidTr="00F04229">
        <w:tc>
          <w:tcPr>
            <w:tcW w:w="4889" w:type="dxa"/>
          </w:tcPr>
          <w:p w:rsidR="00F04229" w:rsidRPr="007D4BBE" w:rsidRDefault="00F04229" w:rsidP="00616DFE">
            <w:pPr>
              <w:spacing w:before="120" w:after="120"/>
              <w:jc w:val="center"/>
              <w:rPr>
                <w:b/>
                <w:i/>
                <w:sz w:val="24"/>
                <w:szCs w:val="24"/>
                <w:lang w:eastAsia="tr-TR"/>
              </w:rPr>
            </w:pPr>
            <w:r w:rsidRPr="007D4BBE">
              <w:rPr>
                <w:b/>
                <w:i/>
                <w:sz w:val="24"/>
                <w:szCs w:val="24"/>
                <w:lang w:eastAsia="tr-TR"/>
              </w:rPr>
              <w:t>Eylem</w:t>
            </w:r>
          </w:p>
        </w:tc>
        <w:tc>
          <w:tcPr>
            <w:tcW w:w="4889" w:type="dxa"/>
          </w:tcPr>
          <w:p w:rsidR="00F04229" w:rsidRPr="007D4BBE" w:rsidRDefault="00F04229" w:rsidP="00616DFE">
            <w:pPr>
              <w:spacing w:before="120" w:after="120"/>
              <w:jc w:val="center"/>
              <w:rPr>
                <w:b/>
                <w:i/>
                <w:sz w:val="24"/>
                <w:szCs w:val="24"/>
                <w:lang w:eastAsia="tr-TR"/>
              </w:rPr>
            </w:pPr>
            <w:r w:rsidRPr="007D4BBE">
              <w:rPr>
                <w:b/>
                <w:i/>
                <w:sz w:val="24"/>
                <w:szCs w:val="24"/>
                <w:lang w:eastAsia="tr-TR"/>
              </w:rPr>
              <w:t>İlerleme değerlendirmesi</w:t>
            </w:r>
          </w:p>
        </w:tc>
      </w:tr>
      <w:tr w:rsidR="00F04229" w:rsidRPr="007D4BBE" w:rsidTr="00F04229">
        <w:tc>
          <w:tcPr>
            <w:tcW w:w="4889" w:type="dxa"/>
          </w:tcPr>
          <w:p w:rsidR="00F04229" w:rsidRPr="007D4BBE" w:rsidRDefault="00F04229" w:rsidP="007D4BBE">
            <w:pPr>
              <w:spacing w:before="120" w:after="120"/>
              <w:jc w:val="both"/>
              <w:rPr>
                <w:sz w:val="24"/>
                <w:szCs w:val="24"/>
                <w:lang w:eastAsia="tr-TR"/>
              </w:rPr>
            </w:pPr>
            <w:r w:rsidRPr="007D4BBE">
              <w:rPr>
                <w:sz w:val="24"/>
                <w:szCs w:val="24"/>
                <w:lang w:eastAsia="tr-TR"/>
              </w:rPr>
              <w:t>1. Direktifin tam olarak uyarlanmasını</w:t>
            </w:r>
            <w:r w:rsidR="007D4BBE" w:rsidRPr="007D4BBE">
              <w:rPr>
                <w:sz w:val="24"/>
                <w:szCs w:val="24"/>
                <w:lang w:eastAsia="tr-TR"/>
              </w:rPr>
              <w:t>n sağlanması</w:t>
            </w:r>
          </w:p>
        </w:tc>
        <w:tc>
          <w:tcPr>
            <w:tcW w:w="4889" w:type="dxa"/>
          </w:tcPr>
          <w:p w:rsidR="00F04229" w:rsidRPr="007D4BBE" w:rsidRDefault="00616DFE" w:rsidP="00B52562">
            <w:pPr>
              <w:spacing w:before="120" w:after="120"/>
              <w:jc w:val="both"/>
              <w:rPr>
                <w:sz w:val="24"/>
                <w:szCs w:val="24"/>
                <w:lang w:eastAsia="tr-TR"/>
              </w:rPr>
            </w:pPr>
            <w:proofErr w:type="spellStart"/>
            <w:r w:rsidRPr="007D4BBE">
              <w:rPr>
                <w:sz w:val="24"/>
                <w:szCs w:val="24"/>
                <w:lang w:eastAsia="tr-TR"/>
              </w:rPr>
              <w:t>IPPCD</w:t>
            </w:r>
            <w:proofErr w:type="spellEnd"/>
            <w:r w:rsidRPr="007D4BBE">
              <w:rPr>
                <w:sz w:val="24"/>
                <w:szCs w:val="24"/>
                <w:lang w:eastAsia="tr-TR"/>
              </w:rPr>
              <w:t xml:space="preserve"> </w:t>
            </w:r>
            <w:r w:rsidR="00745DF6" w:rsidRPr="007D4BBE">
              <w:rPr>
                <w:sz w:val="24"/>
                <w:szCs w:val="24"/>
                <w:lang w:eastAsia="tr-TR"/>
              </w:rPr>
              <w:t xml:space="preserve">25 Üye Devlette doğru bir biçimde uyarlanmıştır. </w:t>
            </w:r>
            <w:proofErr w:type="spellStart"/>
            <w:r w:rsidR="00B52562" w:rsidRPr="007D4BBE">
              <w:rPr>
                <w:sz w:val="24"/>
                <w:szCs w:val="24"/>
                <w:lang w:eastAsia="tr-TR"/>
              </w:rPr>
              <w:t>Estonya</w:t>
            </w:r>
            <w:proofErr w:type="spellEnd"/>
            <w:r w:rsidR="00B52562" w:rsidRPr="007D4BBE">
              <w:rPr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="00B52562" w:rsidRPr="007D4BBE">
              <w:rPr>
                <w:sz w:val="24"/>
                <w:szCs w:val="24"/>
                <w:lang w:eastAsia="tr-TR"/>
              </w:rPr>
              <w:t>Litvanya</w:t>
            </w:r>
            <w:proofErr w:type="spellEnd"/>
            <w:r w:rsidR="00B52562" w:rsidRPr="007D4BBE">
              <w:rPr>
                <w:sz w:val="24"/>
                <w:szCs w:val="24"/>
                <w:lang w:eastAsia="tr-TR"/>
              </w:rPr>
              <w:t xml:space="preserve"> davaları hala açıktır.</w:t>
            </w:r>
          </w:p>
        </w:tc>
      </w:tr>
      <w:tr w:rsidR="00F04229" w:rsidRPr="007D4BBE" w:rsidTr="00F04229">
        <w:tc>
          <w:tcPr>
            <w:tcW w:w="4889" w:type="dxa"/>
          </w:tcPr>
          <w:p w:rsidR="00F04229" w:rsidRPr="007D4BBE" w:rsidRDefault="00F04229" w:rsidP="00616DFE">
            <w:pPr>
              <w:spacing w:before="120" w:after="120"/>
              <w:jc w:val="both"/>
              <w:rPr>
                <w:sz w:val="24"/>
                <w:szCs w:val="24"/>
                <w:lang w:eastAsia="tr-TR"/>
              </w:rPr>
            </w:pPr>
            <w:r w:rsidRPr="007D4BBE">
              <w:rPr>
                <w:sz w:val="24"/>
                <w:szCs w:val="24"/>
                <w:lang w:eastAsia="tr-TR"/>
              </w:rPr>
              <w:t xml:space="preserve">2. </w:t>
            </w:r>
            <w:r w:rsidR="00616DFE" w:rsidRPr="007D4BBE">
              <w:rPr>
                <w:sz w:val="24"/>
                <w:szCs w:val="24"/>
                <w:lang w:eastAsia="tr-TR"/>
              </w:rPr>
              <w:t>Gereksiz idari yüklerin kesilmesi konusunda Üye Devletleri</w:t>
            </w:r>
            <w:r w:rsidR="007D4BBE" w:rsidRPr="007D4BBE">
              <w:rPr>
                <w:sz w:val="24"/>
                <w:szCs w:val="24"/>
                <w:lang w:eastAsia="tr-TR"/>
              </w:rPr>
              <w:t>n</w:t>
            </w:r>
            <w:r w:rsidR="00616DFE" w:rsidRPr="007D4BBE">
              <w:rPr>
                <w:sz w:val="24"/>
                <w:szCs w:val="24"/>
                <w:lang w:eastAsia="tr-TR"/>
              </w:rPr>
              <w:t xml:space="preserve"> destekle</w:t>
            </w:r>
            <w:r w:rsidR="007D4BBE" w:rsidRPr="007D4BBE">
              <w:rPr>
                <w:sz w:val="24"/>
                <w:szCs w:val="24"/>
                <w:lang w:eastAsia="tr-TR"/>
              </w:rPr>
              <w:t>nmesi</w:t>
            </w:r>
          </w:p>
        </w:tc>
        <w:tc>
          <w:tcPr>
            <w:tcW w:w="4889" w:type="dxa"/>
          </w:tcPr>
          <w:p w:rsidR="00F04229" w:rsidRPr="007D4BBE" w:rsidRDefault="00B52562" w:rsidP="0051439F">
            <w:pPr>
              <w:spacing w:before="120" w:after="120"/>
              <w:jc w:val="both"/>
              <w:rPr>
                <w:sz w:val="24"/>
                <w:szCs w:val="24"/>
                <w:lang w:eastAsia="tr-TR"/>
              </w:rPr>
            </w:pPr>
            <w:proofErr w:type="spellStart"/>
            <w:r w:rsidRPr="007D4BBE">
              <w:rPr>
                <w:sz w:val="24"/>
                <w:szCs w:val="24"/>
                <w:lang w:eastAsia="tr-TR"/>
              </w:rPr>
              <w:t>EED</w:t>
            </w:r>
            <w:proofErr w:type="spellEnd"/>
            <w:r w:rsidRPr="007D4BBE">
              <w:rPr>
                <w:sz w:val="24"/>
                <w:szCs w:val="24"/>
                <w:lang w:eastAsia="tr-TR"/>
              </w:rPr>
              <w:t xml:space="preserve"> </w:t>
            </w:r>
            <w:r w:rsidR="00B96F98" w:rsidRPr="007D4BBE">
              <w:rPr>
                <w:sz w:val="24"/>
                <w:szCs w:val="24"/>
                <w:lang w:eastAsia="tr-TR"/>
              </w:rPr>
              <w:t xml:space="preserve">gereksiz yükleri yılda 32 milyon EURO değerinde azaltacaktır. </w:t>
            </w:r>
            <w:r w:rsidR="0051439F" w:rsidRPr="007D4BBE">
              <w:rPr>
                <w:sz w:val="24"/>
                <w:szCs w:val="24"/>
                <w:lang w:eastAsia="tr-TR"/>
              </w:rPr>
              <w:t xml:space="preserve">Ulusal yükleri azaltmak amacıyla </w:t>
            </w:r>
            <w:r w:rsidR="005327BC" w:rsidRPr="007D4BBE">
              <w:rPr>
                <w:sz w:val="24"/>
                <w:szCs w:val="24"/>
                <w:lang w:eastAsia="tr-TR"/>
              </w:rPr>
              <w:t xml:space="preserve">İdari Yükler </w:t>
            </w:r>
            <w:r w:rsidR="0051439F" w:rsidRPr="007D4BBE">
              <w:rPr>
                <w:sz w:val="24"/>
                <w:szCs w:val="24"/>
                <w:lang w:eastAsia="tr-TR"/>
              </w:rPr>
              <w:t xml:space="preserve">konusunda Üst Düzey Bağımsız Paydaşlar </w:t>
            </w:r>
            <w:r w:rsidR="005327BC" w:rsidRPr="007D4BBE">
              <w:rPr>
                <w:sz w:val="24"/>
                <w:szCs w:val="24"/>
                <w:lang w:eastAsia="tr-TR"/>
              </w:rPr>
              <w:t>Grubu</w:t>
            </w:r>
            <w:r w:rsidR="0051439F" w:rsidRPr="007D4BBE">
              <w:rPr>
                <w:sz w:val="24"/>
                <w:szCs w:val="24"/>
                <w:lang w:eastAsia="tr-TR"/>
              </w:rPr>
              <w:t xml:space="preserve"> ve Üye Devletler ile çalışmaya </w:t>
            </w:r>
            <w:r w:rsidR="00E46836" w:rsidRPr="007D4BBE">
              <w:rPr>
                <w:sz w:val="24"/>
                <w:szCs w:val="24"/>
                <w:lang w:eastAsia="tr-TR"/>
              </w:rPr>
              <w:t>devam edilmesi.</w:t>
            </w:r>
          </w:p>
        </w:tc>
      </w:tr>
      <w:tr w:rsidR="00E46836" w:rsidRPr="007D4BBE" w:rsidTr="00F04229">
        <w:tc>
          <w:tcPr>
            <w:tcW w:w="4889" w:type="dxa"/>
          </w:tcPr>
          <w:p w:rsidR="00E46836" w:rsidRPr="007D4BBE" w:rsidRDefault="00E46836" w:rsidP="007D4BBE">
            <w:pPr>
              <w:spacing w:before="120" w:after="120"/>
              <w:jc w:val="both"/>
              <w:rPr>
                <w:sz w:val="24"/>
                <w:szCs w:val="24"/>
                <w:lang w:eastAsia="tr-TR"/>
              </w:rPr>
            </w:pPr>
            <w:r w:rsidRPr="007D4BBE">
              <w:rPr>
                <w:sz w:val="24"/>
                <w:szCs w:val="24"/>
                <w:lang w:eastAsia="tr-TR"/>
              </w:rPr>
              <w:t>3. Üye Devletleri</w:t>
            </w:r>
            <w:r w:rsidR="007D4BBE" w:rsidRPr="007D4BBE">
              <w:rPr>
                <w:sz w:val="24"/>
                <w:szCs w:val="24"/>
                <w:lang w:eastAsia="tr-TR"/>
              </w:rPr>
              <w:t>n</w:t>
            </w:r>
            <w:r w:rsidRPr="007D4BBE">
              <w:rPr>
                <w:sz w:val="24"/>
                <w:szCs w:val="24"/>
                <w:lang w:eastAsia="tr-TR"/>
              </w:rPr>
              <w:t xml:space="preserve"> mevzuatı uygulamaları konusunda </w:t>
            </w:r>
            <w:r w:rsidR="007D4BBE" w:rsidRPr="007D4BBE">
              <w:rPr>
                <w:sz w:val="24"/>
                <w:szCs w:val="24"/>
                <w:lang w:eastAsia="tr-TR"/>
              </w:rPr>
              <w:t>desteklenmeleri</w:t>
            </w:r>
          </w:p>
        </w:tc>
        <w:tc>
          <w:tcPr>
            <w:tcW w:w="4889" w:type="dxa"/>
          </w:tcPr>
          <w:p w:rsidR="00E46836" w:rsidRPr="007D4BBE" w:rsidRDefault="00E46836" w:rsidP="000A00F6">
            <w:pPr>
              <w:spacing w:before="120" w:after="120"/>
              <w:jc w:val="both"/>
              <w:rPr>
                <w:sz w:val="24"/>
                <w:szCs w:val="24"/>
                <w:lang w:eastAsia="tr-TR"/>
              </w:rPr>
            </w:pPr>
            <w:r w:rsidRPr="007D4BBE">
              <w:rPr>
                <w:sz w:val="24"/>
                <w:szCs w:val="24"/>
                <w:lang w:eastAsia="tr-TR"/>
              </w:rPr>
              <w:t>Komisyon</w:t>
            </w:r>
            <w:r w:rsidR="00623D55" w:rsidRPr="007D4BBE">
              <w:rPr>
                <w:sz w:val="24"/>
                <w:szCs w:val="24"/>
                <w:lang w:eastAsia="tr-TR"/>
              </w:rPr>
              <w:t xml:space="preserve">, izin düzenleme açısından sorunları olan Üye Devletlerle iletişime devam etmiştir. </w:t>
            </w:r>
            <w:proofErr w:type="spellStart"/>
            <w:r w:rsidR="00623D55" w:rsidRPr="007D4BBE">
              <w:rPr>
                <w:sz w:val="24"/>
                <w:szCs w:val="24"/>
                <w:lang w:eastAsia="tr-TR"/>
              </w:rPr>
              <w:t>IPPC</w:t>
            </w:r>
            <w:r w:rsidR="000A00F6" w:rsidRPr="007D4BBE">
              <w:rPr>
                <w:sz w:val="24"/>
                <w:szCs w:val="24"/>
                <w:lang w:eastAsia="tr-TR"/>
              </w:rPr>
              <w:t>’nin</w:t>
            </w:r>
            <w:proofErr w:type="spellEnd"/>
            <w:r w:rsidR="000A00F6" w:rsidRPr="007D4BBE">
              <w:rPr>
                <w:sz w:val="24"/>
                <w:szCs w:val="24"/>
                <w:lang w:eastAsia="tr-TR"/>
              </w:rPr>
              <w:t xml:space="preserve"> AB genelinde ve Üye Devletlerle yapılan çalıştaylarda</w:t>
            </w:r>
            <w:r w:rsidRPr="007D4BBE">
              <w:rPr>
                <w:sz w:val="24"/>
                <w:szCs w:val="24"/>
                <w:lang w:eastAsia="tr-TR"/>
              </w:rPr>
              <w:t xml:space="preserve"> </w:t>
            </w:r>
            <w:r w:rsidR="000A00F6" w:rsidRPr="007D4BBE">
              <w:rPr>
                <w:sz w:val="24"/>
                <w:szCs w:val="24"/>
                <w:lang w:eastAsia="tr-TR"/>
              </w:rPr>
              <w:t>uygulanması hakkındaki bilgilerin paylaşılması.</w:t>
            </w:r>
          </w:p>
        </w:tc>
      </w:tr>
      <w:tr w:rsidR="000A00F6" w:rsidRPr="007D4BBE" w:rsidTr="00F04229">
        <w:tc>
          <w:tcPr>
            <w:tcW w:w="4889" w:type="dxa"/>
          </w:tcPr>
          <w:p w:rsidR="000A00F6" w:rsidRPr="007D4BBE" w:rsidRDefault="000A00F6" w:rsidP="006F2B02">
            <w:pPr>
              <w:spacing w:before="120" w:after="120"/>
              <w:jc w:val="both"/>
              <w:rPr>
                <w:sz w:val="24"/>
                <w:szCs w:val="24"/>
                <w:lang w:eastAsia="tr-TR"/>
              </w:rPr>
            </w:pPr>
            <w:r w:rsidRPr="007D4BBE">
              <w:rPr>
                <w:sz w:val="24"/>
                <w:szCs w:val="24"/>
                <w:lang w:eastAsia="tr-TR"/>
              </w:rPr>
              <w:t xml:space="preserve">4. </w:t>
            </w:r>
            <w:r w:rsidR="006F2B02" w:rsidRPr="007D4BBE">
              <w:rPr>
                <w:sz w:val="24"/>
                <w:szCs w:val="24"/>
                <w:lang w:eastAsia="tr-TR"/>
              </w:rPr>
              <w:t xml:space="preserve">Mevzuatın endüstriyel </w:t>
            </w:r>
            <w:proofErr w:type="gramStart"/>
            <w:r w:rsidR="006F2B02" w:rsidRPr="007D4BBE">
              <w:rPr>
                <w:sz w:val="24"/>
                <w:szCs w:val="24"/>
                <w:lang w:eastAsia="tr-TR"/>
              </w:rPr>
              <w:t>emisyonlar</w:t>
            </w:r>
            <w:proofErr w:type="gramEnd"/>
            <w:r w:rsidR="006F2B02" w:rsidRPr="007D4BBE">
              <w:rPr>
                <w:sz w:val="24"/>
                <w:szCs w:val="24"/>
                <w:lang w:eastAsia="tr-TR"/>
              </w:rPr>
              <w:t xml:space="preserve"> üzerinde uygulanmasına ilişkin gelişmiş izleme ve uygunluk kontrolleri</w:t>
            </w:r>
            <w:r w:rsidR="009B68DC" w:rsidRPr="007D4BBE">
              <w:rPr>
                <w:sz w:val="24"/>
                <w:szCs w:val="24"/>
                <w:lang w:eastAsia="tr-TR"/>
              </w:rPr>
              <w:t>nin yapılması</w:t>
            </w:r>
          </w:p>
        </w:tc>
        <w:tc>
          <w:tcPr>
            <w:tcW w:w="4889" w:type="dxa"/>
          </w:tcPr>
          <w:p w:rsidR="000A00F6" w:rsidRPr="007D4BBE" w:rsidRDefault="001938F3" w:rsidP="00324DCF">
            <w:pPr>
              <w:spacing w:before="120" w:after="120"/>
              <w:jc w:val="both"/>
              <w:rPr>
                <w:sz w:val="24"/>
                <w:szCs w:val="24"/>
                <w:lang w:eastAsia="tr-TR"/>
              </w:rPr>
            </w:pPr>
            <w:r w:rsidRPr="007D4BBE">
              <w:rPr>
                <w:sz w:val="24"/>
                <w:szCs w:val="24"/>
                <w:lang w:eastAsia="tr-TR"/>
              </w:rPr>
              <w:t xml:space="preserve">Komisyonun </w:t>
            </w:r>
            <w:r w:rsidR="00324DCF" w:rsidRPr="007D4BBE">
              <w:rPr>
                <w:sz w:val="24"/>
                <w:szCs w:val="24"/>
                <w:lang w:eastAsia="tr-TR"/>
              </w:rPr>
              <w:t>hem verilen izinler toplamını hem de Üye Devletlerin çoğunluğu genelinde verilen işletmelere ait izinlerin sayısın</w:t>
            </w:r>
            <w:r w:rsidR="00107170" w:rsidRPr="007D4BBE">
              <w:rPr>
                <w:sz w:val="24"/>
                <w:szCs w:val="24"/>
                <w:lang w:eastAsia="tr-TR"/>
              </w:rPr>
              <w:t>a ilişkin devam eden incelemesi.</w:t>
            </w:r>
          </w:p>
          <w:p w:rsidR="00107170" w:rsidRPr="007D4BBE" w:rsidRDefault="00107170" w:rsidP="00324DCF">
            <w:pPr>
              <w:spacing w:before="120" w:after="120"/>
              <w:jc w:val="both"/>
              <w:rPr>
                <w:sz w:val="24"/>
                <w:szCs w:val="24"/>
                <w:lang w:eastAsia="tr-TR"/>
              </w:rPr>
            </w:pPr>
          </w:p>
          <w:p w:rsidR="00107170" w:rsidRPr="007D4BBE" w:rsidRDefault="00255FCF" w:rsidP="00324DCF">
            <w:pPr>
              <w:spacing w:before="120" w:after="120"/>
              <w:jc w:val="both"/>
              <w:rPr>
                <w:sz w:val="24"/>
                <w:szCs w:val="24"/>
                <w:lang w:eastAsia="tr-TR"/>
              </w:rPr>
            </w:pPr>
            <w:r w:rsidRPr="007D4BBE">
              <w:rPr>
                <w:sz w:val="24"/>
                <w:szCs w:val="24"/>
                <w:lang w:eastAsia="tr-TR"/>
              </w:rPr>
              <w:t xml:space="preserve">Vatandaşlardan gelen </w:t>
            </w:r>
            <w:proofErr w:type="gramStart"/>
            <w:r w:rsidRPr="007D4BBE">
              <w:rPr>
                <w:sz w:val="24"/>
                <w:szCs w:val="24"/>
                <w:lang w:eastAsia="tr-TR"/>
              </w:rPr>
              <w:t>şikayetler</w:t>
            </w:r>
            <w:proofErr w:type="gramEnd"/>
            <w:r w:rsidRPr="007D4BBE">
              <w:rPr>
                <w:sz w:val="24"/>
                <w:szCs w:val="24"/>
                <w:lang w:eastAsia="tr-TR"/>
              </w:rPr>
              <w:t xml:space="preserve"> ve </w:t>
            </w:r>
            <w:r w:rsidR="00107170" w:rsidRPr="007D4BBE">
              <w:rPr>
                <w:sz w:val="24"/>
                <w:szCs w:val="24"/>
                <w:lang w:eastAsia="tr-TR"/>
              </w:rPr>
              <w:t xml:space="preserve">Avrupa Parlamentosundan </w:t>
            </w:r>
            <w:r w:rsidRPr="007D4BBE">
              <w:rPr>
                <w:sz w:val="24"/>
                <w:szCs w:val="24"/>
                <w:lang w:eastAsia="tr-TR"/>
              </w:rPr>
              <w:t>gelen sorular</w:t>
            </w:r>
            <w:r w:rsidR="00E82D5A" w:rsidRPr="007D4BBE">
              <w:rPr>
                <w:sz w:val="24"/>
                <w:szCs w:val="24"/>
                <w:lang w:eastAsia="tr-TR"/>
              </w:rPr>
              <w:t xml:space="preserve"> karşısında uygulamanın devam eden incelemesi.</w:t>
            </w:r>
          </w:p>
          <w:p w:rsidR="00E82D5A" w:rsidRPr="007D4BBE" w:rsidRDefault="00E82D5A" w:rsidP="00324DCF">
            <w:pPr>
              <w:spacing w:before="120" w:after="120"/>
              <w:jc w:val="both"/>
              <w:rPr>
                <w:sz w:val="24"/>
                <w:szCs w:val="24"/>
                <w:lang w:eastAsia="tr-TR"/>
              </w:rPr>
            </w:pPr>
          </w:p>
          <w:p w:rsidR="00E82D5A" w:rsidRPr="007D4BBE" w:rsidRDefault="003D05B7" w:rsidP="003D05B7">
            <w:pPr>
              <w:spacing w:before="120" w:after="120"/>
              <w:jc w:val="both"/>
              <w:rPr>
                <w:sz w:val="24"/>
                <w:szCs w:val="24"/>
                <w:lang w:eastAsia="tr-TR"/>
              </w:rPr>
            </w:pPr>
            <w:r w:rsidRPr="007D4BBE">
              <w:rPr>
                <w:sz w:val="24"/>
                <w:szCs w:val="24"/>
                <w:lang w:eastAsia="tr-TR"/>
              </w:rPr>
              <w:t>Olası uygulama sorunlarını izlemek ve tespit etmek için kullanılan E-</w:t>
            </w:r>
            <w:proofErr w:type="spellStart"/>
            <w:r w:rsidRPr="007D4BBE">
              <w:rPr>
                <w:sz w:val="24"/>
                <w:szCs w:val="24"/>
                <w:lang w:eastAsia="tr-TR"/>
              </w:rPr>
              <w:t>PRTR</w:t>
            </w:r>
            <w:proofErr w:type="spellEnd"/>
            <w:r w:rsidRPr="007D4BBE">
              <w:rPr>
                <w:sz w:val="24"/>
                <w:szCs w:val="24"/>
                <w:lang w:eastAsia="tr-TR"/>
              </w:rPr>
              <w:t>.</w:t>
            </w:r>
          </w:p>
        </w:tc>
      </w:tr>
      <w:tr w:rsidR="000A00F6" w:rsidRPr="007D4BBE" w:rsidTr="00F04229">
        <w:tc>
          <w:tcPr>
            <w:tcW w:w="4889" w:type="dxa"/>
          </w:tcPr>
          <w:p w:rsidR="000A00F6" w:rsidRPr="007D4BBE" w:rsidRDefault="003D05B7" w:rsidP="007D4BBE">
            <w:pPr>
              <w:spacing w:before="120" w:after="120"/>
              <w:jc w:val="both"/>
              <w:rPr>
                <w:sz w:val="24"/>
                <w:szCs w:val="24"/>
                <w:lang w:eastAsia="tr-TR"/>
              </w:rPr>
            </w:pPr>
            <w:r w:rsidRPr="007D4BBE">
              <w:rPr>
                <w:sz w:val="24"/>
                <w:szCs w:val="24"/>
                <w:lang w:eastAsia="tr-TR"/>
              </w:rPr>
              <w:t xml:space="preserve">5. </w:t>
            </w:r>
            <w:proofErr w:type="spellStart"/>
            <w:r w:rsidRPr="007D4BBE">
              <w:rPr>
                <w:sz w:val="24"/>
                <w:szCs w:val="24"/>
                <w:lang w:eastAsia="tr-TR"/>
              </w:rPr>
              <w:t>BREF</w:t>
            </w:r>
            <w:proofErr w:type="spellEnd"/>
            <w:r w:rsidRPr="007D4BBE">
              <w:rPr>
                <w:sz w:val="24"/>
                <w:szCs w:val="24"/>
                <w:lang w:eastAsia="tr-TR"/>
              </w:rPr>
              <w:t xml:space="preserve"> dokümanlarının incelenmesi için veri toplamanın iyileştirilmesi ve Araştırma Çerçeve Programı ile daha güçlü bağlantılar</w:t>
            </w:r>
            <w:r w:rsidR="007D4BBE" w:rsidRPr="007D4BBE">
              <w:rPr>
                <w:sz w:val="24"/>
                <w:szCs w:val="24"/>
                <w:lang w:eastAsia="tr-TR"/>
              </w:rPr>
              <w:t>ın</w:t>
            </w:r>
            <w:r w:rsidRPr="007D4BBE">
              <w:rPr>
                <w:sz w:val="24"/>
                <w:szCs w:val="24"/>
                <w:lang w:eastAsia="tr-TR"/>
              </w:rPr>
              <w:t xml:space="preserve"> oluştur</w:t>
            </w:r>
            <w:r w:rsidR="007D4BBE" w:rsidRPr="007D4BBE">
              <w:rPr>
                <w:sz w:val="24"/>
                <w:szCs w:val="24"/>
                <w:lang w:eastAsia="tr-TR"/>
              </w:rPr>
              <w:t>ulması</w:t>
            </w:r>
          </w:p>
        </w:tc>
        <w:tc>
          <w:tcPr>
            <w:tcW w:w="4889" w:type="dxa"/>
          </w:tcPr>
          <w:p w:rsidR="000A00F6" w:rsidRPr="007D4BBE" w:rsidRDefault="007D4BBE" w:rsidP="000A00F6">
            <w:pPr>
              <w:spacing w:before="120" w:after="120"/>
              <w:jc w:val="both"/>
              <w:rPr>
                <w:sz w:val="24"/>
                <w:szCs w:val="24"/>
                <w:lang w:eastAsia="tr-TR"/>
              </w:rPr>
            </w:pPr>
            <w:proofErr w:type="spellStart"/>
            <w:r w:rsidRPr="007D4BBE">
              <w:rPr>
                <w:sz w:val="24"/>
                <w:szCs w:val="24"/>
                <w:lang w:eastAsia="tr-TR"/>
              </w:rPr>
              <w:t>BREF</w:t>
            </w:r>
            <w:proofErr w:type="spellEnd"/>
            <w:r w:rsidRPr="007D4BBE">
              <w:rPr>
                <w:sz w:val="24"/>
                <w:szCs w:val="24"/>
                <w:lang w:eastAsia="tr-TR"/>
              </w:rPr>
              <w:t xml:space="preserve"> dokümanlarının incelenmesi için verilerin toplanmasının ve sunulmasının iyileştirilmesine ilişkin kılavuzun yayınlanması.</w:t>
            </w:r>
          </w:p>
          <w:p w:rsidR="007D4BBE" w:rsidRDefault="007D4BBE" w:rsidP="000A00F6">
            <w:pPr>
              <w:spacing w:before="120" w:after="120"/>
              <w:jc w:val="both"/>
              <w:rPr>
                <w:sz w:val="24"/>
                <w:szCs w:val="24"/>
                <w:lang w:eastAsia="tr-TR"/>
              </w:rPr>
            </w:pPr>
          </w:p>
          <w:p w:rsidR="007D4BBE" w:rsidRPr="007D4BBE" w:rsidRDefault="00323ADF" w:rsidP="000A00F6">
            <w:pPr>
              <w:spacing w:before="120" w:after="120"/>
              <w:jc w:val="both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sz w:val="24"/>
                <w:szCs w:val="24"/>
                <w:lang w:eastAsia="tr-TR"/>
              </w:rPr>
              <w:t>BREF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dokümanları ile Araştırma Çerçeve Programı arasındaki </w:t>
            </w:r>
            <w:r w:rsidR="004E2178">
              <w:rPr>
                <w:sz w:val="24"/>
                <w:szCs w:val="24"/>
                <w:lang w:eastAsia="tr-TR"/>
              </w:rPr>
              <w:t>bağlantılarla ilgili olarak</w:t>
            </w:r>
            <w:r w:rsidR="00E15F27">
              <w:rPr>
                <w:sz w:val="24"/>
                <w:szCs w:val="24"/>
                <w:lang w:eastAsia="tr-TR"/>
              </w:rPr>
              <w:t xml:space="preserve"> Araştırma</w:t>
            </w:r>
            <w:r w:rsidR="004E2178">
              <w:rPr>
                <w:sz w:val="24"/>
                <w:szCs w:val="24"/>
                <w:lang w:eastAsia="tr-TR"/>
              </w:rPr>
              <w:t xml:space="preserve"> Genel Müdürlüğüyle birlikte çalışılması. </w:t>
            </w:r>
            <w:proofErr w:type="spellStart"/>
            <w:r w:rsidR="00E15F27">
              <w:rPr>
                <w:sz w:val="24"/>
                <w:szCs w:val="24"/>
                <w:lang w:eastAsia="tr-TR"/>
              </w:rPr>
              <w:t>EED</w:t>
            </w:r>
            <w:proofErr w:type="spellEnd"/>
            <w:r w:rsidR="00E15F27">
              <w:rPr>
                <w:sz w:val="24"/>
                <w:szCs w:val="24"/>
                <w:lang w:eastAsia="tr-TR"/>
              </w:rPr>
              <w:t xml:space="preserve"> bağlamında gelişmekte olan tekniklerin iyileştirilmiş statüsü. </w:t>
            </w:r>
          </w:p>
        </w:tc>
      </w:tr>
    </w:tbl>
    <w:p w:rsidR="0015013F" w:rsidRPr="007D4BBE" w:rsidRDefault="0015013F" w:rsidP="00D0390E">
      <w:pPr>
        <w:jc w:val="both"/>
        <w:rPr>
          <w:sz w:val="24"/>
          <w:szCs w:val="24"/>
        </w:rPr>
      </w:pPr>
    </w:p>
    <w:sectPr w:rsidR="0015013F" w:rsidRPr="007D4BBE" w:rsidSect="002F557E"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4FA" w:rsidRDefault="005434FA" w:rsidP="00DA39AF">
      <w:pPr>
        <w:spacing w:line="240" w:lineRule="auto"/>
      </w:pPr>
      <w:r>
        <w:separator/>
      </w:r>
    </w:p>
  </w:endnote>
  <w:endnote w:type="continuationSeparator" w:id="0">
    <w:p w:rsidR="005434FA" w:rsidRDefault="005434FA" w:rsidP="00DA3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CF" w:rsidRDefault="00324DCF">
    <w:pPr>
      <w:pStyle w:val="Altbilgi"/>
      <w:jc w:val="center"/>
    </w:pPr>
  </w:p>
  <w:p w:rsidR="00324DCF" w:rsidRDefault="00324DC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0995"/>
      <w:docPartObj>
        <w:docPartGallery w:val="Page Numbers (Bottom of Page)"/>
        <w:docPartUnique/>
      </w:docPartObj>
    </w:sdtPr>
    <w:sdtContent>
      <w:p w:rsidR="00324DCF" w:rsidRDefault="00324DCF">
        <w:pPr>
          <w:pStyle w:val="Altbilgi"/>
          <w:jc w:val="center"/>
        </w:pPr>
        <w:fldSimple w:instr=" PAGE   \* MERGEFORMAT ">
          <w:r w:rsidR="00B35FA0">
            <w:rPr>
              <w:noProof/>
            </w:rPr>
            <w:t>1</w:t>
          </w:r>
        </w:fldSimple>
      </w:p>
    </w:sdtContent>
  </w:sdt>
  <w:p w:rsidR="00324DCF" w:rsidRDefault="00324DC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4FA" w:rsidRDefault="005434FA" w:rsidP="00DA39AF">
      <w:pPr>
        <w:spacing w:line="240" w:lineRule="auto"/>
      </w:pPr>
      <w:r>
        <w:separator/>
      </w:r>
    </w:p>
  </w:footnote>
  <w:footnote w:type="continuationSeparator" w:id="0">
    <w:p w:rsidR="005434FA" w:rsidRDefault="005434FA" w:rsidP="00DA39AF">
      <w:pPr>
        <w:spacing w:line="240" w:lineRule="auto"/>
      </w:pPr>
      <w:r>
        <w:continuationSeparator/>
      </w:r>
    </w:p>
  </w:footnote>
  <w:footnote w:id="1">
    <w:p w:rsidR="00324DCF" w:rsidRDefault="00324DC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5E45CF">
        <w:rPr>
          <w:sz w:val="18"/>
          <w:szCs w:val="18"/>
        </w:rPr>
        <w:t>Referanslar: COM (2003)354, COM (2005)540, COM (2007)843.</w:t>
      </w:r>
    </w:p>
  </w:footnote>
  <w:footnote w:id="2">
    <w:p w:rsidR="00324DCF" w:rsidRPr="005E45CF" w:rsidRDefault="00324DCF" w:rsidP="006258E1">
      <w:pPr>
        <w:autoSpaceDE w:val="0"/>
        <w:autoSpaceDN w:val="0"/>
        <w:adjustRightInd w:val="0"/>
        <w:spacing w:line="240" w:lineRule="auto"/>
        <w:rPr>
          <w:color w:val="000000"/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r w:rsidRPr="005E45CF">
        <w:rPr>
          <w:sz w:val="18"/>
          <w:szCs w:val="18"/>
        </w:rPr>
        <w:t xml:space="preserve">Bu bilgiler iki teknik rapor halinde özetlenmiş ve daha ayrıntılı olarak incelenmiştir: </w:t>
      </w:r>
      <w:r w:rsidRPr="005E45CF">
        <w:rPr>
          <w:color w:val="0000FF"/>
          <w:sz w:val="18"/>
          <w:szCs w:val="18"/>
          <w:u w:val="single"/>
        </w:rPr>
        <w:t>http://circa.europa.eu/Public/irc/env/voc/library?l=/2006_reportspdf/_EN_</w:t>
      </w:r>
      <w:proofErr w:type="gramStart"/>
      <w:r w:rsidRPr="005E45CF">
        <w:rPr>
          <w:color w:val="0000FF"/>
          <w:sz w:val="18"/>
          <w:szCs w:val="18"/>
          <w:u w:val="single"/>
        </w:rPr>
        <w:t>1.0</w:t>
      </w:r>
      <w:proofErr w:type="gramEnd"/>
      <w:r w:rsidRPr="005E45CF">
        <w:rPr>
          <w:color w:val="0000FF"/>
          <w:sz w:val="18"/>
          <w:szCs w:val="18"/>
          <w:u w:val="single"/>
        </w:rPr>
        <w:t>_&amp;a=d</w:t>
      </w:r>
      <w:r w:rsidRPr="005E45CF">
        <w:rPr>
          <w:color w:val="0000FF"/>
          <w:sz w:val="18"/>
          <w:szCs w:val="18"/>
        </w:rPr>
        <w:t xml:space="preserve"> </w:t>
      </w:r>
      <w:r w:rsidRPr="005E45CF">
        <w:rPr>
          <w:color w:val="000000"/>
          <w:sz w:val="18"/>
          <w:szCs w:val="18"/>
        </w:rPr>
        <w:t>ve</w:t>
      </w:r>
    </w:p>
    <w:p w:rsidR="00324DCF" w:rsidRDefault="00324DCF" w:rsidP="006258E1">
      <w:pPr>
        <w:pStyle w:val="DipnotMetni"/>
      </w:pPr>
      <w:r w:rsidRPr="005E45CF">
        <w:rPr>
          <w:color w:val="0000FF"/>
          <w:sz w:val="18"/>
          <w:szCs w:val="18"/>
          <w:u w:val="single"/>
        </w:rPr>
        <w:t>http://circa.europa.eu/Public/irc/env/voc/library?l=/implementation_2005-07/final12_marchpdf/_EN_</w:t>
      </w:r>
      <w:proofErr w:type="gramStart"/>
      <w:r w:rsidRPr="005E45CF">
        <w:rPr>
          <w:color w:val="0000FF"/>
          <w:sz w:val="18"/>
          <w:szCs w:val="18"/>
          <w:u w:val="single"/>
        </w:rPr>
        <w:t>1.0</w:t>
      </w:r>
      <w:proofErr w:type="gramEnd"/>
      <w:r w:rsidRPr="005E45CF">
        <w:rPr>
          <w:color w:val="0000FF"/>
          <w:sz w:val="18"/>
          <w:szCs w:val="18"/>
          <w:u w:val="single"/>
        </w:rPr>
        <w:t>_&amp;a=d</w:t>
      </w:r>
    </w:p>
  </w:footnote>
  <w:footnote w:id="3">
    <w:p w:rsidR="00324DCF" w:rsidRDefault="00324DCF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Pr="005E45CF">
        <w:rPr>
          <w:sz w:val="18"/>
          <w:szCs w:val="18"/>
        </w:rPr>
        <w:t>IPPC</w:t>
      </w:r>
      <w:proofErr w:type="spellEnd"/>
      <w:r w:rsidRPr="005E45CF">
        <w:rPr>
          <w:sz w:val="18"/>
          <w:szCs w:val="18"/>
        </w:rPr>
        <w:t>: 2006/194/</w:t>
      </w:r>
      <w:proofErr w:type="spellStart"/>
      <w:r w:rsidRPr="005E45CF">
        <w:rPr>
          <w:sz w:val="18"/>
          <w:szCs w:val="18"/>
        </w:rPr>
        <w:t>EC</w:t>
      </w:r>
      <w:proofErr w:type="spellEnd"/>
      <w:r w:rsidRPr="005E45CF">
        <w:rPr>
          <w:sz w:val="18"/>
          <w:szCs w:val="18"/>
        </w:rPr>
        <w:t xml:space="preserve"> sayılı Karar: 2002/529/</w:t>
      </w:r>
      <w:proofErr w:type="spellStart"/>
      <w:r w:rsidRPr="005E45CF">
        <w:rPr>
          <w:sz w:val="18"/>
          <w:szCs w:val="18"/>
        </w:rPr>
        <w:t>EC</w:t>
      </w:r>
      <w:proofErr w:type="spellEnd"/>
      <w:r w:rsidRPr="005E45CF">
        <w:rPr>
          <w:sz w:val="18"/>
          <w:szCs w:val="18"/>
        </w:rPr>
        <w:t xml:space="preserve"> sayılı Karar</w:t>
      </w:r>
    </w:p>
  </w:footnote>
  <w:footnote w:id="4">
    <w:p w:rsidR="00324DCF" w:rsidRDefault="00324DCF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 w:rsidRPr="005E45CF">
        <w:rPr>
          <w:sz w:val="18"/>
          <w:szCs w:val="18"/>
        </w:rPr>
        <w:t>ReportNet</w:t>
      </w:r>
      <w:proofErr w:type="spellEnd"/>
      <w:r w:rsidRPr="005E45CF">
        <w:rPr>
          <w:sz w:val="18"/>
          <w:szCs w:val="18"/>
        </w:rPr>
        <w:t xml:space="preserve"> hakkında daha fazla bilgi edinmek için: </w:t>
      </w:r>
      <w:r w:rsidRPr="005E45CF">
        <w:rPr>
          <w:color w:val="0000FF"/>
          <w:sz w:val="18"/>
          <w:szCs w:val="18"/>
          <w:u w:val="single"/>
        </w:rPr>
        <w:t>http://www.eionet.europa.eu/reportnet</w:t>
      </w:r>
      <w:r>
        <w:rPr>
          <w:color w:val="0000FF"/>
        </w:rPr>
        <w:t xml:space="preserve"> </w:t>
      </w:r>
    </w:p>
  </w:footnote>
  <w:footnote w:id="5">
    <w:p w:rsidR="00324DCF" w:rsidRPr="006258E1" w:rsidRDefault="00324DC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5E45CF">
        <w:rPr>
          <w:sz w:val="18"/>
          <w:szCs w:val="18"/>
        </w:rPr>
        <w:t xml:space="preserve">Endüstriyel Raporlama Bilgi Sistemi hakkında daha fazla bilgi edinmek için: </w:t>
      </w:r>
      <w:r w:rsidRPr="005E45CF">
        <w:rPr>
          <w:color w:val="0000FF"/>
          <w:sz w:val="18"/>
          <w:szCs w:val="18"/>
          <w:u w:val="single"/>
        </w:rPr>
        <w:t>http://iris.eionet.europa.eu/</w:t>
      </w:r>
      <w:r w:rsidRPr="005E45CF">
        <w:rPr>
          <w:color w:val="0000FF"/>
          <w:sz w:val="18"/>
          <w:szCs w:val="18"/>
        </w:rPr>
        <w:t>.</w:t>
      </w:r>
    </w:p>
  </w:footnote>
  <w:footnote w:id="6">
    <w:p w:rsidR="00324DCF" w:rsidRDefault="00324DCF">
      <w:pPr>
        <w:pStyle w:val="DipnotMetni"/>
        <w:rPr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 w:rsidRPr="009120B4">
        <w:rPr>
          <w:sz w:val="18"/>
          <w:szCs w:val="18"/>
        </w:rPr>
        <w:t>IPPC</w:t>
      </w:r>
      <w:proofErr w:type="spellEnd"/>
      <w:r w:rsidRPr="009120B4">
        <w:rPr>
          <w:sz w:val="18"/>
          <w:szCs w:val="18"/>
        </w:rPr>
        <w:t xml:space="preserve"> Direktifinin yanı sıra </w:t>
      </w:r>
      <w:proofErr w:type="spellStart"/>
      <w:r w:rsidRPr="009120B4">
        <w:rPr>
          <w:sz w:val="18"/>
          <w:szCs w:val="18"/>
        </w:rPr>
        <w:t>SED</w:t>
      </w:r>
      <w:proofErr w:type="spellEnd"/>
      <w:r w:rsidRPr="009120B4">
        <w:rPr>
          <w:sz w:val="18"/>
          <w:szCs w:val="18"/>
        </w:rPr>
        <w:t xml:space="preserve"> ve </w:t>
      </w:r>
      <w:proofErr w:type="spellStart"/>
      <w:r w:rsidRPr="009120B4">
        <w:rPr>
          <w:sz w:val="18"/>
          <w:szCs w:val="18"/>
        </w:rPr>
        <w:t>IPPC’nin</w:t>
      </w:r>
      <w:proofErr w:type="spellEnd"/>
      <w:r w:rsidRPr="009120B4">
        <w:rPr>
          <w:sz w:val="18"/>
          <w:szCs w:val="18"/>
        </w:rPr>
        <w:t xml:space="preserve">, </w:t>
      </w:r>
      <w:proofErr w:type="spellStart"/>
      <w:r w:rsidRPr="009120B4">
        <w:rPr>
          <w:sz w:val="18"/>
          <w:szCs w:val="18"/>
        </w:rPr>
        <w:t>LCPD’nin</w:t>
      </w:r>
      <w:proofErr w:type="spellEnd"/>
      <w:r w:rsidRPr="009120B4">
        <w:rPr>
          <w:sz w:val="18"/>
          <w:szCs w:val="18"/>
        </w:rPr>
        <w:t xml:space="preserve"> (2001/80/</w:t>
      </w:r>
      <w:proofErr w:type="spellStart"/>
      <w:r w:rsidRPr="009120B4">
        <w:rPr>
          <w:sz w:val="18"/>
          <w:szCs w:val="18"/>
        </w:rPr>
        <w:t>EC</w:t>
      </w:r>
      <w:proofErr w:type="spellEnd"/>
      <w:r w:rsidRPr="009120B4">
        <w:rPr>
          <w:sz w:val="18"/>
          <w:szCs w:val="18"/>
        </w:rPr>
        <w:t xml:space="preserve">), </w:t>
      </w:r>
      <w:proofErr w:type="spellStart"/>
      <w:r w:rsidRPr="009120B4">
        <w:rPr>
          <w:sz w:val="18"/>
          <w:szCs w:val="18"/>
        </w:rPr>
        <w:t>WID’in</w:t>
      </w:r>
      <w:proofErr w:type="spellEnd"/>
      <w:r w:rsidRPr="009120B4">
        <w:rPr>
          <w:sz w:val="18"/>
          <w:szCs w:val="18"/>
        </w:rPr>
        <w:t xml:space="preserve"> (2000/76/</w:t>
      </w:r>
      <w:proofErr w:type="spellStart"/>
      <w:r w:rsidRPr="009120B4">
        <w:rPr>
          <w:sz w:val="18"/>
          <w:szCs w:val="18"/>
        </w:rPr>
        <w:t>EC</w:t>
      </w:r>
      <w:proofErr w:type="spellEnd"/>
      <w:r w:rsidRPr="009120B4">
        <w:rPr>
          <w:sz w:val="18"/>
          <w:szCs w:val="18"/>
        </w:rPr>
        <w:t xml:space="preserve">) ve Titanyum </w:t>
      </w:r>
      <w:proofErr w:type="spellStart"/>
      <w:r w:rsidRPr="009120B4">
        <w:rPr>
          <w:sz w:val="18"/>
          <w:szCs w:val="18"/>
        </w:rPr>
        <w:t>Diyoksit</w:t>
      </w:r>
      <w:proofErr w:type="spellEnd"/>
      <w:r w:rsidRPr="009120B4">
        <w:rPr>
          <w:sz w:val="18"/>
          <w:szCs w:val="18"/>
        </w:rPr>
        <w:t xml:space="preserve"> hakkındaki 3</w:t>
      </w:r>
    </w:p>
    <w:p w:rsidR="00324DCF" w:rsidRDefault="00324DCF">
      <w:pPr>
        <w:pStyle w:val="DipnotMetni"/>
      </w:pPr>
      <w:r>
        <w:rPr>
          <w:sz w:val="18"/>
          <w:szCs w:val="18"/>
        </w:rPr>
        <w:t xml:space="preserve">   </w:t>
      </w:r>
      <w:r w:rsidRPr="009120B4">
        <w:rPr>
          <w:sz w:val="18"/>
          <w:szCs w:val="18"/>
        </w:rPr>
        <w:t>Direktifin (78/176/</w:t>
      </w:r>
      <w:proofErr w:type="spellStart"/>
      <w:r w:rsidRPr="009120B4">
        <w:rPr>
          <w:sz w:val="18"/>
          <w:szCs w:val="18"/>
        </w:rPr>
        <w:t>EEC</w:t>
      </w:r>
      <w:proofErr w:type="spellEnd"/>
      <w:r w:rsidRPr="009120B4">
        <w:rPr>
          <w:sz w:val="18"/>
          <w:szCs w:val="18"/>
        </w:rPr>
        <w:t>, 82/883/</w:t>
      </w:r>
      <w:proofErr w:type="spellStart"/>
      <w:r w:rsidRPr="009120B4">
        <w:rPr>
          <w:sz w:val="18"/>
          <w:szCs w:val="18"/>
        </w:rPr>
        <w:t>EEC</w:t>
      </w:r>
      <w:proofErr w:type="spellEnd"/>
      <w:r w:rsidRPr="009120B4">
        <w:rPr>
          <w:sz w:val="18"/>
          <w:szCs w:val="18"/>
        </w:rPr>
        <w:t xml:space="preserve"> ve 92/112/</w:t>
      </w:r>
      <w:proofErr w:type="spellStart"/>
      <w:r w:rsidRPr="009120B4">
        <w:rPr>
          <w:sz w:val="18"/>
          <w:szCs w:val="18"/>
        </w:rPr>
        <w:t>EEC</w:t>
      </w:r>
      <w:proofErr w:type="spellEnd"/>
      <w:r w:rsidRPr="009120B4">
        <w:rPr>
          <w:sz w:val="18"/>
          <w:szCs w:val="18"/>
        </w:rPr>
        <w:t>) yeniden biçimlendirilmesi</w:t>
      </w:r>
    </w:p>
  </w:footnote>
  <w:footnote w:id="7">
    <w:p w:rsidR="00324DCF" w:rsidRPr="009120B4" w:rsidRDefault="00324DCF" w:rsidP="009120B4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r w:rsidRPr="009120B4">
        <w:rPr>
          <w:sz w:val="18"/>
          <w:szCs w:val="18"/>
        </w:rPr>
        <w:t>Avrupa Parlamentosu 7 Temmuz 2010 tarihinde ikinci okumada bir konuma karar vermiştir:</w:t>
      </w:r>
    </w:p>
    <w:p w:rsidR="00324DCF" w:rsidRPr="009120B4" w:rsidRDefault="00324DCF" w:rsidP="009120B4">
      <w:pPr>
        <w:autoSpaceDE w:val="0"/>
        <w:autoSpaceDN w:val="0"/>
        <w:adjustRightInd w:val="0"/>
        <w:spacing w:line="240" w:lineRule="auto"/>
        <w:rPr>
          <w:color w:val="0000FF"/>
          <w:sz w:val="18"/>
          <w:szCs w:val="18"/>
          <w:u w:val="single"/>
        </w:rPr>
      </w:pPr>
      <w:r w:rsidRPr="009120B4">
        <w:rPr>
          <w:sz w:val="18"/>
          <w:szCs w:val="18"/>
        </w:rPr>
        <w:t xml:space="preserve">   </w:t>
      </w:r>
      <w:r w:rsidRPr="009120B4">
        <w:rPr>
          <w:color w:val="0000FF"/>
          <w:sz w:val="18"/>
          <w:szCs w:val="18"/>
          <w:u w:val="single"/>
        </w:rPr>
        <w:t>http://www.europarl.europa.eu/sides/getDoc.do?pubRef=-//EP//TEXT+TA+P7-TA-2010-</w:t>
      </w:r>
    </w:p>
    <w:p w:rsidR="00324DCF" w:rsidRPr="009120B4" w:rsidRDefault="00324DCF" w:rsidP="009120B4">
      <w:pPr>
        <w:autoSpaceDE w:val="0"/>
        <w:autoSpaceDN w:val="0"/>
        <w:adjustRightInd w:val="0"/>
        <w:spacing w:line="240" w:lineRule="auto"/>
        <w:rPr>
          <w:color w:val="0000FF"/>
          <w:sz w:val="16"/>
          <w:szCs w:val="16"/>
          <w:u w:val="single"/>
        </w:rPr>
      </w:pPr>
      <w:r w:rsidRPr="009120B4">
        <w:rPr>
          <w:color w:val="0000FF"/>
          <w:sz w:val="18"/>
          <w:szCs w:val="18"/>
        </w:rPr>
        <w:t xml:space="preserve">   </w:t>
      </w:r>
      <w:r w:rsidRPr="009120B4">
        <w:rPr>
          <w:color w:val="0000FF"/>
          <w:sz w:val="18"/>
          <w:szCs w:val="18"/>
          <w:u w:val="single"/>
        </w:rPr>
        <w:t>0267+0+</w:t>
      </w:r>
      <w:proofErr w:type="spellStart"/>
      <w:r w:rsidRPr="009120B4">
        <w:rPr>
          <w:color w:val="0000FF"/>
          <w:sz w:val="18"/>
          <w:szCs w:val="18"/>
          <w:u w:val="single"/>
        </w:rPr>
        <w:t>DOC</w:t>
      </w:r>
      <w:proofErr w:type="spellEnd"/>
      <w:r w:rsidRPr="009120B4">
        <w:rPr>
          <w:color w:val="0000FF"/>
          <w:sz w:val="18"/>
          <w:szCs w:val="18"/>
          <w:u w:val="single"/>
        </w:rPr>
        <w:t>+</w:t>
      </w:r>
      <w:proofErr w:type="spellStart"/>
      <w:r w:rsidRPr="009120B4">
        <w:rPr>
          <w:color w:val="0000FF"/>
          <w:sz w:val="18"/>
          <w:szCs w:val="18"/>
          <w:u w:val="single"/>
        </w:rPr>
        <w:t>XML</w:t>
      </w:r>
      <w:proofErr w:type="spellEnd"/>
      <w:r w:rsidRPr="009120B4">
        <w:rPr>
          <w:color w:val="0000FF"/>
          <w:sz w:val="18"/>
          <w:szCs w:val="18"/>
          <w:u w:val="single"/>
        </w:rPr>
        <w:t>+V0//EN&amp;</w:t>
      </w:r>
      <w:proofErr w:type="spellStart"/>
      <w:r w:rsidRPr="009120B4">
        <w:rPr>
          <w:color w:val="0000FF"/>
          <w:sz w:val="18"/>
          <w:szCs w:val="18"/>
          <w:u w:val="single"/>
        </w:rPr>
        <w:t>language</w:t>
      </w:r>
      <w:proofErr w:type="spellEnd"/>
      <w:r w:rsidRPr="009120B4">
        <w:rPr>
          <w:color w:val="0000FF"/>
          <w:sz w:val="18"/>
          <w:szCs w:val="18"/>
          <w:u w:val="single"/>
        </w:rPr>
        <w:t>=EN#top</w:t>
      </w:r>
    </w:p>
  </w:footnote>
  <w:footnote w:id="8">
    <w:p w:rsidR="00324DCF" w:rsidRDefault="00324DC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726DF6">
        <w:rPr>
          <w:color w:val="0000FF"/>
          <w:sz w:val="18"/>
          <w:u w:val="single"/>
        </w:rPr>
        <w:t>http://circa.europa.eu/Public/irc/env/ippc_rev/library</w:t>
      </w:r>
      <w:r w:rsidRPr="00726DF6">
        <w:rPr>
          <w:color w:val="0000FF"/>
          <w:sz w:val="18"/>
        </w:rPr>
        <w:t xml:space="preserve">. </w:t>
      </w:r>
      <w:r w:rsidRPr="00726DF6">
        <w:rPr>
          <w:sz w:val="18"/>
        </w:rPr>
        <w:t>Bu uygulamaya ilişkin üçüncü bildirim, 2011 yılı süresince aynı internet sitesinde yayınlanacaktır.</w:t>
      </w:r>
      <w:r w:rsidRPr="00726DF6">
        <w:rPr>
          <w:color w:val="0000FF"/>
          <w:sz w:val="18"/>
        </w:rPr>
        <w:t xml:space="preserve"> </w:t>
      </w:r>
    </w:p>
  </w:footnote>
  <w:footnote w:id="9">
    <w:p w:rsidR="00324DCF" w:rsidRPr="00390F61" w:rsidRDefault="00324DCF">
      <w:pPr>
        <w:pStyle w:val="DipnotMetni"/>
        <w:rPr>
          <w:sz w:val="18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>
        <w:rPr>
          <w:sz w:val="18"/>
        </w:rPr>
        <w:t>IPPC</w:t>
      </w:r>
      <w:proofErr w:type="spellEnd"/>
      <w:r>
        <w:rPr>
          <w:sz w:val="18"/>
        </w:rPr>
        <w:t xml:space="preserve"> Bürosu hakkında daha fazla bilgi edinmek için şu adresi ziyaret ediniz: </w:t>
      </w:r>
      <w:r w:rsidRPr="00390F61">
        <w:rPr>
          <w:color w:val="0000FF"/>
          <w:sz w:val="18"/>
          <w:u w:val="single"/>
        </w:rPr>
        <w:t>http://eippcb.jrc.es/</w:t>
      </w:r>
    </w:p>
  </w:footnote>
  <w:footnote w:id="10">
    <w:p w:rsidR="00324DCF" w:rsidRDefault="00324DC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A90EC1">
        <w:rPr>
          <w:sz w:val="18"/>
        </w:rPr>
        <w:t>COM(2007) 843 nihai</w:t>
      </w:r>
    </w:p>
  </w:footnote>
  <w:footnote w:id="11">
    <w:p w:rsidR="00324DCF" w:rsidRDefault="00324DCF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r>
        <w:t>OJ</w:t>
      </w:r>
      <w:proofErr w:type="spellEnd"/>
      <w:r>
        <w:t xml:space="preserve"> L 143, 30.4.2004, s. 87-96</w:t>
      </w:r>
    </w:p>
  </w:footnote>
  <w:footnote w:id="12">
    <w:p w:rsidR="00324DCF" w:rsidRPr="002729AC" w:rsidRDefault="00324DCF" w:rsidP="002729AC">
      <w:pPr>
        <w:autoSpaceDE w:val="0"/>
        <w:autoSpaceDN w:val="0"/>
        <w:adjustRightInd w:val="0"/>
        <w:spacing w:line="240" w:lineRule="auto"/>
        <w:rPr>
          <w:color w:val="0000FF"/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>
        <w:rPr>
          <w:color w:val="0000FF"/>
          <w:sz w:val="16"/>
          <w:szCs w:val="16"/>
        </w:rPr>
        <w:t>http://ec.europa.eu/environment/air/pollutants/stationary/solvents/index.htm</w:t>
      </w:r>
      <w:r>
        <w:rPr>
          <w:color w:val="000000"/>
          <w:sz w:val="13"/>
          <w:szCs w:val="13"/>
        </w:rPr>
        <w:t xml:space="preserve"> </w:t>
      </w:r>
    </w:p>
  </w:footnote>
  <w:footnote w:id="13">
    <w:p w:rsidR="00324DCF" w:rsidRDefault="00324DCF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color w:val="0000FF"/>
          <w:sz w:val="16"/>
          <w:szCs w:val="16"/>
        </w:rPr>
        <w:t>http://circa.europa.eu/Public/irc/env/voc/library?l=/guidance_documents/final_versions&amp;vm=detailed&amp;sb=Title.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B2AB0"/>
    <w:multiLevelType w:val="hybridMultilevel"/>
    <w:tmpl w:val="DFA8EF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95E"/>
    <w:rsid w:val="00003864"/>
    <w:rsid w:val="000053AB"/>
    <w:rsid w:val="00022865"/>
    <w:rsid w:val="00026D30"/>
    <w:rsid w:val="000344CD"/>
    <w:rsid w:val="00034A6E"/>
    <w:rsid w:val="00040CAF"/>
    <w:rsid w:val="00045400"/>
    <w:rsid w:val="00045D65"/>
    <w:rsid w:val="000478D0"/>
    <w:rsid w:val="000526B3"/>
    <w:rsid w:val="000576E1"/>
    <w:rsid w:val="00074FD1"/>
    <w:rsid w:val="00083CD2"/>
    <w:rsid w:val="00091CCB"/>
    <w:rsid w:val="000A00F6"/>
    <w:rsid w:val="000B2CED"/>
    <w:rsid w:val="000D0CED"/>
    <w:rsid w:val="000D500F"/>
    <w:rsid w:val="000E2EDE"/>
    <w:rsid w:val="000E4D4B"/>
    <w:rsid w:val="000E5869"/>
    <w:rsid w:val="000F01B2"/>
    <w:rsid w:val="000F3CD1"/>
    <w:rsid w:val="000F7A82"/>
    <w:rsid w:val="00107170"/>
    <w:rsid w:val="001326C9"/>
    <w:rsid w:val="001335D9"/>
    <w:rsid w:val="00134A92"/>
    <w:rsid w:val="00137D69"/>
    <w:rsid w:val="0015013F"/>
    <w:rsid w:val="00152305"/>
    <w:rsid w:val="00157A42"/>
    <w:rsid w:val="00160447"/>
    <w:rsid w:val="00161BE4"/>
    <w:rsid w:val="00177E93"/>
    <w:rsid w:val="00181B70"/>
    <w:rsid w:val="00183BD1"/>
    <w:rsid w:val="0018601B"/>
    <w:rsid w:val="00187EE8"/>
    <w:rsid w:val="00192CDD"/>
    <w:rsid w:val="001938F3"/>
    <w:rsid w:val="001A733A"/>
    <w:rsid w:val="001B08F4"/>
    <w:rsid w:val="001D27FA"/>
    <w:rsid w:val="001D41F3"/>
    <w:rsid w:val="001D43D0"/>
    <w:rsid w:val="001D5D28"/>
    <w:rsid w:val="001E0971"/>
    <w:rsid w:val="001E42F2"/>
    <w:rsid w:val="001F4933"/>
    <w:rsid w:val="001F4F3A"/>
    <w:rsid w:val="001F6399"/>
    <w:rsid w:val="00203756"/>
    <w:rsid w:val="00204C8B"/>
    <w:rsid w:val="00227622"/>
    <w:rsid w:val="002440EF"/>
    <w:rsid w:val="00253DFA"/>
    <w:rsid w:val="00255FCF"/>
    <w:rsid w:val="0027252E"/>
    <w:rsid w:val="002729AC"/>
    <w:rsid w:val="002818A3"/>
    <w:rsid w:val="00282D11"/>
    <w:rsid w:val="00286A9C"/>
    <w:rsid w:val="002A0642"/>
    <w:rsid w:val="002A5D78"/>
    <w:rsid w:val="002A6386"/>
    <w:rsid w:val="002B57E0"/>
    <w:rsid w:val="002B6C91"/>
    <w:rsid w:val="002C1AB4"/>
    <w:rsid w:val="002C4043"/>
    <w:rsid w:val="002D2B92"/>
    <w:rsid w:val="002D3C00"/>
    <w:rsid w:val="002D775A"/>
    <w:rsid w:val="002E3782"/>
    <w:rsid w:val="002E667F"/>
    <w:rsid w:val="002F557E"/>
    <w:rsid w:val="002F6F7B"/>
    <w:rsid w:val="0030792C"/>
    <w:rsid w:val="003109D0"/>
    <w:rsid w:val="00317671"/>
    <w:rsid w:val="00323ADF"/>
    <w:rsid w:val="00324DCF"/>
    <w:rsid w:val="003331F6"/>
    <w:rsid w:val="00343846"/>
    <w:rsid w:val="00347A9D"/>
    <w:rsid w:val="0035604C"/>
    <w:rsid w:val="0035622D"/>
    <w:rsid w:val="00356D9F"/>
    <w:rsid w:val="003726DF"/>
    <w:rsid w:val="00386D69"/>
    <w:rsid w:val="00390F61"/>
    <w:rsid w:val="00394444"/>
    <w:rsid w:val="003A1CC6"/>
    <w:rsid w:val="003B7B6C"/>
    <w:rsid w:val="003D05B7"/>
    <w:rsid w:val="003E03BD"/>
    <w:rsid w:val="003F39EF"/>
    <w:rsid w:val="0040031F"/>
    <w:rsid w:val="00400A0C"/>
    <w:rsid w:val="004029B2"/>
    <w:rsid w:val="00411B2D"/>
    <w:rsid w:val="00424347"/>
    <w:rsid w:val="0042750E"/>
    <w:rsid w:val="0043428E"/>
    <w:rsid w:val="00444B57"/>
    <w:rsid w:val="004536D2"/>
    <w:rsid w:val="0045593D"/>
    <w:rsid w:val="00456C28"/>
    <w:rsid w:val="00472250"/>
    <w:rsid w:val="00491A91"/>
    <w:rsid w:val="00491BCC"/>
    <w:rsid w:val="00494620"/>
    <w:rsid w:val="004A03A4"/>
    <w:rsid w:val="004A6774"/>
    <w:rsid w:val="004A7567"/>
    <w:rsid w:val="004B2F34"/>
    <w:rsid w:val="004C266C"/>
    <w:rsid w:val="004D095E"/>
    <w:rsid w:val="004D6DD4"/>
    <w:rsid w:val="004E10EE"/>
    <w:rsid w:val="004E2178"/>
    <w:rsid w:val="004E2374"/>
    <w:rsid w:val="004E4B26"/>
    <w:rsid w:val="004E57EB"/>
    <w:rsid w:val="004F048B"/>
    <w:rsid w:val="004F41C9"/>
    <w:rsid w:val="0051439F"/>
    <w:rsid w:val="00515D2B"/>
    <w:rsid w:val="00522A13"/>
    <w:rsid w:val="00527286"/>
    <w:rsid w:val="005327BC"/>
    <w:rsid w:val="005434FA"/>
    <w:rsid w:val="00555C39"/>
    <w:rsid w:val="00566317"/>
    <w:rsid w:val="0056744D"/>
    <w:rsid w:val="005735D0"/>
    <w:rsid w:val="00587270"/>
    <w:rsid w:val="005961BD"/>
    <w:rsid w:val="005B1F5E"/>
    <w:rsid w:val="005B4632"/>
    <w:rsid w:val="005C0F07"/>
    <w:rsid w:val="005C6CBE"/>
    <w:rsid w:val="005D321B"/>
    <w:rsid w:val="005D5224"/>
    <w:rsid w:val="005E273F"/>
    <w:rsid w:val="005E45CF"/>
    <w:rsid w:val="0060778E"/>
    <w:rsid w:val="00616DFE"/>
    <w:rsid w:val="00621EC8"/>
    <w:rsid w:val="00623D55"/>
    <w:rsid w:val="006258E1"/>
    <w:rsid w:val="0063029D"/>
    <w:rsid w:val="006401D2"/>
    <w:rsid w:val="00640233"/>
    <w:rsid w:val="00640540"/>
    <w:rsid w:val="00681987"/>
    <w:rsid w:val="00684083"/>
    <w:rsid w:val="00696DD2"/>
    <w:rsid w:val="006975E1"/>
    <w:rsid w:val="00697A3A"/>
    <w:rsid w:val="006A04FF"/>
    <w:rsid w:val="006A566A"/>
    <w:rsid w:val="006A5F10"/>
    <w:rsid w:val="006B2DB0"/>
    <w:rsid w:val="006B3BB5"/>
    <w:rsid w:val="006B541D"/>
    <w:rsid w:val="006D4ED6"/>
    <w:rsid w:val="006E1786"/>
    <w:rsid w:val="006E5339"/>
    <w:rsid w:val="006E6819"/>
    <w:rsid w:val="006F2B02"/>
    <w:rsid w:val="00713607"/>
    <w:rsid w:val="00725AB5"/>
    <w:rsid w:val="00726DF6"/>
    <w:rsid w:val="007302A5"/>
    <w:rsid w:val="00730383"/>
    <w:rsid w:val="00741440"/>
    <w:rsid w:val="00743248"/>
    <w:rsid w:val="00745262"/>
    <w:rsid w:val="00745DF6"/>
    <w:rsid w:val="007564E2"/>
    <w:rsid w:val="007577E2"/>
    <w:rsid w:val="00772182"/>
    <w:rsid w:val="0078590A"/>
    <w:rsid w:val="007A1964"/>
    <w:rsid w:val="007A64DA"/>
    <w:rsid w:val="007A7D40"/>
    <w:rsid w:val="007B0A2F"/>
    <w:rsid w:val="007B22E8"/>
    <w:rsid w:val="007D4BBE"/>
    <w:rsid w:val="007F024F"/>
    <w:rsid w:val="007F303F"/>
    <w:rsid w:val="007F32C5"/>
    <w:rsid w:val="007F4198"/>
    <w:rsid w:val="00801FFA"/>
    <w:rsid w:val="00806345"/>
    <w:rsid w:val="00824EAE"/>
    <w:rsid w:val="00850EC6"/>
    <w:rsid w:val="00860E8D"/>
    <w:rsid w:val="00863F60"/>
    <w:rsid w:val="00872A2B"/>
    <w:rsid w:val="008A2E6C"/>
    <w:rsid w:val="008A419E"/>
    <w:rsid w:val="008A6A7C"/>
    <w:rsid w:val="008C35FA"/>
    <w:rsid w:val="008D016D"/>
    <w:rsid w:val="008E18CC"/>
    <w:rsid w:val="00903788"/>
    <w:rsid w:val="009120B4"/>
    <w:rsid w:val="00920223"/>
    <w:rsid w:val="00921529"/>
    <w:rsid w:val="00924BCB"/>
    <w:rsid w:val="009261B1"/>
    <w:rsid w:val="00927FE7"/>
    <w:rsid w:val="00932484"/>
    <w:rsid w:val="00935C45"/>
    <w:rsid w:val="0094157A"/>
    <w:rsid w:val="0094293B"/>
    <w:rsid w:val="009647C5"/>
    <w:rsid w:val="009650E2"/>
    <w:rsid w:val="00981FB8"/>
    <w:rsid w:val="0099050F"/>
    <w:rsid w:val="009B68DC"/>
    <w:rsid w:val="009D50E8"/>
    <w:rsid w:val="009F63CC"/>
    <w:rsid w:val="00A03D4D"/>
    <w:rsid w:val="00A0470F"/>
    <w:rsid w:val="00A2487C"/>
    <w:rsid w:val="00A3105B"/>
    <w:rsid w:val="00A3758E"/>
    <w:rsid w:val="00A416A9"/>
    <w:rsid w:val="00A433C5"/>
    <w:rsid w:val="00A504DC"/>
    <w:rsid w:val="00A5432B"/>
    <w:rsid w:val="00A6793B"/>
    <w:rsid w:val="00A7184E"/>
    <w:rsid w:val="00A814A2"/>
    <w:rsid w:val="00A81D4D"/>
    <w:rsid w:val="00A85D92"/>
    <w:rsid w:val="00A86603"/>
    <w:rsid w:val="00A90EC1"/>
    <w:rsid w:val="00A918B2"/>
    <w:rsid w:val="00A92310"/>
    <w:rsid w:val="00A92F52"/>
    <w:rsid w:val="00A93E62"/>
    <w:rsid w:val="00AA41DF"/>
    <w:rsid w:val="00AB19D5"/>
    <w:rsid w:val="00AB2660"/>
    <w:rsid w:val="00AC0C35"/>
    <w:rsid w:val="00AC2461"/>
    <w:rsid w:val="00AC3C89"/>
    <w:rsid w:val="00AC5A9D"/>
    <w:rsid w:val="00AD1E88"/>
    <w:rsid w:val="00AF7286"/>
    <w:rsid w:val="00B05463"/>
    <w:rsid w:val="00B1702A"/>
    <w:rsid w:val="00B24A74"/>
    <w:rsid w:val="00B26A56"/>
    <w:rsid w:val="00B322D1"/>
    <w:rsid w:val="00B34633"/>
    <w:rsid w:val="00B35FA0"/>
    <w:rsid w:val="00B37C10"/>
    <w:rsid w:val="00B52562"/>
    <w:rsid w:val="00B52FA6"/>
    <w:rsid w:val="00B64144"/>
    <w:rsid w:val="00B67D28"/>
    <w:rsid w:val="00B711FD"/>
    <w:rsid w:val="00B759F6"/>
    <w:rsid w:val="00B83616"/>
    <w:rsid w:val="00B96F98"/>
    <w:rsid w:val="00B97980"/>
    <w:rsid w:val="00B97FEA"/>
    <w:rsid w:val="00BB291C"/>
    <w:rsid w:val="00BB311C"/>
    <w:rsid w:val="00BC1383"/>
    <w:rsid w:val="00BC242B"/>
    <w:rsid w:val="00BC5FE9"/>
    <w:rsid w:val="00BD2AF3"/>
    <w:rsid w:val="00BD463B"/>
    <w:rsid w:val="00BD601C"/>
    <w:rsid w:val="00BD742F"/>
    <w:rsid w:val="00BD751F"/>
    <w:rsid w:val="00C11E4C"/>
    <w:rsid w:val="00C13C7E"/>
    <w:rsid w:val="00C23EB3"/>
    <w:rsid w:val="00C24213"/>
    <w:rsid w:val="00C277E0"/>
    <w:rsid w:val="00C47112"/>
    <w:rsid w:val="00C672EA"/>
    <w:rsid w:val="00C70D7F"/>
    <w:rsid w:val="00C807CF"/>
    <w:rsid w:val="00C8208B"/>
    <w:rsid w:val="00CA593F"/>
    <w:rsid w:val="00CC0563"/>
    <w:rsid w:val="00CE4358"/>
    <w:rsid w:val="00CF5290"/>
    <w:rsid w:val="00CF57ED"/>
    <w:rsid w:val="00D0390E"/>
    <w:rsid w:val="00D061BC"/>
    <w:rsid w:val="00D07FD9"/>
    <w:rsid w:val="00D1144B"/>
    <w:rsid w:val="00D139C9"/>
    <w:rsid w:val="00D16751"/>
    <w:rsid w:val="00D308D8"/>
    <w:rsid w:val="00D34A2E"/>
    <w:rsid w:val="00D41717"/>
    <w:rsid w:val="00D425A1"/>
    <w:rsid w:val="00D64C18"/>
    <w:rsid w:val="00D65C3D"/>
    <w:rsid w:val="00D7215E"/>
    <w:rsid w:val="00D72DDF"/>
    <w:rsid w:val="00D73B4A"/>
    <w:rsid w:val="00D75C14"/>
    <w:rsid w:val="00D95415"/>
    <w:rsid w:val="00DA39AF"/>
    <w:rsid w:val="00DB488E"/>
    <w:rsid w:val="00DC27F2"/>
    <w:rsid w:val="00DC3200"/>
    <w:rsid w:val="00DC7BF0"/>
    <w:rsid w:val="00DD1872"/>
    <w:rsid w:val="00DF2254"/>
    <w:rsid w:val="00DF6B5C"/>
    <w:rsid w:val="00E00FAB"/>
    <w:rsid w:val="00E073E4"/>
    <w:rsid w:val="00E07430"/>
    <w:rsid w:val="00E07F52"/>
    <w:rsid w:val="00E10C06"/>
    <w:rsid w:val="00E15F27"/>
    <w:rsid w:val="00E15FD4"/>
    <w:rsid w:val="00E24506"/>
    <w:rsid w:val="00E361A1"/>
    <w:rsid w:val="00E40683"/>
    <w:rsid w:val="00E45356"/>
    <w:rsid w:val="00E46836"/>
    <w:rsid w:val="00E72388"/>
    <w:rsid w:val="00E72EBD"/>
    <w:rsid w:val="00E82D5A"/>
    <w:rsid w:val="00E82E43"/>
    <w:rsid w:val="00E8416A"/>
    <w:rsid w:val="00E85C93"/>
    <w:rsid w:val="00E91FE2"/>
    <w:rsid w:val="00E92EB4"/>
    <w:rsid w:val="00E97243"/>
    <w:rsid w:val="00EA3E75"/>
    <w:rsid w:val="00EB4E49"/>
    <w:rsid w:val="00EB745F"/>
    <w:rsid w:val="00ED4570"/>
    <w:rsid w:val="00F01685"/>
    <w:rsid w:val="00F04229"/>
    <w:rsid w:val="00F10B0E"/>
    <w:rsid w:val="00F1532C"/>
    <w:rsid w:val="00F27317"/>
    <w:rsid w:val="00F30046"/>
    <w:rsid w:val="00F356C5"/>
    <w:rsid w:val="00F357AA"/>
    <w:rsid w:val="00F769E8"/>
    <w:rsid w:val="00F95DE4"/>
    <w:rsid w:val="00FB1273"/>
    <w:rsid w:val="00FB4365"/>
    <w:rsid w:val="00FC2AC2"/>
    <w:rsid w:val="00FE1AE0"/>
    <w:rsid w:val="00FE405A"/>
    <w:rsid w:val="00FF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09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9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E5869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DA39AF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A39A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A39AF"/>
    <w:rPr>
      <w:vertAlign w:val="superscript"/>
    </w:rPr>
  </w:style>
  <w:style w:type="paragraph" w:styleId="stbilgi">
    <w:name w:val="header"/>
    <w:basedOn w:val="Normal"/>
    <w:link w:val="stbilgiChar"/>
    <w:uiPriority w:val="99"/>
    <w:semiHidden/>
    <w:unhideWhenUsed/>
    <w:rsid w:val="002F557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F557E"/>
  </w:style>
  <w:style w:type="paragraph" w:styleId="Altbilgi">
    <w:name w:val="footer"/>
    <w:basedOn w:val="Normal"/>
    <w:link w:val="AltbilgiChar"/>
    <w:uiPriority w:val="99"/>
    <w:unhideWhenUsed/>
    <w:rsid w:val="002F557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557E"/>
  </w:style>
  <w:style w:type="table" w:styleId="TabloKlavuzu">
    <w:name w:val="Table Grid"/>
    <w:basedOn w:val="NormalTablo"/>
    <w:uiPriority w:val="59"/>
    <w:rsid w:val="00F042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E7AC-F1EC-494F-A9CA-2A3814B8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4037</Words>
  <Characters>22731</Characters>
  <Application>Microsoft Office Word</Application>
  <DocSecurity>0</DocSecurity>
  <Lines>463</Lines>
  <Paragraphs>535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16</cp:revision>
  <dcterms:created xsi:type="dcterms:W3CDTF">2012-01-12T14:47:00Z</dcterms:created>
  <dcterms:modified xsi:type="dcterms:W3CDTF">2012-01-14T10:30:00Z</dcterms:modified>
</cp:coreProperties>
</file>