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04" w:rsidRPr="003E1695" w:rsidRDefault="005C0204" w:rsidP="005C020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3E1695">
        <w:rPr>
          <w:rFonts w:ascii="Times New Roman" w:hAnsi="Times New Roman" w:cs="Times New Roman"/>
          <w:b/>
          <w:sz w:val="28"/>
          <w:lang w:val="tr-TR"/>
        </w:rPr>
        <w:t>Yasal ve Kurumsal Boşluk Analizi Anketi</w:t>
      </w:r>
    </w:p>
    <w:p w:rsidR="005C0204" w:rsidRPr="003E1695" w:rsidRDefault="00E1383C" w:rsidP="005C0204">
      <w:pPr>
        <w:spacing w:before="240"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Bu çalışma ile</w:t>
      </w:r>
      <w:r w:rsidR="005C0204" w:rsidRPr="003E1695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C0204" w:rsidRPr="003E1695">
        <w:rPr>
          <w:rFonts w:ascii="Times New Roman" w:hAnsi="Times New Roman" w:cs="Times New Roman"/>
          <w:lang w:val="tr-TR"/>
        </w:rPr>
        <w:t>Minamata</w:t>
      </w:r>
      <w:proofErr w:type="spellEnd"/>
      <w:r w:rsidR="005C0204" w:rsidRPr="003E1695">
        <w:rPr>
          <w:rFonts w:ascii="Times New Roman" w:hAnsi="Times New Roman" w:cs="Times New Roman"/>
          <w:lang w:val="tr-TR"/>
        </w:rPr>
        <w:t xml:space="preserve"> Sözleşmesi’nin Ön Değerlendirme Projesi kapsamında, ülkemizin </w:t>
      </w:r>
      <w:proofErr w:type="spellStart"/>
      <w:r w:rsidR="005C0204" w:rsidRPr="003E1695">
        <w:rPr>
          <w:rFonts w:ascii="Times New Roman" w:hAnsi="Times New Roman" w:cs="Times New Roman"/>
          <w:lang w:val="tr-TR"/>
        </w:rPr>
        <w:t>Civa’ya</w:t>
      </w:r>
      <w:proofErr w:type="spellEnd"/>
      <w:r w:rsidR="005C0204" w:rsidRPr="003E1695">
        <w:rPr>
          <w:rFonts w:ascii="Times New Roman" w:hAnsi="Times New Roman" w:cs="Times New Roman"/>
          <w:lang w:val="tr-TR"/>
        </w:rPr>
        <w:t xml:space="preserve"> ilişkin </w:t>
      </w:r>
      <w:proofErr w:type="spellStart"/>
      <w:r w:rsidR="005C0204" w:rsidRPr="003E1695">
        <w:rPr>
          <w:rFonts w:ascii="Times New Roman" w:hAnsi="Times New Roman" w:cs="Times New Roman"/>
          <w:lang w:val="tr-TR"/>
        </w:rPr>
        <w:t>Minamata</w:t>
      </w:r>
      <w:proofErr w:type="spellEnd"/>
      <w:r w:rsidR="005C0204" w:rsidRPr="003E1695">
        <w:rPr>
          <w:rFonts w:ascii="Times New Roman" w:hAnsi="Times New Roman" w:cs="Times New Roman"/>
          <w:lang w:val="tr-TR"/>
        </w:rPr>
        <w:t xml:space="preserve"> Sözleşmesi’nin yükümlülüklerinin yerine getirilmesinde gerekli olan yasal mevzuatının ve kurumsal yapının tespit edilmesi amaçlanmaktadır. Çalışma kapsamında aşağıdaki aktivitelerin yapılması hedeflenmektedir:</w:t>
      </w:r>
    </w:p>
    <w:p w:rsidR="005C0204" w:rsidRPr="003E1695" w:rsidRDefault="005C0204" w:rsidP="005C02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proofErr w:type="spellStart"/>
      <w:r w:rsidRPr="003E1695">
        <w:rPr>
          <w:rFonts w:ascii="Times New Roman" w:hAnsi="Times New Roman" w:cs="Times New Roman"/>
          <w:lang w:val="tr-TR"/>
        </w:rPr>
        <w:t>Minamata</w:t>
      </w:r>
      <w:proofErr w:type="spellEnd"/>
      <w:r w:rsidRPr="003E1695">
        <w:rPr>
          <w:rFonts w:ascii="Times New Roman" w:hAnsi="Times New Roman" w:cs="Times New Roman"/>
          <w:lang w:val="tr-TR"/>
        </w:rPr>
        <w:t xml:space="preserve"> Sözleşmesi’nin yükümlülükleri ile </w:t>
      </w:r>
      <w:r w:rsidR="00E1383C">
        <w:rPr>
          <w:rFonts w:ascii="Times New Roman" w:hAnsi="Times New Roman" w:cs="Times New Roman"/>
          <w:lang w:val="tr-TR"/>
        </w:rPr>
        <w:t>Ulusal Mevzuatım</w:t>
      </w:r>
      <w:r w:rsidRPr="003E1695">
        <w:rPr>
          <w:rFonts w:ascii="Times New Roman" w:hAnsi="Times New Roman" w:cs="Times New Roman"/>
          <w:lang w:val="tr-TR"/>
        </w:rPr>
        <w:t>ı</w:t>
      </w:r>
      <w:r w:rsidR="00E1383C">
        <w:rPr>
          <w:rFonts w:ascii="Times New Roman" w:hAnsi="Times New Roman" w:cs="Times New Roman"/>
          <w:lang w:val="tr-TR"/>
        </w:rPr>
        <w:t>zı</w:t>
      </w:r>
      <w:r w:rsidRPr="003E1695">
        <w:rPr>
          <w:rFonts w:ascii="Times New Roman" w:hAnsi="Times New Roman" w:cs="Times New Roman"/>
          <w:lang w:val="tr-TR"/>
        </w:rPr>
        <w:t xml:space="preserve">n şu anki durumu hakkında karşılaştırmalı bir değerlendirme ve </w:t>
      </w:r>
      <w:r w:rsidR="00E1383C">
        <w:rPr>
          <w:rFonts w:ascii="Times New Roman" w:hAnsi="Times New Roman" w:cs="Times New Roman"/>
          <w:lang w:val="tr-TR"/>
        </w:rPr>
        <w:t>Ülkemizin</w:t>
      </w:r>
      <w:r w:rsidRPr="003E1695">
        <w:rPr>
          <w:rFonts w:ascii="Times New Roman" w:hAnsi="Times New Roman" w:cs="Times New Roman"/>
          <w:lang w:val="tr-TR"/>
        </w:rPr>
        <w:t xml:space="preserve"> Sözleşmeye taraf olması için gerekli ek önlemlerin/</w:t>
      </w:r>
      <w:proofErr w:type="gramStart"/>
      <w:r w:rsidRPr="003E1695">
        <w:rPr>
          <w:rFonts w:ascii="Times New Roman" w:hAnsi="Times New Roman" w:cs="Times New Roman"/>
          <w:lang w:val="tr-TR"/>
        </w:rPr>
        <w:t>mevzuatların  belirlenmesi</w:t>
      </w:r>
      <w:proofErr w:type="gramEnd"/>
    </w:p>
    <w:p w:rsidR="005C0204" w:rsidRPr="003E1695" w:rsidRDefault="00E1383C" w:rsidP="005C02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Ulusal Mevzuatımızda yer alan </w:t>
      </w:r>
      <w:r w:rsidR="005C0204" w:rsidRPr="003E1695">
        <w:rPr>
          <w:rFonts w:ascii="Times New Roman" w:hAnsi="Times New Roman" w:cs="Times New Roman"/>
          <w:lang w:val="tr-TR"/>
        </w:rPr>
        <w:t>boşlukların (Sözleşme yükümlülüklerine göre) giderilmesi için seçeneklerin belirlenmesi</w:t>
      </w:r>
    </w:p>
    <w:p w:rsidR="005C0204" w:rsidRPr="003E1695" w:rsidRDefault="005C0204" w:rsidP="005C020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proofErr w:type="spellStart"/>
      <w:r w:rsidRPr="003E1695">
        <w:rPr>
          <w:rFonts w:ascii="Times New Roman" w:hAnsi="Times New Roman" w:cs="Times New Roman"/>
          <w:lang w:val="tr-TR"/>
        </w:rPr>
        <w:t>Minamata</w:t>
      </w:r>
      <w:proofErr w:type="spellEnd"/>
      <w:r w:rsidRPr="003E1695">
        <w:rPr>
          <w:rFonts w:ascii="Times New Roman" w:hAnsi="Times New Roman" w:cs="Times New Roman"/>
          <w:lang w:val="tr-TR"/>
        </w:rPr>
        <w:t xml:space="preserve"> Sözleşmesi’nin uygulanması için sorumlu tarafların listesinin çıkarılması</w:t>
      </w:r>
    </w:p>
    <w:p w:rsidR="005C0204" w:rsidRPr="003E1695" w:rsidRDefault="005C0204" w:rsidP="005C02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3E1695">
        <w:rPr>
          <w:rFonts w:ascii="Times New Roman" w:hAnsi="Times New Roman" w:cs="Times New Roman"/>
          <w:lang w:val="tr-TR"/>
        </w:rPr>
        <w:t xml:space="preserve">Her bir sorumlu tarafın çalışma alanlarına göre Sözleşme yükümlülükleri kapsamında rollerinin </w:t>
      </w:r>
      <w:proofErr w:type="gramStart"/>
      <w:r w:rsidRPr="003E1695">
        <w:rPr>
          <w:rFonts w:ascii="Times New Roman" w:hAnsi="Times New Roman" w:cs="Times New Roman"/>
          <w:lang w:val="tr-TR"/>
        </w:rPr>
        <w:t>belirlenmesi</w:t>
      </w:r>
      <w:proofErr w:type="gramEnd"/>
    </w:p>
    <w:p w:rsidR="005C0204" w:rsidRPr="003E1695" w:rsidRDefault="005C0204" w:rsidP="005C02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proofErr w:type="spellStart"/>
      <w:r w:rsidRPr="003E1695">
        <w:rPr>
          <w:rFonts w:ascii="Times New Roman" w:hAnsi="Times New Roman" w:cs="Times New Roman"/>
          <w:lang w:val="tr-TR"/>
        </w:rPr>
        <w:t>Minamata</w:t>
      </w:r>
      <w:proofErr w:type="spellEnd"/>
      <w:r w:rsidRPr="003E1695">
        <w:rPr>
          <w:rFonts w:ascii="Times New Roman" w:hAnsi="Times New Roman" w:cs="Times New Roman"/>
          <w:lang w:val="tr-TR"/>
        </w:rPr>
        <w:t xml:space="preserve"> Sözleşmesi’nin tam </w:t>
      </w:r>
      <w:r w:rsidR="00E1383C">
        <w:rPr>
          <w:rFonts w:ascii="Times New Roman" w:hAnsi="Times New Roman" w:cs="Times New Roman"/>
          <w:lang w:val="tr-TR"/>
        </w:rPr>
        <w:t xml:space="preserve">olarak </w:t>
      </w:r>
      <w:r w:rsidRPr="003E1695">
        <w:rPr>
          <w:rFonts w:ascii="Times New Roman" w:hAnsi="Times New Roman" w:cs="Times New Roman"/>
          <w:lang w:val="tr-TR"/>
        </w:rPr>
        <w:t>uygulanması için kurulması ya</w:t>
      </w:r>
      <w:r w:rsidR="00E1383C">
        <w:rPr>
          <w:rFonts w:ascii="Times New Roman" w:hAnsi="Times New Roman" w:cs="Times New Roman"/>
          <w:lang w:val="tr-TR"/>
        </w:rPr>
        <w:t xml:space="preserve"> </w:t>
      </w:r>
      <w:r w:rsidRPr="003E1695">
        <w:rPr>
          <w:rFonts w:ascii="Times New Roman" w:hAnsi="Times New Roman" w:cs="Times New Roman"/>
          <w:lang w:val="tr-TR"/>
        </w:rPr>
        <w:t>da belirlenmesi gereken eksik kurum ve sorumlulukların tespiti</w:t>
      </w:r>
    </w:p>
    <w:p w:rsidR="005C0204" w:rsidRPr="003E1695" w:rsidRDefault="005C0204" w:rsidP="005C0204">
      <w:pPr>
        <w:spacing w:before="240" w:line="360" w:lineRule="auto"/>
        <w:jc w:val="both"/>
        <w:rPr>
          <w:rFonts w:ascii="Times New Roman" w:hAnsi="Times New Roman" w:cs="Times New Roman"/>
          <w:lang w:val="tr-TR"/>
        </w:rPr>
      </w:pPr>
      <w:r w:rsidRPr="003E1695">
        <w:rPr>
          <w:rFonts w:ascii="Times New Roman" w:hAnsi="Times New Roman" w:cs="Times New Roman"/>
          <w:lang w:val="tr-TR"/>
        </w:rPr>
        <w:t>Bu bağlamda, aşağıda verilen yükümlülüklere kurumunuzca yürütülen mevzuatlar çerçevesinde ilgili kısımların doldurulması yapılan çalışmaların etkinliği açısından büyük önem arz etmektedir.</w:t>
      </w:r>
    </w:p>
    <w:p w:rsidR="005C0204" w:rsidRPr="003E1695" w:rsidRDefault="005C0204" w:rsidP="005C0204">
      <w:pPr>
        <w:spacing w:before="240" w:line="360" w:lineRule="auto"/>
        <w:jc w:val="both"/>
        <w:rPr>
          <w:rFonts w:ascii="Times New Roman" w:hAnsi="Times New Roman" w:cs="Times New Roman"/>
          <w:lang w:val="tr-TR"/>
        </w:rPr>
      </w:pPr>
      <w:r w:rsidRPr="003E1695">
        <w:rPr>
          <w:rFonts w:ascii="Times New Roman" w:hAnsi="Times New Roman" w:cs="Times New Roman"/>
          <w:lang w:val="tr-TR"/>
        </w:rPr>
        <w:t>Anketlere verilen cevaplarla ilgili kurumlarla ihtiyaç duyulması halinde ikili görüşme talep edilecektir.</w:t>
      </w:r>
    </w:p>
    <w:p w:rsidR="005C0204" w:rsidRPr="003E1695" w:rsidRDefault="005C0204" w:rsidP="005C0204">
      <w:pPr>
        <w:spacing w:before="240" w:line="360" w:lineRule="auto"/>
        <w:jc w:val="both"/>
        <w:rPr>
          <w:rFonts w:ascii="Times New Roman" w:hAnsi="Times New Roman" w:cs="Times New Roman"/>
          <w:lang w:val="tr-TR"/>
        </w:rPr>
      </w:pPr>
      <w:r w:rsidRPr="003E1695">
        <w:rPr>
          <w:rFonts w:ascii="Times New Roman" w:hAnsi="Times New Roman" w:cs="Times New Roman"/>
          <w:lang w:val="tr-TR"/>
        </w:rPr>
        <w:t xml:space="preserve">Lütfen anket sonuçlarının </w:t>
      </w:r>
      <w:hyperlink r:id="rId6">
        <w:r w:rsidRPr="003E1695">
          <w:rPr>
            <w:rFonts w:ascii="Times New Roman" w:hAnsi="Times New Roman" w:cs="Times New Roman"/>
            <w:color w:val="1155CC"/>
            <w:u w:val="single"/>
            <w:lang w:val="tr-TR"/>
          </w:rPr>
          <w:t>oky@csb.gov.tr</w:t>
        </w:r>
      </w:hyperlink>
      <w:r w:rsidRPr="003E1695">
        <w:rPr>
          <w:rFonts w:ascii="Times New Roman" w:hAnsi="Times New Roman" w:cs="Times New Roman"/>
          <w:lang w:val="tr-TR"/>
        </w:rPr>
        <w:t xml:space="preserve"> adresine iletiniz.</w:t>
      </w:r>
    </w:p>
    <w:p w:rsidR="005C0204" w:rsidRPr="003E1695" w:rsidRDefault="005C0204" w:rsidP="005C0204">
      <w:pPr>
        <w:spacing w:before="240" w:line="360" w:lineRule="auto"/>
        <w:jc w:val="both"/>
        <w:rPr>
          <w:rFonts w:ascii="Times New Roman" w:hAnsi="Times New Roman" w:cs="Times New Roman"/>
          <w:lang w:val="tr-TR"/>
        </w:rPr>
      </w:pPr>
      <w:r w:rsidRPr="003E1695">
        <w:rPr>
          <w:rFonts w:ascii="Times New Roman" w:hAnsi="Times New Roman" w:cs="Times New Roman"/>
          <w:lang w:val="tr-TR"/>
        </w:rPr>
        <w:t xml:space="preserve"> </w:t>
      </w:r>
    </w:p>
    <w:p w:rsidR="005C0204" w:rsidRPr="003E1695" w:rsidRDefault="005C0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lang w:val="tr-TR"/>
        </w:rPr>
      </w:pPr>
      <w:r w:rsidRPr="003E1695">
        <w:rPr>
          <w:rFonts w:ascii="Times New Roman" w:hAnsi="Times New Roman" w:cs="Times New Roman"/>
          <w:lang w:val="tr-TR"/>
        </w:rPr>
        <w:br w:type="page"/>
      </w:r>
    </w:p>
    <w:p w:rsidR="005C0204" w:rsidRPr="003E1695" w:rsidRDefault="005C0204" w:rsidP="005C0204">
      <w:pPr>
        <w:spacing w:before="240" w:line="360" w:lineRule="auto"/>
        <w:jc w:val="both"/>
        <w:rPr>
          <w:rFonts w:ascii="Times New Roman" w:hAnsi="Times New Roman" w:cs="Times New Roman"/>
          <w:lang w:val="tr-TR"/>
        </w:rPr>
        <w:sectPr w:rsidR="005C0204" w:rsidRPr="003E16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1695" w:rsidRPr="003E1695" w:rsidRDefault="003E1695" w:rsidP="003E1695">
      <w:pPr>
        <w:pStyle w:val="ListeParagraf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3E1695">
        <w:rPr>
          <w:rFonts w:ascii="Times New Roman" w:hAnsi="Times New Roman" w:cs="Times New Roman"/>
          <w:b/>
          <w:lang w:val="tr-TR"/>
        </w:rPr>
        <w:lastRenderedPageBreak/>
        <w:t>Genel Bilgiler:</w:t>
      </w:r>
    </w:p>
    <w:tbl>
      <w:tblPr>
        <w:tblW w:w="139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14"/>
        <w:gridCol w:w="5569"/>
        <w:gridCol w:w="1340"/>
        <w:gridCol w:w="1333"/>
        <w:gridCol w:w="2918"/>
      </w:tblGrid>
      <w:tr w:rsidR="003E1695" w:rsidRPr="003E1695" w:rsidTr="001F79A1">
        <w:trPr>
          <w:trHeight w:val="422"/>
        </w:trPr>
        <w:tc>
          <w:tcPr>
            <w:tcW w:w="2814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E1695">
              <w:rPr>
                <w:rFonts w:ascii="Times New Roman" w:hAnsi="Times New Roman" w:cs="Times New Roman"/>
              </w:rPr>
              <w:t>Kurum</w:t>
            </w:r>
            <w:proofErr w:type="spellEnd"/>
            <w:r w:rsidRPr="003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695">
              <w:rPr>
                <w:rFonts w:ascii="Times New Roman" w:hAnsi="Times New Roman" w:cs="Times New Roman"/>
              </w:rPr>
              <w:t>Adı</w:t>
            </w:r>
            <w:proofErr w:type="spellEnd"/>
            <w:r w:rsidRPr="003E16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E1695" w:rsidRPr="003E1695" w:rsidTr="001F79A1">
        <w:trPr>
          <w:trHeight w:val="422"/>
        </w:trPr>
        <w:tc>
          <w:tcPr>
            <w:tcW w:w="2814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E1695">
              <w:rPr>
                <w:rFonts w:ascii="Times New Roman" w:hAnsi="Times New Roman" w:cs="Times New Roman"/>
              </w:rPr>
              <w:t>Adres</w:t>
            </w:r>
            <w:proofErr w:type="spellEnd"/>
            <w:r w:rsidRPr="003E169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E1695" w:rsidRPr="003E1695" w:rsidTr="001F79A1">
        <w:trPr>
          <w:trHeight w:val="422"/>
        </w:trPr>
        <w:tc>
          <w:tcPr>
            <w:tcW w:w="2814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E1695">
              <w:rPr>
                <w:rFonts w:ascii="Times New Roman" w:hAnsi="Times New Roman" w:cs="Times New Roman"/>
              </w:rPr>
              <w:t>Şehir</w:t>
            </w:r>
            <w:proofErr w:type="spellEnd"/>
            <w:r w:rsidRPr="003E16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9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r w:rsidRPr="003E1695">
              <w:rPr>
                <w:rFonts w:ascii="Times New Roman" w:hAnsi="Times New Roman" w:cs="Times New Roman"/>
              </w:rPr>
              <w:t>Posta Kodu</w:t>
            </w:r>
          </w:p>
        </w:tc>
        <w:tc>
          <w:tcPr>
            <w:tcW w:w="2918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E1695" w:rsidRPr="003E1695" w:rsidTr="001F79A1">
        <w:trPr>
          <w:trHeight w:val="422"/>
        </w:trPr>
        <w:tc>
          <w:tcPr>
            <w:tcW w:w="2814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E1695">
              <w:rPr>
                <w:rFonts w:ascii="Times New Roman" w:hAnsi="Times New Roman" w:cs="Times New Roman"/>
              </w:rPr>
              <w:t>Telefon</w:t>
            </w:r>
            <w:proofErr w:type="spellEnd"/>
            <w:r w:rsidRPr="003E16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9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r w:rsidRPr="003E1695">
              <w:rPr>
                <w:rFonts w:ascii="Times New Roman" w:hAnsi="Times New Roman" w:cs="Times New Roman"/>
              </w:rPr>
              <w:t xml:space="preserve">Fax: </w:t>
            </w:r>
          </w:p>
        </w:tc>
        <w:tc>
          <w:tcPr>
            <w:tcW w:w="4251" w:type="dxa"/>
            <w:gridSpan w:val="2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E1695" w:rsidRPr="003E1695" w:rsidTr="001F79A1">
        <w:trPr>
          <w:trHeight w:val="422"/>
        </w:trPr>
        <w:tc>
          <w:tcPr>
            <w:tcW w:w="2814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r w:rsidRPr="003E1695">
              <w:rPr>
                <w:rFonts w:ascii="Times New Roman" w:hAnsi="Times New Roman" w:cs="Times New Roman"/>
              </w:rPr>
              <w:t xml:space="preserve">Web </w:t>
            </w:r>
            <w:proofErr w:type="spellStart"/>
            <w:r w:rsidRPr="003E1695">
              <w:rPr>
                <w:rFonts w:ascii="Times New Roman" w:hAnsi="Times New Roman" w:cs="Times New Roman"/>
              </w:rPr>
              <w:t>sitesi</w:t>
            </w:r>
            <w:proofErr w:type="spellEnd"/>
          </w:p>
        </w:tc>
        <w:tc>
          <w:tcPr>
            <w:tcW w:w="11160" w:type="dxa"/>
            <w:gridSpan w:val="4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E1695" w:rsidRPr="003E1695" w:rsidTr="001F79A1">
        <w:trPr>
          <w:trHeight w:val="422"/>
        </w:trPr>
        <w:tc>
          <w:tcPr>
            <w:tcW w:w="2814" w:type="dxa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E1695">
              <w:rPr>
                <w:rFonts w:ascii="Times New Roman" w:hAnsi="Times New Roman" w:cs="Times New Roman"/>
              </w:rPr>
              <w:t>İlgili</w:t>
            </w:r>
            <w:proofErr w:type="spellEnd"/>
            <w:r w:rsidRPr="003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695">
              <w:rPr>
                <w:rFonts w:ascii="Times New Roman" w:hAnsi="Times New Roman" w:cs="Times New Roman"/>
              </w:rPr>
              <w:t>Kişi</w:t>
            </w:r>
            <w:proofErr w:type="spellEnd"/>
            <w:r w:rsidRPr="003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695">
              <w:rPr>
                <w:rFonts w:ascii="Times New Roman" w:hAnsi="Times New Roman" w:cs="Times New Roman"/>
              </w:rPr>
              <w:t>Adı-Soyadı</w:t>
            </w:r>
            <w:proofErr w:type="spellEnd"/>
          </w:p>
        </w:tc>
        <w:tc>
          <w:tcPr>
            <w:tcW w:w="11160" w:type="dxa"/>
            <w:gridSpan w:val="4"/>
            <w:shd w:val="clear" w:color="auto" w:fill="auto"/>
          </w:tcPr>
          <w:p w:rsidR="003E1695" w:rsidRPr="003E1695" w:rsidRDefault="003E1695" w:rsidP="00AF413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E1695" w:rsidRPr="003E1695" w:rsidTr="001F79A1">
        <w:trPr>
          <w:trHeight w:val="422"/>
        </w:trPr>
        <w:tc>
          <w:tcPr>
            <w:tcW w:w="2814" w:type="dxa"/>
            <w:shd w:val="clear" w:color="auto" w:fill="auto"/>
          </w:tcPr>
          <w:p w:rsidR="003E1695" w:rsidRPr="003E1695" w:rsidRDefault="003E1695" w:rsidP="003E1695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E1695">
              <w:rPr>
                <w:rFonts w:ascii="Times New Roman" w:hAnsi="Times New Roman" w:cs="Times New Roman"/>
              </w:rPr>
              <w:t>İlgili</w:t>
            </w:r>
            <w:proofErr w:type="spellEnd"/>
            <w:r w:rsidRPr="003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695">
              <w:rPr>
                <w:rFonts w:ascii="Times New Roman" w:hAnsi="Times New Roman" w:cs="Times New Roman"/>
              </w:rPr>
              <w:t>Kişi</w:t>
            </w:r>
            <w:proofErr w:type="spellEnd"/>
            <w:r w:rsidRPr="003E1695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3E1695">
              <w:rPr>
                <w:rFonts w:ascii="Times New Roman" w:hAnsi="Times New Roman" w:cs="Times New Roman"/>
              </w:rPr>
              <w:t>posta</w:t>
            </w:r>
            <w:proofErr w:type="spellEnd"/>
            <w:r w:rsidRPr="003E16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3E1695" w:rsidRPr="003E1695" w:rsidRDefault="003E1695" w:rsidP="003E169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C0204" w:rsidRPr="003E1695" w:rsidRDefault="003E1695" w:rsidP="003E1695">
      <w:pPr>
        <w:pStyle w:val="ListeParagraf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3E1695">
        <w:rPr>
          <w:rFonts w:ascii="Times New Roman" w:hAnsi="Times New Roman" w:cs="Times New Roman"/>
          <w:b/>
          <w:lang w:val="tr-TR"/>
        </w:rPr>
        <w:t xml:space="preserve">Kurumsal ve </w:t>
      </w:r>
      <w:r w:rsidR="005C0204" w:rsidRPr="003E1695">
        <w:rPr>
          <w:rFonts w:ascii="Times New Roman" w:hAnsi="Times New Roman" w:cs="Times New Roman"/>
          <w:b/>
          <w:lang w:val="tr-TR"/>
        </w:rPr>
        <w:t>Yasal Mevzuat</w:t>
      </w:r>
      <w:r w:rsidRPr="003E1695">
        <w:rPr>
          <w:rFonts w:ascii="Times New Roman" w:hAnsi="Times New Roman" w:cs="Times New Roman"/>
          <w:b/>
          <w:lang w:val="tr-TR"/>
        </w:rPr>
        <w:t xml:space="preserve"> Tablosu: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1421"/>
        <w:gridCol w:w="6522"/>
        <w:gridCol w:w="1530"/>
        <w:gridCol w:w="1505"/>
        <w:gridCol w:w="2450"/>
      </w:tblGrid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E1695">
              <w:rPr>
                <w:rFonts w:ascii="Times New Roman" w:hAnsi="Times New Roman" w:cs="Times New Roman"/>
                <w:b/>
                <w:lang w:val="tr-TR"/>
              </w:rPr>
              <w:t>No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E1695">
              <w:rPr>
                <w:rFonts w:ascii="Times New Roman" w:hAnsi="Times New Roman" w:cs="Times New Roman"/>
                <w:b/>
                <w:lang w:val="tr-TR"/>
              </w:rPr>
              <w:t>Sözleşme Maddesi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E1695">
              <w:rPr>
                <w:rFonts w:ascii="Times New Roman" w:hAnsi="Times New Roman" w:cs="Times New Roman"/>
                <w:b/>
                <w:lang w:val="tr-TR"/>
              </w:rPr>
              <w:t>Yasal Yükümlülük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E1695">
              <w:rPr>
                <w:rFonts w:ascii="Times New Roman" w:hAnsi="Times New Roman" w:cs="Times New Roman"/>
                <w:b/>
                <w:lang w:val="tr-TR"/>
              </w:rPr>
              <w:t>Kurumunuzla ilgili mi? (Evet/Hayır)</w:t>
            </w:r>
          </w:p>
          <w:p w:rsidR="00DA3351" w:rsidRPr="003E1695" w:rsidRDefault="006D01D3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E1695">
              <w:rPr>
                <w:rFonts w:ascii="Times New Roman" w:hAnsi="Times New Roman" w:cs="Times New Roman"/>
                <w:b/>
                <w:lang w:val="tr-TR"/>
              </w:rPr>
              <w:t xml:space="preserve">(Evetse, </w:t>
            </w:r>
            <w:r w:rsidR="00987B48">
              <w:rPr>
                <w:rFonts w:ascii="Times New Roman" w:hAnsi="Times New Roman" w:cs="Times New Roman"/>
                <w:b/>
                <w:lang w:val="tr-TR"/>
              </w:rPr>
              <w:t>ilgili Birim (Gn. Md./</w:t>
            </w:r>
            <w:proofErr w:type="spellStart"/>
            <w:r w:rsidR="00987B48">
              <w:rPr>
                <w:rFonts w:ascii="Times New Roman" w:hAnsi="Times New Roman" w:cs="Times New Roman"/>
                <w:b/>
                <w:lang w:val="tr-TR"/>
              </w:rPr>
              <w:t>Dai</w:t>
            </w:r>
            <w:proofErr w:type="spellEnd"/>
            <w:r w:rsidR="00987B48">
              <w:rPr>
                <w:rFonts w:ascii="Times New Roman" w:hAnsi="Times New Roman" w:cs="Times New Roman"/>
                <w:b/>
                <w:lang w:val="tr-TR"/>
              </w:rPr>
              <w:t>. Bşk.</w:t>
            </w:r>
            <w:r w:rsidRPr="003E1695">
              <w:rPr>
                <w:rFonts w:ascii="Times New Roman" w:hAnsi="Times New Roman" w:cs="Times New Roman"/>
                <w:b/>
                <w:lang w:val="tr-TR"/>
              </w:rPr>
              <w:t>)</w:t>
            </w:r>
            <w:r w:rsidR="00987B48">
              <w:rPr>
                <w:rFonts w:ascii="Times New Roman" w:hAnsi="Times New Roman" w:cs="Times New Roman"/>
                <w:b/>
                <w:lang w:val="tr-TR"/>
              </w:rPr>
              <w:t>)</w:t>
            </w: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E1695">
              <w:rPr>
                <w:rFonts w:ascii="Times New Roman" w:hAnsi="Times New Roman" w:cs="Times New Roman"/>
                <w:b/>
                <w:lang w:val="tr-TR"/>
              </w:rPr>
              <w:t xml:space="preserve">Varsa ilgili Mevzuat </w:t>
            </w: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DA3351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E1695">
              <w:rPr>
                <w:rFonts w:ascii="Times New Roman" w:hAnsi="Times New Roman" w:cs="Times New Roman"/>
                <w:b/>
                <w:lang w:val="tr-TR"/>
              </w:rPr>
              <w:t xml:space="preserve">Yoksa yapılması planlanan çalışma (varsa planlanan yönetmelik, tebliğ, </w:t>
            </w:r>
            <w:proofErr w:type="spellStart"/>
            <w:r w:rsidRPr="003E1695">
              <w:rPr>
                <w:rFonts w:ascii="Times New Roman" w:hAnsi="Times New Roman" w:cs="Times New Roman"/>
                <w:b/>
                <w:lang w:val="tr-TR"/>
              </w:rPr>
              <w:t>vs</w:t>
            </w:r>
            <w:proofErr w:type="spellEnd"/>
            <w:r w:rsidRPr="003E1695">
              <w:rPr>
                <w:rFonts w:ascii="Times New Roman" w:hAnsi="Times New Roman" w:cs="Times New Roman"/>
                <w:b/>
                <w:lang w:val="tr-TR"/>
              </w:rPr>
              <w:t>)</w:t>
            </w: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Madde 3: </w:t>
            </w:r>
            <w:r w:rsidR="008814DB" w:rsidRPr="003E1695">
              <w:rPr>
                <w:rFonts w:ascii="Times New Roman" w:hAnsi="Times New Roman" w:cs="Times New Roman"/>
                <w:lang w:val="tr-TR"/>
              </w:rPr>
              <w:t>Cıva arz kaynakları ve ticareti</w:t>
            </w:r>
          </w:p>
        </w:tc>
        <w:tc>
          <w:tcPr>
            <w:tcW w:w="2332" w:type="pct"/>
          </w:tcPr>
          <w:p w:rsidR="005C0204" w:rsidRPr="003E1695" w:rsidRDefault="005C0204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Civa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madenciliğinin yasaklanması</w:t>
            </w:r>
          </w:p>
          <w:p w:rsidR="005C0204" w:rsidRPr="003E1695" w:rsidRDefault="005C0204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Mevcut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civa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madenlerinin 15 yıl içerisinde kapatılması</w:t>
            </w:r>
          </w:p>
          <w:p w:rsidR="005C0204" w:rsidRPr="003E1695" w:rsidRDefault="006D01D3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Civa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madenciliğinden üretilen civanın kullanım ve ihracatının kısıtlanması (ASGM Sektöründe kullanımını engellemek için)</w:t>
            </w:r>
          </w:p>
          <w:p w:rsidR="005C0204" w:rsidRPr="003E1695" w:rsidRDefault="006D01D3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3.5(b)</w:t>
            </w:r>
            <w:r w:rsidRPr="003E1695">
              <w:rPr>
                <w:rFonts w:ascii="Times New Roman" w:hAnsi="Times New Roman" w:cs="Times New Roman"/>
                <w:lang w:val="tr-TR"/>
              </w:rPr>
              <w:t>’ye göre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, </w:t>
            </w:r>
            <w:r w:rsidRPr="003E1695">
              <w:rPr>
                <w:rFonts w:ascii="Times New Roman" w:hAnsi="Times New Roman" w:cs="Times New Roman"/>
                <w:lang w:val="tr-TR"/>
              </w:rPr>
              <w:t>klor-alkali tesislerinin devreden çıkarılması esnasında ortaya çıkan fazla cıvanın kullanımının ciddi ölçüde kısıtlanması</w:t>
            </w:r>
          </w:p>
          <w:p w:rsidR="006D01D3" w:rsidRPr="003E1695" w:rsidRDefault="006D01D3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50 ton üzeri, cıva stokları ya da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civa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içeren maddeler ile 10 ton/yıl üzeri cıva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tedariği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sağlayan stoklara ilişkin bilgi elde edilmesi</w:t>
            </w:r>
          </w:p>
          <w:p w:rsidR="006D01D3" w:rsidRPr="003E1695" w:rsidRDefault="006D01D3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 xml:space="preserve">İthal eden ülkeden yazılı izin alınmadıkça cıva ihracatının yasaklanması </w:t>
            </w:r>
          </w:p>
          <w:p w:rsidR="005C0204" w:rsidRPr="003E1695" w:rsidRDefault="006D01D3" w:rsidP="006D01D3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İlgili mercilerden izin alınmadıkça cıva ithalatının yasaklanması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>2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DB" w:rsidRPr="003E1695" w:rsidRDefault="008814DB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4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8814DB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Cıva katkılı ürünler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1D3" w:rsidRPr="003E1695" w:rsidRDefault="006D01D3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Ek A Bölüm 1’de belirtilen ürünlerin ilgili ekte belirtilen tarihten itibaren üretim, ithalat ve ihracatının yasaklanması</w:t>
            </w:r>
          </w:p>
          <w:p w:rsidR="008814DB" w:rsidRPr="003E1695" w:rsidRDefault="008814DB" w:rsidP="008814DB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Dental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amalgam kullanımının Ek A Bölüm ikide belirtilen önlemlerden herhangi birisi ile aşamalı olarak azaltılması</w:t>
            </w:r>
          </w:p>
          <w:p w:rsidR="008814DB" w:rsidRPr="003E1695" w:rsidRDefault="008814DB" w:rsidP="008814DB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Ek A Bölüm 1’de listelenen ürünlerin (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örn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. anahtarlar ve röleler, piller) daha büyük, monte edilmiş ürünlere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dahil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edilmesinin önlenmesi</w:t>
            </w:r>
          </w:p>
          <w:p w:rsidR="005C0204" w:rsidRPr="003E1695" w:rsidRDefault="008814DB" w:rsidP="008814DB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Sözleşmenin yürürlüğe girdiği tarihten önce cıva katkılı ürünlerin bilinen bir kullanımı tarafından kapsanmayan cıva katkılı ürünlerin üretiminin ve ticarette dağıtımının azaltılması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4DB" w:rsidRPr="003E1695" w:rsidRDefault="008814DB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 5:</w:t>
            </w:r>
          </w:p>
          <w:p w:rsidR="005C0204" w:rsidRPr="003E1695" w:rsidRDefault="008814DB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Cıva veya cıva bileşiklerinin kullanıldığı üretim işlemleri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177" w:rsidRPr="003E1695" w:rsidRDefault="00C72DDE" w:rsidP="00CC1177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Ek B Bölüm 1’de listelenen üretim işlemlerinde, bireysel işlemler için bu Ekte belirtilen aşamalı olarak kaldırma tarihinden sonra cıva veya cıva bileşiklerinin kullanılmasına izin vermemesi,</w:t>
            </w:r>
          </w:p>
          <w:p w:rsidR="00760F5A" w:rsidRPr="003E1695" w:rsidRDefault="00CC1177" w:rsidP="00760F5A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Ek B Bölüm 2’de listelenen işlemlerde cıva veya cıva bileşiklerinin kullanımının, burada belirtilen hükümlere uygun olarak sınırlanması,</w:t>
            </w:r>
          </w:p>
          <w:p w:rsidR="00760F5A" w:rsidRPr="003E1695" w:rsidRDefault="00760F5A" w:rsidP="00760F5A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Ek B’de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listenen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üretim işlemlerini içeren yeni tesislerde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civa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kullanımının yasaklanması,</w:t>
            </w:r>
          </w:p>
          <w:p w:rsidR="005C0204" w:rsidRPr="003E1695" w:rsidRDefault="00760F5A" w:rsidP="00760F5A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Ek B’de listelenen üretim işlemlerinde cıva veya cıva bileşiklerini kullanan tesislerden cıva veya cıva bileşiklerinin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emisyonlarını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ve salınımlarını ele almak için tedbirler alınması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F5A" w:rsidRPr="003E1695" w:rsidRDefault="00760F5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6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760F5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Taraflar için isteğe bağlı muafiyetler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760F5A" w:rsidP="00760F5A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Bir Taraf ülke sözleşmeye uyum için ek zamana ihtiyaç duyması durumunda, Ek A ve Ek B’de listelenen aşamalı olarak kaldırma tarihlerinden itibaren bir veya daha fazla muafiyet için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Sekretarya’ya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yazılı bildirimde bulunarak muafiyet kaydı yaptırabilir.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3B" w:rsidRPr="003E1695" w:rsidRDefault="005C0204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Article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7</w:t>
            </w:r>
            <w:r w:rsidR="0004183B"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04183B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Küçük ölçekli altın madenciliği </w:t>
            </w: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 xml:space="preserve">ve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zenaatkarlığı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(KAMZ)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83B" w:rsidRPr="003E1695" w:rsidRDefault="0004183B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 xml:space="preserve">Küçük ölçekli altın madenciliği ve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zenaatkarlığı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kapsamında cıva ve cıva bileşiklerinin kullanımının, (hava)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emisyonlarının,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ve (su ve toprak)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salımlarının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azaltılması ve mümkünse ortadan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kalırıdırlması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,  </w:t>
            </w:r>
          </w:p>
          <w:p w:rsidR="0004183B" w:rsidRPr="003E1695" w:rsidRDefault="0004183B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>Koordinasyon mekanizması kurulması ve KAMZ Ulusal Eylem Planının hazırlanması/uygulanması,</w:t>
            </w:r>
          </w:p>
          <w:p w:rsidR="0004183B" w:rsidRPr="003E1695" w:rsidRDefault="009B7E0F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KAMZ’nin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tanımlanması ve sözleşmeye uygun bir şekilde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regüle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edilmesi,</w:t>
            </w:r>
          </w:p>
          <w:p w:rsidR="009B7E0F" w:rsidRPr="003E1695" w:rsidRDefault="00DD200C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Cıvalı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amalgamasyon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, amalgamın ya da işlenmiş halinin açıkta yakılması, evsel alanlarda amalgam yakılması ve cıva içeren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sedimanlardan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siyanit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sızıntısı gibi kötü uygulamaların sonlandırılması,</w:t>
            </w:r>
          </w:p>
          <w:p w:rsidR="00DD200C" w:rsidRPr="003E1695" w:rsidRDefault="00DD200C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Kötü uygulamaların sonlandırılması hedefleri ile uyumlu olarak cıva kullanımının azaltılmasına yönelik hedeflerin konması</w:t>
            </w:r>
          </w:p>
          <w:p w:rsidR="00DD200C" w:rsidRPr="003E1695" w:rsidRDefault="00DD200C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KAMZ ile ilgili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emisyon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, salım ve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maruziyetlerin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(özellikle çocuklar ve doğum yaşındaki kadınlar gibi hassas gruplara olan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maruziyet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>) azaltılması</w:t>
            </w:r>
          </w:p>
          <w:p w:rsidR="00DD200C" w:rsidRPr="003E1695" w:rsidRDefault="00DD200C" w:rsidP="005C0204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Cıva ve cıva bileşiklerinin başka sektörlerde KAMZ sektöründe karışmasının engellenmesi ve cıva ticaretinin kontrol edilmesi</w:t>
            </w:r>
          </w:p>
          <w:p w:rsidR="005C0204" w:rsidRPr="003E1695" w:rsidRDefault="00DD200C" w:rsidP="00DD200C">
            <w:pPr>
              <w:numPr>
                <w:ilvl w:val="0"/>
                <w:numId w:val="3"/>
              </w:numPr>
              <w:spacing w:after="0" w:line="240" w:lineRule="auto"/>
              <w:ind w:left="278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KAMZ çalışanları ve ailelerinin cıva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maruziyetine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yönelik halk sağlığı stratejilerinin belirlenmesi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>6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3C8" w:rsidRPr="003E1695" w:rsidRDefault="00987B48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Madde </w:t>
            </w:r>
            <w:r w:rsidR="001E23C8" w:rsidRPr="003E1695">
              <w:rPr>
                <w:rFonts w:ascii="Times New Roman" w:hAnsi="Times New Roman" w:cs="Times New Roman"/>
                <w:lang w:val="tr-TR"/>
              </w:rPr>
              <w:t>8:</w:t>
            </w:r>
          </w:p>
          <w:p w:rsidR="005C0204" w:rsidRPr="003E1695" w:rsidRDefault="001E23C8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Emisyonlar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712711" w:rsidP="005C0204">
            <w:pPr>
              <w:numPr>
                <w:ilvl w:val="0"/>
                <w:numId w:val="3"/>
              </w:numPr>
              <w:spacing w:after="0" w:line="240" w:lineRule="auto"/>
              <w:ind w:left="353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Madde 8.2(c)’de belirtildiği gibi yeni tesisler için BAT/BEP ve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emisyon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sınır değerleri zorunluğunun getirilmesi,</w:t>
            </w:r>
          </w:p>
          <w:p w:rsidR="00712711" w:rsidRPr="003E1695" w:rsidRDefault="00797365" w:rsidP="005C0204">
            <w:pPr>
              <w:numPr>
                <w:ilvl w:val="0"/>
                <w:numId w:val="3"/>
              </w:numPr>
              <w:spacing w:after="0" w:line="240" w:lineRule="auto"/>
              <w:ind w:left="353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Madde 8.5’te belirtilen cıva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emisyon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control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>/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azaltım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önlemlerinin bir veya birkaçının Ek D’de verilen kaynaklar için 10 yıl içerisinde zorunlu hale getirilmesi </w:t>
            </w:r>
          </w:p>
          <w:p w:rsidR="005C0204" w:rsidRPr="003E1695" w:rsidRDefault="00797365" w:rsidP="00797365">
            <w:pPr>
              <w:numPr>
                <w:ilvl w:val="0"/>
                <w:numId w:val="3"/>
              </w:numPr>
              <w:spacing w:after="0" w:line="240" w:lineRule="auto"/>
              <w:ind w:left="353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Ek D’de listelenen kaynak kategorileri için izleme ve raporlama ile cıva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emisyon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envanteri oluşturulması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365" w:rsidRPr="003E1695" w:rsidRDefault="00797365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9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797365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Salımlar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365" w:rsidRPr="003E1695" w:rsidRDefault="00797365" w:rsidP="005C0204">
            <w:pPr>
              <w:numPr>
                <w:ilvl w:val="0"/>
                <w:numId w:val="14"/>
              </w:numPr>
              <w:spacing w:after="0" w:line="240" w:lineRule="auto"/>
              <w:ind w:left="353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Cıva’nın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su ve toprağa veya belirlenen diğer kaynaklara olan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salımlarının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belirlenmesi için raporlama ya da bilgi toplama zorunluluğunun getirilmesi</w:t>
            </w:r>
          </w:p>
          <w:p w:rsidR="005C0204" w:rsidRPr="003E1695" w:rsidRDefault="00797365" w:rsidP="0069427A">
            <w:pPr>
              <w:numPr>
                <w:ilvl w:val="0"/>
                <w:numId w:val="14"/>
              </w:numPr>
              <w:spacing w:after="0" w:line="240" w:lineRule="auto"/>
              <w:ind w:left="353" w:hanging="285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Madde 9.5’te belirtilen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cıva’nın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toprak ve suya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salımının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kontrol/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azaltım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önlemlerinin bir veya birkaçının ülkede belirlenen önemli kaynaklar için </w:t>
            </w:r>
            <w:r w:rsidR="0069427A" w:rsidRPr="003E1695">
              <w:rPr>
                <w:rFonts w:ascii="Times New Roman" w:hAnsi="Times New Roman" w:cs="Times New Roman"/>
                <w:lang w:val="tr-TR"/>
              </w:rPr>
              <w:t>alınmasının zorunlu hale getirilmesi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7A" w:rsidRPr="003E1695" w:rsidRDefault="0069427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10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69427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>Cıvanın çevreye duyarlı olarak ara depolanması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69427A" w:rsidP="0069427A">
            <w:pPr>
              <w:numPr>
                <w:ilvl w:val="0"/>
                <w:numId w:val="9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lastRenderedPageBreak/>
              <w:t xml:space="preserve">Sözleşme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Sekretarya’sı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tarafından hazırlanan rehberlere göre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cıva’nın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çevreye duyarlı bir şekilde ara depolanmasının sağlanması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>9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7A" w:rsidRPr="003E1695" w:rsidRDefault="0069427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 11:</w:t>
            </w:r>
          </w:p>
          <w:p w:rsidR="005C0204" w:rsidRPr="003E1695" w:rsidRDefault="0069427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Cıva atıkları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08" w:rsidRPr="003E1695" w:rsidRDefault="005C5208" w:rsidP="005C0204">
            <w:pPr>
              <w:numPr>
                <w:ilvl w:val="0"/>
                <w:numId w:val="6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Madde 11.2 ile uyumlu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civalı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atık tanımının kullanılması</w:t>
            </w:r>
          </w:p>
          <w:p w:rsidR="005C5208" w:rsidRPr="003E1695" w:rsidRDefault="005C5208" w:rsidP="005C0204">
            <w:pPr>
              <w:numPr>
                <w:ilvl w:val="0"/>
                <w:numId w:val="6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Basel Sözleşmesi teknik rehberleri ve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Minamata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Sözleşmesi gereklilikleri ile uyumlu ve çevreye duyarlı olarak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civa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atıklarının yönetimi </w:t>
            </w:r>
          </w:p>
          <w:p w:rsidR="005C5208" w:rsidRPr="003E1695" w:rsidRDefault="00D66FEB" w:rsidP="005C0204">
            <w:pPr>
              <w:numPr>
                <w:ilvl w:val="0"/>
                <w:numId w:val="6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Cıvanın bertaraf sonrasında ya da Sözleşme kapsamında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müsade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edilen kullanım alanlarında kullanılmak üzere yeniden elde edilmesinin kısıtlanması</w:t>
            </w:r>
          </w:p>
          <w:p w:rsidR="005C0204" w:rsidRPr="003E1695" w:rsidRDefault="005F6BCC" w:rsidP="005F6BCC">
            <w:pPr>
              <w:numPr>
                <w:ilvl w:val="0"/>
                <w:numId w:val="6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Basel Sözleşmesi’nin uygulandığı yerlerde buna göre uygulanmadığı yerlerde de diğer uluslararası kurallar, standartlar ve rehberlere göre uluslararası taşımanın zorunlu olması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01A" w:rsidRPr="003E1695" w:rsidRDefault="003A501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12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3A501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Kirlenmiş sahalar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01A" w:rsidRPr="003E1695" w:rsidRDefault="003A501A" w:rsidP="005C0204">
            <w:pPr>
              <w:numPr>
                <w:ilvl w:val="0"/>
                <w:numId w:val="15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Cıva/cıva bileşikleri ile kirlenmiş sahaların tespiti ve değerlendirmesi için strateji geliştirilmesi</w:t>
            </w:r>
          </w:p>
          <w:p w:rsidR="005C0204" w:rsidRPr="003E1695" w:rsidRDefault="003A501A" w:rsidP="003A501A">
            <w:pPr>
              <w:numPr>
                <w:ilvl w:val="0"/>
                <w:numId w:val="15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Kirlenmiş sahalarla ilgili risk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azaltım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faaliyetleri gerçekleştirilecekse bunun çevreye duyarlı olarak yapılması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01A" w:rsidRPr="003E1695" w:rsidRDefault="003A501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Madde 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>13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3A501A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Finansal Kaynaklar ve Mekanizma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E3" w:rsidRPr="003E1695" w:rsidRDefault="007921E3" w:rsidP="005C0204">
            <w:pPr>
              <w:numPr>
                <w:ilvl w:val="0"/>
                <w:numId w:val="5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Ulusal kaynakların sözleşme yükümlülükleri çerçevesinde kullanımı</w:t>
            </w:r>
          </w:p>
          <w:p w:rsidR="005C0204" w:rsidRPr="003E1695" w:rsidRDefault="007921E3" w:rsidP="00972CE5">
            <w:pPr>
              <w:numPr>
                <w:ilvl w:val="0"/>
                <w:numId w:val="5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Özellikle gelişmekte olan ülkeler için, Sözleşmenin finansal mekanizmasına ya da diğer uluslararası finans kaynaklarına </w:t>
            </w:r>
            <w:r w:rsidR="00972CE5" w:rsidRPr="003E1695">
              <w:rPr>
                <w:rFonts w:ascii="Times New Roman" w:hAnsi="Times New Roman" w:cs="Times New Roman"/>
                <w:lang w:val="tr-TR"/>
              </w:rPr>
              <w:t>erişim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DB761D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14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3E1695">
              <w:rPr>
                <w:rFonts w:ascii="Times New Roman" w:hAnsi="Times New Roman" w:cs="Times New Roman"/>
                <w:lang w:val="tr-TR"/>
              </w:rPr>
              <w:t>Kapasite geliştirme, teknik yardım ve teknoloji transferi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E68" w:rsidRPr="003E1695" w:rsidRDefault="00604A99" w:rsidP="005C0204">
            <w:pPr>
              <w:numPr>
                <w:ilvl w:val="0"/>
                <w:numId w:val="4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Gelişmekte olan ülkelere kapasite geliştirme ve teknik yardım sağlanması</w:t>
            </w:r>
          </w:p>
          <w:p w:rsidR="005C0204" w:rsidRPr="003E1695" w:rsidRDefault="001456B2" w:rsidP="001456B2">
            <w:pPr>
              <w:numPr>
                <w:ilvl w:val="0"/>
                <w:numId w:val="4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Gelişmekte olan ülkelerin Sözleşme yükümlülüklerine uyum sağlaması için teknoloji transferinin teşvik edilmesi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>13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6F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Madde 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>16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Sağlık yönleri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6F" w:rsidRPr="003E1695" w:rsidRDefault="001C7A6F" w:rsidP="005C0204">
            <w:pPr>
              <w:numPr>
                <w:ilvl w:val="0"/>
                <w:numId w:val="7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Risk altındaki toplulukların tespiti ve korunması için balık tüketim rehberleri gibi stratejilerin oluşturulması ve uygulanmasının teşviki</w:t>
            </w:r>
          </w:p>
          <w:p w:rsidR="001C7A6F" w:rsidRPr="003E1695" w:rsidRDefault="001C7A6F" w:rsidP="005C0204">
            <w:pPr>
              <w:numPr>
                <w:ilvl w:val="0"/>
                <w:numId w:val="7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Mesleki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maruziyet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eğitim ve önleme programlarının teşviki</w:t>
            </w:r>
          </w:p>
          <w:p w:rsidR="001C7A6F" w:rsidRPr="003E1695" w:rsidRDefault="001C7A6F" w:rsidP="005C0204">
            <w:pPr>
              <w:numPr>
                <w:ilvl w:val="0"/>
                <w:numId w:val="7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Etkilenmiş topluluklar için önleme, tedavi ve bakım hizmetlerinin teşviki</w:t>
            </w:r>
          </w:p>
          <w:p w:rsidR="005C0204" w:rsidRPr="003E1695" w:rsidRDefault="001C7A6F" w:rsidP="001C7A6F">
            <w:pPr>
              <w:numPr>
                <w:ilvl w:val="0"/>
                <w:numId w:val="7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Cıva </w:t>
            </w:r>
            <w:proofErr w:type="spellStart"/>
            <w:r w:rsidRPr="003E1695">
              <w:rPr>
                <w:rFonts w:ascii="Times New Roman" w:hAnsi="Times New Roman" w:cs="Times New Roman"/>
                <w:lang w:val="tr-TR"/>
              </w:rPr>
              <w:t>maruziyetinden</w:t>
            </w:r>
            <w:proofErr w:type="spellEnd"/>
            <w:r w:rsidRPr="003E1695">
              <w:rPr>
                <w:rFonts w:ascii="Times New Roman" w:hAnsi="Times New Roman" w:cs="Times New Roman"/>
                <w:lang w:val="tr-TR"/>
              </w:rPr>
              <w:t xml:space="preserve"> kaynaklanan sağlık riskleri için kurumsal ve profesyonel kapasitenin güçlendirilmesi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6F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 17:</w:t>
            </w:r>
          </w:p>
          <w:p w:rsidR="005C0204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Bilgi değişimi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1C7A6F" w:rsidP="001C7A6F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 17.5 ile uyumlu olarak, insan sağlığı ve güvenliği ile çevre konusundaki bilgilerin gizli sayılmayıp paylaşılması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6F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18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Halkın bilgilendirilmesi, farkındalık ve eğitim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1C7A6F" w:rsidP="001C7A6F">
            <w:pPr>
              <w:numPr>
                <w:ilvl w:val="0"/>
                <w:numId w:val="12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Yıllık cıva ve cıva bileşiklerinin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emisyon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>, salım ve bertaraf miktarlarının Madde 18’e göre toplanması ve duyurulması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6F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19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1C7A6F" w:rsidP="00E559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Araştırma, geliştirme ve izleme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1C7A6F" w:rsidP="00AC3BEA">
            <w:pPr>
              <w:numPr>
                <w:ilvl w:val="0"/>
                <w:numId w:val="11"/>
              </w:numPr>
              <w:spacing w:after="0" w:line="240" w:lineRule="auto"/>
              <w:ind w:left="38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Sözleşmenin etkin uygula</w:t>
            </w:r>
            <w:r w:rsidR="00AC3BEA" w:rsidRPr="003E1695">
              <w:rPr>
                <w:rFonts w:ascii="Times New Roman" w:hAnsi="Times New Roman" w:cs="Times New Roman"/>
                <w:lang w:val="tr-TR"/>
              </w:rPr>
              <w:t xml:space="preserve">nmasını destekleyecek alanlardaki </w:t>
            </w:r>
            <w:proofErr w:type="spellStart"/>
            <w:r w:rsidR="00AC3BEA" w:rsidRPr="003E1695">
              <w:rPr>
                <w:rFonts w:ascii="Times New Roman" w:hAnsi="Times New Roman" w:cs="Times New Roman"/>
                <w:lang w:val="tr-TR"/>
              </w:rPr>
              <w:t>araştımaların</w:t>
            </w:r>
            <w:proofErr w:type="spellEnd"/>
            <w:r w:rsidR="00AC3BEA" w:rsidRPr="003E1695">
              <w:rPr>
                <w:rFonts w:ascii="Times New Roman" w:hAnsi="Times New Roman" w:cs="Times New Roman"/>
                <w:lang w:val="tr-TR"/>
              </w:rPr>
              <w:t xml:space="preserve"> geliştirilmesi ve güçlendirilmesi için ülkeler arası işbirliği yapılması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BEA" w:rsidRPr="003E1695" w:rsidRDefault="00AC3BEA" w:rsidP="00E55910">
            <w:pPr>
              <w:spacing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21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AC3BEA" w:rsidP="00E55910">
            <w:pPr>
              <w:spacing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Raporlama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AC3BEA" w:rsidP="00AC3BEA">
            <w:pPr>
              <w:numPr>
                <w:ilvl w:val="0"/>
                <w:numId w:val="13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Taraflar Konferansına Madde 21’e göre Sözleşme hakkındaki gelişmelerin raporlanması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C0204" w:rsidRPr="003E1695" w:rsidTr="005C0204">
        <w:tc>
          <w:tcPr>
            <w:tcW w:w="1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0D19D9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18</w:t>
            </w:r>
            <w:bookmarkStart w:id="0" w:name="_GoBack"/>
            <w:bookmarkEnd w:id="0"/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BEA" w:rsidRPr="003E1695" w:rsidRDefault="00AC3BEA" w:rsidP="00E5591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Madde</w:t>
            </w:r>
            <w:r w:rsidR="005C0204" w:rsidRPr="003E1695">
              <w:rPr>
                <w:rFonts w:ascii="Times New Roman" w:hAnsi="Times New Roman" w:cs="Times New Roman"/>
                <w:lang w:val="tr-TR"/>
              </w:rPr>
              <w:t xml:space="preserve"> 25-30</w:t>
            </w:r>
            <w:r w:rsidRPr="003E1695">
              <w:rPr>
                <w:rFonts w:ascii="Times New Roman" w:hAnsi="Times New Roman" w:cs="Times New Roman"/>
                <w:lang w:val="tr-TR"/>
              </w:rPr>
              <w:t>:</w:t>
            </w:r>
          </w:p>
          <w:p w:rsidR="005C0204" w:rsidRPr="003E1695" w:rsidRDefault="00AC3BEA" w:rsidP="00E5591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Taraf ülkelerin katılımı ve idari konular</w:t>
            </w:r>
          </w:p>
        </w:tc>
        <w:tc>
          <w:tcPr>
            <w:tcW w:w="2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BEA" w:rsidRPr="003E1695" w:rsidRDefault="00AC3BEA" w:rsidP="005C0204">
            <w:pPr>
              <w:numPr>
                <w:ilvl w:val="0"/>
                <w:numId w:val="13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Oylama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dahil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Taraflar konferansına katılım (Taraf ülkeler için) </w:t>
            </w:r>
          </w:p>
          <w:p w:rsidR="00AC3BEA" w:rsidRPr="003E1695" w:rsidRDefault="00AC3BEA" w:rsidP="005C0204">
            <w:pPr>
              <w:numPr>
                <w:ilvl w:val="0"/>
                <w:numId w:val="13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 xml:space="preserve">Sözleşme’nin Madde 25’ine göre anlaşmazlıkların halli </w:t>
            </w:r>
            <w:proofErr w:type="gramStart"/>
            <w:r w:rsidRPr="003E1695">
              <w:rPr>
                <w:rFonts w:ascii="Times New Roman" w:hAnsi="Times New Roman" w:cs="Times New Roman"/>
                <w:lang w:val="tr-TR"/>
              </w:rPr>
              <w:t>proseslerine</w:t>
            </w:r>
            <w:proofErr w:type="gramEnd"/>
            <w:r w:rsidRPr="003E1695">
              <w:rPr>
                <w:rFonts w:ascii="Times New Roman" w:hAnsi="Times New Roman" w:cs="Times New Roman"/>
                <w:lang w:val="tr-TR"/>
              </w:rPr>
              <w:t xml:space="preserve"> katılım sağlanması</w:t>
            </w:r>
          </w:p>
          <w:p w:rsidR="005C0204" w:rsidRPr="003E1695" w:rsidRDefault="00AC3BEA" w:rsidP="00AC3BEA">
            <w:pPr>
              <w:numPr>
                <w:ilvl w:val="0"/>
                <w:numId w:val="13"/>
              </w:numPr>
              <w:spacing w:after="0" w:line="240" w:lineRule="auto"/>
              <w:ind w:left="353"/>
              <w:contextualSpacing/>
              <w:jc w:val="both"/>
              <w:rPr>
                <w:rFonts w:ascii="Times New Roman" w:hAnsi="Times New Roman" w:cs="Times New Roman"/>
                <w:lang w:val="tr-TR"/>
              </w:rPr>
            </w:pPr>
            <w:r w:rsidRPr="003E1695">
              <w:rPr>
                <w:rFonts w:ascii="Times New Roman" w:hAnsi="Times New Roman" w:cs="Times New Roman"/>
                <w:lang w:val="tr-TR"/>
              </w:rPr>
              <w:t>Gelecekteki Sözleşme Eklerinin değişiminin nasıl onaylanacağının belirlenmesi</w:t>
            </w: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04" w:rsidRPr="003E1695" w:rsidRDefault="005C0204" w:rsidP="00E5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5C0204" w:rsidRPr="003E1695" w:rsidRDefault="005C0204" w:rsidP="005C020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sectPr w:rsidR="005C0204" w:rsidRPr="003E1695" w:rsidSect="005C0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FD"/>
    <w:multiLevelType w:val="multilevel"/>
    <w:tmpl w:val="11AC5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B715B"/>
    <w:multiLevelType w:val="multilevel"/>
    <w:tmpl w:val="F8E27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A308B5"/>
    <w:multiLevelType w:val="multilevel"/>
    <w:tmpl w:val="5B36B9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A2B8C"/>
    <w:multiLevelType w:val="multilevel"/>
    <w:tmpl w:val="9D569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D119B1"/>
    <w:multiLevelType w:val="multilevel"/>
    <w:tmpl w:val="A39E9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9F43C0"/>
    <w:multiLevelType w:val="multilevel"/>
    <w:tmpl w:val="DD165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A05050"/>
    <w:multiLevelType w:val="multilevel"/>
    <w:tmpl w:val="99524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3E38FC"/>
    <w:multiLevelType w:val="multilevel"/>
    <w:tmpl w:val="9C388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4D6A78"/>
    <w:multiLevelType w:val="multilevel"/>
    <w:tmpl w:val="98161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C93220"/>
    <w:multiLevelType w:val="multilevel"/>
    <w:tmpl w:val="88C0D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0D5677"/>
    <w:multiLevelType w:val="hybridMultilevel"/>
    <w:tmpl w:val="6E16B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179A"/>
    <w:multiLevelType w:val="multilevel"/>
    <w:tmpl w:val="544EC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2A30E7"/>
    <w:multiLevelType w:val="multilevel"/>
    <w:tmpl w:val="97C6F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1854D2"/>
    <w:multiLevelType w:val="multilevel"/>
    <w:tmpl w:val="A5181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5913FD"/>
    <w:multiLevelType w:val="multilevel"/>
    <w:tmpl w:val="29B8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FB1614"/>
    <w:multiLevelType w:val="multilevel"/>
    <w:tmpl w:val="65F03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7E0NzU2tDAzNzVS0lEKTi0uzszPAykwrgUAyGzXkywAAAA="/>
  </w:docVars>
  <w:rsids>
    <w:rsidRoot w:val="0025268D"/>
    <w:rsid w:val="0004183B"/>
    <w:rsid w:val="000A28E0"/>
    <w:rsid w:val="000D19D9"/>
    <w:rsid w:val="001456B2"/>
    <w:rsid w:val="00175AB3"/>
    <w:rsid w:val="001B1993"/>
    <w:rsid w:val="001C7A6F"/>
    <w:rsid w:val="001E23C8"/>
    <w:rsid w:val="001F79A1"/>
    <w:rsid w:val="0025268D"/>
    <w:rsid w:val="003A501A"/>
    <w:rsid w:val="003E1695"/>
    <w:rsid w:val="00412CCF"/>
    <w:rsid w:val="005C0204"/>
    <w:rsid w:val="005C5208"/>
    <w:rsid w:val="005F6BCC"/>
    <w:rsid w:val="00604A99"/>
    <w:rsid w:val="0069427A"/>
    <w:rsid w:val="006C7123"/>
    <w:rsid w:val="006D01D3"/>
    <w:rsid w:val="00712711"/>
    <w:rsid w:val="00760F5A"/>
    <w:rsid w:val="007921E3"/>
    <w:rsid w:val="00797365"/>
    <w:rsid w:val="008814DB"/>
    <w:rsid w:val="00957411"/>
    <w:rsid w:val="00972CE5"/>
    <w:rsid w:val="00987B48"/>
    <w:rsid w:val="009B7E0F"/>
    <w:rsid w:val="009C3794"/>
    <w:rsid w:val="00AC3BEA"/>
    <w:rsid w:val="00C20DF1"/>
    <w:rsid w:val="00C72DDE"/>
    <w:rsid w:val="00CC1177"/>
    <w:rsid w:val="00CF2D08"/>
    <w:rsid w:val="00D66FEB"/>
    <w:rsid w:val="00DA3351"/>
    <w:rsid w:val="00DB761D"/>
    <w:rsid w:val="00DD200C"/>
    <w:rsid w:val="00E1383C"/>
    <w:rsid w:val="00E56E68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F633"/>
  <w15:docId w15:val="{66FFED60-1641-4AB0-AE1E-D1B14132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20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204"/>
    <w:rPr>
      <w:rFonts w:ascii="Segoe UI" w:eastAsia="Calibri" w:hAnsi="Segoe UI" w:cs="Segoe UI"/>
      <w:color w:val="000000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3E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y@c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E3D9-B484-4752-B00F-F1A30335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Osmanbasoglu</dc:creator>
  <cp:lastModifiedBy>Zeynep Kurç Leloğlu</cp:lastModifiedBy>
  <cp:revision>5</cp:revision>
  <dcterms:created xsi:type="dcterms:W3CDTF">2018-02-22T08:16:00Z</dcterms:created>
  <dcterms:modified xsi:type="dcterms:W3CDTF">2018-02-22T08:22:00Z</dcterms:modified>
</cp:coreProperties>
</file>