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9E" w:rsidRPr="006E3CE8" w:rsidRDefault="00225D25" w:rsidP="00CE2963">
      <w:pPr>
        <w:pStyle w:val="Balk2"/>
        <w:jc w:val="center"/>
        <w:rPr>
          <w:rFonts w:eastAsia="Times New Roman"/>
          <w:i/>
        </w:rPr>
      </w:pPr>
      <w:r>
        <w:rPr>
          <w:rFonts w:eastAsia="Times New Roman"/>
          <w:i/>
          <w:noProof/>
        </w:rPr>
        <w:pict>
          <v:rect id="_x0000_s1026" style="position:absolute;left:0;text-align:left;margin-left:379.9pt;margin-top:-32.6pt;width:114pt;height:63.75pt;z-index:251658240">
            <v:textbox>
              <w:txbxContent>
                <w:p w:rsidR="000C259F" w:rsidRPr="002353EB" w:rsidRDefault="003D0555">
                  <w:pPr>
                    <w:rPr>
                      <w:b/>
                    </w:rPr>
                  </w:pPr>
                  <w:r>
                    <w:rPr>
                      <w:b/>
                    </w:rPr>
                    <w:t>Bülten No:8</w:t>
                  </w:r>
                </w:p>
                <w:p w:rsidR="000C259F" w:rsidRPr="002353EB" w:rsidRDefault="003D0555">
                  <w:pPr>
                    <w:rPr>
                      <w:b/>
                    </w:rPr>
                  </w:pPr>
                  <w:r>
                    <w:rPr>
                      <w:b/>
                    </w:rPr>
                    <w:t>Tarih:28.02.2014</w:t>
                  </w:r>
                </w:p>
                <w:p w:rsidR="000C259F" w:rsidRPr="002353EB" w:rsidRDefault="000C259F">
                  <w:pPr>
                    <w:rPr>
                      <w:b/>
                    </w:rPr>
                  </w:pPr>
                  <w:r w:rsidRPr="002353EB">
                    <w:rPr>
                      <w:b/>
                    </w:rPr>
                    <w:t>Saat:</w:t>
                  </w:r>
                  <w:proofErr w:type="gramStart"/>
                  <w:r w:rsidRPr="002353EB">
                    <w:rPr>
                      <w:b/>
                    </w:rPr>
                    <w:t>18:00</w:t>
                  </w:r>
                  <w:proofErr w:type="gramEnd"/>
                </w:p>
              </w:txbxContent>
            </v:textbox>
          </v:rect>
        </w:pict>
      </w:r>
      <w:r w:rsidR="00C6539E" w:rsidRPr="006E3CE8">
        <w:rPr>
          <w:rFonts w:eastAsia="Times New Roman"/>
          <w:i/>
        </w:rPr>
        <w:t>AMBALAJ BÜLTENİ</w:t>
      </w:r>
    </w:p>
    <w:p w:rsidR="006E3CE8" w:rsidRDefault="006E3CE8" w:rsidP="00CE2963">
      <w:pPr>
        <w:pStyle w:val="Balk2"/>
        <w:jc w:val="center"/>
        <w:rPr>
          <w:rFonts w:eastAsia="Times New Roman"/>
          <w:i/>
          <w:sz w:val="24"/>
          <w:szCs w:val="24"/>
        </w:rPr>
      </w:pPr>
      <w:r w:rsidRPr="006E3CE8">
        <w:rPr>
          <w:rFonts w:eastAsia="Times New Roman"/>
          <w:i/>
          <w:sz w:val="24"/>
          <w:szCs w:val="24"/>
        </w:rPr>
        <w:t>AMBALAJ VE AMBALAJ</w:t>
      </w:r>
      <w:r w:rsidR="00071469">
        <w:rPr>
          <w:rFonts w:eastAsia="Times New Roman"/>
          <w:i/>
          <w:sz w:val="24"/>
          <w:szCs w:val="24"/>
        </w:rPr>
        <w:t xml:space="preserve"> </w:t>
      </w:r>
      <w:r w:rsidR="0042505C">
        <w:rPr>
          <w:rFonts w:eastAsia="Times New Roman"/>
          <w:i/>
          <w:sz w:val="24"/>
          <w:szCs w:val="24"/>
        </w:rPr>
        <w:t xml:space="preserve">ATIKLARI </w:t>
      </w:r>
      <w:r w:rsidR="0042505C" w:rsidRPr="006E3CE8">
        <w:rPr>
          <w:rFonts w:eastAsia="Times New Roman"/>
          <w:i/>
          <w:sz w:val="24"/>
          <w:szCs w:val="24"/>
        </w:rPr>
        <w:t>İSTATİSTİKLERİ</w:t>
      </w:r>
      <w:r w:rsidR="003D0555">
        <w:rPr>
          <w:rFonts w:eastAsia="Times New Roman"/>
          <w:i/>
          <w:sz w:val="24"/>
          <w:szCs w:val="24"/>
        </w:rPr>
        <w:t xml:space="preserve"> (2011</w:t>
      </w:r>
      <w:r>
        <w:rPr>
          <w:rFonts w:eastAsia="Times New Roman"/>
          <w:i/>
          <w:sz w:val="24"/>
          <w:szCs w:val="24"/>
        </w:rPr>
        <w:t>)</w:t>
      </w:r>
    </w:p>
    <w:p w:rsidR="00C6539E" w:rsidRDefault="008B4BF9" w:rsidP="006E3CE8">
      <w:pPr>
        <w:pStyle w:val="Balk2"/>
        <w:jc w:val="both"/>
        <w:rPr>
          <w:b w:val="0"/>
          <w:sz w:val="24"/>
          <w:szCs w:val="24"/>
        </w:rPr>
      </w:pPr>
      <w:r>
        <w:rPr>
          <w:b w:val="0"/>
          <w:sz w:val="24"/>
          <w:szCs w:val="24"/>
        </w:rPr>
        <w:t>Ambalaj Atıkların Kontrolü Yönetmeliği kapsamında</w:t>
      </w:r>
      <w:r w:rsidR="008673AD">
        <w:rPr>
          <w:b w:val="0"/>
          <w:sz w:val="24"/>
          <w:szCs w:val="24"/>
        </w:rPr>
        <w:t xml:space="preserve"> </w:t>
      </w:r>
      <w:r w:rsidR="00BD183B">
        <w:rPr>
          <w:b w:val="0"/>
          <w:sz w:val="24"/>
          <w:szCs w:val="24"/>
        </w:rPr>
        <w:t>a</w:t>
      </w:r>
      <w:r w:rsidR="006E3CE8" w:rsidRPr="005E2A97">
        <w:rPr>
          <w:b w:val="0"/>
          <w:sz w:val="24"/>
          <w:szCs w:val="24"/>
        </w:rPr>
        <w:t xml:space="preserve">mbalaj ve ambalaj atıklarına ilişkin </w:t>
      </w:r>
      <w:proofErr w:type="gramStart"/>
      <w:r w:rsidR="006E3CE8" w:rsidRPr="005E2A97">
        <w:rPr>
          <w:b w:val="0"/>
          <w:sz w:val="24"/>
          <w:szCs w:val="24"/>
        </w:rPr>
        <w:t>envanterin</w:t>
      </w:r>
      <w:proofErr w:type="gramEnd"/>
      <w:r w:rsidR="006E3CE8" w:rsidRPr="005E2A97">
        <w:rPr>
          <w:b w:val="0"/>
          <w:sz w:val="24"/>
          <w:szCs w:val="24"/>
        </w:rPr>
        <w:t xml:space="preserve"> oluşturulması amacıyla Bakanlığımız</w:t>
      </w:r>
      <w:r w:rsidR="006E3CE8" w:rsidRPr="006E3CE8">
        <w:rPr>
          <w:b w:val="0"/>
          <w:sz w:val="24"/>
          <w:szCs w:val="24"/>
        </w:rPr>
        <w:t xml:space="preserve"> tarafından </w:t>
      </w:r>
      <w:r w:rsidR="006E3CE8" w:rsidRPr="006E3CE8">
        <w:rPr>
          <w:b w:val="0"/>
          <w:bCs w:val="0"/>
          <w:sz w:val="24"/>
          <w:szCs w:val="24"/>
        </w:rPr>
        <w:t>“</w:t>
      </w:r>
      <w:r w:rsidR="006E3CE8" w:rsidRPr="005E2A97">
        <w:rPr>
          <w:bCs w:val="0"/>
          <w:sz w:val="24"/>
          <w:szCs w:val="24"/>
        </w:rPr>
        <w:t xml:space="preserve">Ambalaj </w:t>
      </w:r>
      <w:r w:rsidR="005E2A97">
        <w:rPr>
          <w:bCs w:val="0"/>
          <w:sz w:val="24"/>
          <w:szCs w:val="24"/>
        </w:rPr>
        <w:t xml:space="preserve">Elektronik </w:t>
      </w:r>
      <w:r w:rsidR="006E3CE8" w:rsidRPr="005E2A97">
        <w:rPr>
          <w:bCs w:val="0"/>
          <w:sz w:val="24"/>
          <w:szCs w:val="24"/>
        </w:rPr>
        <w:t>Yazılım</w:t>
      </w:r>
      <w:r w:rsidR="005E2A97">
        <w:rPr>
          <w:bCs w:val="0"/>
          <w:sz w:val="24"/>
          <w:szCs w:val="24"/>
        </w:rPr>
        <w:t xml:space="preserve"> Programı</w:t>
      </w:r>
      <w:r w:rsidR="006E3CE8" w:rsidRPr="006E3CE8">
        <w:rPr>
          <w:b w:val="0"/>
          <w:bCs w:val="0"/>
          <w:sz w:val="24"/>
          <w:szCs w:val="24"/>
        </w:rPr>
        <w:t xml:space="preserve">” </w:t>
      </w:r>
      <w:r w:rsidR="006E3CE8" w:rsidRPr="006E3CE8">
        <w:rPr>
          <w:b w:val="0"/>
          <w:sz w:val="24"/>
          <w:szCs w:val="24"/>
        </w:rPr>
        <w:t xml:space="preserve">oluşturulmuştur. </w:t>
      </w:r>
      <w:r w:rsidR="005E2A97">
        <w:rPr>
          <w:b w:val="0"/>
          <w:sz w:val="24"/>
          <w:szCs w:val="24"/>
        </w:rPr>
        <w:t>Programın</w:t>
      </w:r>
      <w:r w:rsidR="006E3CE8" w:rsidRPr="006E3CE8">
        <w:rPr>
          <w:b w:val="0"/>
          <w:sz w:val="24"/>
          <w:szCs w:val="24"/>
        </w:rPr>
        <w:t xml:space="preserve"> kullanıcıları; ambalaj üreticileri, piyasaya sürenler (bir ürünü paketleyen, ambalajın üzerinde adını ve/veya ticari markasını kullanan gerçek veya tüzel kişi), lisanslı işletmeler (</w:t>
      </w:r>
      <w:r w:rsidR="006E3CE8">
        <w:rPr>
          <w:b w:val="0"/>
          <w:sz w:val="24"/>
          <w:szCs w:val="24"/>
        </w:rPr>
        <w:t xml:space="preserve">toplama </w:t>
      </w:r>
      <w:r w:rsidR="006E3CE8" w:rsidRPr="006E3CE8">
        <w:rPr>
          <w:b w:val="0"/>
          <w:sz w:val="24"/>
          <w:szCs w:val="24"/>
        </w:rPr>
        <w:t>ayırma ve geri dönüşüm tesisleri), Bakanlık</w:t>
      </w:r>
      <w:r w:rsidR="004D5BF4">
        <w:rPr>
          <w:b w:val="0"/>
          <w:sz w:val="24"/>
          <w:szCs w:val="24"/>
        </w:rPr>
        <w:t>,</w:t>
      </w:r>
      <w:r w:rsidR="006E3CE8" w:rsidRPr="006E3CE8">
        <w:rPr>
          <w:b w:val="0"/>
          <w:sz w:val="24"/>
          <w:szCs w:val="24"/>
        </w:rPr>
        <w:t xml:space="preserve"> Çevre ve </w:t>
      </w:r>
      <w:r w:rsidR="006E3CE8">
        <w:rPr>
          <w:b w:val="0"/>
          <w:sz w:val="24"/>
          <w:szCs w:val="24"/>
        </w:rPr>
        <w:t>Şehircilik İl</w:t>
      </w:r>
      <w:r w:rsidR="006E3CE8" w:rsidRPr="006E3CE8">
        <w:rPr>
          <w:b w:val="0"/>
          <w:sz w:val="24"/>
          <w:szCs w:val="24"/>
        </w:rPr>
        <w:t xml:space="preserve"> Müdürlükleri</w:t>
      </w:r>
      <w:r w:rsidR="004D5BF4">
        <w:rPr>
          <w:b w:val="0"/>
          <w:sz w:val="24"/>
          <w:szCs w:val="24"/>
        </w:rPr>
        <w:t xml:space="preserve"> ve yetkilendirilmiş kuruluşla</w:t>
      </w:r>
      <w:r w:rsidR="0058495E">
        <w:rPr>
          <w:b w:val="0"/>
          <w:sz w:val="24"/>
          <w:szCs w:val="24"/>
        </w:rPr>
        <w:t>rdır.</w:t>
      </w:r>
      <w:r w:rsidR="006E3CE8" w:rsidRPr="006E3CE8">
        <w:rPr>
          <w:b w:val="0"/>
          <w:sz w:val="24"/>
          <w:szCs w:val="24"/>
        </w:rPr>
        <w:t xml:space="preserve"> Bakanlığımıza ait yaz</w:t>
      </w:r>
      <w:r w:rsidR="006E3CE8">
        <w:rPr>
          <w:b w:val="0"/>
          <w:sz w:val="24"/>
          <w:szCs w:val="24"/>
        </w:rPr>
        <w:t>ı</w:t>
      </w:r>
      <w:r w:rsidR="006E3CE8" w:rsidRPr="006E3CE8">
        <w:rPr>
          <w:b w:val="0"/>
          <w:sz w:val="24"/>
          <w:szCs w:val="24"/>
        </w:rPr>
        <w:t xml:space="preserve">lımda kayıt altına </w:t>
      </w:r>
      <w:r w:rsidR="006E3CE8" w:rsidRPr="00BC4615">
        <w:rPr>
          <w:b w:val="0"/>
          <w:sz w:val="24"/>
          <w:szCs w:val="24"/>
        </w:rPr>
        <w:t xml:space="preserve">alınan </w:t>
      </w:r>
      <w:r w:rsidR="006E3CE8" w:rsidRPr="00BC4615">
        <w:rPr>
          <w:b w:val="0"/>
          <w:bCs w:val="0"/>
          <w:iCs/>
          <w:sz w:val="24"/>
          <w:szCs w:val="24"/>
        </w:rPr>
        <w:t xml:space="preserve">ambalaj üreticisi </w:t>
      </w:r>
      <w:r w:rsidR="006E3CE8" w:rsidRPr="00BC4615">
        <w:rPr>
          <w:b w:val="0"/>
          <w:bCs w:val="0"/>
          <w:sz w:val="24"/>
          <w:szCs w:val="24"/>
        </w:rPr>
        <w:t xml:space="preserve">ve </w:t>
      </w:r>
      <w:r w:rsidR="006E3CE8" w:rsidRPr="00BC4615">
        <w:rPr>
          <w:b w:val="0"/>
          <w:bCs w:val="0"/>
          <w:iCs/>
          <w:sz w:val="24"/>
          <w:szCs w:val="24"/>
        </w:rPr>
        <w:t>piyasaya süren işletme</w:t>
      </w:r>
      <w:r w:rsidR="00BC4615" w:rsidRPr="00BC4615">
        <w:rPr>
          <w:b w:val="0"/>
          <w:bCs w:val="0"/>
          <w:iCs/>
          <w:sz w:val="24"/>
          <w:szCs w:val="24"/>
        </w:rPr>
        <w:t xml:space="preserve"> olarak tanımlanan</w:t>
      </w:r>
      <w:r w:rsidR="00BC4615">
        <w:rPr>
          <w:b w:val="0"/>
          <w:bCs w:val="0"/>
          <w:i/>
          <w:iCs/>
          <w:sz w:val="24"/>
          <w:szCs w:val="24"/>
        </w:rPr>
        <w:t xml:space="preserve"> </w:t>
      </w:r>
      <w:r w:rsidR="00BC4615" w:rsidRPr="00BC4615">
        <w:rPr>
          <w:bCs w:val="0"/>
          <w:i/>
          <w:iCs/>
          <w:sz w:val="24"/>
          <w:szCs w:val="24"/>
        </w:rPr>
        <w:t>ekonomik işletme</w:t>
      </w:r>
      <w:r w:rsidR="006E3CE8" w:rsidRPr="006E3CE8">
        <w:rPr>
          <w:b w:val="0"/>
          <w:bCs w:val="0"/>
          <w:i/>
          <w:iCs/>
          <w:sz w:val="24"/>
          <w:szCs w:val="24"/>
        </w:rPr>
        <w:t xml:space="preserve"> </w:t>
      </w:r>
      <w:r w:rsidR="006E3CE8" w:rsidRPr="006E3CE8">
        <w:rPr>
          <w:b w:val="0"/>
          <w:sz w:val="24"/>
          <w:szCs w:val="24"/>
        </w:rPr>
        <w:t>sayı</w:t>
      </w:r>
      <w:r w:rsidR="00BC4615">
        <w:rPr>
          <w:b w:val="0"/>
          <w:sz w:val="24"/>
          <w:szCs w:val="24"/>
        </w:rPr>
        <w:t>ları</w:t>
      </w:r>
      <w:r w:rsidR="006E3CE8" w:rsidRPr="006E3CE8">
        <w:rPr>
          <w:b w:val="0"/>
          <w:sz w:val="24"/>
          <w:szCs w:val="24"/>
        </w:rPr>
        <w:t xml:space="preserve"> </w:t>
      </w:r>
      <w:r w:rsidR="006E3CE8">
        <w:rPr>
          <w:b w:val="0"/>
          <w:sz w:val="24"/>
          <w:szCs w:val="24"/>
        </w:rPr>
        <w:t xml:space="preserve">yıllar itibariyle </w:t>
      </w:r>
      <w:r w:rsidR="005E2A97">
        <w:rPr>
          <w:b w:val="0"/>
          <w:sz w:val="24"/>
          <w:szCs w:val="24"/>
        </w:rPr>
        <w:t>Grafik-</w:t>
      </w:r>
      <w:r w:rsidR="006E3CE8">
        <w:rPr>
          <w:b w:val="0"/>
          <w:sz w:val="24"/>
          <w:szCs w:val="24"/>
        </w:rPr>
        <w:t>1</w:t>
      </w:r>
      <w:r w:rsidR="00BC4615">
        <w:rPr>
          <w:b w:val="0"/>
          <w:sz w:val="24"/>
          <w:szCs w:val="24"/>
        </w:rPr>
        <w:t>’de</w:t>
      </w:r>
      <w:r w:rsidR="006E3CE8">
        <w:rPr>
          <w:b w:val="0"/>
          <w:sz w:val="24"/>
          <w:szCs w:val="24"/>
        </w:rPr>
        <w:t xml:space="preserve"> yer almaktadır. </w:t>
      </w:r>
    </w:p>
    <w:p w:rsidR="00167592" w:rsidRDefault="000044DE" w:rsidP="006E3CE8">
      <w:pPr>
        <w:pStyle w:val="Balk2"/>
        <w:jc w:val="both"/>
        <w:rPr>
          <w:b w:val="0"/>
          <w:sz w:val="24"/>
          <w:szCs w:val="24"/>
        </w:rPr>
      </w:pPr>
      <w:r w:rsidRPr="000044DE">
        <w:rPr>
          <w:b w:val="0"/>
          <w:noProof/>
          <w:sz w:val="24"/>
          <w:szCs w:val="24"/>
        </w:rPr>
        <w:drawing>
          <wp:inline distT="0" distB="0" distL="0" distR="0" wp14:anchorId="0D00AFE3" wp14:editId="6E685E92">
            <wp:extent cx="5076825" cy="25146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3CE8" w:rsidRPr="0034139D" w:rsidRDefault="005E2A97" w:rsidP="006E3CE8">
      <w:pPr>
        <w:pStyle w:val="Balk2"/>
        <w:jc w:val="both"/>
        <w:rPr>
          <w:rFonts w:eastAsia="Times New Roman"/>
          <w:sz w:val="20"/>
          <w:szCs w:val="20"/>
        </w:rPr>
      </w:pPr>
      <w:r w:rsidRPr="0034139D">
        <w:rPr>
          <w:rFonts w:eastAsia="Times New Roman"/>
          <w:sz w:val="20"/>
          <w:szCs w:val="20"/>
        </w:rPr>
        <w:t>Grafik-1</w:t>
      </w:r>
      <w:r w:rsidR="00BC4615" w:rsidRPr="0034139D">
        <w:rPr>
          <w:rFonts w:eastAsia="Times New Roman"/>
          <w:sz w:val="20"/>
          <w:szCs w:val="20"/>
        </w:rPr>
        <w:t xml:space="preserve"> Ekonomik işletme sayıları</w:t>
      </w:r>
    </w:p>
    <w:p w:rsidR="005904EB" w:rsidRDefault="005E2A97" w:rsidP="00BC4615">
      <w:pPr>
        <w:pStyle w:val="Default"/>
        <w:jc w:val="both"/>
        <w:rPr>
          <w:rFonts w:ascii="Times New Roman" w:hAnsi="Times New Roman" w:cs="Times New Roman"/>
        </w:rPr>
      </w:pPr>
      <w:r w:rsidRPr="00BC4615">
        <w:rPr>
          <w:rFonts w:ascii="Times New Roman" w:hAnsi="Times New Roman" w:cs="Times New Roman"/>
          <w:bCs/>
        </w:rPr>
        <w:t>Ambalaj Elektronik Yazılım Programı</w:t>
      </w:r>
      <w:r w:rsidRPr="00BC4615">
        <w:rPr>
          <w:rFonts w:ascii="Times New Roman" w:hAnsi="Times New Roman" w:cs="Times New Roman"/>
        </w:rPr>
        <w:t xml:space="preserve">na veri girişi yapan kullanıcılardan alınan </w:t>
      </w:r>
      <w:r w:rsidRPr="00BC4615">
        <w:rPr>
          <w:rFonts w:ascii="Times New Roman" w:hAnsi="Times New Roman" w:cs="Times New Roman"/>
          <w:b/>
          <w:i/>
        </w:rPr>
        <w:t>ambalaj üretimi, piyasaya sürülen ürünlerde kullanılan ambalaj miktarları ve geri kazanımı sağlanan ambalaj atığı miktarları ve geri kazanım oranlarına</w:t>
      </w:r>
      <w:r w:rsidRPr="00BC4615">
        <w:rPr>
          <w:rFonts w:ascii="Times New Roman" w:hAnsi="Times New Roman" w:cs="Times New Roman"/>
        </w:rPr>
        <w:t xml:space="preserve"> ilişkin sonuçlar Tablo-1 de verilmektedir.</w:t>
      </w:r>
    </w:p>
    <w:p w:rsidR="004D550B" w:rsidRDefault="004D550B" w:rsidP="00BC4615">
      <w:pPr>
        <w:pStyle w:val="Default"/>
        <w:jc w:val="both"/>
        <w:rPr>
          <w:rFonts w:ascii="Times New Roman" w:hAnsi="Times New Roman" w:cs="Times New Roman"/>
        </w:rPr>
      </w:pPr>
    </w:p>
    <w:tbl>
      <w:tblPr>
        <w:tblStyle w:val="OrtaKlavuz3-Vurgu5"/>
        <w:tblW w:w="0" w:type="auto"/>
        <w:tblLayout w:type="fixed"/>
        <w:tblLook w:val="04A0" w:firstRow="1" w:lastRow="0" w:firstColumn="1" w:lastColumn="0" w:noHBand="0" w:noVBand="1"/>
      </w:tblPr>
      <w:tblGrid>
        <w:gridCol w:w="1314"/>
        <w:gridCol w:w="1353"/>
        <w:gridCol w:w="1694"/>
        <w:gridCol w:w="1701"/>
        <w:gridCol w:w="1701"/>
        <w:gridCol w:w="1417"/>
      </w:tblGrid>
      <w:tr w:rsidR="004D550B" w:rsidTr="00251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Atık Kodu</w:t>
            </w:r>
          </w:p>
        </w:tc>
        <w:tc>
          <w:tcPr>
            <w:tcW w:w="1353" w:type="dxa"/>
          </w:tcPr>
          <w:p w:rsidR="004D550B" w:rsidRPr="001D1016" w:rsidRDefault="004D550B" w:rsidP="008761E4">
            <w:pPr>
              <w:cnfStyle w:val="100000000000" w:firstRow="1" w:lastRow="0" w:firstColumn="0" w:lastColumn="0" w:oddVBand="0" w:evenVBand="0" w:oddHBand="0" w:evenHBand="0" w:firstRowFirstColumn="0" w:firstRowLastColumn="0" w:lastRowFirstColumn="0" w:lastRowLastColumn="0"/>
            </w:pPr>
            <w:r w:rsidRPr="001D1016">
              <w:t>Ambalaj Cinsi</w:t>
            </w:r>
          </w:p>
        </w:tc>
        <w:tc>
          <w:tcPr>
            <w:tcW w:w="1694" w:type="dxa"/>
          </w:tcPr>
          <w:p w:rsidR="004D550B" w:rsidRPr="00303950" w:rsidRDefault="004D550B" w:rsidP="00710D5D">
            <w:pPr>
              <w:cnfStyle w:val="100000000000" w:firstRow="1" w:lastRow="0" w:firstColumn="0" w:lastColumn="0" w:oddVBand="0" w:evenVBand="0" w:oddHBand="0" w:evenHBand="0" w:firstRowFirstColumn="0" w:firstRowLastColumn="0" w:lastRowFirstColumn="0" w:lastRowLastColumn="0"/>
            </w:pPr>
            <w:r w:rsidRPr="00303950">
              <w:t>Üretilen Ambalaj Miktarı (</w:t>
            </w:r>
            <w:r w:rsidR="00710D5D">
              <w:t>ton</w:t>
            </w:r>
            <w:r w:rsidRPr="00303950">
              <w:t>)</w:t>
            </w:r>
          </w:p>
        </w:tc>
        <w:tc>
          <w:tcPr>
            <w:tcW w:w="1701" w:type="dxa"/>
          </w:tcPr>
          <w:p w:rsidR="004D550B" w:rsidRDefault="004D550B" w:rsidP="00B13945">
            <w:pPr>
              <w:cnfStyle w:val="100000000000" w:firstRow="1" w:lastRow="0" w:firstColumn="0" w:lastColumn="0" w:oddVBand="0" w:evenVBand="0" w:oddHBand="0" w:evenHBand="0" w:firstRowFirstColumn="0" w:firstRowLastColumn="0" w:lastRowFirstColumn="0" w:lastRowLastColumn="0"/>
            </w:pPr>
            <w:r w:rsidRPr="00303950">
              <w:t>Piyas</w:t>
            </w:r>
            <w:r w:rsidR="00710D5D">
              <w:t>aya Sürülen Ambalaj Miktarı (ton</w:t>
            </w:r>
            <w:r w:rsidRPr="00303950">
              <w:t>)</w:t>
            </w:r>
          </w:p>
        </w:tc>
        <w:tc>
          <w:tcPr>
            <w:tcW w:w="1701" w:type="dxa"/>
          </w:tcPr>
          <w:p w:rsidR="004D550B" w:rsidRPr="0096748D" w:rsidRDefault="00710D5D" w:rsidP="00455594">
            <w:pPr>
              <w:cnfStyle w:val="100000000000" w:firstRow="1" w:lastRow="0" w:firstColumn="0" w:lastColumn="0" w:oddVBand="0" w:evenVBand="0" w:oddHBand="0" w:evenHBand="0" w:firstRowFirstColumn="0" w:firstRowLastColumn="0" w:lastRowFirstColumn="0" w:lastRowLastColumn="0"/>
            </w:pPr>
            <w:r>
              <w:t>Geri Kazanılan Miktar (ton</w:t>
            </w:r>
            <w:r w:rsidR="004D550B" w:rsidRPr="0096748D">
              <w:t>)</w:t>
            </w:r>
          </w:p>
        </w:tc>
        <w:tc>
          <w:tcPr>
            <w:tcW w:w="1417" w:type="dxa"/>
          </w:tcPr>
          <w:p w:rsidR="004D550B" w:rsidRDefault="004D550B" w:rsidP="00455594">
            <w:pPr>
              <w:cnfStyle w:val="100000000000" w:firstRow="1" w:lastRow="0" w:firstColumn="0" w:lastColumn="0" w:oddVBand="0" w:evenVBand="0" w:oddHBand="0" w:evenHBand="0" w:firstRowFirstColumn="0" w:firstRowLastColumn="0" w:lastRowFirstColumn="0" w:lastRowLastColumn="0"/>
            </w:pPr>
            <w:r w:rsidRPr="0096748D">
              <w:t>Gerçekleşen Geri Kazanım Oranı (%)</w:t>
            </w:r>
          </w:p>
        </w:tc>
      </w:tr>
      <w:tr w:rsidR="004D550B" w:rsidTr="002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15.01.02</w:t>
            </w:r>
          </w:p>
        </w:tc>
        <w:tc>
          <w:tcPr>
            <w:tcW w:w="1353" w:type="dxa"/>
          </w:tcPr>
          <w:p w:rsidR="004D550B" w:rsidRPr="001D1016" w:rsidRDefault="004D550B" w:rsidP="008761E4">
            <w:pPr>
              <w:cnfStyle w:val="000000100000" w:firstRow="0" w:lastRow="0" w:firstColumn="0" w:lastColumn="0" w:oddVBand="0" w:evenVBand="0" w:oddHBand="1" w:evenHBand="0" w:firstRowFirstColumn="0" w:firstRowLastColumn="0" w:lastRowFirstColumn="0" w:lastRowLastColumn="0"/>
            </w:pPr>
            <w:r w:rsidRPr="001D1016">
              <w:t>PLASTİK</w:t>
            </w:r>
          </w:p>
        </w:tc>
        <w:tc>
          <w:tcPr>
            <w:tcW w:w="1694" w:type="dxa"/>
          </w:tcPr>
          <w:p w:rsidR="004D550B" w:rsidRDefault="008E70B8"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1.223.783</w:t>
            </w:r>
          </w:p>
        </w:tc>
        <w:tc>
          <w:tcPr>
            <w:tcW w:w="1701" w:type="dxa"/>
          </w:tcPr>
          <w:p w:rsidR="004D550B" w:rsidRDefault="00251559"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706.082</w:t>
            </w:r>
          </w:p>
        </w:tc>
        <w:tc>
          <w:tcPr>
            <w:tcW w:w="1701" w:type="dxa"/>
          </w:tcPr>
          <w:p w:rsidR="004D550B" w:rsidRDefault="008C4140"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307.549</w:t>
            </w:r>
          </w:p>
        </w:tc>
        <w:tc>
          <w:tcPr>
            <w:tcW w:w="1417" w:type="dxa"/>
          </w:tcPr>
          <w:p w:rsidR="004D550B" w:rsidRDefault="00C94607" w:rsidP="00BC4615">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p>
        </w:tc>
      </w:tr>
      <w:tr w:rsidR="004D550B" w:rsidTr="00251559">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15.01.04</w:t>
            </w:r>
          </w:p>
        </w:tc>
        <w:tc>
          <w:tcPr>
            <w:tcW w:w="1353" w:type="dxa"/>
          </w:tcPr>
          <w:p w:rsidR="004D550B" w:rsidRPr="001D1016" w:rsidRDefault="004D550B" w:rsidP="008761E4">
            <w:pPr>
              <w:cnfStyle w:val="000000000000" w:firstRow="0" w:lastRow="0" w:firstColumn="0" w:lastColumn="0" w:oddVBand="0" w:evenVBand="0" w:oddHBand="0" w:evenHBand="0" w:firstRowFirstColumn="0" w:firstRowLastColumn="0" w:lastRowFirstColumn="0" w:lastRowLastColumn="0"/>
            </w:pPr>
            <w:r w:rsidRPr="001D1016">
              <w:t>METAL</w:t>
            </w:r>
          </w:p>
        </w:tc>
        <w:tc>
          <w:tcPr>
            <w:tcW w:w="1694" w:type="dxa"/>
          </w:tcPr>
          <w:p w:rsidR="004D550B" w:rsidRDefault="008C4140"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246.861</w:t>
            </w:r>
          </w:p>
        </w:tc>
        <w:tc>
          <w:tcPr>
            <w:tcW w:w="1701" w:type="dxa"/>
          </w:tcPr>
          <w:p w:rsidR="004D550B" w:rsidRDefault="00251559"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137.764</w:t>
            </w:r>
          </w:p>
        </w:tc>
        <w:tc>
          <w:tcPr>
            <w:tcW w:w="1701" w:type="dxa"/>
          </w:tcPr>
          <w:p w:rsidR="004D550B" w:rsidRDefault="008C4140"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74.669</w:t>
            </w:r>
          </w:p>
        </w:tc>
        <w:tc>
          <w:tcPr>
            <w:tcW w:w="1417" w:type="dxa"/>
          </w:tcPr>
          <w:p w:rsidR="004D550B" w:rsidRDefault="00C94607" w:rsidP="00BC461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w:t>
            </w:r>
          </w:p>
        </w:tc>
      </w:tr>
      <w:tr w:rsidR="004D550B" w:rsidTr="002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15.01.05</w:t>
            </w:r>
          </w:p>
        </w:tc>
        <w:tc>
          <w:tcPr>
            <w:tcW w:w="1353" w:type="dxa"/>
          </w:tcPr>
          <w:p w:rsidR="004D550B" w:rsidRPr="001D1016" w:rsidRDefault="004D550B" w:rsidP="008761E4">
            <w:pPr>
              <w:cnfStyle w:val="000000100000" w:firstRow="0" w:lastRow="0" w:firstColumn="0" w:lastColumn="0" w:oddVBand="0" w:evenVBand="0" w:oddHBand="1" w:evenHBand="0" w:firstRowFirstColumn="0" w:firstRowLastColumn="0" w:lastRowFirstColumn="0" w:lastRowLastColumn="0"/>
            </w:pPr>
            <w:r w:rsidRPr="001D1016">
              <w:t>KOMPOZİT</w:t>
            </w:r>
          </w:p>
        </w:tc>
        <w:tc>
          <w:tcPr>
            <w:tcW w:w="1694" w:type="dxa"/>
          </w:tcPr>
          <w:p w:rsidR="004D550B" w:rsidRDefault="008E70B8"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91.001</w:t>
            </w:r>
          </w:p>
        </w:tc>
        <w:tc>
          <w:tcPr>
            <w:tcW w:w="1701" w:type="dxa"/>
          </w:tcPr>
          <w:p w:rsidR="004D550B" w:rsidRDefault="00251559"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68.756</w:t>
            </w:r>
          </w:p>
        </w:tc>
        <w:tc>
          <w:tcPr>
            <w:tcW w:w="1701" w:type="dxa"/>
          </w:tcPr>
          <w:p w:rsidR="004D550B" w:rsidRDefault="008C4140"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70.715</w:t>
            </w:r>
          </w:p>
        </w:tc>
        <w:tc>
          <w:tcPr>
            <w:tcW w:w="1417" w:type="dxa"/>
          </w:tcPr>
          <w:p w:rsidR="004D550B" w:rsidRDefault="00C94607" w:rsidP="00BC4615">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w:t>
            </w:r>
          </w:p>
        </w:tc>
      </w:tr>
      <w:tr w:rsidR="004D550B" w:rsidTr="00251559">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15.01.01</w:t>
            </w:r>
          </w:p>
        </w:tc>
        <w:tc>
          <w:tcPr>
            <w:tcW w:w="1353" w:type="dxa"/>
          </w:tcPr>
          <w:p w:rsidR="004D550B" w:rsidRPr="001D1016" w:rsidRDefault="004D550B" w:rsidP="008761E4">
            <w:pPr>
              <w:cnfStyle w:val="000000000000" w:firstRow="0" w:lastRow="0" w:firstColumn="0" w:lastColumn="0" w:oddVBand="0" w:evenVBand="0" w:oddHBand="0" w:evenHBand="0" w:firstRowFirstColumn="0" w:firstRowLastColumn="0" w:lastRowFirstColumn="0" w:lastRowLastColumn="0"/>
            </w:pPr>
            <w:proofErr w:type="gramStart"/>
            <w:r w:rsidRPr="001D1016">
              <w:t>KAĞIT</w:t>
            </w:r>
            <w:proofErr w:type="gramEnd"/>
            <w:r w:rsidRPr="001D1016">
              <w:t xml:space="preserve"> KARTON</w:t>
            </w:r>
          </w:p>
        </w:tc>
        <w:tc>
          <w:tcPr>
            <w:tcW w:w="1694" w:type="dxa"/>
          </w:tcPr>
          <w:p w:rsidR="004D550B" w:rsidRDefault="006E0B94"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2.389.201</w:t>
            </w:r>
          </w:p>
        </w:tc>
        <w:tc>
          <w:tcPr>
            <w:tcW w:w="1701" w:type="dxa"/>
          </w:tcPr>
          <w:p w:rsidR="004D550B" w:rsidRDefault="00251559"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996.076</w:t>
            </w:r>
          </w:p>
        </w:tc>
        <w:tc>
          <w:tcPr>
            <w:tcW w:w="1701" w:type="dxa"/>
          </w:tcPr>
          <w:p w:rsidR="004D550B" w:rsidRDefault="008C4140"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1.573.511</w:t>
            </w:r>
          </w:p>
        </w:tc>
        <w:tc>
          <w:tcPr>
            <w:tcW w:w="1417" w:type="dxa"/>
          </w:tcPr>
          <w:p w:rsidR="004D550B" w:rsidRDefault="00C94607" w:rsidP="00BC461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158</w:t>
            </w:r>
          </w:p>
        </w:tc>
      </w:tr>
      <w:tr w:rsidR="004D550B" w:rsidTr="00251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15.01.07</w:t>
            </w:r>
          </w:p>
        </w:tc>
        <w:tc>
          <w:tcPr>
            <w:tcW w:w="1353" w:type="dxa"/>
          </w:tcPr>
          <w:p w:rsidR="004D550B" w:rsidRPr="001D1016" w:rsidRDefault="004D550B" w:rsidP="008761E4">
            <w:pPr>
              <w:cnfStyle w:val="000000100000" w:firstRow="0" w:lastRow="0" w:firstColumn="0" w:lastColumn="0" w:oddVBand="0" w:evenVBand="0" w:oddHBand="1" w:evenHBand="0" w:firstRowFirstColumn="0" w:firstRowLastColumn="0" w:lastRowFirstColumn="0" w:lastRowLastColumn="0"/>
            </w:pPr>
            <w:r w:rsidRPr="001D1016">
              <w:t>CAM</w:t>
            </w:r>
          </w:p>
        </w:tc>
        <w:tc>
          <w:tcPr>
            <w:tcW w:w="1694" w:type="dxa"/>
          </w:tcPr>
          <w:p w:rsidR="004D550B" w:rsidRDefault="008C4140"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477.559</w:t>
            </w:r>
          </w:p>
        </w:tc>
        <w:tc>
          <w:tcPr>
            <w:tcW w:w="1701" w:type="dxa"/>
          </w:tcPr>
          <w:p w:rsidR="004D550B" w:rsidRDefault="00251559"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601.962</w:t>
            </w:r>
          </w:p>
        </w:tc>
        <w:tc>
          <w:tcPr>
            <w:tcW w:w="1701" w:type="dxa"/>
          </w:tcPr>
          <w:p w:rsidR="004D550B" w:rsidRDefault="008C4140" w:rsidP="00710D5D">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198.532</w:t>
            </w:r>
          </w:p>
        </w:tc>
        <w:tc>
          <w:tcPr>
            <w:tcW w:w="1417" w:type="dxa"/>
          </w:tcPr>
          <w:p w:rsidR="004D550B" w:rsidRDefault="00C94607" w:rsidP="00BC4615">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r>
      <w:tr w:rsidR="004D550B" w:rsidTr="00251559">
        <w:tc>
          <w:tcPr>
            <w:cnfStyle w:val="001000000000" w:firstRow="0" w:lastRow="0" w:firstColumn="1" w:lastColumn="0" w:oddVBand="0" w:evenVBand="0" w:oddHBand="0" w:evenHBand="0" w:firstRowFirstColumn="0" w:firstRowLastColumn="0" w:lastRowFirstColumn="0" w:lastRowLastColumn="0"/>
            <w:tcW w:w="1314" w:type="dxa"/>
          </w:tcPr>
          <w:p w:rsidR="004D550B" w:rsidRPr="001D1016" w:rsidRDefault="004D550B" w:rsidP="008761E4">
            <w:r w:rsidRPr="001D1016">
              <w:t xml:space="preserve"> </w:t>
            </w:r>
          </w:p>
        </w:tc>
        <w:tc>
          <w:tcPr>
            <w:tcW w:w="1353" w:type="dxa"/>
          </w:tcPr>
          <w:p w:rsidR="004D550B" w:rsidRDefault="004D550B" w:rsidP="008761E4">
            <w:pPr>
              <w:cnfStyle w:val="000000000000" w:firstRow="0" w:lastRow="0" w:firstColumn="0" w:lastColumn="0" w:oddVBand="0" w:evenVBand="0" w:oddHBand="0" w:evenHBand="0" w:firstRowFirstColumn="0" w:firstRowLastColumn="0" w:lastRowFirstColumn="0" w:lastRowLastColumn="0"/>
            </w:pPr>
            <w:r w:rsidRPr="001D1016">
              <w:t>TOPLAM</w:t>
            </w:r>
          </w:p>
        </w:tc>
        <w:tc>
          <w:tcPr>
            <w:tcW w:w="1694" w:type="dxa"/>
          </w:tcPr>
          <w:p w:rsidR="008E70B8" w:rsidRDefault="006E0B94"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4.428.408</w:t>
            </w:r>
          </w:p>
        </w:tc>
        <w:tc>
          <w:tcPr>
            <w:tcW w:w="1701" w:type="dxa"/>
          </w:tcPr>
          <w:p w:rsidR="004D550B" w:rsidRDefault="00251559"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2.510.642</w:t>
            </w:r>
          </w:p>
        </w:tc>
        <w:tc>
          <w:tcPr>
            <w:tcW w:w="1701" w:type="dxa"/>
          </w:tcPr>
          <w:p w:rsidR="004D550B" w:rsidRDefault="008C4140" w:rsidP="00710D5D">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2.224.977</w:t>
            </w:r>
            <w:bookmarkStart w:id="0" w:name="_GoBack"/>
            <w:bookmarkEnd w:id="0"/>
          </w:p>
        </w:tc>
        <w:tc>
          <w:tcPr>
            <w:tcW w:w="1417" w:type="dxa"/>
          </w:tcPr>
          <w:p w:rsidR="004D550B" w:rsidRDefault="004D550B" w:rsidP="00BC461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4D550B" w:rsidRPr="00BC4615" w:rsidRDefault="004D550B" w:rsidP="00BC4615">
      <w:pPr>
        <w:pStyle w:val="Default"/>
        <w:jc w:val="both"/>
        <w:rPr>
          <w:rFonts w:ascii="Times New Roman" w:hAnsi="Times New Roman" w:cs="Times New Roman"/>
        </w:rPr>
      </w:pPr>
    </w:p>
    <w:p w:rsidR="00241064" w:rsidRPr="0034139D" w:rsidRDefault="003D0555" w:rsidP="00241064">
      <w:pPr>
        <w:rPr>
          <w:rFonts w:eastAsia="Times New Roman"/>
          <w:b/>
          <w:sz w:val="20"/>
          <w:szCs w:val="20"/>
        </w:rPr>
      </w:pPr>
      <w:r>
        <w:rPr>
          <w:rFonts w:eastAsia="Times New Roman"/>
          <w:b/>
          <w:sz w:val="20"/>
          <w:szCs w:val="20"/>
        </w:rPr>
        <w:t>Tablo-1: 2011</w:t>
      </w:r>
      <w:r w:rsidR="00241064" w:rsidRPr="0034139D">
        <w:rPr>
          <w:rFonts w:eastAsia="Times New Roman"/>
          <w:b/>
          <w:sz w:val="20"/>
          <w:szCs w:val="20"/>
        </w:rPr>
        <w:t xml:space="preserve"> yılı ambalaj ve ambalaj atığı sonuçları</w:t>
      </w:r>
    </w:p>
    <w:p w:rsidR="00241064" w:rsidRDefault="00225D25" w:rsidP="00241064">
      <w:pPr>
        <w:pStyle w:val="Balk2"/>
        <w:jc w:val="center"/>
        <w:rPr>
          <w:rFonts w:eastAsia="Times New Roman"/>
          <w:i/>
        </w:rPr>
      </w:pPr>
      <w:r>
        <w:rPr>
          <w:rFonts w:eastAsia="Times New Roman"/>
          <w:i/>
          <w:noProof/>
        </w:rPr>
        <w:lastRenderedPageBreak/>
        <w:pict>
          <v:rect id="_x0000_s1028" style="position:absolute;left:0;text-align:left;margin-left:379.9pt;margin-top:-17.6pt;width:114pt;height:63.75pt;z-index:251660288">
            <v:textbox>
              <w:txbxContent>
                <w:p w:rsidR="00AF7452" w:rsidRPr="002353EB" w:rsidRDefault="00AF7452" w:rsidP="00AF7452">
                  <w:pPr>
                    <w:rPr>
                      <w:b/>
                    </w:rPr>
                  </w:pPr>
                  <w:r>
                    <w:rPr>
                      <w:b/>
                    </w:rPr>
                    <w:t>Bülten No:</w:t>
                  </w:r>
                  <w:r w:rsidR="002F7018">
                    <w:rPr>
                      <w:b/>
                    </w:rPr>
                    <w:t>8</w:t>
                  </w:r>
                </w:p>
                <w:p w:rsidR="00AF7452" w:rsidRPr="002353EB" w:rsidRDefault="00AF7452" w:rsidP="00AF7452">
                  <w:pPr>
                    <w:rPr>
                      <w:b/>
                    </w:rPr>
                  </w:pPr>
                  <w:r>
                    <w:rPr>
                      <w:b/>
                    </w:rPr>
                    <w:t>Tarih:28.02.201</w:t>
                  </w:r>
                  <w:r w:rsidR="002F7018">
                    <w:rPr>
                      <w:b/>
                    </w:rPr>
                    <w:t>4</w:t>
                  </w:r>
                </w:p>
                <w:p w:rsidR="00AF7452" w:rsidRPr="002353EB" w:rsidRDefault="00AF7452" w:rsidP="00AF7452">
                  <w:pPr>
                    <w:rPr>
                      <w:b/>
                    </w:rPr>
                  </w:pPr>
                  <w:r w:rsidRPr="002353EB">
                    <w:rPr>
                      <w:b/>
                    </w:rPr>
                    <w:t>Saat:</w:t>
                  </w:r>
                  <w:proofErr w:type="gramStart"/>
                  <w:r w:rsidRPr="002353EB">
                    <w:rPr>
                      <w:b/>
                    </w:rPr>
                    <w:t>18:00</w:t>
                  </w:r>
                  <w:proofErr w:type="gramEnd"/>
                </w:p>
                <w:p w:rsidR="00241064" w:rsidRPr="002353EB" w:rsidRDefault="00241064" w:rsidP="00241064">
                  <w:pPr>
                    <w:rPr>
                      <w:b/>
                    </w:rPr>
                  </w:pPr>
                </w:p>
              </w:txbxContent>
            </v:textbox>
          </v:rect>
        </w:pict>
      </w:r>
    </w:p>
    <w:p w:rsidR="00241064" w:rsidRPr="006E3CE8" w:rsidRDefault="00241064" w:rsidP="00241064">
      <w:pPr>
        <w:pStyle w:val="Balk2"/>
        <w:jc w:val="center"/>
        <w:rPr>
          <w:rFonts w:eastAsia="Times New Roman"/>
          <w:i/>
        </w:rPr>
      </w:pPr>
      <w:r w:rsidRPr="006E3CE8">
        <w:rPr>
          <w:rFonts w:eastAsia="Times New Roman"/>
          <w:i/>
        </w:rPr>
        <w:t>AMBALAJ BÜLTENİ</w:t>
      </w:r>
    </w:p>
    <w:p w:rsidR="00241064" w:rsidRDefault="00241064" w:rsidP="00241064">
      <w:pPr>
        <w:pStyle w:val="Balk2"/>
        <w:jc w:val="center"/>
        <w:rPr>
          <w:rFonts w:eastAsia="Times New Roman"/>
          <w:i/>
          <w:sz w:val="24"/>
          <w:szCs w:val="24"/>
        </w:rPr>
      </w:pPr>
      <w:r w:rsidRPr="006E3CE8">
        <w:rPr>
          <w:rFonts w:eastAsia="Times New Roman"/>
          <w:i/>
          <w:sz w:val="24"/>
          <w:szCs w:val="24"/>
        </w:rPr>
        <w:t xml:space="preserve">AMBALAJ VE AMBALAJ </w:t>
      </w:r>
      <w:r w:rsidR="00071469">
        <w:rPr>
          <w:rFonts w:eastAsia="Times New Roman"/>
          <w:i/>
          <w:sz w:val="24"/>
          <w:szCs w:val="24"/>
        </w:rPr>
        <w:t xml:space="preserve">ATIKLARI </w:t>
      </w:r>
      <w:r w:rsidRPr="006E3CE8">
        <w:rPr>
          <w:rFonts w:eastAsia="Times New Roman"/>
          <w:i/>
          <w:sz w:val="24"/>
          <w:szCs w:val="24"/>
        </w:rPr>
        <w:t>İSTATİSTİKLERİ</w:t>
      </w:r>
      <w:r w:rsidR="003D0555">
        <w:rPr>
          <w:rFonts w:eastAsia="Times New Roman"/>
          <w:i/>
          <w:sz w:val="24"/>
          <w:szCs w:val="24"/>
        </w:rPr>
        <w:t xml:space="preserve"> (2011</w:t>
      </w:r>
      <w:r>
        <w:rPr>
          <w:rFonts w:eastAsia="Times New Roman"/>
          <w:i/>
          <w:sz w:val="24"/>
          <w:szCs w:val="24"/>
        </w:rPr>
        <w:t>)</w:t>
      </w:r>
    </w:p>
    <w:p w:rsidR="008A393B" w:rsidRDefault="005E2A97" w:rsidP="002F7018">
      <w:pPr>
        <w:rPr>
          <w:sz w:val="23"/>
          <w:szCs w:val="23"/>
        </w:rPr>
      </w:pPr>
      <w:r w:rsidRPr="005E2A97">
        <w:rPr>
          <w:rFonts w:eastAsia="Times New Roman"/>
          <w:b/>
        </w:rPr>
        <w:t xml:space="preserve"> </w:t>
      </w:r>
      <w:r w:rsidR="008673AD">
        <w:rPr>
          <w:sz w:val="23"/>
          <w:szCs w:val="23"/>
        </w:rPr>
        <w:t>Bakanlığımızca, e</w:t>
      </w:r>
      <w:r w:rsidR="008A393B">
        <w:rPr>
          <w:sz w:val="23"/>
          <w:szCs w:val="23"/>
        </w:rPr>
        <w:t xml:space="preserve">konomik işletmeler geri kazanım hedeflerini yerine getirmek amacıyla bir araya gelerek tüzel kişiliğe haiz </w:t>
      </w:r>
      <w:r w:rsidR="008673AD">
        <w:rPr>
          <w:sz w:val="23"/>
          <w:szCs w:val="23"/>
        </w:rPr>
        <w:t xml:space="preserve">kuruluşlara 2005 yılından itibaren yetki verilmektedir. Yıllar itibaren yetki verilen </w:t>
      </w:r>
      <w:r w:rsidR="008673AD" w:rsidRPr="008673AD">
        <w:rPr>
          <w:b/>
          <w:i/>
          <w:sz w:val="23"/>
          <w:szCs w:val="23"/>
        </w:rPr>
        <w:t>yetkilendirilmiş kuruluş sayıları</w:t>
      </w:r>
      <w:r w:rsidR="008673AD">
        <w:rPr>
          <w:sz w:val="23"/>
          <w:szCs w:val="23"/>
        </w:rPr>
        <w:t xml:space="preserve"> Grafik-2’de verilmektedir.</w:t>
      </w:r>
    </w:p>
    <w:p w:rsidR="008673AD" w:rsidRDefault="008673AD" w:rsidP="008673AD">
      <w:pPr>
        <w:jc w:val="both"/>
        <w:rPr>
          <w:sz w:val="23"/>
          <w:szCs w:val="23"/>
        </w:rPr>
      </w:pPr>
    </w:p>
    <w:p w:rsidR="008673AD" w:rsidRDefault="002F7018" w:rsidP="008673AD">
      <w:pPr>
        <w:jc w:val="both"/>
        <w:rPr>
          <w:sz w:val="23"/>
          <w:szCs w:val="23"/>
        </w:rPr>
      </w:pPr>
      <w:r w:rsidRPr="002F7018">
        <w:rPr>
          <w:noProof/>
          <w:sz w:val="23"/>
          <w:szCs w:val="23"/>
        </w:rPr>
        <w:drawing>
          <wp:inline distT="0" distB="0" distL="0" distR="0" wp14:anchorId="65707F4A" wp14:editId="27D03345">
            <wp:extent cx="5095875" cy="230505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AEC" w:rsidRPr="0034139D" w:rsidRDefault="00331AEC" w:rsidP="00331AEC">
      <w:pPr>
        <w:pStyle w:val="Balk2"/>
        <w:jc w:val="both"/>
        <w:rPr>
          <w:rFonts w:eastAsia="Times New Roman"/>
          <w:sz w:val="20"/>
          <w:szCs w:val="20"/>
        </w:rPr>
      </w:pPr>
      <w:r w:rsidRPr="0034139D">
        <w:rPr>
          <w:rFonts w:eastAsia="Times New Roman"/>
          <w:sz w:val="20"/>
          <w:szCs w:val="20"/>
        </w:rPr>
        <w:t>Grafik-2 Yetkilendirilmiş kuruluş sayıları</w:t>
      </w:r>
    </w:p>
    <w:p w:rsidR="00633123" w:rsidRDefault="00633123" w:rsidP="008673AD">
      <w:pPr>
        <w:jc w:val="both"/>
        <w:rPr>
          <w:sz w:val="23"/>
          <w:szCs w:val="23"/>
        </w:rPr>
      </w:pPr>
      <w:r>
        <w:rPr>
          <w:sz w:val="23"/>
          <w:szCs w:val="23"/>
        </w:rPr>
        <w:t xml:space="preserve">Yönetmeliğe göre ambalaj atığı </w:t>
      </w:r>
      <w:r w:rsidR="00AF77DB">
        <w:rPr>
          <w:sz w:val="23"/>
          <w:szCs w:val="23"/>
        </w:rPr>
        <w:t>toplama-</w:t>
      </w:r>
      <w:r>
        <w:rPr>
          <w:sz w:val="23"/>
          <w:szCs w:val="23"/>
        </w:rPr>
        <w:t xml:space="preserve">ayırma tesisleri ve geri dönüşüm tesisleri Bakanlığımızdan lisans almak zorundadırlar. Lisans uygulamasına ilk defa 2003 yılında başlanılmıştır. Yıllar itibariyle lisans </w:t>
      </w:r>
      <w:r w:rsidR="00FE77E9">
        <w:rPr>
          <w:sz w:val="23"/>
          <w:szCs w:val="23"/>
        </w:rPr>
        <w:t>alan</w:t>
      </w:r>
      <w:r>
        <w:rPr>
          <w:sz w:val="23"/>
          <w:szCs w:val="23"/>
        </w:rPr>
        <w:t xml:space="preserve"> tesislerin dağılımları </w:t>
      </w:r>
      <w:r w:rsidR="008673AD">
        <w:rPr>
          <w:sz w:val="23"/>
          <w:szCs w:val="23"/>
        </w:rPr>
        <w:t>Grafik-3</w:t>
      </w:r>
      <w:r w:rsidR="00BC4615">
        <w:rPr>
          <w:sz w:val="23"/>
          <w:szCs w:val="23"/>
        </w:rPr>
        <w:t>’de</w:t>
      </w:r>
      <w:r>
        <w:rPr>
          <w:sz w:val="23"/>
          <w:szCs w:val="23"/>
        </w:rPr>
        <w:t xml:space="preserve"> verilmektedir. </w:t>
      </w:r>
    </w:p>
    <w:p w:rsidR="00BC4615" w:rsidRDefault="00A7535E">
      <w:pPr>
        <w:rPr>
          <w:sz w:val="23"/>
          <w:szCs w:val="23"/>
        </w:rPr>
      </w:pPr>
      <w:r w:rsidRPr="00A7535E">
        <w:rPr>
          <w:noProof/>
          <w:sz w:val="23"/>
          <w:szCs w:val="23"/>
        </w:rPr>
        <w:drawing>
          <wp:inline distT="0" distB="0" distL="0" distR="0" wp14:anchorId="793EE47C" wp14:editId="7CD05CCF">
            <wp:extent cx="5486400" cy="2657475"/>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4615" w:rsidRPr="0034139D" w:rsidRDefault="00331AEC" w:rsidP="00BC4615">
      <w:pPr>
        <w:pStyle w:val="Balk2"/>
        <w:jc w:val="both"/>
        <w:rPr>
          <w:rFonts w:eastAsia="Times New Roman"/>
          <w:sz w:val="20"/>
          <w:szCs w:val="20"/>
        </w:rPr>
      </w:pPr>
      <w:r w:rsidRPr="0034139D">
        <w:rPr>
          <w:rFonts w:eastAsia="Times New Roman"/>
          <w:sz w:val="20"/>
          <w:szCs w:val="20"/>
        </w:rPr>
        <w:t>Grafik-3</w:t>
      </w:r>
      <w:r w:rsidR="00BC4615" w:rsidRPr="0034139D">
        <w:rPr>
          <w:rFonts w:eastAsia="Times New Roman"/>
          <w:sz w:val="20"/>
          <w:szCs w:val="20"/>
        </w:rPr>
        <w:t xml:space="preserve"> Geçici </w:t>
      </w:r>
      <w:r w:rsidR="002F7018">
        <w:rPr>
          <w:rFonts w:eastAsia="Times New Roman"/>
          <w:sz w:val="20"/>
          <w:szCs w:val="20"/>
        </w:rPr>
        <w:t>faaliyet belgeli</w:t>
      </w:r>
      <w:r w:rsidR="00BC4615" w:rsidRPr="0034139D">
        <w:rPr>
          <w:rFonts w:eastAsia="Times New Roman"/>
          <w:sz w:val="20"/>
          <w:szCs w:val="20"/>
        </w:rPr>
        <w:t>/lisanslı tesis sayıları</w:t>
      </w:r>
    </w:p>
    <w:p w:rsidR="00690E02" w:rsidRDefault="00690E02" w:rsidP="00241064">
      <w:pPr>
        <w:pStyle w:val="Balk2"/>
        <w:jc w:val="center"/>
        <w:rPr>
          <w:rFonts w:eastAsia="Times New Roman"/>
          <w:i/>
        </w:rPr>
      </w:pPr>
    </w:p>
    <w:p w:rsidR="00241064" w:rsidRPr="006E3CE8" w:rsidRDefault="00225D25" w:rsidP="00241064">
      <w:pPr>
        <w:pStyle w:val="Balk2"/>
        <w:jc w:val="center"/>
        <w:rPr>
          <w:rFonts w:eastAsia="Times New Roman"/>
          <w:i/>
        </w:rPr>
      </w:pPr>
      <w:r>
        <w:rPr>
          <w:rFonts w:eastAsia="Times New Roman"/>
          <w:i/>
          <w:noProof/>
        </w:rPr>
        <w:lastRenderedPageBreak/>
        <w:pict>
          <v:rect id="_x0000_s1029" style="position:absolute;left:0;text-align:left;margin-left:386.65pt;margin-top:-30.35pt;width:114pt;height:63.75pt;z-index:251662336">
            <v:textbox style="mso-next-textbox:#_x0000_s1029">
              <w:txbxContent>
                <w:p w:rsidR="00AF7452" w:rsidRPr="002353EB" w:rsidRDefault="00AF7452" w:rsidP="00AF7452">
                  <w:pPr>
                    <w:rPr>
                      <w:b/>
                    </w:rPr>
                  </w:pPr>
                  <w:r>
                    <w:rPr>
                      <w:b/>
                    </w:rPr>
                    <w:t>Bülten No:</w:t>
                  </w:r>
                  <w:r w:rsidR="002F7018">
                    <w:rPr>
                      <w:b/>
                    </w:rPr>
                    <w:t>8</w:t>
                  </w:r>
                </w:p>
                <w:p w:rsidR="00AF7452" w:rsidRPr="002353EB" w:rsidRDefault="00AF7452" w:rsidP="00AF7452">
                  <w:pPr>
                    <w:rPr>
                      <w:b/>
                    </w:rPr>
                  </w:pPr>
                  <w:r>
                    <w:rPr>
                      <w:b/>
                    </w:rPr>
                    <w:t>Tarih:28.02.201</w:t>
                  </w:r>
                  <w:r w:rsidR="002F7018">
                    <w:rPr>
                      <w:b/>
                    </w:rPr>
                    <w:t>4</w:t>
                  </w:r>
                </w:p>
                <w:p w:rsidR="00AF7452" w:rsidRPr="002353EB" w:rsidRDefault="00AF7452" w:rsidP="00AF7452">
                  <w:pPr>
                    <w:rPr>
                      <w:b/>
                    </w:rPr>
                  </w:pPr>
                  <w:r w:rsidRPr="002353EB">
                    <w:rPr>
                      <w:b/>
                    </w:rPr>
                    <w:t>Saat:</w:t>
                  </w:r>
                  <w:proofErr w:type="gramStart"/>
                  <w:r w:rsidRPr="002353EB">
                    <w:rPr>
                      <w:b/>
                    </w:rPr>
                    <w:t>18:00</w:t>
                  </w:r>
                  <w:proofErr w:type="gramEnd"/>
                </w:p>
                <w:p w:rsidR="00241064" w:rsidRPr="002353EB" w:rsidRDefault="00241064" w:rsidP="00241064">
                  <w:pPr>
                    <w:rPr>
                      <w:b/>
                    </w:rPr>
                  </w:pPr>
                </w:p>
              </w:txbxContent>
            </v:textbox>
          </v:rect>
        </w:pict>
      </w:r>
      <w:r w:rsidR="00241064" w:rsidRPr="006E3CE8">
        <w:rPr>
          <w:rFonts w:eastAsia="Times New Roman"/>
          <w:i/>
        </w:rPr>
        <w:t>AMBALAJ BÜLTENİ</w:t>
      </w:r>
    </w:p>
    <w:p w:rsidR="00241064" w:rsidRDefault="00241064" w:rsidP="00241064">
      <w:pPr>
        <w:pStyle w:val="Balk2"/>
        <w:jc w:val="center"/>
        <w:rPr>
          <w:rFonts w:eastAsia="Times New Roman"/>
          <w:i/>
          <w:sz w:val="24"/>
          <w:szCs w:val="24"/>
        </w:rPr>
      </w:pPr>
      <w:r w:rsidRPr="006E3CE8">
        <w:rPr>
          <w:rFonts w:eastAsia="Times New Roman"/>
          <w:i/>
          <w:sz w:val="24"/>
          <w:szCs w:val="24"/>
        </w:rPr>
        <w:t xml:space="preserve">AMBALAJ VE AMBALAJ </w:t>
      </w:r>
      <w:r w:rsidR="00071469">
        <w:rPr>
          <w:rFonts w:eastAsia="Times New Roman"/>
          <w:i/>
          <w:sz w:val="24"/>
          <w:szCs w:val="24"/>
        </w:rPr>
        <w:t xml:space="preserve">ATIKLARI </w:t>
      </w:r>
      <w:r w:rsidRPr="006E3CE8">
        <w:rPr>
          <w:rFonts w:eastAsia="Times New Roman"/>
          <w:i/>
          <w:sz w:val="24"/>
          <w:szCs w:val="24"/>
        </w:rPr>
        <w:t>İSTATİSTİKLERİ</w:t>
      </w:r>
      <w:r w:rsidR="00AF7452">
        <w:rPr>
          <w:rFonts w:eastAsia="Times New Roman"/>
          <w:i/>
          <w:sz w:val="24"/>
          <w:szCs w:val="24"/>
        </w:rPr>
        <w:t xml:space="preserve"> (201</w:t>
      </w:r>
      <w:r w:rsidR="003D0555">
        <w:rPr>
          <w:rFonts w:eastAsia="Times New Roman"/>
          <w:i/>
          <w:sz w:val="24"/>
          <w:szCs w:val="24"/>
        </w:rPr>
        <w:t>1</w:t>
      </w:r>
      <w:r>
        <w:rPr>
          <w:rFonts w:eastAsia="Times New Roman"/>
          <w:i/>
          <w:sz w:val="24"/>
          <w:szCs w:val="24"/>
        </w:rPr>
        <w:t>)</w:t>
      </w:r>
    </w:p>
    <w:p w:rsidR="00BC4615" w:rsidRDefault="00BC4615"/>
    <w:p w:rsidR="00241064" w:rsidRDefault="00241064" w:rsidP="000C259F">
      <w:pPr>
        <w:jc w:val="both"/>
      </w:pPr>
    </w:p>
    <w:p w:rsidR="00633123" w:rsidRPr="000C259F" w:rsidRDefault="00633123" w:rsidP="000C259F">
      <w:pPr>
        <w:jc w:val="both"/>
      </w:pPr>
      <w:r w:rsidRPr="000C259F">
        <w:t xml:space="preserve">Belediyeler, Yönetmeliğe göre ambalaj atıklarını toplamak veya toplatmakla yükümlüdürler. Bu çalışmaları yapabilmek için de, ambalaj atıklarının kaynağında diğer atıklardan ayrı olarak biriktirilmesi, toplanması ve taşınması çalışmalarının kimler tarafından, nasıl, ne şekilde ve ne zaman yapılacağını belirtmek üzere ambalaj atıkları yönetim planlarını hazırlayarak Bakanlığa sunmaktadırlar. İlk defa 2008 yılında başlatılan bu çalışmalar kapsamında, ambalaj atıkları yönetim planı formatı doğrultusunda planlarını hazırlayarak Bakanlığa sunan ve planı </w:t>
      </w:r>
      <w:r w:rsidR="000C259F" w:rsidRPr="000C259F">
        <w:t xml:space="preserve">uygun bulunan </w:t>
      </w:r>
      <w:r w:rsidRPr="000C259F">
        <w:t>belediye sayıları Grafik</w:t>
      </w:r>
      <w:r w:rsidR="008673AD">
        <w:t>-4</w:t>
      </w:r>
      <w:r w:rsidR="00BC4615">
        <w:t>’</w:t>
      </w:r>
      <w:r w:rsidRPr="000C259F">
        <w:t xml:space="preserve">de yer almaktadır. </w:t>
      </w:r>
    </w:p>
    <w:p w:rsidR="00633123" w:rsidRDefault="00633123">
      <w:pPr>
        <w:rPr>
          <w:sz w:val="23"/>
          <w:szCs w:val="23"/>
        </w:rPr>
      </w:pPr>
    </w:p>
    <w:p w:rsidR="00633123" w:rsidRDefault="002F7018">
      <w:r w:rsidRPr="002F7018">
        <w:rPr>
          <w:noProof/>
        </w:rPr>
        <w:drawing>
          <wp:inline distT="0" distB="0" distL="0" distR="0" wp14:anchorId="7C271BC1" wp14:editId="0360BD58">
            <wp:extent cx="4829175" cy="280035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4615" w:rsidRDefault="00BC4615"/>
    <w:p w:rsidR="00BC4615" w:rsidRPr="0034139D" w:rsidRDefault="00331AEC" w:rsidP="00BC4615">
      <w:pPr>
        <w:pStyle w:val="Balk2"/>
        <w:jc w:val="both"/>
        <w:rPr>
          <w:rFonts w:eastAsia="Times New Roman"/>
          <w:sz w:val="20"/>
          <w:szCs w:val="20"/>
        </w:rPr>
      </w:pPr>
      <w:r w:rsidRPr="0034139D">
        <w:rPr>
          <w:rFonts w:eastAsia="Times New Roman"/>
          <w:sz w:val="20"/>
          <w:szCs w:val="20"/>
        </w:rPr>
        <w:t>Grafik-4</w:t>
      </w:r>
      <w:r w:rsidR="00BC4615" w:rsidRPr="0034139D">
        <w:rPr>
          <w:rFonts w:eastAsia="Times New Roman"/>
          <w:sz w:val="20"/>
          <w:szCs w:val="20"/>
        </w:rPr>
        <w:t xml:space="preserve"> Ambalaj atığı yönetim planı uygun bulunan belediye sayıları</w:t>
      </w:r>
    </w:p>
    <w:p w:rsidR="00BC4615" w:rsidRDefault="00BC4615"/>
    <w:sectPr w:rsidR="00BC4615" w:rsidSect="00AC639D">
      <w:footerReference w:type="default" r:id="rId12"/>
      <w:pgSz w:w="11906" w:h="16838"/>
      <w:pgMar w:top="1417" w:right="1417" w:bottom="1417" w:left="1417"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25" w:rsidRDefault="00225D25" w:rsidP="007B51E4">
      <w:r>
        <w:separator/>
      </w:r>
    </w:p>
  </w:endnote>
  <w:endnote w:type="continuationSeparator" w:id="0">
    <w:p w:rsidR="00225D25" w:rsidRDefault="00225D25" w:rsidP="007B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9D" w:rsidRDefault="00AC639D">
    <w:pPr>
      <w:pStyle w:val="Altbilgi"/>
      <w:pBdr>
        <w:top w:val="thinThickSmallGap" w:sz="24" w:space="1" w:color="622423" w:themeColor="accent2" w:themeShade="7F"/>
      </w:pBdr>
      <w:rPr>
        <w:rFonts w:asciiTheme="majorHAnsi" w:hAnsiTheme="majorHAnsi"/>
      </w:rPr>
    </w:pPr>
    <w:proofErr w:type="spellStart"/>
    <w:r w:rsidRPr="007B51E4">
      <w:rPr>
        <w:b/>
      </w:rPr>
      <w:t>Hazırlayan:</w:t>
    </w:r>
    <w:r w:rsidRPr="00B0792A">
      <w:t>Çevre</w:t>
    </w:r>
    <w:proofErr w:type="spellEnd"/>
    <w:r w:rsidRPr="00B0792A">
      <w:t xml:space="preserve"> ve Şehircilik Bakanlığı</w:t>
    </w:r>
    <w:r>
      <w:rPr>
        <w:b/>
      </w:rPr>
      <w:t>-</w:t>
    </w:r>
    <w:r>
      <w:t>Çevre Yönetimi Genel Müdürlüğü-Atık Yönetimi Dairesi Başkanlığı-</w:t>
    </w:r>
    <w:r w:rsidR="0042505C">
      <w:t xml:space="preserve">Belediye ve </w:t>
    </w:r>
    <w:r>
      <w:t xml:space="preserve">Ambalaj </w:t>
    </w:r>
    <w:r w:rsidR="0042505C">
      <w:t xml:space="preserve">Atıkları </w:t>
    </w:r>
    <w:r>
      <w:t xml:space="preserve">Yönetimi Şube Müdürlüğü, </w:t>
    </w:r>
    <w:hyperlink r:id="rId1" w:history="1">
      <w:r w:rsidRPr="00386DD2">
        <w:rPr>
          <w:rStyle w:val="Kpr"/>
        </w:rPr>
        <w:t>http://www.cbs.gov.tr/gm/cygm</w:t>
      </w:r>
    </w:hyperlink>
    <w:r>
      <w:rPr>
        <w:rFonts w:asciiTheme="majorHAnsi" w:hAnsiTheme="majorHAnsi"/>
      </w:rPr>
      <w:ptab w:relativeTo="margin" w:alignment="right" w:leader="none"/>
    </w:r>
    <w:r>
      <w:rPr>
        <w:rFonts w:asciiTheme="majorHAnsi" w:hAnsiTheme="majorHAnsi"/>
      </w:rPr>
      <w:t xml:space="preserve">Sayfa </w:t>
    </w:r>
    <w:r w:rsidR="001A6D28">
      <w:fldChar w:fldCharType="begin"/>
    </w:r>
    <w:r w:rsidR="001A6D28">
      <w:instrText xml:space="preserve"> PAGE   \* MERGEFORMAT </w:instrText>
    </w:r>
    <w:r w:rsidR="001A6D28">
      <w:fldChar w:fldCharType="separate"/>
    </w:r>
    <w:r w:rsidR="00710D5D" w:rsidRPr="00710D5D">
      <w:rPr>
        <w:rFonts w:asciiTheme="majorHAnsi" w:hAnsiTheme="majorHAnsi"/>
        <w:noProof/>
      </w:rPr>
      <w:t>1</w:t>
    </w:r>
    <w:r w:rsidR="001A6D28">
      <w:rPr>
        <w:rFonts w:asciiTheme="majorHAnsi" w:hAnsiTheme="majorHAnsi"/>
        <w:noProof/>
      </w:rPr>
      <w:fldChar w:fldCharType="end"/>
    </w:r>
  </w:p>
  <w:p w:rsidR="007B51E4" w:rsidRDefault="007B51E4" w:rsidP="00241064">
    <w:pPr>
      <w:pStyle w:val="Altbilgi"/>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25" w:rsidRDefault="00225D25" w:rsidP="007B51E4">
      <w:r>
        <w:separator/>
      </w:r>
    </w:p>
  </w:footnote>
  <w:footnote w:type="continuationSeparator" w:id="0">
    <w:p w:rsidR="00225D25" w:rsidRDefault="00225D25" w:rsidP="007B5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963"/>
    <w:rsid w:val="000044DE"/>
    <w:rsid w:val="00071469"/>
    <w:rsid w:val="000C259F"/>
    <w:rsid w:val="000E48CD"/>
    <w:rsid w:val="00117BA3"/>
    <w:rsid w:val="00167592"/>
    <w:rsid w:val="0017184C"/>
    <w:rsid w:val="001A6D28"/>
    <w:rsid w:val="001B0A1A"/>
    <w:rsid w:val="00225D25"/>
    <w:rsid w:val="002353EB"/>
    <w:rsid w:val="00241064"/>
    <w:rsid w:val="00251559"/>
    <w:rsid w:val="002824AB"/>
    <w:rsid w:val="002F7018"/>
    <w:rsid w:val="0032613A"/>
    <w:rsid w:val="00331AEC"/>
    <w:rsid w:val="0034139D"/>
    <w:rsid w:val="003849DF"/>
    <w:rsid w:val="003B5A99"/>
    <w:rsid w:val="003D0555"/>
    <w:rsid w:val="003E503D"/>
    <w:rsid w:val="0042505C"/>
    <w:rsid w:val="0046513D"/>
    <w:rsid w:val="004D550B"/>
    <w:rsid w:val="004D5BF4"/>
    <w:rsid w:val="0058495E"/>
    <w:rsid w:val="005904EB"/>
    <w:rsid w:val="005916E5"/>
    <w:rsid w:val="005E2A97"/>
    <w:rsid w:val="005F753A"/>
    <w:rsid w:val="00633123"/>
    <w:rsid w:val="00674CD9"/>
    <w:rsid w:val="00690E02"/>
    <w:rsid w:val="006A68F9"/>
    <w:rsid w:val="006B699D"/>
    <w:rsid w:val="006E0B94"/>
    <w:rsid w:val="006E3CE8"/>
    <w:rsid w:val="00710D5D"/>
    <w:rsid w:val="00730D68"/>
    <w:rsid w:val="0073178E"/>
    <w:rsid w:val="00735A85"/>
    <w:rsid w:val="007A640C"/>
    <w:rsid w:val="007B51E4"/>
    <w:rsid w:val="007E3860"/>
    <w:rsid w:val="008673AD"/>
    <w:rsid w:val="00871A18"/>
    <w:rsid w:val="008A393B"/>
    <w:rsid w:val="008B4BF9"/>
    <w:rsid w:val="008C4140"/>
    <w:rsid w:val="008E70B8"/>
    <w:rsid w:val="008F693A"/>
    <w:rsid w:val="00914DC8"/>
    <w:rsid w:val="00953C23"/>
    <w:rsid w:val="009B0D0C"/>
    <w:rsid w:val="00A27799"/>
    <w:rsid w:val="00A7535E"/>
    <w:rsid w:val="00AC639D"/>
    <w:rsid w:val="00AF4747"/>
    <w:rsid w:val="00AF7452"/>
    <w:rsid w:val="00AF77DB"/>
    <w:rsid w:val="00B0792A"/>
    <w:rsid w:val="00B26D19"/>
    <w:rsid w:val="00BC4615"/>
    <w:rsid w:val="00BC522B"/>
    <w:rsid w:val="00BD183B"/>
    <w:rsid w:val="00C07705"/>
    <w:rsid w:val="00C150EE"/>
    <w:rsid w:val="00C6539E"/>
    <w:rsid w:val="00C86E62"/>
    <w:rsid w:val="00C94607"/>
    <w:rsid w:val="00CB3EFE"/>
    <w:rsid w:val="00CE0B00"/>
    <w:rsid w:val="00CE2963"/>
    <w:rsid w:val="00D14136"/>
    <w:rsid w:val="00D76355"/>
    <w:rsid w:val="00D94842"/>
    <w:rsid w:val="00EA1E8D"/>
    <w:rsid w:val="00EB5BF7"/>
    <w:rsid w:val="00F07135"/>
    <w:rsid w:val="00F90725"/>
    <w:rsid w:val="00FA6A89"/>
    <w:rsid w:val="00FE77E9"/>
    <w:rsid w:val="00FF5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63"/>
    <w:pPr>
      <w:spacing w:after="0" w:line="240" w:lineRule="auto"/>
    </w:pPr>
    <w:rPr>
      <w:rFonts w:ascii="Times New Roman" w:eastAsiaTheme="minorEastAsia" w:hAnsi="Times New Roman" w:cs="Times New Roman"/>
      <w:sz w:val="24"/>
      <w:szCs w:val="24"/>
      <w:lang w:eastAsia="tr-TR"/>
    </w:rPr>
  </w:style>
  <w:style w:type="paragraph" w:styleId="Balk2">
    <w:name w:val="heading 2"/>
    <w:basedOn w:val="Normal"/>
    <w:link w:val="Balk2Char"/>
    <w:uiPriority w:val="9"/>
    <w:qFormat/>
    <w:rsid w:val="00CE2963"/>
    <w:pPr>
      <w:spacing w:before="100" w:beforeAutospacing="1" w:after="100" w:afterAutospacing="1"/>
      <w:outlineLvl w:val="1"/>
    </w:pPr>
    <w:rPr>
      <w:b/>
      <w:bCs/>
      <w:sz w:val="36"/>
      <w:szCs w:val="36"/>
    </w:rPr>
  </w:style>
  <w:style w:type="paragraph" w:styleId="Balk4">
    <w:name w:val="heading 4"/>
    <w:basedOn w:val="Normal"/>
    <w:link w:val="Balk4Char"/>
    <w:uiPriority w:val="9"/>
    <w:qFormat/>
    <w:rsid w:val="00CE2963"/>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2963"/>
    <w:rPr>
      <w:rFonts w:ascii="Times New Roman" w:eastAsiaTheme="minorEastAsia" w:hAnsi="Times New Roman" w:cs="Times New Roman"/>
      <w:b/>
      <w:bCs/>
      <w:sz w:val="36"/>
      <w:szCs w:val="36"/>
      <w:lang w:eastAsia="tr-TR"/>
    </w:rPr>
  </w:style>
  <w:style w:type="character" w:customStyle="1" w:styleId="Balk4Char">
    <w:name w:val="Başlık 4 Char"/>
    <w:basedOn w:val="VarsaylanParagrafYazTipi"/>
    <w:link w:val="Balk4"/>
    <w:uiPriority w:val="9"/>
    <w:rsid w:val="00CE2963"/>
    <w:rPr>
      <w:rFonts w:ascii="Times New Roman" w:eastAsiaTheme="minorEastAsia" w:hAnsi="Times New Roman" w:cs="Times New Roman"/>
      <w:b/>
      <w:bCs/>
      <w:sz w:val="24"/>
      <w:szCs w:val="24"/>
      <w:lang w:eastAsia="tr-TR"/>
    </w:rPr>
  </w:style>
  <w:style w:type="paragraph" w:customStyle="1" w:styleId="Default">
    <w:name w:val="Default"/>
    <w:rsid w:val="00C6539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33123"/>
    <w:rPr>
      <w:rFonts w:ascii="Tahoma" w:hAnsi="Tahoma" w:cs="Tahoma"/>
      <w:sz w:val="16"/>
      <w:szCs w:val="16"/>
    </w:rPr>
  </w:style>
  <w:style w:type="character" w:customStyle="1" w:styleId="BalonMetniChar">
    <w:name w:val="Balon Metni Char"/>
    <w:basedOn w:val="VarsaylanParagrafYazTipi"/>
    <w:link w:val="BalonMetni"/>
    <w:uiPriority w:val="99"/>
    <w:semiHidden/>
    <w:rsid w:val="00633123"/>
    <w:rPr>
      <w:rFonts w:ascii="Tahoma" w:eastAsiaTheme="minorEastAsia" w:hAnsi="Tahoma" w:cs="Tahoma"/>
      <w:sz w:val="16"/>
      <w:szCs w:val="16"/>
      <w:lang w:eastAsia="tr-TR"/>
    </w:rPr>
  </w:style>
  <w:style w:type="table" w:styleId="OrtaList2-Vurgu1">
    <w:name w:val="Medium List 2 Accent 1"/>
    <w:basedOn w:val="NormalTablo"/>
    <w:uiPriority w:val="66"/>
    <w:rsid w:val="00BC461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8A393B"/>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Klavuz-Vurgu1">
    <w:name w:val="Colorful Grid Accent 1"/>
    <w:basedOn w:val="NormalTablo"/>
    <w:uiPriority w:val="73"/>
    <w:rsid w:val="008A393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1">
    <w:name w:val="Light Grid Accent 1"/>
    <w:basedOn w:val="NormalTablo"/>
    <w:uiPriority w:val="62"/>
    <w:rsid w:val="008A39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5">
    <w:name w:val="Light Grid Accent 5"/>
    <w:basedOn w:val="NormalTablo"/>
    <w:uiPriority w:val="62"/>
    <w:rsid w:val="008A39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1">
    <w:name w:val="Medium Shading 1 Accent 1"/>
    <w:basedOn w:val="NormalTablo"/>
    <w:uiPriority w:val="63"/>
    <w:rsid w:val="008A393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7B51E4"/>
    <w:pPr>
      <w:tabs>
        <w:tab w:val="center" w:pos="4536"/>
        <w:tab w:val="right" w:pos="9072"/>
      </w:tabs>
    </w:pPr>
  </w:style>
  <w:style w:type="character" w:customStyle="1" w:styleId="stbilgiChar">
    <w:name w:val="Üstbilgi Char"/>
    <w:basedOn w:val="VarsaylanParagrafYazTipi"/>
    <w:link w:val="stbilgi"/>
    <w:uiPriority w:val="99"/>
    <w:rsid w:val="007B51E4"/>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7B51E4"/>
    <w:pPr>
      <w:tabs>
        <w:tab w:val="center" w:pos="4536"/>
        <w:tab w:val="right" w:pos="9072"/>
      </w:tabs>
    </w:pPr>
  </w:style>
  <w:style w:type="character" w:customStyle="1" w:styleId="AltbilgiChar">
    <w:name w:val="Altbilgi Char"/>
    <w:basedOn w:val="VarsaylanParagrafYazTipi"/>
    <w:link w:val="Altbilgi"/>
    <w:uiPriority w:val="99"/>
    <w:rsid w:val="007B51E4"/>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241064"/>
    <w:rPr>
      <w:color w:val="0000FF" w:themeColor="hyperlink"/>
      <w:u w:val="single"/>
    </w:rPr>
  </w:style>
  <w:style w:type="paragraph" w:styleId="NormalWeb">
    <w:name w:val="Normal (Web)"/>
    <w:basedOn w:val="Normal"/>
    <w:uiPriority w:val="99"/>
    <w:unhideWhenUsed/>
    <w:rsid w:val="000E48CD"/>
    <w:pPr>
      <w:spacing w:before="100" w:beforeAutospacing="1" w:after="100" w:afterAutospacing="1"/>
    </w:pPr>
    <w:rPr>
      <w:rFonts w:eastAsia="Times New Roman"/>
    </w:rPr>
  </w:style>
  <w:style w:type="table" w:styleId="TabloKlavuzu">
    <w:name w:val="Table Grid"/>
    <w:basedOn w:val="NormalTablo"/>
    <w:uiPriority w:val="59"/>
    <w:rsid w:val="004D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1">
    <w:name w:val="Light List Accent 1"/>
    <w:basedOn w:val="NormalTablo"/>
    <w:uiPriority w:val="61"/>
    <w:rsid w:val="00251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Klavuz3-Vurgu5">
    <w:name w:val="Medium Grid 3 Accent 5"/>
    <w:basedOn w:val="NormalTablo"/>
    <w:uiPriority w:val="69"/>
    <w:rsid w:val="002515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5953">
      <w:bodyDiv w:val="1"/>
      <w:marLeft w:val="0"/>
      <w:marRight w:val="0"/>
      <w:marTop w:val="0"/>
      <w:marBottom w:val="0"/>
      <w:divBdr>
        <w:top w:val="none" w:sz="0" w:space="0" w:color="auto"/>
        <w:left w:val="none" w:sz="0" w:space="0" w:color="auto"/>
        <w:bottom w:val="none" w:sz="0" w:space="0" w:color="auto"/>
        <w:right w:val="none" w:sz="0" w:space="0" w:color="auto"/>
      </w:divBdr>
    </w:div>
    <w:div w:id="885289110">
      <w:bodyDiv w:val="1"/>
      <w:marLeft w:val="0"/>
      <w:marRight w:val="0"/>
      <w:marTop w:val="0"/>
      <w:marBottom w:val="0"/>
      <w:divBdr>
        <w:top w:val="none" w:sz="0" w:space="0" w:color="auto"/>
        <w:left w:val="none" w:sz="0" w:space="0" w:color="auto"/>
        <w:bottom w:val="none" w:sz="0" w:space="0" w:color="auto"/>
        <w:right w:val="none" w:sz="0" w:space="0" w:color="auto"/>
      </w:divBdr>
    </w:div>
    <w:div w:id="14326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bs.gov.tr/gm/cyg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Kayıtlı  İşletmeler</c:v>
                </c:pt>
              </c:strCache>
            </c:strRef>
          </c:tx>
          <c:invertIfNegative val="0"/>
          <c:dLbls>
            <c:txPr>
              <a:bodyPr/>
              <a:lstStyle/>
              <a:p>
                <a:pPr>
                  <a:defRPr sz="1400"/>
                </a:pPr>
                <a:endParaRPr lang="tr-TR"/>
              </a:p>
            </c:txPr>
            <c:showLegendKey val="0"/>
            <c:showVal val="1"/>
            <c:showCatName val="0"/>
            <c:showSerName val="0"/>
            <c:showPercent val="0"/>
            <c:showBubbleSize val="0"/>
            <c:showLeaderLines val="0"/>
          </c:dLbls>
          <c:cat>
            <c:numRef>
              <c:f>Sayfa1!$A$2:$A$9</c:f>
              <c:numCache>
                <c:formatCode>General</c:formatCode>
                <c:ptCount val="8"/>
                <c:pt idx="0">
                  <c:v>2003</c:v>
                </c:pt>
                <c:pt idx="1">
                  <c:v>2005</c:v>
                </c:pt>
                <c:pt idx="2">
                  <c:v>2006</c:v>
                </c:pt>
                <c:pt idx="3">
                  <c:v>2007</c:v>
                </c:pt>
                <c:pt idx="4">
                  <c:v>2008</c:v>
                </c:pt>
                <c:pt idx="5">
                  <c:v>2009</c:v>
                </c:pt>
                <c:pt idx="6">
                  <c:v>2010</c:v>
                </c:pt>
                <c:pt idx="7">
                  <c:v>2011</c:v>
                </c:pt>
              </c:numCache>
            </c:numRef>
          </c:cat>
          <c:val>
            <c:numRef>
              <c:f>Sayfa1!$B$2:$B$9</c:f>
              <c:numCache>
                <c:formatCode>General</c:formatCode>
                <c:ptCount val="8"/>
                <c:pt idx="0">
                  <c:v>350</c:v>
                </c:pt>
                <c:pt idx="1">
                  <c:v>926</c:v>
                </c:pt>
                <c:pt idx="2">
                  <c:v>1722</c:v>
                </c:pt>
                <c:pt idx="3">
                  <c:v>2341</c:v>
                </c:pt>
                <c:pt idx="4">
                  <c:v>5048</c:v>
                </c:pt>
                <c:pt idx="5">
                  <c:v>6874</c:v>
                </c:pt>
                <c:pt idx="6">
                  <c:v>8922</c:v>
                </c:pt>
                <c:pt idx="7">
                  <c:v>16225</c:v>
                </c:pt>
              </c:numCache>
            </c:numRef>
          </c:val>
        </c:ser>
        <c:dLbls>
          <c:showLegendKey val="0"/>
          <c:showVal val="0"/>
          <c:showCatName val="0"/>
          <c:showSerName val="0"/>
          <c:showPercent val="0"/>
          <c:showBubbleSize val="0"/>
        </c:dLbls>
        <c:gapWidth val="150"/>
        <c:shape val="cylinder"/>
        <c:axId val="31128192"/>
        <c:axId val="66220416"/>
        <c:axId val="0"/>
      </c:bar3DChart>
      <c:catAx>
        <c:axId val="31128192"/>
        <c:scaling>
          <c:orientation val="minMax"/>
        </c:scaling>
        <c:delete val="0"/>
        <c:axPos val="b"/>
        <c:numFmt formatCode="General" sourceLinked="1"/>
        <c:majorTickMark val="none"/>
        <c:minorTickMark val="none"/>
        <c:tickLblPos val="nextTo"/>
        <c:txPr>
          <a:bodyPr/>
          <a:lstStyle/>
          <a:p>
            <a:pPr>
              <a:defRPr sz="1400"/>
            </a:pPr>
            <a:endParaRPr lang="tr-TR"/>
          </a:p>
        </c:txPr>
        <c:crossAx val="66220416"/>
        <c:crosses val="autoZero"/>
        <c:auto val="1"/>
        <c:lblAlgn val="ctr"/>
        <c:lblOffset val="100"/>
        <c:noMultiLvlLbl val="0"/>
      </c:catAx>
      <c:valAx>
        <c:axId val="66220416"/>
        <c:scaling>
          <c:orientation val="minMax"/>
        </c:scaling>
        <c:delete val="1"/>
        <c:axPos val="l"/>
        <c:numFmt formatCode="General" sourceLinked="1"/>
        <c:majorTickMark val="out"/>
        <c:minorTickMark val="none"/>
        <c:tickLblPos val="nextTo"/>
        <c:crossAx val="31128192"/>
        <c:crosses val="autoZero"/>
        <c:crossBetween val="between"/>
      </c:valAx>
    </c:plotArea>
    <c:legend>
      <c:legendPos val="t"/>
      <c:overlay val="0"/>
      <c:txPr>
        <a:bodyPr/>
        <a:lstStyle/>
        <a:p>
          <a:pPr>
            <a:defRPr sz="1400"/>
          </a:pPr>
          <a:endParaRPr lang="tr-TR"/>
        </a:p>
      </c:txPr>
    </c:legend>
    <c:plotVisOnly val="1"/>
    <c:dispBlanksAs val="gap"/>
    <c:showDLblsOverMax val="0"/>
  </c:chart>
  <c:txPr>
    <a:bodyPr/>
    <a:lstStyle/>
    <a:p>
      <a:pPr>
        <a:defRPr sz="1800"/>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Yetkilendirilmiş Kuruluş</c:v>
                </c:pt>
              </c:strCache>
            </c:strRef>
          </c:tx>
          <c:invertIfNegative val="0"/>
          <c:dLbls>
            <c:dLbl>
              <c:idx val="0"/>
              <c:layout>
                <c:manualLayout>
                  <c:x val="0"/>
                  <c:y val="-2.2889842632331962E-2"/>
                </c:manualLayout>
              </c:layout>
              <c:showLegendKey val="0"/>
              <c:showVal val="1"/>
              <c:showCatName val="0"/>
              <c:showSerName val="0"/>
              <c:showPercent val="0"/>
              <c:showBubbleSize val="0"/>
            </c:dLbl>
            <c:dLbl>
              <c:idx val="1"/>
              <c:layout>
                <c:manualLayout>
                  <c:x val="0"/>
                  <c:y val="-2.2889842632331962E-2"/>
                </c:manualLayout>
              </c:layout>
              <c:showLegendKey val="0"/>
              <c:showVal val="1"/>
              <c:showCatName val="0"/>
              <c:showSerName val="0"/>
              <c:showPercent val="0"/>
              <c:showBubbleSize val="0"/>
            </c:dLbl>
            <c:dLbl>
              <c:idx val="2"/>
              <c:layout>
                <c:manualLayout>
                  <c:x val="0"/>
                  <c:y val="-3.4334763948497847E-2"/>
                </c:manualLayout>
              </c:layout>
              <c:showLegendKey val="0"/>
              <c:showVal val="1"/>
              <c:showCatName val="0"/>
              <c:showSerName val="0"/>
              <c:showPercent val="0"/>
              <c:showBubbleSize val="0"/>
            </c:dLbl>
            <c:dLbl>
              <c:idx val="3"/>
              <c:layout>
                <c:manualLayout>
                  <c:x val="-7.8598591843725343E-17"/>
                  <c:y val="-4.005722460658083E-2"/>
                </c:manualLayout>
              </c:layout>
              <c:showLegendKey val="0"/>
              <c:showVal val="1"/>
              <c:showCatName val="0"/>
              <c:showSerName val="0"/>
              <c:showPercent val="0"/>
              <c:showBubbleSize val="0"/>
            </c:dLbl>
            <c:dLbl>
              <c:idx val="4"/>
              <c:layout>
                <c:manualLayout>
                  <c:x val="0"/>
                  <c:y val="-3.4334763948497847E-2"/>
                </c:manualLayout>
              </c:layout>
              <c:showLegendKey val="0"/>
              <c:showVal val="1"/>
              <c:showCatName val="0"/>
              <c:showSerName val="0"/>
              <c:showPercent val="0"/>
              <c:showBubbleSize val="0"/>
            </c:dLbl>
            <c:txPr>
              <a:bodyPr/>
              <a:lstStyle/>
              <a:p>
                <a:pPr>
                  <a:defRPr sz="1200" b="1"/>
                </a:pPr>
                <a:endParaRPr lang="tr-TR"/>
              </a:p>
            </c:txPr>
            <c:showLegendKey val="0"/>
            <c:showVal val="1"/>
            <c:showCatName val="0"/>
            <c:showSerName val="0"/>
            <c:showPercent val="0"/>
            <c:showBubbleSize val="0"/>
            <c:showLeaderLines val="0"/>
          </c:dLbls>
          <c:cat>
            <c:numRef>
              <c:f>Sayfa1!$A$2:$A$8</c:f>
              <c:numCache>
                <c:formatCode>General</c:formatCode>
                <c:ptCount val="7"/>
                <c:pt idx="0">
                  <c:v>2005</c:v>
                </c:pt>
                <c:pt idx="1">
                  <c:v>2006</c:v>
                </c:pt>
                <c:pt idx="2">
                  <c:v>2007</c:v>
                </c:pt>
                <c:pt idx="3">
                  <c:v>2008</c:v>
                </c:pt>
                <c:pt idx="4">
                  <c:v>2009</c:v>
                </c:pt>
                <c:pt idx="5">
                  <c:v>2010</c:v>
                </c:pt>
                <c:pt idx="6">
                  <c:v>2011</c:v>
                </c:pt>
              </c:numCache>
            </c:numRef>
          </c:cat>
          <c:val>
            <c:numRef>
              <c:f>Sayfa1!$B$2:$B$8</c:f>
              <c:numCache>
                <c:formatCode>0</c:formatCode>
                <c:ptCount val="7"/>
                <c:pt idx="0">
                  <c:v>2</c:v>
                </c:pt>
                <c:pt idx="1">
                  <c:v>2</c:v>
                </c:pt>
                <c:pt idx="2">
                  <c:v>2</c:v>
                </c:pt>
                <c:pt idx="3">
                  <c:v>1</c:v>
                </c:pt>
                <c:pt idx="4">
                  <c:v>1</c:v>
                </c:pt>
                <c:pt idx="5">
                  <c:v>2</c:v>
                </c:pt>
                <c:pt idx="6">
                  <c:v>2</c:v>
                </c:pt>
              </c:numCache>
            </c:numRef>
          </c:val>
        </c:ser>
        <c:dLbls>
          <c:showLegendKey val="0"/>
          <c:showVal val="1"/>
          <c:showCatName val="0"/>
          <c:showSerName val="0"/>
          <c:showPercent val="0"/>
          <c:showBubbleSize val="0"/>
        </c:dLbls>
        <c:gapWidth val="75"/>
        <c:shape val="cylinder"/>
        <c:axId val="31092096"/>
        <c:axId val="66242816"/>
        <c:axId val="0"/>
      </c:bar3DChart>
      <c:catAx>
        <c:axId val="31092096"/>
        <c:scaling>
          <c:orientation val="minMax"/>
        </c:scaling>
        <c:delete val="0"/>
        <c:axPos val="b"/>
        <c:numFmt formatCode="General" sourceLinked="1"/>
        <c:majorTickMark val="none"/>
        <c:minorTickMark val="none"/>
        <c:tickLblPos val="nextTo"/>
        <c:txPr>
          <a:bodyPr/>
          <a:lstStyle/>
          <a:p>
            <a:pPr>
              <a:defRPr sz="1200" b="1"/>
            </a:pPr>
            <a:endParaRPr lang="tr-TR"/>
          </a:p>
        </c:txPr>
        <c:crossAx val="66242816"/>
        <c:crosses val="autoZero"/>
        <c:auto val="1"/>
        <c:lblAlgn val="ctr"/>
        <c:lblOffset val="100"/>
        <c:noMultiLvlLbl val="0"/>
      </c:catAx>
      <c:valAx>
        <c:axId val="66242816"/>
        <c:scaling>
          <c:orientation val="minMax"/>
        </c:scaling>
        <c:delete val="0"/>
        <c:axPos val="l"/>
        <c:numFmt formatCode="0" sourceLinked="1"/>
        <c:majorTickMark val="none"/>
        <c:minorTickMark val="none"/>
        <c:tickLblPos val="none"/>
        <c:crossAx val="310920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Toplama Ayırma Tesisi</c:v>
                </c:pt>
              </c:strCache>
            </c:strRef>
          </c:tx>
          <c:invertIfNegative val="0"/>
          <c:dLbls>
            <c:dLbl>
              <c:idx val="8"/>
              <c:layout>
                <c:manualLayout>
                  <c:x val="-1.1564871702204554E-2"/>
                  <c:y val="-8.0000000000000002E-3"/>
                </c:manualLayout>
              </c:layout>
              <c:showLegendKey val="0"/>
              <c:showVal val="1"/>
              <c:showCatName val="0"/>
              <c:showSerName val="0"/>
              <c:showPercent val="0"/>
              <c:showBubbleSize val="0"/>
            </c:dLbl>
            <c:txPr>
              <a:bodyPr/>
              <a:lstStyle/>
              <a:p>
                <a:pPr>
                  <a:defRPr sz="1200"/>
                </a:pPr>
                <a:endParaRPr lang="tr-TR"/>
              </a:p>
            </c:txPr>
            <c:showLegendKey val="0"/>
            <c:showVal val="1"/>
            <c:showCatName val="0"/>
            <c:showSerName val="0"/>
            <c:showPercent val="0"/>
            <c:showBubbleSize val="0"/>
            <c:showLeaderLines val="0"/>
          </c:dLbls>
          <c:cat>
            <c:numRef>
              <c:f>Sayfa1!$A$2:$A$10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Sayfa1!$B$2:$B$10</c:f>
              <c:numCache>
                <c:formatCode>General</c:formatCode>
                <c:ptCount val="9"/>
                <c:pt idx="0">
                  <c:v>15</c:v>
                </c:pt>
                <c:pt idx="1">
                  <c:v>23</c:v>
                </c:pt>
                <c:pt idx="2">
                  <c:v>31</c:v>
                </c:pt>
                <c:pt idx="3">
                  <c:v>69</c:v>
                </c:pt>
                <c:pt idx="4">
                  <c:v>101</c:v>
                </c:pt>
                <c:pt idx="5">
                  <c:v>137</c:v>
                </c:pt>
                <c:pt idx="6">
                  <c:v>176</c:v>
                </c:pt>
                <c:pt idx="7">
                  <c:v>210</c:v>
                </c:pt>
                <c:pt idx="8">
                  <c:v>266</c:v>
                </c:pt>
              </c:numCache>
            </c:numRef>
          </c:val>
        </c:ser>
        <c:ser>
          <c:idx val="1"/>
          <c:order val="1"/>
          <c:tx>
            <c:strRef>
              <c:f>Sayfa1!$C$1</c:f>
              <c:strCache>
                <c:ptCount val="1"/>
                <c:pt idx="0">
                  <c:v>Geri Dönüşüm Tesisi</c:v>
                </c:pt>
              </c:strCache>
            </c:strRef>
          </c:tx>
          <c:invertIfNegative val="0"/>
          <c:dLbls>
            <c:dLbl>
              <c:idx val="4"/>
              <c:layout>
                <c:manualLayout>
                  <c:x val="8.0167860136752481E-3"/>
                  <c:y val="0"/>
                </c:manualLayout>
              </c:layout>
              <c:showLegendKey val="0"/>
              <c:showVal val="1"/>
              <c:showCatName val="0"/>
              <c:showSerName val="0"/>
              <c:showPercent val="0"/>
              <c:showBubbleSize val="0"/>
            </c:dLbl>
            <c:dLbl>
              <c:idx val="5"/>
              <c:layout>
                <c:manualLayout>
                  <c:x val="1.803776853076931E-2"/>
                  <c:y val="-1.7116991808643352E-2"/>
                </c:manualLayout>
              </c:layout>
              <c:showLegendKey val="0"/>
              <c:showVal val="1"/>
              <c:showCatName val="0"/>
              <c:showSerName val="0"/>
              <c:showPercent val="0"/>
              <c:showBubbleSize val="0"/>
            </c:dLbl>
            <c:dLbl>
              <c:idx val="6"/>
              <c:layout>
                <c:manualLayout>
                  <c:x val="1.002098251709406E-2"/>
                  <c:y val="-3.4233983617286707E-3"/>
                </c:manualLayout>
              </c:layout>
              <c:showLegendKey val="0"/>
              <c:showVal val="1"/>
              <c:showCatName val="0"/>
              <c:showSerName val="0"/>
              <c:showPercent val="0"/>
              <c:showBubbleSize val="0"/>
            </c:dLbl>
            <c:dLbl>
              <c:idx val="7"/>
              <c:layout>
                <c:manualLayout>
                  <c:x val="1.803776853076931E-2"/>
                  <c:y val="-1.7117261367569473E-2"/>
                </c:manualLayout>
              </c:layout>
              <c:showLegendKey val="0"/>
              <c:showVal val="1"/>
              <c:showCatName val="0"/>
              <c:showSerName val="0"/>
              <c:showPercent val="0"/>
              <c:showBubbleSize val="0"/>
            </c:dLbl>
            <c:dLbl>
              <c:idx val="8"/>
              <c:layout>
                <c:manualLayout>
                  <c:x val="1.4456089627754632E-3"/>
                  <c:y val="-1.3333333333333327E-2"/>
                </c:manualLayout>
              </c:layout>
              <c:showLegendKey val="0"/>
              <c:showVal val="1"/>
              <c:showCatName val="0"/>
              <c:showSerName val="0"/>
              <c:showPercent val="0"/>
              <c:showBubbleSize val="0"/>
            </c:dLbl>
            <c:txPr>
              <a:bodyPr/>
              <a:lstStyle/>
              <a:p>
                <a:pPr>
                  <a:defRPr sz="1200"/>
                </a:pPr>
                <a:endParaRPr lang="tr-TR"/>
              </a:p>
            </c:txPr>
            <c:showLegendKey val="0"/>
            <c:showVal val="1"/>
            <c:showCatName val="0"/>
            <c:showSerName val="0"/>
            <c:showPercent val="0"/>
            <c:showBubbleSize val="0"/>
            <c:showLeaderLines val="0"/>
          </c:dLbls>
          <c:cat>
            <c:numRef>
              <c:f>Sayfa1!$A$2:$A$10</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Sayfa1!$C$2:$C$10</c:f>
              <c:numCache>
                <c:formatCode>General</c:formatCode>
                <c:ptCount val="9"/>
                <c:pt idx="0">
                  <c:v>13</c:v>
                </c:pt>
                <c:pt idx="1">
                  <c:v>14</c:v>
                </c:pt>
                <c:pt idx="2">
                  <c:v>19</c:v>
                </c:pt>
                <c:pt idx="3">
                  <c:v>70</c:v>
                </c:pt>
                <c:pt idx="4">
                  <c:v>81</c:v>
                </c:pt>
                <c:pt idx="5">
                  <c:v>89</c:v>
                </c:pt>
                <c:pt idx="6">
                  <c:v>134</c:v>
                </c:pt>
                <c:pt idx="7">
                  <c:v>170</c:v>
                </c:pt>
                <c:pt idx="8">
                  <c:v>276</c:v>
                </c:pt>
              </c:numCache>
            </c:numRef>
          </c:val>
        </c:ser>
        <c:dLbls>
          <c:showLegendKey val="0"/>
          <c:showVal val="0"/>
          <c:showCatName val="0"/>
          <c:showSerName val="0"/>
          <c:showPercent val="0"/>
          <c:showBubbleSize val="0"/>
        </c:dLbls>
        <c:gapWidth val="75"/>
        <c:shape val="cylinder"/>
        <c:axId val="70552960"/>
        <c:axId val="70562944"/>
        <c:axId val="0"/>
      </c:bar3DChart>
      <c:catAx>
        <c:axId val="70552960"/>
        <c:scaling>
          <c:orientation val="minMax"/>
        </c:scaling>
        <c:delete val="0"/>
        <c:axPos val="b"/>
        <c:numFmt formatCode="General" sourceLinked="1"/>
        <c:majorTickMark val="none"/>
        <c:minorTickMark val="none"/>
        <c:tickLblPos val="nextTo"/>
        <c:txPr>
          <a:bodyPr/>
          <a:lstStyle/>
          <a:p>
            <a:pPr>
              <a:defRPr sz="1200"/>
            </a:pPr>
            <a:endParaRPr lang="tr-TR"/>
          </a:p>
        </c:txPr>
        <c:crossAx val="70562944"/>
        <c:crosses val="autoZero"/>
        <c:auto val="1"/>
        <c:lblAlgn val="ctr"/>
        <c:lblOffset val="100"/>
        <c:noMultiLvlLbl val="0"/>
      </c:catAx>
      <c:valAx>
        <c:axId val="70562944"/>
        <c:scaling>
          <c:orientation val="minMax"/>
        </c:scaling>
        <c:delete val="0"/>
        <c:axPos val="l"/>
        <c:numFmt formatCode="General" sourceLinked="1"/>
        <c:majorTickMark val="none"/>
        <c:minorTickMark val="none"/>
        <c:tickLblPos val="nextTo"/>
        <c:txPr>
          <a:bodyPr/>
          <a:lstStyle/>
          <a:p>
            <a:pPr>
              <a:defRPr sz="1200"/>
            </a:pPr>
            <a:endParaRPr lang="tr-TR"/>
          </a:p>
        </c:txPr>
        <c:crossAx val="70552960"/>
        <c:crosses val="autoZero"/>
        <c:crossBetween val="between"/>
      </c:valAx>
    </c:plotArea>
    <c:legend>
      <c:legendPos val="b"/>
      <c:overlay val="0"/>
      <c:txPr>
        <a:bodyPr/>
        <a:lstStyle/>
        <a:p>
          <a:pPr>
            <a:defRPr sz="1200"/>
          </a:pPr>
          <a:endParaRPr lang="tr-TR"/>
        </a:p>
      </c:txPr>
    </c:legend>
    <c:plotVisOnly val="1"/>
    <c:dispBlanksAs val="gap"/>
    <c:showDLblsOverMax val="0"/>
  </c:chart>
  <c:txPr>
    <a:bodyPr/>
    <a:lstStyle/>
    <a:p>
      <a:pPr>
        <a:defRPr sz="1800"/>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Belediye sayısı</c:v>
                </c:pt>
              </c:strCache>
            </c:strRef>
          </c:tx>
          <c:invertIfNegative val="0"/>
          <c:dLbls>
            <c:dLbl>
              <c:idx val="0"/>
              <c:layout>
                <c:manualLayout>
                  <c:x val="0"/>
                  <c:y val="-6.3492063492063502E-2"/>
                </c:manualLayout>
              </c:layout>
              <c:showLegendKey val="0"/>
              <c:showVal val="1"/>
              <c:showCatName val="0"/>
              <c:showSerName val="0"/>
              <c:showPercent val="0"/>
              <c:showBubbleSize val="0"/>
            </c:dLbl>
            <c:dLbl>
              <c:idx val="1"/>
              <c:layout>
                <c:manualLayout>
                  <c:x val="-4.243778136006727E-17"/>
                  <c:y val="-3.5714285714285712E-2"/>
                </c:manualLayout>
              </c:layout>
              <c:showLegendKey val="0"/>
              <c:showVal val="1"/>
              <c:showCatName val="0"/>
              <c:showSerName val="0"/>
              <c:showPercent val="0"/>
              <c:showBubbleSize val="0"/>
            </c:dLbl>
            <c:dLbl>
              <c:idx val="2"/>
              <c:layout>
                <c:manualLayout>
                  <c:x val="7.8303031498782403E-3"/>
                  <c:y val="-5.0627319148616845E-2"/>
                </c:manualLayout>
              </c:layout>
              <c:showLegendKey val="0"/>
              <c:showVal val="1"/>
              <c:showCatName val="0"/>
              <c:showSerName val="0"/>
              <c:showPercent val="0"/>
              <c:showBubbleSize val="0"/>
            </c:dLbl>
            <c:dLbl>
              <c:idx val="3"/>
              <c:layout>
                <c:manualLayout>
                  <c:x val="3.9151515749390837E-3"/>
                  <c:y val="-1.4890387984887312E-2"/>
                </c:manualLayout>
              </c:layout>
              <c:showLegendKey val="0"/>
              <c:showVal val="1"/>
              <c:showCatName val="0"/>
              <c:showSerName val="0"/>
              <c:showPercent val="0"/>
              <c:showBubbleSize val="0"/>
            </c:dLbl>
            <c:txPr>
              <a:bodyPr/>
              <a:lstStyle/>
              <a:p>
                <a:pPr>
                  <a:defRPr sz="1800" b="1"/>
                </a:pPr>
                <a:endParaRPr lang="tr-TR"/>
              </a:p>
            </c:txPr>
            <c:showLegendKey val="0"/>
            <c:showVal val="1"/>
            <c:showCatName val="0"/>
            <c:showSerName val="0"/>
            <c:showPercent val="0"/>
            <c:showBubbleSize val="0"/>
            <c:showLeaderLines val="0"/>
          </c:dLbls>
          <c:cat>
            <c:numRef>
              <c:f>Sayfa1!$A$2:$A$5</c:f>
              <c:numCache>
                <c:formatCode>General</c:formatCode>
                <c:ptCount val="4"/>
                <c:pt idx="0">
                  <c:v>2008</c:v>
                </c:pt>
                <c:pt idx="1">
                  <c:v>2009</c:v>
                </c:pt>
                <c:pt idx="2">
                  <c:v>2010</c:v>
                </c:pt>
                <c:pt idx="3">
                  <c:v>2011</c:v>
                </c:pt>
              </c:numCache>
            </c:numRef>
          </c:cat>
          <c:val>
            <c:numRef>
              <c:f>Sayfa1!$B$2:$B$5</c:f>
              <c:numCache>
                <c:formatCode>General</c:formatCode>
                <c:ptCount val="4"/>
                <c:pt idx="0">
                  <c:v>108</c:v>
                </c:pt>
                <c:pt idx="1">
                  <c:v>219</c:v>
                </c:pt>
                <c:pt idx="2">
                  <c:v>262</c:v>
                </c:pt>
                <c:pt idx="3">
                  <c:v>406</c:v>
                </c:pt>
              </c:numCache>
            </c:numRef>
          </c:val>
        </c:ser>
        <c:dLbls>
          <c:showLegendKey val="0"/>
          <c:showVal val="1"/>
          <c:showCatName val="0"/>
          <c:showSerName val="0"/>
          <c:showPercent val="0"/>
          <c:showBubbleSize val="0"/>
        </c:dLbls>
        <c:gapWidth val="75"/>
        <c:shape val="cylinder"/>
        <c:axId val="70734208"/>
        <c:axId val="70736896"/>
        <c:axId val="0"/>
      </c:bar3DChart>
      <c:catAx>
        <c:axId val="70734208"/>
        <c:scaling>
          <c:orientation val="minMax"/>
        </c:scaling>
        <c:delete val="0"/>
        <c:axPos val="b"/>
        <c:numFmt formatCode="General" sourceLinked="1"/>
        <c:majorTickMark val="none"/>
        <c:minorTickMark val="none"/>
        <c:tickLblPos val="nextTo"/>
        <c:txPr>
          <a:bodyPr/>
          <a:lstStyle/>
          <a:p>
            <a:pPr>
              <a:defRPr sz="1200" b="1"/>
            </a:pPr>
            <a:endParaRPr lang="tr-TR"/>
          </a:p>
        </c:txPr>
        <c:crossAx val="70736896"/>
        <c:crosses val="autoZero"/>
        <c:auto val="1"/>
        <c:lblAlgn val="ctr"/>
        <c:lblOffset val="100"/>
        <c:noMultiLvlLbl val="0"/>
      </c:catAx>
      <c:valAx>
        <c:axId val="70736896"/>
        <c:scaling>
          <c:orientation val="minMax"/>
        </c:scaling>
        <c:delete val="0"/>
        <c:axPos val="l"/>
        <c:numFmt formatCode="General" sourceLinked="1"/>
        <c:majorTickMark val="none"/>
        <c:minorTickMark val="none"/>
        <c:tickLblPos val="nextTo"/>
        <c:txPr>
          <a:bodyPr/>
          <a:lstStyle/>
          <a:p>
            <a:pPr>
              <a:defRPr sz="1200" b="1"/>
            </a:pPr>
            <a:endParaRPr lang="tr-TR"/>
          </a:p>
        </c:txPr>
        <c:crossAx val="70734208"/>
        <c:crosses val="autoZero"/>
        <c:crossBetween val="between"/>
      </c:valAx>
    </c:plotArea>
    <c:legend>
      <c:legendPos val="b"/>
      <c:overlay val="0"/>
      <c:txPr>
        <a:bodyPr/>
        <a:lstStyle/>
        <a:p>
          <a:pPr>
            <a:defRPr sz="1100" b="1"/>
          </a:pPr>
          <a:endParaRPr lang="tr-TR"/>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007-7428-45F5-B29A-A6279FCF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hulya.cakir</dc:creator>
  <cp:keywords/>
  <dc:description/>
  <cp:lastModifiedBy>Hülya Çakır</cp:lastModifiedBy>
  <cp:revision>37</cp:revision>
  <cp:lastPrinted>2014-02-28T11:44:00Z</cp:lastPrinted>
  <dcterms:created xsi:type="dcterms:W3CDTF">2012-02-27T07:34:00Z</dcterms:created>
  <dcterms:modified xsi:type="dcterms:W3CDTF">2014-03-11T08:24:00Z</dcterms:modified>
</cp:coreProperties>
</file>