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FCA" w:rsidRDefault="00922FCA" w:rsidP="00922FCA">
      <w:pPr>
        <w:spacing w:after="0" w:line="272" w:lineRule="atLeast"/>
        <w:rPr>
          <w:rFonts w:ascii="Arial" w:eastAsia="Times New Roman" w:hAnsi="Arial" w:cs="Arial"/>
          <w:b/>
          <w:bCs/>
          <w:color w:val="1C283D"/>
          <w:sz w:val="20"/>
          <w:szCs w:val="20"/>
          <w:lang w:eastAsia="tr-TR"/>
        </w:rPr>
      </w:pPr>
      <w:r>
        <w:rPr>
          <w:rFonts w:ascii="Arial" w:hAnsi="Arial" w:cs="Arial"/>
          <w:color w:val="1C283D"/>
          <w:sz w:val="14"/>
          <w:szCs w:val="14"/>
        </w:rPr>
        <w:t>Resmi Gazete Tarihi: 13.06.2009 Resmi Gazete Sayısı: 27257</w:t>
      </w:r>
    </w:p>
    <w:p w:rsidR="00922FCA" w:rsidRDefault="00922FCA" w:rsidP="00922FCA">
      <w:pPr>
        <w:spacing w:after="0" w:line="272" w:lineRule="atLeast"/>
        <w:jc w:val="center"/>
        <w:rPr>
          <w:rFonts w:ascii="Arial" w:eastAsia="Times New Roman" w:hAnsi="Arial" w:cs="Arial"/>
          <w:b/>
          <w:bCs/>
          <w:color w:val="1C283D"/>
          <w:sz w:val="20"/>
          <w:szCs w:val="20"/>
          <w:lang w:eastAsia="tr-TR"/>
        </w:rPr>
      </w:pPr>
    </w:p>
    <w:p w:rsidR="00922FCA" w:rsidRPr="00922FCA" w:rsidRDefault="00922FCA" w:rsidP="00922FCA">
      <w:pPr>
        <w:spacing w:after="0" w:line="272" w:lineRule="atLeast"/>
        <w:jc w:val="center"/>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DENİZLERDE KURULAN BALIK YETİŞTİRİCİLİĞİ TESİSLERİNİN İZLENMESİNE İLİŞKİN TEBLİĞ</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 </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Amaç ve kapsam</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MADDE 1 –</w:t>
      </w:r>
      <w:r w:rsidRPr="00922FCA">
        <w:rPr>
          <w:rFonts w:ascii="Arial" w:eastAsia="Times New Roman" w:hAnsi="Arial" w:cs="Arial"/>
          <w:color w:val="1C283D"/>
          <w:sz w:val="20"/>
          <w:szCs w:val="20"/>
          <w:lang w:eastAsia="tr-TR"/>
        </w:rPr>
        <w:t xml:space="preserve"> (1) Bu Tebliğin amacı, denizlerde yapılacak balık yetiştiriciliği faaliyetlerinden kaynaklanan veya kaynaklanabilecek kirliliğin izlenmesine yönelik ilke ve esasların belirlenmesidir.</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Dayanak</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MADDE 2 –</w:t>
      </w:r>
      <w:r w:rsidRPr="00922FCA">
        <w:rPr>
          <w:rFonts w:ascii="Arial" w:eastAsia="Times New Roman" w:hAnsi="Arial" w:cs="Arial"/>
          <w:color w:val="1C283D"/>
          <w:sz w:val="20"/>
          <w:szCs w:val="20"/>
          <w:lang w:eastAsia="tr-TR"/>
        </w:rPr>
        <w:t xml:space="preserve"> (1) Bu Tebliğ, </w:t>
      </w:r>
      <w:proofErr w:type="gramStart"/>
      <w:r w:rsidRPr="00922FCA">
        <w:rPr>
          <w:rFonts w:ascii="Arial" w:eastAsia="Times New Roman" w:hAnsi="Arial" w:cs="Arial"/>
          <w:color w:val="1C283D"/>
          <w:sz w:val="20"/>
          <w:lang w:eastAsia="tr-TR"/>
        </w:rPr>
        <w:t>9/8/1983</w:t>
      </w:r>
      <w:proofErr w:type="gramEnd"/>
      <w:r w:rsidRPr="00922FCA">
        <w:rPr>
          <w:rFonts w:ascii="Arial" w:eastAsia="Times New Roman" w:hAnsi="Arial" w:cs="Arial"/>
          <w:color w:val="1C283D"/>
          <w:sz w:val="20"/>
          <w:szCs w:val="20"/>
          <w:lang w:eastAsia="tr-TR"/>
        </w:rPr>
        <w:t xml:space="preserve"> tarihli ve 2872 sayılı Çevre Kanununun ilgili hükümleri ile 31/12/2004 tarihli ve 25687 sayılı Resmî Gazete’de yayımlanan Su Kirliliği Kontrolü Yönetmeliğinin 54 üncü maddesine dayanılarak hazırlanmıştır.</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Tanımlar</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MADDE 3 –</w:t>
      </w:r>
      <w:r w:rsidRPr="00922FCA">
        <w:rPr>
          <w:rFonts w:ascii="Arial" w:eastAsia="Times New Roman" w:hAnsi="Arial" w:cs="Arial"/>
          <w:color w:val="1C283D"/>
          <w:sz w:val="20"/>
          <w:szCs w:val="20"/>
          <w:lang w:eastAsia="tr-TR"/>
        </w:rPr>
        <w:t xml:space="preserve"> (1) Bu Tebliğde geçen;</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xml:space="preserve">a) Bakanlık: Çevre ve Orman Bakanlığını, </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b) Referans noktası: Yetiştiricilik tesislerinde yer alan kafeslerin herhangi birinden 500–1000 metre arasında, hâkim akıntı yönü dışında seçilen ve koordinatları belirlenen bir noktayı,</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xml:space="preserve">c) Yetiştiricilik tesisi: Karada faaliyet gösteren adaptasyon üniteleri hariç olmak üzere yavru balıkların hasat edilme zamanına kadar yetiştirildiği tesisleri, </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xml:space="preserve">ç) </w:t>
      </w:r>
      <w:r w:rsidRPr="00922FCA">
        <w:rPr>
          <w:rFonts w:ascii="Arial" w:eastAsia="Times New Roman" w:hAnsi="Arial" w:cs="Arial"/>
          <w:b/>
          <w:bCs/>
          <w:color w:val="1C283D"/>
          <w:sz w:val="20"/>
          <w:szCs w:val="20"/>
          <w:lang w:eastAsia="tr-TR"/>
        </w:rPr>
        <w:t>(</w:t>
      </w:r>
      <w:proofErr w:type="gramStart"/>
      <w:r w:rsidRPr="00922FCA">
        <w:rPr>
          <w:rFonts w:ascii="Arial" w:eastAsia="Times New Roman" w:hAnsi="Arial" w:cs="Arial"/>
          <w:b/>
          <w:bCs/>
          <w:color w:val="1C283D"/>
          <w:sz w:val="20"/>
          <w:lang w:eastAsia="tr-TR"/>
        </w:rPr>
        <w:t>Ek:RG</w:t>
      </w:r>
      <w:proofErr w:type="gramEnd"/>
      <w:r w:rsidRPr="00922FCA">
        <w:rPr>
          <w:rFonts w:ascii="Arial" w:eastAsia="Times New Roman" w:hAnsi="Arial" w:cs="Arial"/>
          <w:b/>
          <w:bCs/>
          <w:color w:val="1C283D"/>
          <w:sz w:val="20"/>
          <w:szCs w:val="20"/>
          <w:lang w:eastAsia="tr-TR"/>
        </w:rPr>
        <w:t xml:space="preserve">-9/4/2010-27547) </w:t>
      </w:r>
      <w:r w:rsidRPr="00922FCA">
        <w:rPr>
          <w:rFonts w:ascii="Arial" w:eastAsia="Times New Roman" w:hAnsi="Arial" w:cs="Arial"/>
          <w:color w:val="1C283D"/>
          <w:sz w:val="20"/>
          <w:szCs w:val="20"/>
          <w:lang w:eastAsia="tr-TR"/>
        </w:rPr>
        <w:t xml:space="preserve">Faaliyet sahibi: Balık yetiştiricilik tesisinin gerçek veya tüzel kişi sahibini, </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proofErr w:type="gramStart"/>
      <w:r w:rsidRPr="00922FCA">
        <w:rPr>
          <w:rFonts w:ascii="Arial" w:eastAsia="Times New Roman" w:hAnsi="Arial" w:cs="Arial"/>
          <w:color w:val="1C283D"/>
          <w:sz w:val="20"/>
          <w:lang w:eastAsia="tr-TR"/>
        </w:rPr>
        <w:t>ifade</w:t>
      </w:r>
      <w:proofErr w:type="gramEnd"/>
      <w:r w:rsidRPr="00922FCA">
        <w:rPr>
          <w:rFonts w:ascii="Arial" w:eastAsia="Times New Roman" w:hAnsi="Arial" w:cs="Arial"/>
          <w:color w:val="1C283D"/>
          <w:sz w:val="20"/>
          <w:szCs w:val="20"/>
          <w:lang w:eastAsia="tr-TR"/>
        </w:rPr>
        <w:t xml:space="preserve"> eder.</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İlke ve esaslar</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MADDE 4 –</w:t>
      </w:r>
      <w:r w:rsidRPr="00922FCA">
        <w:rPr>
          <w:rFonts w:ascii="Arial" w:eastAsia="Times New Roman" w:hAnsi="Arial" w:cs="Arial"/>
          <w:color w:val="1C283D"/>
          <w:sz w:val="20"/>
          <w:szCs w:val="20"/>
          <w:lang w:eastAsia="tr-TR"/>
        </w:rPr>
        <w:t xml:space="preserve"> (1) Yetiştiricilik tesislerinden kaynaklanan atıklar, tüketim fazlası olarak kalan yemler, dışkılar ve boşaltım ürünlerinin oluşturduğu çözünmeyen veya çözülebilir karakterde olan maddelerdir. Bunlar, organik karbon, azot ve fosfor </w:t>
      </w:r>
      <w:proofErr w:type="gramStart"/>
      <w:r w:rsidRPr="00922FCA">
        <w:rPr>
          <w:rFonts w:ascii="Arial" w:eastAsia="Times New Roman" w:hAnsi="Arial" w:cs="Arial"/>
          <w:color w:val="1C283D"/>
          <w:sz w:val="20"/>
          <w:lang w:eastAsia="tr-TR"/>
        </w:rPr>
        <w:t>fraksiyonlarıdır</w:t>
      </w:r>
      <w:proofErr w:type="gramEnd"/>
      <w:r w:rsidRPr="00922FCA">
        <w:rPr>
          <w:rFonts w:ascii="Arial" w:eastAsia="Times New Roman" w:hAnsi="Arial" w:cs="Arial"/>
          <w:color w:val="1C283D"/>
          <w:sz w:val="20"/>
          <w:szCs w:val="20"/>
          <w:lang w:eastAsia="tr-TR"/>
        </w:rPr>
        <w:t xml:space="preserve">. Çevreye etkileri çiftliğin büyüklüğü ve ortamın hidrografisine bağlı olarak değişmektedir. Organik atığın </w:t>
      </w:r>
      <w:proofErr w:type="spellStart"/>
      <w:r w:rsidRPr="00922FCA">
        <w:rPr>
          <w:rFonts w:ascii="Arial" w:eastAsia="Times New Roman" w:hAnsi="Arial" w:cs="Arial"/>
          <w:color w:val="1C283D"/>
          <w:sz w:val="20"/>
          <w:lang w:eastAsia="tr-TR"/>
        </w:rPr>
        <w:t>mikrobial</w:t>
      </w:r>
      <w:proofErr w:type="spellEnd"/>
      <w:r w:rsidRPr="00922FCA">
        <w:rPr>
          <w:rFonts w:ascii="Arial" w:eastAsia="Times New Roman" w:hAnsi="Arial" w:cs="Arial"/>
          <w:color w:val="1C283D"/>
          <w:sz w:val="20"/>
          <w:szCs w:val="20"/>
          <w:lang w:eastAsia="tr-TR"/>
        </w:rPr>
        <w:t xml:space="preserve"> bozunması; amonyak, nitrat, </w:t>
      </w:r>
      <w:proofErr w:type="spellStart"/>
      <w:r w:rsidRPr="00922FCA">
        <w:rPr>
          <w:rFonts w:ascii="Arial" w:eastAsia="Times New Roman" w:hAnsi="Arial" w:cs="Arial"/>
          <w:color w:val="1C283D"/>
          <w:sz w:val="20"/>
          <w:lang w:eastAsia="tr-TR"/>
        </w:rPr>
        <w:t>nitrit</w:t>
      </w:r>
      <w:proofErr w:type="spellEnd"/>
      <w:r w:rsidRPr="00922FCA">
        <w:rPr>
          <w:rFonts w:ascii="Arial" w:eastAsia="Times New Roman" w:hAnsi="Arial" w:cs="Arial"/>
          <w:color w:val="1C283D"/>
          <w:sz w:val="20"/>
          <w:szCs w:val="20"/>
          <w:lang w:eastAsia="tr-TR"/>
        </w:rPr>
        <w:t xml:space="preserve">, fosfat ve diğer inorganik maddelerin açığa çıkmasının başlıca nedenleridir. Atıkların denizel ortama girişi sadece su kalite parametrelerini değiştirmekle kalmayıp </w:t>
      </w:r>
      <w:proofErr w:type="spellStart"/>
      <w:r w:rsidRPr="00922FCA">
        <w:rPr>
          <w:rFonts w:ascii="Arial" w:eastAsia="Times New Roman" w:hAnsi="Arial" w:cs="Arial"/>
          <w:color w:val="1C283D"/>
          <w:sz w:val="20"/>
          <w:lang w:eastAsia="tr-TR"/>
        </w:rPr>
        <w:t>bentik</w:t>
      </w:r>
      <w:proofErr w:type="spellEnd"/>
      <w:r w:rsidRPr="00922FCA">
        <w:rPr>
          <w:rFonts w:ascii="Arial" w:eastAsia="Times New Roman" w:hAnsi="Arial" w:cs="Arial"/>
          <w:color w:val="1C283D"/>
          <w:sz w:val="20"/>
          <w:szCs w:val="20"/>
          <w:lang w:eastAsia="tr-TR"/>
        </w:rPr>
        <w:t xml:space="preserve"> canlıları etkilemekte habitat değişimine neden olmakta ve </w:t>
      </w:r>
      <w:proofErr w:type="spellStart"/>
      <w:r w:rsidRPr="00922FCA">
        <w:rPr>
          <w:rFonts w:ascii="Arial" w:eastAsia="Times New Roman" w:hAnsi="Arial" w:cs="Arial"/>
          <w:color w:val="1C283D"/>
          <w:sz w:val="20"/>
          <w:lang w:eastAsia="tr-TR"/>
        </w:rPr>
        <w:t>ötrofikasyon</w:t>
      </w:r>
      <w:proofErr w:type="spellEnd"/>
      <w:r w:rsidRPr="00922FCA">
        <w:rPr>
          <w:rFonts w:ascii="Arial" w:eastAsia="Times New Roman" w:hAnsi="Arial" w:cs="Arial"/>
          <w:color w:val="1C283D"/>
          <w:sz w:val="20"/>
          <w:szCs w:val="20"/>
          <w:lang w:eastAsia="tr-TR"/>
        </w:rPr>
        <w:t xml:space="preserve"> riskini artırmaktadır. Bu nedenler dikkate alınarak yetiştiricilik alanlarında kirlilik izlemesinin yapılması esastır.</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xml:space="preserve">(2) </w:t>
      </w:r>
      <w:r w:rsidRPr="00922FCA">
        <w:rPr>
          <w:rFonts w:ascii="Arial" w:eastAsia="Times New Roman" w:hAnsi="Arial" w:cs="Arial"/>
          <w:b/>
          <w:bCs/>
          <w:color w:val="1C283D"/>
          <w:sz w:val="20"/>
          <w:szCs w:val="20"/>
          <w:lang w:eastAsia="tr-TR"/>
        </w:rPr>
        <w:t>(</w:t>
      </w:r>
      <w:proofErr w:type="gramStart"/>
      <w:r w:rsidRPr="00922FCA">
        <w:rPr>
          <w:rFonts w:ascii="Arial" w:eastAsia="Times New Roman" w:hAnsi="Arial" w:cs="Arial"/>
          <w:b/>
          <w:bCs/>
          <w:color w:val="1C283D"/>
          <w:sz w:val="20"/>
          <w:lang w:eastAsia="tr-TR"/>
        </w:rPr>
        <w:t>Değişik:RG</w:t>
      </w:r>
      <w:proofErr w:type="gramEnd"/>
      <w:r w:rsidRPr="00922FCA">
        <w:rPr>
          <w:rFonts w:ascii="Arial" w:eastAsia="Times New Roman" w:hAnsi="Arial" w:cs="Arial"/>
          <w:b/>
          <w:bCs/>
          <w:color w:val="1C283D"/>
          <w:sz w:val="20"/>
          <w:szCs w:val="20"/>
          <w:lang w:eastAsia="tr-TR"/>
        </w:rPr>
        <w:t xml:space="preserve">-9/4/2010-27547) </w:t>
      </w:r>
      <w:r w:rsidRPr="00922FCA">
        <w:rPr>
          <w:rFonts w:ascii="Arial" w:eastAsia="Times New Roman" w:hAnsi="Arial" w:cs="Arial"/>
          <w:color w:val="1C283D"/>
          <w:sz w:val="20"/>
          <w:szCs w:val="20"/>
          <w:lang w:eastAsia="tr-TR"/>
        </w:rPr>
        <w:t>Faaliyet sahibinin yükümlülükleri şunlardır:</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xml:space="preserve">a) Faaliyet sahibi, tesislerinin çevreye olabilecek etkilerinin izlenmesinden ve kayıtlarının tutulmasından sorumludur. </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xml:space="preserve">b) Faaliyet sahibi, faaliyete geçmeden önce, tesisin kurulacağı alana ilişkin mevcut durumun belirlenmesi amacıyla bu Tebliğin 6 </w:t>
      </w:r>
      <w:proofErr w:type="spellStart"/>
      <w:r w:rsidRPr="00922FCA">
        <w:rPr>
          <w:rFonts w:ascii="Arial" w:eastAsia="Times New Roman" w:hAnsi="Arial" w:cs="Arial"/>
          <w:color w:val="1C283D"/>
          <w:sz w:val="20"/>
          <w:lang w:eastAsia="tr-TR"/>
        </w:rPr>
        <w:t>ncı</w:t>
      </w:r>
      <w:proofErr w:type="spellEnd"/>
      <w:r w:rsidRPr="00922FCA">
        <w:rPr>
          <w:rFonts w:ascii="Arial" w:eastAsia="Times New Roman" w:hAnsi="Arial" w:cs="Arial"/>
          <w:color w:val="1C283D"/>
          <w:sz w:val="20"/>
          <w:szCs w:val="20"/>
          <w:lang w:eastAsia="tr-TR"/>
        </w:rPr>
        <w:t xml:space="preserve"> maddesinde belirtilen ölçüm ve analizleri yaptırmakla yükümlüdür.</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xml:space="preserve">c) Faaliyet sahibi, yetiştiricilik tesislerinin faaliyet göstereceği alanda yapılan analiz sonuçlarının kıyaslanabilmesi amacıyla, bu Tebliğin 6 </w:t>
      </w:r>
      <w:proofErr w:type="spellStart"/>
      <w:r w:rsidRPr="00922FCA">
        <w:rPr>
          <w:rFonts w:ascii="Arial" w:eastAsia="Times New Roman" w:hAnsi="Arial" w:cs="Arial"/>
          <w:color w:val="1C283D"/>
          <w:sz w:val="20"/>
          <w:lang w:eastAsia="tr-TR"/>
        </w:rPr>
        <w:t>ncı</w:t>
      </w:r>
      <w:proofErr w:type="spellEnd"/>
      <w:r w:rsidRPr="00922FCA">
        <w:rPr>
          <w:rFonts w:ascii="Arial" w:eastAsia="Times New Roman" w:hAnsi="Arial" w:cs="Arial"/>
          <w:color w:val="1C283D"/>
          <w:sz w:val="20"/>
          <w:szCs w:val="20"/>
          <w:lang w:eastAsia="tr-TR"/>
        </w:rPr>
        <w:t xml:space="preserve"> maddesinde belirtilen ölçümleri, referans noktasında da yaptırmak zorundadır.</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w:t>
      </w:r>
    </w:p>
    <w:p w:rsidR="00922FCA" w:rsidRPr="00922FCA" w:rsidRDefault="00922FCA" w:rsidP="00922FCA">
      <w:pPr>
        <w:spacing w:before="100" w:beforeAutospacing="1" w:after="100" w:afterAutospacing="1" w:line="272" w:lineRule="atLeast"/>
        <w:rPr>
          <w:rFonts w:ascii="Arial" w:eastAsia="Times New Roman" w:hAnsi="Arial" w:cs="Arial"/>
          <w:color w:val="1C283D"/>
          <w:sz w:val="14"/>
          <w:szCs w:val="14"/>
          <w:lang w:eastAsia="tr-TR"/>
        </w:rPr>
      </w:pPr>
      <w:r>
        <w:rPr>
          <w:rFonts w:ascii="Arial" w:eastAsia="Times New Roman" w:hAnsi="Arial" w:cs="Arial"/>
          <w:noProof/>
          <w:color w:val="1C283D"/>
          <w:sz w:val="20"/>
          <w:szCs w:val="20"/>
          <w:lang w:eastAsia="tr-TR"/>
        </w:rPr>
        <w:lastRenderedPageBreak/>
        <w:drawing>
          <wp:inline distT="0" distB="0" distL="0" distR="0">
            <wp:extent cx="5710555" cy="3088005"/>
            <wp:effectExtent l="19050" t="0" r="4445" b="0"/>
            <wp:docPr id="1" name="Resim 1" descr="http://www.mevzuat.gov.tr/MevzuatMetin/yonetmelik/9.5.13117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9.5.13117_dosyalar/image001.gif"/>
                    <pic:cNvPicPr>
                      <a:picLocks noChangeAspect="1" noChangeArrowheads="1"/>
                    </pic:cNvPicPr>
                  </pic:nvPicPr>
                  <pic:blipFill>
                    <a:blip r:embed="rId4"/>
                    <a:srcRect/>
                    <a:stretch>
                      <a:fillRect/>
                    </a:stretch>
                  </pic:blipFill>
                  <pic:spPr bwMode="auto">
                    <a:xfrm>
                      <a:off x="0" y="0"/>
                      <a:ext cx="5710555" cy="3088005"/>
                    </a:xfrm>
                    <a:prstGeom prst="rect">
                      <a:avLst/>
                    </a:prstGeom>
                    <a:noFill/>
                    <a:ln w="9525">
                      <a:noFill/>
                      <a:miter lim="800000"/>
                      <a:headEnd/>
                      <a:tailEnd/>
                    </a:ln>
                  </pic:spPr>
                </pic:pic>
              </a:graphicData>
            </a:graphic>
          </wp:inline>
        </w:drawing>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ç) Faaliyet sahibi, izlemenin sonuçlarını denetim esnasında ilgililere göstermek zorundadır.</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d) Faaliyet sahibi, Bakanlığın gerekli gördüğü durumlarda, yetiştiricilik tesisine ilişkin kontrol amaçlı numune aldırır ve analizini yaptırır.</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Numune alma ve saklama koşulları</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MADDE 5 – (</w:t>
      </w:r>
      <w:proofErr w:type="gramStart"/>
      <w:r w:rsidRPr="00922FCA">
        <w:rPr>
          <w:rFonts w:ascii="Arial" w:eastAsia="Times New Roman" w:hAnsi="Arial" w:cs="Arial"/>
          <w:b/>
          <w:bCs/>
          <w:color w:val="1C283D"/>
          <w:sz w:val="20"/>
          <w:lang w:eastAsia="tr-TR"/>
        </w:rPr>
        <w:t>Değişik:RG</w:t>
      </w:r>
      <w:proofErr w:type="gramEnd"/>
      <w:r w:rsidRPr="00922FCA">
        <w:rPr>
          <w:rFonts w:ascii="Arial" w:eastAsia="Times New Roman" w:hAnsi="Arial" w:cs="Arial"/>
          <w:b/>
          <w:bCs/>
          <w:color w:val="1C283D"/>
          <w:sz w:val="20"/>
          <w:szCs w:val="20"/>
          <w:lang w:eastAsia="tr-TR"/>
        </w:rPr>
        <w:t xml:space="preserve">-9/4/2010-27547) </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(1) Numune alma ve saklama koşulları aşağıda belirtildiği şekildedir.</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a) Deniz ortamından numune alma; numunenin alındığı tarih, saat, meteorolojik şartlar (yağış, hava sıcaklığı, rüzgâr durumu, akıntı yönü) ve su sıcaklığı belirtilerek yapılır. Numune alma noktalarının koordinatları, noktanın derinliği, o noktadaki toplam su derinliği kaydedilir.</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xml:space="preserve">b) Yetiştiricilik tesisini temsil edecek şekilde, tesisin 20’şer metre açığından, 4 kenarından dip, orta ve yüzey olmak üzere üç derinlikten örnekleme yapılır. Her derinlikten alınan örnekler ayrı </w:t>
      </w:r>
      <w:proofErr w:type="spellStart"/>
      <w:r w:rsidRPr="00922FCA">
        <w:rPr>
          <w:rFonts w:ascii="Arial" w:eastAsia="Times New Roman" w:hAnsi="Arial" w:cs="Arial"/>
          <w:color w:val="1C283D"/>
          <w:sz w:val="20"/>
          <w:lang w:eastAsia="tr-TR"/>
        </w:rPr>
        <w:t>ayrı</w:t>
      </w:r>
      <w:proofErr w:type="spellEnd"/>
      <w:r w:rsidRPr="00922FCA">
        <w:rPr>
          <w:rFonts w:ascii="Arial" w:eastAsia="Times New Roman" w:hAnsi="Arial" w:cs="Arial"/>
          <w:color w:val="1C283D"/>
          <w:sz w:val="20"/>
          <w:szCs w:val="20"/>
          <w:lang w:eastAsia="tr-TR"/>
        </w:rPr>
        <w:t xml:space="preserve"> karıştırılarak her derinlik için birer </w:t>
      </w:r>
      <w:proofErr w:type="spellStart"/>
      <w:r w:rsidRPr="00922FCA">
        <w:rPr>
          <w:rFonts w:ascii="Arial" w:eastAsia="Times New Roman" w:hAnsi="Arial" w:cs="Arial"/>
          <w:color w:val="1C283D"/>
          <w:sz w:val="20"/>
          <w:lang w:eastAsia="tr-TR"/>
        </w:rPr>
        <w:t>kompozit</w:t>
      </w:r>
      <w:proofErr w:type="spellEnd"/>
      <w:r w:rsidRPr="00922FCA">
        <w:rPr>
          <w:rFonts w:ascii="Arial" w:eastAsia="Times New Roman" w:hAnsi="Arial" w:cs="Arial"/>
          <w:color w:val="1C283D"/>
          <w:sz w:val="20"/>
          <w:szCs w:val="20"/>
          <w:lang w:eastAsia="tr-TR"/>
        </w:rPr>
        <w:t xml:space="preserve"> numune oluşturulur ve 3 farklı derinlikteki numuneler analiz edilir.</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c) Referans noktasında da 3 farklı derinlikten numuneler alınır ve analiz edilir.</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ç) Dip çökeltisi örneği tesisi temsil edecek şekilde tesisin 20 metre açığından ve akıntı yönünde belirlenecek bir noktadan alınır ve referans noktasından alınacak dip çökeltisi örneği ile karşılaştırılır.</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xml:space="preserve">d) Numune alma, saklama ve analiz yöntemleri ile ilgili olarak </w:t>
      </w:r>
      <w:proofErr w:type="gramStart"/>
      <w:r w:rsidRPr="00922FCA">
        <w:rPr>
          <w:rFonts w:ascii="Arial" w:eastAsia="Times New Roman" w:hAnsi="Arial" w:cs="Arial"/>
          <w:color w:val="1C283D"/>
          <w:sz w:val="20"/>
          <w:lang w:eastAsia="tr-TR"/>
        </w:rPr>
        <w:t>10/10/2009</w:t>
      </w:r>
      <w:proofErr w:type="gramEnd"/>
      <w:r w:rsidRPr="00922FCA">
        <w:rPr>
          <w:rFonts w:ascii="Arial" w:eastAsia="Times New Roman" w:hAnsi="Arial" w:cs="Arial"/>
          <w:color w:val="1C283D"/>
          <w:sz w:val="20"/>
          <w:szCs w:val="20"/>
          <w:lang w:eastAsia="tr-TR"/>
        </w:rPr>
        <w:t xml:space="preserve"> tarihli ve 27372 sayılı Resmî Gazete’de yayımlanan “Su Kirliliği Kontrolü Yönetmeliği Numune Alma ve Analiz </w:t>
      </w:r>
      <w:proofErr w:type="spellStart"/>
      <w:r w:rsidRPr="00922FCA">
        <w:rPr>
          <w:rFonts w:ascii="Arial" w:eastAsia="Times New Roman" w:hAnsi="Arial" w:cs="Arial"/>
          <w:color w:val="1C283D"/>
          <w:sz w:val="20"/>
          <w:lang w:eastAsia="tr-TR"/>
        </w:rPr>
        <w:t>Metodları</w:t>
      </w:r>
      <w:proofErr w:type="spellEnd"/>
      <w:r w:rsidRPr="00922FCA">
        <w:rPr>
          <w:rFonts w:ascii="Arial" w:eastAsia="Times New Roman" w:hAnsi="Arial" w:cs="Arial"/>
          <w:color w:val="1C283D"/>
          <w:sz w:val="20"/>
          <w:szCs w:val="20"/>
          <w:lang w:eastAsia="tr-TR"/>
        </w:rPr>
        <w:t xml:space="preserve"> Tebliği” hükümlerine uyulur.</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lastRenderedPageBreak/>
        <w:t>e) Tüm numune alma noktaları için koordinatlar belirlenir ve takip eden yıllarda da aynı koordinatlardan numune alınır.</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f) Faaliyet sahibi tarafından, numune alma tarihleri, İl Çevre ve Orman Müdürlüğüne bildirilir.</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İzleme</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MADDE 6 – (</w:t>
      </w:r>
      <w:proofErr w:type="gramStart"/>
      <w:r w:rsidRPr="00922FCA">
        <w:rPr>
          <w:rFonts w:ascii="Arial" w:eastAsia="Times New Roman" w:hAnsi="Arial" w:cs="Arial"/>
          <w:b/>
          <w:bCs/>
          <w:color w:val="1C283D"/>
          <w:sz w:val="20"/>
          <w:lang w:eastAsia="tr-TR"/>
        </w:rPr>
        <w:t>Değişik:RG</w:t>
      </w:r>
      <w:proofErr w:type="gramEnd"/>
      <w:r w:rsidRPr="00922FCA">
        <w:rPr>
          <w:rFonts w:ascii="Arial" w:eastAsia="Times New Roman" w:hAnsi="Arial" w:cs="Arial"/>
          <w:b/>
          <w:bCs/>
          <w:color w:val="1C283D"/>
          <w:sz w:val="20"/>
          <w:szCs w:val="20"/>
          <w:lang w:eastAsia="tr-TR"/>
        </w:rPr>
        <w:t xml:space="preserve">-9/4/2010-27547) </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xml:space="preserve">(1) Balık yetiştiriciliği yapan gerçek ve tüzel kişilere ait tesisler, faaliyete geçmelerini müteakip, aşağıda yer alan Tablo-1’de belirtilen </w:t>
      </w:r>
      <w:proofErr w:type="gramStart"/>
      <w:r w:rsidRPr="00922FCA">
        <w:rPr>
          <w:rFonts w:ascii="Arial" w:eastAsia="Times New Roman" w:hAnsi="Arial" w:cs="Arial"/>
          <w:color w:val="1C283D"/>
          <w:sz w:val="20"/>
          <w:lang w:eastAsia="tr-TR"/>
        </w:rPr>
        <w:t>kriterlere</w:t>
      </w:r>
      <w:proofErr w:type="gramEnd"/>
      <w:r w:rsidRPr="00922FCA">
        <w:rPr>
          <w:rFonts w:ascii="Arial" w:eastAsia="Times New Roman" w:hAnsi="Arial" w:cs="Arial"/>
          <w:color w:val="1C283D"/>
          <w:sz w:val="20"/>
          <w:szCs w:val="20"/>
          <w:lang w:eastAsia="tr-TR"/>
        </w:rPr>
        <w:t xml:space="preserve"> göre izlenir.</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20"/>
          <w:szCs w:val="20"/>
          <w:lang w:eastAsia="tr-TR"/>
        </w:rPr>
      </w:pP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lang w:eastAsia="tr-TR"/>
        </w:rPr>
        <w:t>Tablo-1</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w:t>
      </w:r>
    </w:p>
    <w:tbl>
      <w:tblPr>
        <w:tblW w:w="8557" w:type="dxa"/>
        <w:jc w:val="center"/>
        <w:tblCellMar>
          <w:left w:w="0" w:type="dxa"/>
          <w:right w:w="0" w:type="dxa"/>
        </w:tblCellMar>
        <w:tblLook w:val="04A0"/>
      </w:tblPr>
      <w:tblGrid>
        <w:gridCol w:w="4123"/>
        <w:gridCol w:w="2439"/>
        <w:gridCol w:w="1995"/>
      </w:tblGrid>
      <w:tr w:rsidR="00922FCA" w:rsidRPr="00922FCA" w:rsidTr="00922FCA">
        <w:trPr>
          <w:trHeight w:val="245"/>
          <w:jc w:val="center"/>
        </w:trPr>
        <w:tc>
          <w:tcPr>
            <w:tcW w:w="41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PARAMETRE</w:t>
            </w:r>
          </w:p>
        </w:tc>
        <w:tc>
          <w:tcPr>
            <w:tcW w:w="24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DİP ÇÖKELTİSİ</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SU KOLONU</w:t>
            </w:r>
          </w:p>
        </w:tc>
      </w:tr>
      <w:tr w:rsidR="00922FCA" w:rsidRPr="00922FCA" w:rsidTr="00922FCA">
        <w:trPr>
          <w:trHeight w:val="264"/>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rPr>
                <w:rFonts w:ascii="Times New Roman" w:eastAsia="Times New Roman" w:hAnsi="Times New Roman" w:cs="Times New Roman"/>
                <w:color w:val="1C283D"/>
                <w:sz w:val="24"/>
                <w:szCs w:val="24"/>
                <w:lang w:eastAsia="tr-TR"/>
              </w:rPr>
            </w:pPr>
            <w:proofErr w:type="spellStart"/>
            <w:r w:rsidRPr="00922FCA">
              <w:rPr>
                <w:rFonts w:ascii="Times New Roman" w:eastAsia="Times New Roman" w:hAnsi="Times New Roman" w:cs="Times New Roman"/>
                <w:color w:val="1C283D"/>
                <w:sz w:val="20"/>
                <w:lang w:eastAsia="tr-TR"/>
              </w:rPr>
              <w:t>pH</w:t>
            </w:r>
            <w:proofErr w:type="spellEnd"/>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r>
      <w:tr w:rsidR="00922FCA" w:rsidRPr="00922FCA" w:rsidTr="00922FCA">
        <w:trPr>
          <w:trHeight w:val="245"/>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AKM (mg/</w:t>
            </w:r>
            <w:proofErr w:type="spellStart"/>
            <w:r w:rsidRPr="00922FCA">
              <w:rPr>
                <w:rFonts w:ascii="Times New Roman" w:eastAsia="Times New Roman" w:hAnsi="Times New Roman" w:cs="Times New Roman"/>
                <w:color w:val="1C283D"/>
                <w:sz w:val="20"/>
                <w:lang w:eastAsia="tr-TR"/>
              </w:rPr>
              <w:t>lt</w:t>
            </w:r>
            <w:proofErr w:type="spellEnd"/>
            <w:r w:rsidRPr="00922FCA">
              <w:rPr>
                <w:rFonts w:ascii="Times New Roman" w:eastAsia="Times New Roman" w:hAnsi="Times New Roman" w:cs="Times New Roman"/>
                <w:color w:val="1C283D"/>
                <w:sz w:val="20"/>
                <w:szCs w:val="20"/>
                <w:lang w:eastAsia="tr-TR"/>
              </w:rPr>
              <w:t>)</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r>
      <w:tr w:rsidR="00922FCA" w:rsidRPr="00922FCA" w:rsidTr="00922FCA">
        <w:trPr>
          <w:trHeight w:val="264"/>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rPr>
                <w:rFonts w:ascii="Times New Roman" w:eastAsia="Times New Roman" w:hAnsi="Times New Roman" w:cs="Times New Roman"/>
                <w:color w:val="1C283D"/>
                <w:sz w:val="24"/>
                <w:szCs w:val="24"/>
                <w:lang w:eastAsia="tr-TR"/>
              </w:rPr>
            </w:pPr>
            <w:proofErr w:type="spellStart"/>
            <w:r w:rsidRPr="00922FCA">
              <w:rPr>
                <w:rFonts w:ascii="Times New Roman" w:eastAsia="Times New Roman" w:hAnsi="Times New Roman" w:cs="Times New Roman"/>
                <w:color w:val="1C283D"/>
                <w:sz w:val="20"/>
                <w:lang w:eastAsia="tr-TR"/>
              </w:rPr>
              <w:t>Secchi</w:t>
            </w:r>
            <w:proofErr w:type="spellEnd"/>
            <w:r w:rsidRPr="00922FCA">
              <w:rPr>
                <w:rFonts w:ascii="Times New Roman" w:eastAsia="Times New Roman" w:hAnsi="Times New Roman" w:cs="Times New Roman"/>
                <w:color w:val="1C283D"/>
                <w:sz w:val="20"/>
                <w:szCs w:val="20"/>
                <w:lang w:eastAsia="tr-TR"/>
              </w:rPr>
              <w:t xml:space="preserve"> Diski Derinliği (m.)</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r>
      <w:tr w:rsidR="00922FCA" w:rsidRPr="00922FCA" w:rsidTr="00922FCA">
        <w:trPr>
          <w:trHeight w:val="245"/>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Tuzluluk (</w:t>
            </w:r>
            <w:proofErr w:type="spellStart"/>
            <w:r w:rsidRPr="00922FCA">
              <w:rPr>
                <w:rFonts w:ascii="Times New Roman" w:eastAsia="Times New Roman" w:hAnsi="Times New Roman" w:cs="Times New Roman"/>
                <w:color w:val="1C283D"/>
                <w:sz w:val="20"/>
                <w:lang w:eastAsia="tr-TR"/>
              </w:rPr>
              <w:t>psu</w:t>
            </w:r>
            <w:proofErr w:type="spellEnd"/>
            <w:r w:rsidRPr="00922FCA">
              <w:rPr>
                <w:rFonts w:ascii="Times New Roman" w:eastAsia="Times New Roman" w:hAnsi="Times New Roman" w:cs="Times New Roman"/>
                <w:color w:val="1C283D"/>
                <w:sz w:val="20"/>
                <w:szCs w:val="20"/>
                <w:lang w:eastAsia="tr-TR"/>
              </w:rPr>
              <w:t>)</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r>
      <w:tr w:rsidR="00922FCA" w:rsidRPr="00922FCA" w:rsidTr="00922FCA">
        <w:trPr>
          <w:trHeight w:val="245"/>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napToGrid w:val="0"/>
              <w:spacing w:before="100" w:beforeAutospacing="1" w:after="100" w:afterAutospacing="1" w:line="272" w:lineRule="atLeast"/>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Sıcaklık (</w:t>
            </w:r>
            <w:r w:rsidRPr="00922FCA">
              <w:rPr>
                <w:rFonts w:ascii="Times New Roman" w:eastAsia="Times New Roman" w:hAnsi="Times New Roman" w:cs="Times New Roman"/>
                <w:color w:val="1C283D"/>
                <w:sz w:val="20"/>
                <w:szCs w:val="20"/>
                <w:vertAlign w:val="superscript"/>
                <w:lang w:eastAsia="tr-TR"/>
              </w:rPr>
              <w:t>0</w:t>
            </w:r>
            <w:r w:rsidRPr="00922FCA">
              <w:rPr>
                <w:rFonts w:ascii="Times New Roman" w:eastAsia="Times New Roman" w:hAnsi="Times New Roman" w:cs="Times New Roman"/>
                <w:color w:val="1C283D"/>
                <w:sz w:val="20"/>
                <w:szCs w:val="20"/>
                <w:lang w:eastAsia="tr-TR"/>
              </w:rPr>
              <w:t>C)</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r>
      <w:tr w:rsidR="00922FCA" w:rsidRPr="00922FCA" w:rsidTr="00922FCA">
        <w:trPr>
          <w:trHeight w:val="264"/>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napToGrid w:val="0"/>
              <w:spacing w:before="100" w:beforeAutospacing="1" w:after="100" w:afterAutospacing="1" w:line="272" w:lineRule="atLeast"/>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Çözünmüş Oksijen (mg/</w:t>
            </w:r>
            <w:proofErr w:type="spellStart"/>
            <w:r w:rsidRPr="00922FCA">
              <w:rPr>
                <w:rFonts w:ascii="Times New Roman" w:eastAsia="Times New Roman" w:hAnsi="Times New Roman" w:cs="Times New Roman"/>
                <w:color w:val="1C283D"/>
                <w:sz w:val="20"/>
                <w:lang w:eastAsia="tr-TR"/>
              </w:rPr>
              <w:t>lt</w:t>
            </w:r>
            <w:proofErr w:type="spellEnd"/>
            <w:r w:rsidRPr="00922FCA">
              <w:rPr>
                <w:rFonts w:ascii="Times New Roman" w:eastAsia="Times New Roman" w:hAnsi="Times New Roman" w:cs="Times New Roman"/>
                <w:color w:val="1C283D"/>
                <w:sz w:val="20"/>
                <w:szCs w:val="20"/>
                <w:lang w:eastAsia="tr-TR"/>
              </w:rPr>
              <w:t>)</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r>
      <w:tr w:rsidR="00922FCA" w:rsidRPr="00922FCA" w:rsidTr="00922FCA">
        <w:trPr>
          <w:trHeight w:val="245"/>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napToGrid w:val="0"/>
              <w:spacing w:before="100" w:beforeAutospacing="1" w:after="100" w:afterAutospacing="1" w:line="272" w:lineRule="atLeast"/>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Amonyum Azotu (mg/</w:t>
            </w:r>
            <w:proofErr w:type="spellStart"/>
            <w:r w:rsidRPr="00922FCA">
              <w:rPr>
                <w:rFonts w:ascii="Times New Roman" w:eastAsia="Times New Roman" w:hAnsi="Times New Roman" w:cs="Times New Roman"/>
                <w:color w:val="1C283D"/>
                <w:sz w:val="20"/>
                <w:lang w:eastAsia="tr-TR"/>
              </w:rPr>
              <w:t>lt</w:t>
            </w:r>
            <w:proofErr w:type="spellEnd"/>
            <w:r w:rsidRPr="00922FCA">
              <w:rPr>
                <w:rFonts w:ascii="Times New Roman" w:eastAsia="Times New Roman" w:hAnsi="Times New Roman" w:cs="Times New Roman"/>
                <w:color w:val="1C283D"/>
                <w:sz w:val="20"/>
                <w:szCs w:val="20"/>
                <w:lang w:eastAsia="tr-TR"/>
              </w:rPr>
              <w:t>)</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r>
      <w:tr w:rsidR="00922FCA" w:rsidRPr="00922FCA" w:rsidTr="00922FCA">
        <w:trPr>
          <w:trHeight w:val="264"/>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napToGrid w:val="0"/>
              <w:spacing w:before="100" w:beforeAutospacing="1" w:after="100" w:afterAutospacing="1" w:line="272" w:lineRule="atLeast"/>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Toplam Azot (mg/</w:t>
            </w:r>
            <w:proofErr w:type="spellStart"/>
            <w:r w:rsidRPr="00922FCA">
              <w:rPr>
                <w:rFonts w:ascii="Times New Roman" w:eastAsia="Times New Roman" w:hAnsi="Times New Roman" w:cs="Times New Roman"/>
                <w:color w:val="1C283D"/>
                <w:sz w:val="20"/>
                <w:lang w:eastAsia="tr-TR"/>
              </w:rPr>
              <w:t>lt</w:t>
            </w:r>
            <w:proofErr w:type="spellEnd"/>
            <w:r w:rsidRPr="00922FCA">
              <w:rPr>
                <w:rFonts w:ascii="Times New Roman" w:eastAsia="Times New Roman" w:hAnsi="Times New Roman" w:cs="Times New Roman"/>
                <w:color w:val="1C283D"/>
                <w:sz w:val="20"/>
                <w:szCs w:val="20"/>
                <w:lang w:eastAsia="tr-TR"/>
              </w:rPr>
              <w:t>)</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r>
      <w:tr w:rsidR="00922FCA" w:rsidRPr="00922FCA" w:rsidTr="00922FCA">
        <w:trPr>
          <w:trHeight w:val="245"/>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napToGrid w:val="0"/>
              <w:spacing w:before="100" w:beforeAutospacing="1" w:after="100" w:afterAutospacing="1" w:line="272" w:lineRule="atLeast"/>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Toplam Fosfor (mg/</w:t>
            </w:r>
            <w:proofErr w:type="spellStart"/>
            <w:r w:rsidRPr="00922FCA">
              <w:rPr>
                <w:rFonts w:ascii="Times New Roman" w:eastAsia="Times New Roman" w:hAnsi="Times New Roman" w:cs="Times New Roman"/>
                <w:color w:val="1C283D"/>
                <w:sz w:val="20"/>
                <w:lang w:eastAsia="tr-TR"/>
              </w:rPr>
              <w:t>lt</w:t>
            </w:r>
            <w:proofErr w:type="spellEnd"/>
            <w:r w:rsidRPr="00922FCA">
              <w:rPr>
                <w:rFonts w:ascii="Times New Roman" w:eastAsia="Times New Roman" w:hAnsi="Times New Roman" w:cs="Times New Roman"/>
                <w:color w:val="1C283D"/>
                <w:sz w:val="20"/>
                <w:szCs w:val="20"/>
                <w:lang w:eastAsia="tr-TR"/>
              </w:rPr>
              <w:t>)</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r>
      <w:tr w:rsidR="00922FCA" w:rsidRPr="00922FCA" w:rsidTr="00922FCA">
        <w:trPr>
          <w:trHeight w:val="264"/>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napToGrid w:val="0"/>
              <w:spacing w:before="100" w:beforeAutospacing="1" w:after="100" w:afterAutospacing="1" w:line="272" w:lineRule="atLeast"/>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Klorofil-a  (µg/</w:t>
            </w:r>
            <w:proofErr w:type="spellStart"/>
            <w:r w:rsidRPr="00922FCA">
              <w:rPr>
                <w:rFonts w:ascii="Times New Roman" w:eastAsia="Times New Roman" w:hAnsi="Times New Roman" w:cs="Times New Roman"/>
                <w:color w:val="1C283D"/>
                <w:sz w:val="20"/>
                <w:lang w:eastAsia="tr-TR"/>
              </w:rPr>
              <w:t>lt</w:t>
            </w:r>
            <w:proofErr w:type="spellEnd"/>
            <w:r w:rsidRPr="00922FCA">
              <w:rPr>
                <w:rFonts w:ascii="Times New Roman" w:eastAsia="Times New Roman" w:hAnsi="Times New Roman" w:cs="Times New Roman"/>
                <w:color w:val="1C283D"/>
                <w:sz w:val="20"/>
                <w:szCs w:val="20"/>
                <w:lang w:eastAsia="tr-TR"/>
              </w:rPr>
              <w:t>)</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r>
      <w:tr w:rsidR="00922FCA" w:rsidRPr="00922FCA" w:rsidTr="00922FCA">
        <w:trPr>
          <w:trHeight w:val="264"/>
          <w:jc w:val="center"/>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napToGrid w:val="0"/>
              <w:spacing w:before="100" w:beforeAutospacing="1" w:after="100" w:afterAutospacing="1" w:line="272" w:lineRule="atLeast"/>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Toplam Organik Karbon (mg/gr)</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CA" w:rsidRPr="00922FCA" w:rsidRDefault="00922FCA" w:rsidP="00922FCA">
            <w:pPr>
              <w:spacing w:before="100" w:beforeAutospacing="1" w:after="100" w:afterAutospacing="1" w:line="272" w:lineRule="atLeast"/>
              <w:jc w:val="center"/>
              <w:rPr>
                <w:rFonts w:ascii="Times New Roman" w:eastAsia="Times New Roman" w:hAnsi="Times New Roman" w:cs="Times New Roman"/>
                <w:color w:val="1C283D"/>
                <w:sz w:val="24"/>
                <w:szCs w:val="24"/>
                <w:lang w:eastAsia="tr-TR"/>
              </w:rPr>
            </w:pPr>
            <w:r w:rsidRPr="00922FCA">
              <w:rPr>
                <w:rFonts w:ascii="Times New Roman" w:eastAsia="Times New Roman" w:hAnsi="Times New Roman" w:cs="Times New Roman"/>
                <w:color w:val="1C283D"/>
                <w:sz w:val="20"/>
                <w:szCs w:val="20"/>
                <w:lang w:eastAsia="tr-TR"/>
              </w:rPr>
              <w:t>-</w:t>
            </w:r>
          </w:p>
        </w:tc>
      </w:tr>
    </w:tbl>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20"/>
          <w:szCs w:val="20"/>
          <w:lang w:eastAsia="tr-TR"/>
        </w:rPr>
      </w:pP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xml:space="preserve">(2) Bu maddenin Tablo-1’de belirtilen parametrelere ilave olarak, alandaki makro </w:t>
      </w:r>
      <w:proofErr w:type="spellStart"/>
      <w:r w:rsidRPr="00922FCA">
        <w:rPr>
          <w:rFonts w:ascii="Arial" w:eastAsia="Times New Roman" w:hAnsi="Arial" w:cs="Arial"/>
          <w:color w:val="1C283D"/>
          <w:sz w:val="20"/>
          <w:lang w:eastAsia="tr-TR"/>
        </w:rPr>
        <w:t>bentik</w:t>
      </w:r>
      <w:proofErr w:type="spellEnd"/>
      <w:r w:rsidRPr="00922FCA">
        <w:rPr>
          <w:rFonts w:ascii="Arial" w:eastAsia="Times New Roman" w:hAnsi="Arial" w:cs="Arial"/>
          <w:color w:val="1C283D"/>
          <w:sz w:val="20"/>
          <w:szCs w:val="20"/>
          <w:lang w:eastAsia="tr-TR"/>
        </w:rPr>
        <w:t xml:space="preserve"> flora ve </w:t>
      </w:r>
      <w:proofErr w:type="gramStart"/>
      <w:r w:rsidRPr="00922FCA">
        <w:rPr>
          <w:rFonts w:ascii="Arial" w:eastAsia="Times New Roman" w:hAnsi="Arial" w:cs="Arial"/>
          <w:color w:val="1C283D"/>
          <w:sz w:val="20"/>
          <w:lang w:eastAsia="tr-TR"/>
        </w:rPr>
        <w:t>fauna</w:t>
      </w:r>
      <w:proofErr w:type="gramEnd"/>
      <w:r w:rsidRPr="00922FCA">
        <w:rPr>
          <w:rFonts w:ascii="Arial" w:eastAsia="Times New Roman" w:hAnsi="Arial" w:cs="Arial"/>
          <w:color w:val="1C283D"/>
          <w:sz w:val="20"/>
          <w:szCs w:val="20"/>
          <w:lang w:eastAsia="tr-TR"/>
        </w:rPr>
        <w:t xml:space="preserve"> türleri ile birlikte </w:t>
      </w:r>
      <w:proofErr w:type="spellStart"/>
      <w:r w:rsidRPr="00922FCA">
        <w:rPr>
          <w:rFonts w:ascii="Arial" w:eastAsia="Times New Roman" w:hAnsi="Arial" w:cs="Arial"/>
          <w:color w:val="1C283D"/>
          <w:sz w:val="20"/>
          <w:lang w:eastAsia="tr-TR"/>
        </w:rPr>
        <w:t>Beggiatoa</w:t>
      </w:r>
      <w:proofErr w:type="spellEnd"/>
      <w:r w:rsidRPr="00922FCA">
        <w:rPr>
          <w:rFonts w:ascii="Arial" w:eastAsia="Times New Roman" w:hAnsi="Arial" w:cs="Arial"/>
          <w:color w:val="1C283D"/>
          <w:sz w:val="20"/>
          <w:szCs w:val="20"/>
          <w:lang w:eastAsia="tr-TR"/>
        </w:rPr>
        <w:t xml:space="preserve"> bakterilerinin dağılımı (Standart </w:t>
      </w:r>
      <w:proofErr w:type="spellStart"/>
      <w:r w:rsidRPr="00922FCA">
        <w:rPr>
          <w:rFonts w:ascii="Arial" w:eastAsia="Times New Roman" w:hAnsi="Arial" w:cs="Arial"/>
          <w:color w:val="1C283D"/>
          <w:sz w:val="20"/>
          <w:lang w:eastAsia="tr-TR"/>
        </w:rPr>
        <w:t>Metod</w:t>
      </w:r>
      <w:proofErr w:type="spellEnd"/>
      <w:r w:rsidRPr="00922FCA">
        <w:rPr>
          <w:rFonts w:ascii="Arial" w:eastAsia="Times New Roman" w:hAnsi="Arial" w:cs="Arial"/>
          <w:color w:val="1C283D"/>
          <w:sz w:val="20"/>
          <w:szCs w:val="20"/>
          <w:lang w:eastAsia="tr-TR"/>
        </w:rPr>
        <w:t xml:space="preserve"> No: 9240) tespit edilir.</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xml:space="preserve">(3) </w:t>
      </w:r>
      <w:proofErr w:type="gramStart"/>
      <w:r w:rsidRPr="00922FCA">
        <w:rPr>
          <w:rFonts w:ascii="Arial" w:eastAsia="Times New Roman" w:hAnsi="Arial" w:cs="Arial"/>
          <w:color w:val="1C283D"/>
          <w:sz w:val="20"/>
          <w:lang w:eastAsia="tr-TR"/>
        </w:rPr>
        <w:t>24/1/2007</w:t>
      </w:r>
      <w:proofErr w:type="gramEnd"/>
      <w:r w:rsidRPr="00922FCA">
        <w:rPr>
          <w:rFonts w:ascii="Arial" w:eastAsia="Times New Roman" w:hAnsi="Arial" w:cs="Arial"/>
          <w:color w:val="1C283D"/>
          <w:sz w:val="20"/>
          <w:szCs w:val="20"/>
          <w:lang w:eastAsia="tr-TR"/>
        </w:rPr>
        <w:t xml:space="preserve"> tarihli ve 26413 sayılı Resmî Gazete’de yayımlanan “Denizlerde Balık Çiftliklerinin Kurulamayacağı Hassas Alan Niteliğindeki Kapalı Koy ve Körfez Alanlarının Belirlenmesine İlişkin Tebliğ” kapsamında değerlendirilen balık çiftliği yetiştiricilik tesislerinin izlenmesi, adı geçen Tebliğ hükümlerine uygun olarak gerçekleştirilir. Bununla birlikte bu kapsamda değerlendirilen tesisler, bu maddenin birinci fıkrasında yer alan Tablo-1’deki dip çökeltisi analizleri ile ikinci fıkrasında belirtilen makro </w:t>
      </w:r>
      <w:proofErr w:type="spellStart"/>
      <w:r w:rsidRPr="00922FCA">
        <w:rPr>
          <w:rFonts w:ascii="Arial" w:eastAsia="Times New Roman" w:hAnsi="Arial" w:cs="Arial"/>
          <w:color w:val="1C283D"/>
          <w:sz w:val="20"/>
          <w:lang w:eastAsia="tr-TR"/>
        </w:rPr>
        <w:t>bentik</w:t>
      </w:r>
      <w:proofErr w:type="spellEnd"/>
      <w:r w:rsidRPr="00922FCA">
        <w:rPr>
          <w:rFonts w:ascii="Arial" w:eastAsia="Times New Roman" w:hAnsi="Arial" w:cs="Arial"/>
          <w:color w:val="1C283D"/>
          <w:sz w:val="20"/>
          <w:szCs w:val="20"/>
          <w:lang w:eastAsia="tr-TR"/>
        </w:rPr>
        <w:t xml:space="preserve"> flora ve </w:t>
      </w:r>
      <w:proofErr w:type="gramStart"/>
      <w:r w:rsidRPr="00922FCA">
        <w:rPr>
          <w:rFonts w:ascii="Arial" w:eastAsia="Times New Roman" w:hAnsi="Arial" w:cs="Arial"/>
          <w:color w:val="1C283D"/>
          <w:sz w:val="20"/>
          <w:lang w:eastAsia="tr-TR"/>
        </w:rPr>
        <w:t>fauna</w:t>
      </w:r>
      <w:proofErr w:type="gramEnd"/>
      <w:r w:rsidRPr="00922FCA">
        <w:rPr>
          <w:rFonts w:ascii="Arial" w:eastAsia="Times New Roman" w:hAnsi="Arial" w:cs="Arial"/>
          <w:color w:val="1C283D"/>
          <w:sz w:val="20"/>
          <w:szCs w:val="20"/>
          <w:lang w:eastAsia="tr-TR"/>
        </w:rPr>
        <w:t xml:space="preserve"> türleri ile birlikte </w:t>
      </w:r>
      <w:proofErr w:type="spellStart"/>
      <w:r w:rsidRPr="00922FCA">
        <w:rPr>
          <w:rFonts w:ascii="Arial" w:eastAsia="Times New Roman" w:hAnsi="Arial" w:cs="Arial"/>
          <w:color w:val="1C283D"/>
          <w:sz w:val="20"/>
          <w:lang w:eastAsia="tr-TR"/>
        </w:rPr>
        <w:t>Beggiatoa</w:t>
      </w:r>
      <w:proofErr w:type="spellEnd"/>
      <w:r w:rsidRPr="00922FCA">
        <w:rPr>
          <w:rFonts w:ascii="Arial" w:eastAsia="Times New Roman" w:hAnsi="Arial" w:cs="Arial"/>
          <w:color w:val="1C283D"/>
          <w:sz w:val="20"/>
          <w:szCs w:val="20"/>
          <w:lang w:eastAsia="tr-TR"/>
        </w:rPr>
        <w:t xml:space="preserve"> bakterilerinin dağılımına ilişkin tespitleri, yetiştiricilik alanında ve referans noktasında yapmakla yükümlüdürler.</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 xml:space="preserve">Ölçüm ve analiz </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MADDE 7 –</w:t>
      </w:r>
      <w:r w:rsidRPr="00922FCA">
        <w:rPr>
          <w:rFonts w:ascii="Arial" w:eastAsia="Times New Roman" w:hAnsi="Arial" w:cs="Arial"/>
          <w:color w:val="1C283D"/>
          <w:sz w:val="20"/>
          <w:szCs w:val="20"/>
          <w:lang w:eastAsia="tr-TR"/>
        </w:rPr>
        <w:t xml:space="preserve"> (1) Bu Tebliğin 6 </w:t>
      </w:r>
      <w:proofErr w:type="spellStart"/>
      <w:r w:rsidRPr="00922FCA">
        <w:rPr>
          <w:rFonts w:ascii="Arial" w:eastAsia="Times New Roman" w:hAnsi="Arial" w:cs="Arial"/>
          <w:color w:val="1C283D"/>
          <w:sz w:val="20"/>
          <w:lang w:eastAsia="tr-TR"/>
        </w:rPr>
        <w:t>ncı</w:t>
      </w:r>
      <w:proofErr w:type="spellEnd"/>
      <w:r w:rsidRPr="00922FCA">
        <w:rPr>
          <w:rFonts w:ascii="Arial" w:eastAsia="Times New Roman" w:hAnsi="Arial" w:cs="Arial"/>
          <w:color w:val="1C283D"/>
          <w:sz w:val="20"/>
          <w:szCs w:val="20"/>
          <w:lang w:eastAsia="tr-TR"/>
        </w:rPr>
        <w:t xml:space="preserve"> maddesinde belirtilen parametrelerle ilgili ölçüm ve analizler Çevre ve Orman Bakanlığı’nca yetki verilen Üniversiteler ile özel veya kamu kurum ve kuruluş </w:t>
      </w:r>
      <w:proofErr w:type="spellStart"/>
      <w:r w:rsidRPr="00922FCA">
        <w:rPr>
          <w:rFonts w:ascii="Arial" w:eastAsia="Times New Roman" w:hAnsi="Arial" w:cs="Arial"/>
          <w:color w:val="1C283D"/>
          <w:sz w:val="20"/>
          <w:lang w:eastAsia="tr-TR"/>
        </w:rPr>
        <w:t>laboratuvarlarında</w:t>
      </w:r>
      <w:proofErr w:type="spellEnd"/>
      <w:r w:rsidRPr="00922FCA">
        <w:rPr>
          <w:rFonts w:ascii="Arial" w:eastAsia="Times New Roman" w:hAnsi="Arial" w:cs="Arial"/>
          <w:color w:val="1C283D"/>
          <w:sz w:val="20"/>
          <w:szCs w:val="20"/>
          <w:lang w:eastAsia="tr-TR"/>
        </w:rPr>
        <w:t xml:space="preserve"> yapılır.</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İzleme periyodu ve raporlama</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lastRenderedPageBreak/>
        <w:t>MADDE 8 – (</w:t>
      </w:r>
      <w:proofErr w:type="gramStart"/>
      <w:r w:rsidRPr="00922FCA">
        <w:rPr>
          <w:rFonts w:ascii="Arial" w:eastAsia="Times New Roman" w:hAnsi="Arial" w:cs="Arial"/>
          <w:b/>
          <w:bCs/>
          <w:color w:val="1C283D"/>
          <w:sz w:val="20"/>
          <w:lang w:eastAsia="tr-TR"/>
        </w:rPr>
        <w:t>Değişik:RG</w:t>
      </w:r>
      <w:proofErr w:type="gramEnd"/>
      <w:r w:rsidRPr="00922FCA">
        <w:rPr>
          <w:rFonts w:ascii="Arial" w:eastAsia="Times New Roman" w:hAnsi="Arial" w:cs="Arial"/>
          <w:b/>
          <w:bCs/>
          <w:color w:val="1C283D"/>
          <w:sz w:val="20"/>
          <w:szCs w:val="20"/>
          <w:lang w:eastAsia="tr-TR"/>
        </w:rPr>
        <w:t xml:space="preserve">-9/4/2010-27547) </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(1) Balık çiftliklerinin izleme periyodu ve analiz sonuçları aşağıda belirtildiği şekilde raporlanır.</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a) İzleme sonuçlarını içeren raporlar, Üniversitelerin konu ile ilgili uzman birimlerine hazırlatılır.</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xml:space="preserve">b) Bu Tebliğin 6 </w:t>
      </w:r>
      <w:proofErr w:type="spellStart"/>
      <w:r w:rsidRPr="00922FCA">
        <w:rPr>
          <w:rFonts w:ascii="Arial" w:eastAsia="Times New Roman" w:hAnsi="Arial" w:cs="Arial"/>
          <w:color w:val="1C283D"/>
          <w:sz w:val="20"/>
          <w:lang w:eastAsia="tr-TR"/>
        </w:rPr>
        <w:t>ncı</w:t>
      </w:r>
      <w:proofErr w:type="spellEnd"/>
      <w:r w:rsidRPr="00922FCA">
        <w:rPr>
          <w:rFonts w:ascii="Arial" w:eastAsia="Times New Roman" w:hAnsi="Arial" w:cs="Arial"/>
          <w:color w:val="1C283D"/>
          <w:sz w:val="20"/>
          <w:szCs w:val="20"/>
          <w:lang w:eastAsia="tr-TR"/>
        </w:rPr>
        <w:t xml:space="preserve"> maddesinde belirtilen parametrelerden su kolonunda yapılacak analizler her yılın Ağustos ayında olmak üzere yılda bir defa yapılır. Referans ölçümleri ile yetiştiricilik tesisi alanında yapılan ölçüm ve analizlerin karşılaştırılması neticesinde (% </w:t>
      </w:r>
      <w:proofErr w:type="spellStart"/>
      <w:r w:rsidRPr="00922FCA">
        <w:rPr>
          <w:rFonts w:ascii="Arial" w:eastAsia="Times New Roman" w:hAnsi="Arial" w:cs="Arial"/>
          <w:color w:val="1C283D"/>
          <w:sz w:val="20"/>
          <w:lang w:eastAsia="tr-TR"/>
        </w:rPr>
        <w:t>li</w:t>
      </w:r>
      <w:proofErr w:type="spellEnd"/>
      <w:r w:rsidRPr="00922FCA">
        <w:rPr>
          <w:rFonts w:ascii="Arial" w:eastAsia="Times New Roman" w:hAnsi="Arial" w:cs="Arial"/>
          <w:color w:val="1C283D"/>
          <w:sz w:val="20"/>
          <w:szCs w:val="20"/>
          <w:lang w:eastAsia="tr-TR"/>
        </w:rPr>
        <w:t xml:space="preserve"> ifadelerle) hazırlanan değerlendirme raporu her yılın Aralık ayı sonuna kadar İl Çevre ve Orman Müdürlüğüne yazılı ve elektronik ortamda sunulur. </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xml:space="preserve">c) Dip çökeltisinde ve bu Tebliğin 6 </w:t>
      </w:r>
      <w:proofErr w:type="spellStart"/>
      <w:r w:rsidRPr="00922FCA">
        <w:rPr>
          <w:rFonts w:ascii="Arial" w:eastAsia="Times New Roman" w:hAnsi="Arial" w:cs="Arial"/>
          <w:color w:val="1C283D"/>
          <w:sz w:val="20"/>
          <w:lang w:eastAsia="tr-TR"/>
        </w:rPr>
        <w:t>ncı</w:t>
      </w:r>
      <w:proofErr w:type="spellEnd"/>
      <w:r w:rsidRPr="00922FCA">
        <w:rPr>
          <w:rFonts w:ascii="Arial" w:eastAsia="Times New Roman" w:hAnsi="Arial" w:cs="Arial"/>
          <w:color w:val="1C283D"/>
          <w:sz w:val="20"/>
          <w:szCs w:val="20"/>
          <w:lang w:eastAsia="tr-TR"/>
        </w:rPr>
        <w:t xml:space="preserve"> maddesinin ikinci fıkrasında belirtilen parametrelerin ölçümü üç yılda bir Ağustos ayında yapılır. Referans ölçümleri ile yetiştiricilik tesisi alanında yapılan ölçüm ve analizlerin karşılaştırılması neticesinde (% </w:t>
      </w:r>
      <w:proofErr w:type="spellStart"/>
      <w:r w:rsidRPr="00922FCA">
        <w:rPr>
          <w:rFonts w:ascii="Arial" w:eastAsia="Times New Roman" w:hAnsi="Arial" w:cs="Arial"/>
          <w:color w:val="1C283D"/>
          <w:sz w:val="20"/>
          <w:lang w:eastAsia="tr-TR"/>
        </w:rPr>
        <w:t>li</w:t>
      </w:r>
      <w:proofErr w:type="spellEnd"/>
      <w:r w:rsidRPr="00922FCA">
        <w:rPr>
          <w:rFonts w:ascii="Arial" w:eastAsia="Times New Roman" w:hAnsi="Arial" w:cs="Arial"/>
          <w:color w:val="1C283D"/>
          <w:sz w:val="20"/>
          <w:szCs w:val="20"/>
          <w:lang w:eastAsia="tr-TR"/>
        </w:rPr>
        <w:t xml:space="preserve"> ifadelerle) hazırlanan değerlendirme raporu o yılın Aralık ayı sonuna kadar İl Çevre ve Orman Müdürlüğüne yazılı ve elektronik ortamda sunulur.</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ç) Hazırlanan raporlarda biyolojik çeşitlilik tahribinin olup olmadığı ile bu konuda alınması gereken önlemler belirtilir.</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d) Hazırlanacak raporlarda yapılacak değerlendirmelerde geçmiş yıllardaki veriler de dikkate alınarak deniz ekosisteminde meydana gelen değişimlere göre alınması gereken tedbirler belirtilir.</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İstisnai haller</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MADDE 9 –</w:t>
      </w:r>
      <w:r w:rsidRPr="00922FCA">
        <w:rPr>
          <w:rFonts w:ascii="Arial" w:eastAsia="Times New Roman" w:hAnsi="Arial" w:cs="Arial"/>
          <w:color w:val="1C283D"/>
          <w:sz w:val="20"/>
          <w:szCs w:val="20"/>
          <w:lang w:eastAsia="tr-TR"/>
        </w:rPr>
        <w:t xml:space="preserve"> (1) Doğal afetler, sonucu etkileyecek aşırı meteorolojik şartlar ve/veya kaza durumunda; olağanüstü halin resmi olarak belgelenmesi halinde rapor bu hususlar dikkate alınarak değerlendirilir.</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xml:space="preserve">(2) Bu maddenin birinci fıkrasında belirtilen şartların numune alımını engellemesi ve bu durumun resmi olarak belgelenmesi halinde; numune, söz konusu olağanüstü halin geçmesini müteakip bir hafta içinde alınır ve hazırlanan raporda bu hususlar detaylı olarak belirtilir. </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xml:space="preserve">(3) </w:t>
      </w:r>
      <w:r w:rsidRPr="00922FCA">
        <w:rPr>
          <w:rFonts w:ascii="Arial" w:eastAsia="Times New Roman" w:hAnsi="Arial" w:cs="Arial"/>
          <w:b/>
          <w:bCs/>
          <w:color w:val="1C283D"/>
          <w:sz w:val="20"/>
          <w:szCs w:val="20"/>
          <w:lang w:eastAsia="tr-TR"/>
        </w:rPr>
        <w:t>(</w:t>
      </w:r>
      <w:proofErr w:type="gramStart"/>
      <w:r w:rsidRPr="00922FCA">
        <w:rPr>
          <w:rFonts w:ascii="Arial" w:eastAsia="Times New Roman" w:hAnsi="Arial" w:cs="Arial"/>
          <w:b/>
          <w:bCs/>
          <w:color w:val="1C283D"/>
          <w:sz w:val="20"/>
          <w:lang w:eastAsia="tr-TR"/>
        </w:rPr>
        <w:t>Ek:RG</w:t>
      </w:r>
      <w:proofErr w:type="gramEnd"/>
      <w:r w:rsidRPr="00922FCA">
        <w:rPr>
          <w:rFonts w:ascii="Arial" w:eastAsia="Times New Roman" w:hAnsi="Arial" w:cs="Arial"/>
          <w:b/>
          <w:bCs/>
          <w:color w:val="1C283D"/>
          <w:sz w:val="20"/>
          <w:szCs w:val="20"/>
          <w:lang w:eastAsia="tr-TR"/>
        </w:rPr>
        <w:t xml:space="preserve">-9/4/2010-27547) </w:t>
      </w:r>
      <w:r w:rsidRPr="00922FCA">
        <w:rPr>
          <w:rFonts w:ascii="Arial" w:eastAsia="Times New Roman" w:hAnsi="Arial" w:cs="Arial"/>
          <w:color w:val="1C283D"/>
          <w:sz w:val="20"/>
          <w:szCs w:val="20"/>
          <w:lang w:eastAsia="tr-TR"/>
        </w:rPr>
        <w:t xml:space="preserve">Tesislerin birbirlerine yakın olması ve referans noktası için istenen mesafenin sağlanamaması durumunda birden fazla tesis için tek bir referans noktası seçilebilir. Seçilen referans noktasının tesislerden etkilenmeyecek bir noktada bulunması gerekir. Seçilen referans noktasında numune alma, saklama ve analiz yöntemleri ile ilgili olarak “Su Kirliliği Kontrolü Yönetmeliği Numune Alma ve Analiz </w:t>
      </w:r>
      <w:proofErr w:type="spellStart"/>
      <w:r w:rsidRPr="00922FCA">
        <w:rPr>
          <w:rFonts w:ascii="Arial" w:eastAsia="Times New Roman" w:hAnsi="Arial" w:cs="Arial"/>
          <w:color w:val="1C283D"/>
          <w:sz w:val="20"/>
          <w:lang w:eastAsia="tr-TR"/>
        </w:rPr>
        <w:t>Metodları</w:t>
      </w:r>
      <w:proofErr w:type="spellEnd"/>
      <w:r w:rsidRPr="00922FCA">
        <w:rPr>
          <w:rFonts w:ascii="Arial" w:eastAsia="Times New Roman" w:hAnsi="Arial" w:cs="Arial"/>
          <w:color w:val="1C283D"/>
          <w:sz w:val="20"/>
          <w:szCs w:val="20"/>
          <w:lang w:eastAsia="tr-TR"/>
        </w:rPr>
        <w:t xml:space="preserve"> Tebliği” hükümlerine uyulur. </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Denetim ve yaptırım</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MADDE 10 –</w:t>
      </w:r>
      <w:r w:rsidRPr="00922FCA">
        <w:rPr>
          <w:rFonts w:ascii="Arial" w:eastAsia="Times New Roman" w:hAnsi="Arial" w:cs="Arial"/>
          <w:color w:val="1C283D"/>
          <w:sz w:val="20"/>
          <w:szCs w:val="20"/>
          <w:lang w:eastAsia="tr-TR"/>
        </w:rPr>
        <w:t xml:space="preserve"> (1) Bu Tebliğ kapsamında yer alan balık yetiştiriciliği tesisleri Çevre Kanunu ve diğer ilgili mevzuat hükümlerine göre denetlenir. Yükümlülüklerini yerine getirmeyenlere yine Çevre Kanunu ve diğer ilgili mevzuat hükümlerine göre yaptırım uygulanır. </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xml:space="preserve">(2) 2872 sayılı Çevre Kanunu ve </w:t>
      </w:r>
      <w:proofErr w:type="gramStart"/>
      <w:r w:rsidRPr="00922FCA">
        <w:rPr>
          <w:rFonts w:ascii="Arial" w:eastAsia="Times New Roman" w:hAnsi="Arial" w:cs="Arial"/>
          <w:color w:val="1C283D"/>
          <w:sz w:val="20"/>
          <w:lang w:eastAsia="tr-TR"/>
        </w:rPr>
        <w:t>21/11/2008</w:t>
      </w:r>
      <w:proofErr w:type="gramEnd"/>
      <w:r w:rsidRPr="00922FCA">
        <w:rPr>
          <w:rFonts w:ascii="Arial" w:eastAsia="Times New Roman" w:hAnsi="Arial" w:cs="Arial"/>
          <w:color w:val="1C283D"/>
          <w:sz w:val="20"/>
          <w:szCs w:val="20"/>
          <w:lang w:eastAsia="tr-TR"/>
        </w:rPr>
        <w:t xml:space="preserve"> tarihli ve 27061 sayılı Resmî Gazete’de yayımlanarak yürürlüğe giren Çevre Denetimi Yönetmeliğinin 6 </w:t>
      </w:r>
      <w:proofErr w:type="spellStart"/>
      <w:r w:rsidRPr="00922FCA">
        <w:rPr>
          <w:rFonts w:ascii="Arial" w:eastAsia="Times New Roman" w:hAnsi="Arial" w:cs="Arial"/>
          <w:color w:val="1C283D"/>
          <w:sz w:val="20"/>
          <w:lang w:eastAsia="tr-TR"/>
        </w:rPr>
        <w:t>ncı</w:t>
      </w:r>
      <w:proofErr w:type="spellEnd"/>
      <w:r w:rsidRPr="00922FCA">
        <w:rPr>
          <w:rFonts w:ascii="Arial" w:eastAsia="Times New Roman" w:hAnsi="Arial" w:cs="Arial"/>
          <w:color w:val="1C283D"/>
          <w:sz w:val="20"/>
          <w:szCs w:val="20"/>
          <w:lang w:eastAsia="tr-TR"/>
        </w:rPr>
        <w:t xml:space="preserve"> maddesi gereğince denetimle ilgili olarak balık yetiştiriciliği tesisleri, ölçüm ve analiz giderlerini karşılamakla yükümlüdürler. </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proofErr w:type="spellStart"/>
      <w:r w:rsidRPr="00922FCA">
        <w:rPr>
          <w:rFonts w:ascii="Arial" w:eastAsia="Times New Roman" w:hAnsi="Arial" w:cs="Arial"/>
          <w:b/>
          <w:bCs/>
          <w:color w:val="1C283D"/>
          <w:sz w:val="20"/>
          <w:lang w:eastAsia="tr-TR"/>
        </w:rPr>
        <w:t>Bentik</w:t>
      </w:r>
      <w:proofErr w:type="spellEnd"/>
      <w:r w:rsidRPr="00922FCA">
        <w:rPr>
          <w:rFonts w:ascii="Arial" w:eastAsia="Times New Roman" w:hAnsi="Arial" w:cs="Arial"/>
          <w:b/>
          <w:bCs/>
          <w:color w:val="1C283D"/>
          <w:sz w:val="20"/>
          <w:szCs w:val="20"/>
          <w:lang w:eastAsia="tr-TR"/>
        </w:rPr>
        <w:t xml:space="preserve"> flora-</w:t>
      </w:r>
      <w:proofErr w:type="gramStart"/>
      <w:r w:rsidRPr="00922FCA">
        <w:rPr>
          <w:rFonts w:ascii="Arial" w:eastAsia="Times New Roman" w:hAnsi="Arial" w:cs="Arial"/>
          <w:b/>
          <w:bCs/>
          <w:color w:val="1C283D"/>
          <w:sz w:val="20"/>
          <w:lang w:eastAsia="tr-TR"/>
        </w:rPr>
        <w:t>fauna</w:t>
      </w:r>
      <w:proofErr w:type="gramEnd"/>
      <w:r w:rsidRPr="00922FCA">
        <w:rPr>
          <w:rFonts w:ascii="Arial" w:eastAsia="Times New Roman" w:hAnsi="Arial" w:cs="Arial"/>
          <w:b/>
          <w:bCs/>
          <w:color w:val="1C283D"/>
          <w:sz w:val="20"/>
          <w:szCs w:val="20"/>
          <w:lang w:eastAsia="tr-TR"/>
        </w:rPr>
        <w:t>/</w:t>
      </w:r>
      <w:proofErr w:type="spellStart"/>
      <w:r w:rsidRPr="00922FCA">
        <w:rPr>
          <w:rFonts w:ascii="Arial" w:eastAsia="Times New Roman" w:hAnsi="Arial" w:cs="Arial"/>
          <w:b/>
          <w:bCs/>
          <w:color w:val="1C283D"/>
          <w:sz w:val="20"/>
          <w:lang w:eastAsia="tr-TR"/>
        </w:rPr>
        <w:t>beggiaota</w:t>
      </w:r>
      <w:proofErr w:type="spellEnd"/>
      <w:r w:rsidRPr="00922FCA">
        <w:rPr>
          <w:rFonts w:ascii="Arial" w:eastAsia="Times New Roman" w:hAnsi="Arial" w:cs="Arial"/>
          <w:b/>
          <w:bCs/>
          <w:color w:val="1C283D"/>
          <w:sz w:val="20"/>
          <w:szCs w:val="20"/>
          <w:lang w:eastAsia="tr-TR"/>
        </w:rPr>
        <w:t xml:space="preserve"> bakterilerinin izlenmesi</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GEÇİCİ MADDE 1 – (</w:t>
      </w:r>
      <w:proofErr w:type="gramStart"/>
      <w:r w:rsidRPr="00922FCA">
        <w:rPr>
          <w:rFonts w:ascii="Arial" w:eastAsia="Times New Roman" w:hAnsi="Arial" w:cs="Arial"/>
          <w:b/>
          <w:bCs/>
          <w:color w:val="1C283D"/>
          <w:sz w:val="20"/>
          <w:lang w:eastAsia="tr-TR"/>
        </w:rPr>
        <w:t>Ek:RG</w:t>
      </w:r>
      <w:proofErr w:type="gramEnd"/>
      <w:r w:rsidRPr="00922FCA">
        <w:rPr>
          <w:rFonts w:ascii="Arial" w:eastAsia="Times New Roman" w:hAnsi="Arial" w:cs="Arial"/>
          <w:b/>
          <w:bCs/>
          <w:color w:val="1C283D"/>
          <w:sz w:val="20"/>
          <w:szCs w:val="20"/>
          <w:lang w:eastAsia="tr-TR"/>
        </w:rPr>
        <w:t xml:space="preserve">-9/4/2010-27547) </w:t>
      </w:r>
    </w:p>
    <w:p w:rsidR="00922FCA" w:rsidRPr="00922FCA" w:rsidRDefault="00922FCA" w:rsidP="00922FCA">
      <w:pPr>
        <w:spacing w:before="100" w:beforeAutospacing="1" w:after="100" w:afterAutospacing="1" w:line="272" w:lineRule="atLeast"/>
        <w:ind w:firstLine="540"/>
        <w:rPr>
          <w:rFonts w:ascii="Arial" w:eastAsia="Times New Roman" w:hAnsi="Arial" w:cs="Arial"/>
          <w:color w:val="1C283D"/>
          <w:sz w:val="14"/>
          <w:szCs w:val="14"/>
          <w:lang w:eastAsia="tr-TR"/>
        </w:rPr>
      </w:pPr>
      <w:r w:rsidRPr="00922FCA">
        <w:rPr>
          <w:rFonts w:ascii="Arial" w:eastAsia="Times New Roman" w:hAnsi="Arial" w:cs="Arial"/>
          <w:color w:val="1C283D"/>
          <w:sz w:val="20"/>
          <w:szCs w:val="20"/>
          <w:lang w:eastAsia="tr-TR"/>
        </w:rPr>
        <w:t xml:space="preserve">Bu Tebliğin 6 </w:t>
      </w:r>
      <w:proofErr w:type="spellStart"/>
      <w:r w:rsidRPr="00922FCA">
        <w:rPr>
          <w:rFonts w:ascii="Arial" w:eastAsia="Times New Roman" w:hAnsi="Arial" w:cs="Arial"/>
          <w:color w:val="1C283D"/>
          <w:sz w:val="20"/>
          <w:lang w:eastAsia="tr-TR"/>
        </w:rPr>
        <w:t>ncı</w:t>
      </w:r>
      <w:proofErr w:type="spellEnd"/>
      <w:r w:rsidRPr="00922FCA">
        <w:rPr>
          <w:rFonts w:ascii="Arial" w:eastAsia="Times New Roman" w:hAnsi="Arial" w:cs="Arial"/>
          <w:color w:val="1C283D"/>
          <w:sz w:val="20"/>
          <w:szCs w:val="20"/>
          <w:lang w:eastAsia="tr-TR"/>
        </w:rPr>
        <w:t xml:space="preserve"> maddesinin ikinci fıkrasında yer alan parametrelere ait izleme, </w:t>
      </w:r>
      <w:proofErr w:type="gramStart"/>
      <w:r w:rsidRPr="00922FCA">
        <w:rPr>
          <w:rFonts w:ascii="Arial" w:eastAsia="Times New Roman" w:hAnsi="Arial" w:cs="Arial"/>
          <w:color w:val="1C283D"/>
          <w:sz w:val="20"/>
          <w:lang w:eastAsia="tr-TR"/>
        </w:rPr>
        <w:t>1/1/2011</w:t>
      </w:r>
      <w:proofErr w:type="gramEnd"/>
      <w:r w:rsidRPr="00922FCA">
        <w:rPr>
          <w:rFonts w:ascii="Arial" w:eastAsia="Times New Roman" w:hAnsi="Arial" w:cs="Arial"/>
          <w:color w:val="1C283D"/>
          <w:sz w:val="20"/>
          <w:szCs w:val="20"/>
          <w:lang w:eastAsia="tr-TR"/>
        </w:rPr>
        <w:t xml:space="preserve"> tarihi itibarı ile yürürlüğe girer.</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Yürürlük</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lastRenderedPageBreak/>
        <w:t>MADDE 11 –</w:t>
      </w:r>
      <w:r w:rsidRPr="00922FCA">
        <w:rPr>
          <w:rFonts w:ascii="Arial" w:eastAsia="Times New Roman" w:hAnsi="Arial" w:cs="Arial"/>
          <w:color w:val="1C283D"/>
          <w:sz w:val="20"/>
          <w:szCs w:val="20"/>
          <w:lang w:eastAsia="tr-TR"/>
        </w:rPr>
        <w:t xml:space="preserve"> (1) Bu Tebliğ yayımı tarihinde yürürlüğe girer. </w:t>
      </w:r>
    </w:p>
    <w:p w:rsidR="00922FCA" w:rsidRPr="00922FCA" w:rsidRDefault="00922FCA" w:rsidP="00922FCA">
      <w:pPr>
        <w:spacing w:after="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Yürütme</w:t>
      </w:r>
    </w:p>
    <w:p w:rsidR="00922FCA" w:rsidRPr="00922FCA" w:rsidRDefault="00922FCA" w:rsidP="00922FCA">
      <w:pPr>
        <w:spacing w:after="100" w:line="272" w:lineRule="atLeast"/>
        <w:ind w:firstLine="540"/>
        <w:jc w:val="both"/>
        <w:rPr>
          <w:rFonts w:ascii="Arial" w:eastAsia="Times New Roman" w:hAnsi="Arial" w:cs="Arial"/>
          <w:color w:val="1C283D"/>
          <w:sz w:val="14"/>
          <w:szCs w:val="14"/>
          <w:lang w:eastAsia="tr-TR"/>
        </w:rPr>
      </w:pPr>
      <w:r w:rsidRPr="00922FCA">
        <w:rPr>
          <w:rFonts w:ascii="Arial" w:eastAsia="Times New Roman" w:hAnsi="Arial" w:cs="Arial"/>
          <w:b/>
          <w:bCs/>
          <w:color w:val="1C283D"/>
          <w:sz w:val="20"/>
          <w:szCs w:val="20"/>
          <w:lang w:eastAsia="tr-TR"/>
        </w:rPr>
        <w:t>MADDE 12 –</w:t>
      </w:r>
      <w:r w:rsidRPr="00922FCA">
        <w:rPr>
          <w:rFonts w:ascii="Arial" w:eastAsia="Times New Roman" w:hAnsi="Arial" w:cs="Arial"/>
          <w:color w:val="1C283D"/>
          <w:sz w:val="20"/>
          <w:szCs w:val="20"/>
          <w:lang w:eastAsia="tr-TR"/>
        </w:rPr>
        <w:t xml:space="preserve"> (1) Bu Tebliğ hükümlerini Çevre ve Orman Bakanı yürütür.</w:t>
      </w:r>
    </w:p>
    <w:sectPr w:rsidR="00922FCA" w:rsidRPr="00922FCA" w:rsidSect="00C934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22FCA"/>
    <w:rsid w:val="00922FCA"/>
    <w:rsid w:val="00C934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922F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22F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22FCA"/>
  </w:style>
  <w:style w:type="character" w:customStyle="1" w:styleId="spelle">
    <w:name w:val="spelle"/>
    <w:basedOn w:val="VarsaylanParagrafYazTipi"/>
    <w:rsid w:val="00922FCA"/>
  </w:style>
  <w:style w:type="paragraph" w:customStyle="1" w:styleId="3-normalyaz0">
    <w:name w:val="3-normalyaz0"/>
    <w:basedOn w:val="Normal"/>
    <w:rsid w:val="00922F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22F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2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086041">
      <w:bodyDiv w:val="1"/>
      <w:marLeft w:val="0"/>
      <w:marRight w:val="0"/>
      <w:marTop w:val="0"/>
      <w:marBottom w:val="0"/>
      <w:divBdr>
        <w:top w:val="none" w:sz="0" w:space="0" w:color="auto"/>
        <w:left w:val="none" w:sz="0" w:space="0" w:color="auto"/>
        <w:bottom w:val="none" w:sz="0" w:space="0" w:color="auto"/>
        <w:right w:val="none" w:sz="0" w:space="0" w:color="auto"/>
      </w:divBdr>
      <w:divsChild>
        <w:div w:id="1134639491">
          <w:marLeft w:val="0"/>
          <w:marRight w:val="0"/>
          <w:marTop w:val="100"/>
          <w:marBottom w:val="100"/>
          <w:divBdr>
            <w:top w:val="none" w:sz="0" w:space="0" w:color="auto"/>
            <w:left w:val="none" w:sz="0" w:space="0" w:color="auto"/>
            <w:bottom w:val="none" w:sz="0" w:space="0" w:color="auto"/>
            <w:right w:val="none" w:sz="0" w:space="0" w:color="auto"/>
          </w:divBdr>
          <w:divsChild>
            <w:div w:id="982586351">
              <w:marLeft w:val="0"/>
              <w:marRight w:val="0"/>
              <w:marTop w:val="0"/>
              <w:marBottom w:val="0"/>
              <w:divBdr>
                <w:top w:val="none" w:sz="0" w:space="0" w:color="auto"/>
                <w:left w:val="none" w:sz="0" w:space="0" w:color="auto"/>
                <w:bottom w:val="none" w:sz="0" w:space="0" w:color="auto"/>
                <w:right w:val="none" w:sz="0" w:space="0" w:color="auto"/>
              </w:divBdr>
              <w:divsChild>
                <w:div w:id="977076252">
                  <w:marLeft w:val="0"/>
                  <w:marRight w:val="0"/>
                  <w:marTop w:val="0"/>
                  <w:marBottom w:val="0"/>
                  <w:divBdr>
                    <w:top w:val="none" w:sz="0" w:space="0" w:color="auto"/>
                    <w:left w:val="none" w:sz="0" w:space="0" w:color="auto"/>
                    <w:bottom w:val="none" w:sz="0" w:space="0" w:color="auto"/>
                    <w:right w:val="none" w:sz="0" w:space="0" w:color="auto"/>
                  </w:divBdr>
                  <w:divsChild>
                    <w:div w:id="607784982">
                      <w:marLeft w:val="0"/>
                      <w:marRight w:val="0"/>
                      <w:marTop w:val="0"/>
                      <w:marBottom w:val="0"/>
                      <w:divBdr>
                        <w:top w:val="none" w:sz="0" w:space="0" w:color="auto"/>
                        <w:left w:val="none" w:sz="0" w:space="0" w:color="auto"/>
                        <w:bottom w:val="none" w:sz="0" w:space="0" w:color="auto"/>
                        <w:right w:val="none" w:sz="0" w:space="0" w:color="auto"/>
                      </w:divBdr>
                      <w:divsChild>
                        <w:div w:id="1541018866">
                          <w:marLeft w:val="0"/>
                          <w:marRight w:val="0"/>
                          <w:marTop w:val="0"/>
                          <w:marBottom w:val="0"/>
                          <w:divBdr>
                            <w:top w:val="none" w:sz="0" w:space="0" w:color="auto"/>
                            <w:left w:val="none" w:sz="0" w:space="0" w:color="auto"/>
                            <w:bottom w:val="none" w:sz="0" w:space="0" w:color="auto"/>
                            <w:right w:val="none" w:sz="0" w:space="0" w:color="auto"/>
                          </w:divBdr>
                          <w:divsChild>
                            <w:div w:id="6390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1374</Words>
  <Characters>7838</Characters>
  <Application>Microsoft Office Word</Application>
  <DocSecurity>0</DocSecurity>
  <Lines>65</Lines>
  <Paragraphs>18</Paragraphs>
  <ScaleCrop>false</ScaleCrop>
  <Company>MoEU</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emin.baris</dc:creator>
  <cp:keywords/>
  <dc:description/>
  <cp:lastModifiedBy>emin.baris</cp:lastModifiedBy>
  <cp:revision>1</cp:revision>
  <dcterms:created xsi:type="dcterms:W3CDTF">2014-01-03T09:10:00Z</dcterms:created>
  <dcterms:modified xsi:type="dcterms:W3CDTF">2014-01-03T09:14:00Z</dcterms:modified>
</cp:coreProperties>
</file>