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8B" w:rsidRPr="00FA3749" w:rsidRDefault="0078108B" w:rsidP="0078108B">
      <w:pPr>
        <w:jc w:val="center"/>
        <w:rPr>
          <w:rFonts w:ascii="Times New Roman" w:hAnsi="Times New Roman" w:cs="Times New Roman"/>
          <w:b/>
        </w:rPr>
      </w:pPr>
      <w:r w:rsidRPr="00FA3749">
        <w:rPr>
          <w:rFonts w:ascii="Times New Roman" w:hAnsi="Times New Roman" w:cs="Times New Roman"/>
          <w:b/>
        </w:rPr>
        <w:t>TEHLİKELİ ATIK İŞLEME TESİSİ TEKNİK UYGUNLUK RAPORU FORMATI</w:t>
      </w:r>
    </w:p>
    <w:p w:rsidR="0078108B" w:rsidRDefault="0078108B" w:rsidP="0078108B">
      <w:pPr>
        <w:jc w:val="both"/>
        <w:rPr>
          <w:rFonts w:ascii="Times New Roman" w:hAnsi="Times New Roman" w:cs="Times New Roman"/>
        </w:rPr>
      </w:pPr>
    </w:p>
    <w:p w:rsidR="00FA3749" w:rsidRPr="00FA3749" w:rsidRDefault="00FA3749" w:rsidP="0078108B">
      <w:pPr>
        <w:jc w:val="both"/>
        <w:rPr>
          <w:rFonts w:ascii="Times New Roman" w:hAnsi="Times New Roman" w:cs="Times New Roman"/>
        </w:rPr>
      </w:pPr>
    </w:p>
    <w:p w:rsidR="0078108B" w:rsidRPr="00FA3749" w:rsidRDefault="0078108B" w:rsidP="0078108B">
      <w:pPr>
        <w:ind w:firstLine="567"/>
        <w:jc w:val="both"/>
        <w:rPr>
          <w:rFonts w:ascii="Times New Roman" w:hAnsi="Times New Roman" w:cs="Times New Roman"/>
          <w:b/>
        </w:rPr>
      </w:pPr>
      <w:r w:rsidRPr="00FA3749">
        <w:rPr>
          <w:rFonts w:ascii="Times New Roman" w:hAnsi="Times New Roman" w:cs="Times New Roman"/>
          <w:b/>
        </w:rPr>
        <w:t>A) Geri Kazanım Tesisleri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1) Tesise geri kazanım amacıyla kabul edilecek atıkların Atık Yönetimi Yönetmeliği</w:t>
      </w:r>
      <w:r w:rsidR="00F2321D">
        <w:rPr>
          <w:szCs w:val="22"/>
        </w:rPr>
        <w:t>’</w:t>
      </w:r>
      <w:r w:rsidRPr="00FA3749">
        <w:rPr>
          <w:szCs w:val="22"/>
        </w:rPr>
        <w:t>nin Ek-4’üne göre atık kodları, geri kazanım kapasitesi, geri kazanımda kullanılacak makine-</w:t>
      </w:r>
      <w:proofErr w:type="gramStart"/>
      <w:r w:rsidRPr="00FA3749">
        <w:rPr>
          <w:szCs w:val="22"/>
        </w:rPr>
        <w:t>ekipman</w:t>
      </w:r>
      <w:proofErr w:type="gramEnd"/>
      <w:r w:rsidRPr="00FA3749">
        <w:rPr>
          <w:szCs w:val="22"/>
        </w:rPr>
        <w:t xml:space="preserve"> listesi ile ölçekli tesis ve makine yerleşim planı,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2) Tesiste atık işlemede kullanılan kimyasal maddelerin isimleri, miktarı (ton/yıl) ve depolama şekilleri hammadde ve ürün depolama tanklarının kapasiteleri ile depolarda alınacak güvenlik tedbirleri,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3) Geri kazanım sonucu elde edilecek ürünler, ürünlere ait etiketleme ve ambalajlama bilgileri,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4) Geri kazanılamayan atıkların cinsi, bileşimi, miktar ve nasıl bertaraf edilecekleri,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 xml:space="preserve">5) Tesisin, projesi ve şartnamesine uygun olarak yapıldığını ve </w:t>
      </w:r>
      <w:proofErr w:type="gramStart"/>
      <w:r w:rsidRPr="00FA3749">
        <w:rPr>
          <w:szCs w:val="22"/>
        </w:rPr>
        <w:t>prosesini</w:t>
      </w:r>
      <w:proofErr w:type="gramEnd"/>
      <w:r w:rsidRPr="00FA3749">
        <w:rPr>
          <w:szCs w:val="22"/>
        </w:rPr>
        <w:t xml:space="preserve"> gösteren kurumsal akademik rapor,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 xml:space="preserve">6) Tesisten kaynaklanan </w:t>
      </w:r>
      <w:proofErr w:type="gramStart"/>
      <w:r w:rsidRPr="00FA3749">
        <w:rPr>
          <w:szCs w:val="22"/>
        </w:rPr>
        <w:t>proses</w:t>
      </w:r>
      <w:proofErr w:type="gramEnd"/>
      <w:r w:rsidRPr="00FA3749">
        <w:rPr>
          <w:szCs w:val="22"/>
        </w:rPr>
        <w:t xml:space="preserve"> atıklarının türleri, nitelikleri (tehlikeli, tehlikesiz), miktarları ve bu atıkların ne şekilde bertaraf edildikleri,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 xml:space="preserve">7) Tesisin </w:t>
      </w:r>
      <w:r w:rsidR="00D22D3F" w:rsidRPr="00FA3749">
        <w:rPr>
          <w:szCs w:val="22"/>
        </w:rPr>
        <w:t xml:space="preserve">atık mevzuatı </w:t>
      </w:r>
      <w:r w:rsidRPr="00FA3749">
        <w:rPr>
          <w:szCs w:val="22"/>
        </w:rPr>
        <w:t>ve diğer hukuki ve teknik düzenlemelerde istenen şartları yerine getirebileceğini gösterir, mali fizibiliteyi de içeren ve Atık Yönetimi Yönetmeliği</w:t>
      </w:r>
      <w:r w:rsidR="00F2321D">
        <w:rPr>
          <w:szCs w:val="22"/>
        </w:rPr>
        <w:t>’</w:t>
      </w:r>
      <w:r w:rsidRPr="00FA3749">
        <w:rPr>
          <w:szCs w:val="22"/>
        </w:rPr>
        <w:t>nin 14’üncü maddesinde belirtilen ulusal atık yönetim planıyla uyumlu olduğunu gösterir rapor,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8) Tesise kabul edilen atıkların analizleri,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9) Atığın temin edildiği işletmeler, bunların adresleri, telefon ve faks numaraları ve sorumlu kişiler,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 xml:space="preserve">10) Geri kazanılan ürünlerin piyasaya ürün olarak sürülebilmesi için ilgili </w:t>
      </w:r>
      <w:proofErr w:type="gramStart"/>
      <w:r w:rsidRPr="00FA3749">
        <w:rPr>
          <w:szCs w:val="22"/>
        </w:rPr>
        <w:t>kurum</w:t>
      </w:r>
      <w:proofErr w:type="gramEnd"/>
      <w:r w:rsidRPr="00FA3749">
        <w:rPr>
          <w:szCs w:val="22"/>
        </w:rPr>
        <w:t>/kuruluşlardan alınacak belge,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11) Geri kazanılan ürünlerin standartları, ticari isimleri, üretim miktarları (ton/yıl),</w:t>
      </w:r>
    </w:p>
    <w:p w:rsidR="0078108B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12) Anlaşma yapılan lisanslı taşıma firması ve aracının lisans bilgileri,</w:t>
      </w:r>
    </w:p>
    <w:p w:rsidR="00605121" w:rsidRPr="00FA3749" w:rsidRDefault="00605121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>
        <w:rPr>
          <w:szCs w:val="22"/>
        </w:rPr>
        <w:t xml:space="preserve">13) Tesisin kapatılmasına karar verildiğinde Atık Yönetimi Yönetmeliği’nin </w:t>
      </w:r>
      <w:r w:rsidRPr="00605121">
        <w:rPr>
          <w:szCs w:val="22"/>
        </w:rPr>
        <w:t>10’uncu maddesinin birinci fıkrasının (h) bendi uyarınca kapatma planı</w:t>
      </w:r>
      <w:r>
        <w:rPr>
          <w:szCs w:val="22"/>
        </w:rPr>
        <w:t xml:space="preserve"> sunulacağına dair taahhütname.</w:t>
      </w:r>
    </w:p>
    <w:p w:rsidR="0078108B" w:rsidRPr="00FA3749" w:rsidRDefault="0078108B" w:rsidP="0078108B">
      <w:pPr>
        <w:ind w:firstLine="567"/>
        <w:jc w:val="both"/>
        <w:rPr>
          <w:rFonts w:ascii="Times New Roman" w:hAnsi="Times New Roman" w:cs="Times New Roman"/>
        </w:rPr>
      </w:pPr>
    </w:p>
    <w:p w:rsidR="0078108B" w:rsidRPr="00FA3749" w:rsidRDefault="0078108B" w:rsidP="0078108B">
      <w:pPr>
        <w:ind w:firstLine="567"/>
        <w:jc w:val="both"/>
        <w:rPr>
          <w:rFonts w:ascii="Times New Roman" w:hAnsi="Times New Roman" w:cs="Times New Roman"/>
          <w:b/>
        </w:rPr>
      </w:pPr>
      <w:r w:rsidRPr="00FA3749">
        <w:rPr>
          <w:rFonts w:ascii="Times New Roman" w:hAnsi="Times New Roman" w:cs="Times New Roman"/>
          <w:b/>
        </w:rPr>
        <w:t>B) Bertaraf Tesisleri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>1) Tesise bertaraf amacıyla kabul edilecek atıkların Atık Yönetimi Yönetmeliği</w:t>
      </w:r>
      <w:r w:rsidR="00F2321D">
        <w:rPr>
          <w:szCs w:val="22"/>
        </w:rPr>
        <w:t>’</w:t>
      </w:r>
      <w:r w:rsidRPr="00FA3749">
        <w:rPr>
          <w:szCs w:val="22"/>
        </w:rPr>
        <w:t>nin Ek-4’üne göre atık kodları, bertaraf kapasitesi, kullanılacak makine-teçhizat listesi ile ölçekli tesis ve makine yerleşim planı,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>2) Atık depolama tank/sahalarının kapasiteleri ile alınacak güvenlik tedbirleri,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 xml:space="preserve">3) Tesisin, projesi ve şartnamesine uygun olarak yapıldığını ve </w:t>
      </w:r>
      <w:proofErr w:type="gramStart"/>
      <w:r w:rsidRPr="00FA3749">
        <w:rPr>
          <w:szCs w:val="22"/>
        </w:rPr>
        <w:t>prosesini</w:t>
      </w:r>
      <w:proofErr w:type="gramEnd"/>
      <w:r w:rsidRPr="00FA3749">
        <w:rPr>
          <w:szCs w:val="22"/>
        </w:rPr>
        <w:t xml:space="preserve"> gösteren kurumsal akademik rapor,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 xml:space="preserve">4) Tesisten kaynaklanan </w:t>
      </w:r>
      <w:proofErr w:type="gramStart"/>
      <w:r w:rsidRPr="00FA3749">
        <w:rPr>
          <w:szCs w:val="22"/>
        </w:rPr>
        <w:t>proses</w:t>
      </w:r>
      <w:proofErr w:type="gramEnd"/>
      <w:r w:rsidRPr="00FA3749">
        <w:rPr>
          <w:szCs w:val="22"/>
        </w:rPr>
        <w:t xml:space="preserve"> atıklarının türleri, nitelikleri (tehlikeli, tehlikesiz), miktarları ve bu atıkların ne şekilde bertaraf edildikleri,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>5) Tesise kabul edilen atıkların analizleri,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>6) Atığın temin edildiği işletmeler, bunların adresleri, telefon ve faks numaraları ve sorumlu kişiler,</w:t>
      </w:r>
    </w:p>
    <w:p w:rsidR="0078108B" w:rsidRPr="00FA3749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</w:rPr>
      </w:pPr>
      <w:r w:rsidRPr="00FA3749">
        <w:rPr>
          <w:szCs w:val="22"/>
        </w:rPr>
        <w:t xml:space="preserve">7) Tesisin </w:t>
      </w:r>
      <w:r w:rsidR="00D22D3F" w:rsidRPr="00FA3749">
        <w:rPr>
          <w:szCs w:val="22"/>
        </w:rPr>
        <w:t xml:space="preserve">atık mevzuatı </w:t>
      </w:r>
      <w:r w:rsidRPr="00FA3749">
        <w:rPr>
          <w:szCs w:val="22"/>
        </w:rPr>
        <w:t>ve diğer hukuki ve teknik düzenlemelerde istenen şartları yerine getirebileceğini gösterir, mali fizibiliteyi de içeren ve Atık Yönetimi Yönetmeliği</w:t>
      </w:r>
      <w:r w:rsidR="00F2321D">
        <w:rPr>
          <w:szCs w:val="22"/>
        </w:rPr>
        <w:t>’</w:t>
      </w:r>
      <w:r w:rsidRPr="00FA3749">
        <w:rPr>
          <w:szCs w:val="22"/>
        </w:rPr>
        <w:t>nin 14’üncü maddesinde belirtilen ulusal atık yönetim planıyla uyumlu olduğunu gösterir rapor,</w:t>
      </w:r>
    </w:p>
    <w:p w:rsidR="0078108B" w:rsidRDefault="0078108B" w:rsidP="0078108B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Cs w:val="22"/>
        </w:rPr>
      </w:pPr>
      <w:r w:rsidRPr="00FA3749">
        <w:rPr>
          <w:szCs w:val="22"/>
        </w:rPr>
        <w:t>8) Anlaşma yapılan lisanslı taşıma firma</w:t>
      </w:r>
      <w:r w:rsidR="00605121">
        <w:rPr>
          <w:szCs w:val="22"/>
        </w:rPr>
        <w:t>sı ve aracının lisans bilgileri,</w:t>
      </w:r>
    </w:p>
    <w:p w:rsidR="0078108B" w:rsidRPr="00FA3749" w:rsidRDefault="00605121" w:rsidP="00E857FD">
      <w:pPr>
        <w:pStyle w:val="3-normalyaz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>
        <w:rPr>
          <w:szCs w:val="22"/>
        </w:rPr>
        <w:t xml:space="preserve">9) </w:t>
      </w:r>
      <w:r>
        <w:rPr>
          <w:szCs w:val="22"/>
        </w:rPr>
        <w:t xml:space="preserve">Tesisin kapatılmasına karar verildiğinde Atık Yönetimi Yönetmeliği’nin </w:t>
      </w:r>
      <w:r w:rsidRPr="00605121">
        <w:rPr>
          <w:szCs w:val="22"/>
        </w:rPr>
        <w:t>10’uncu maddesinin birinci fıkrasının (h) bendi uyarınca kapatma planı</w:t>
      </w:r>
      <w:r>
        <w:rPr>
          <w:szCs w:val="22"/>
        </w:rPr>
        <w:t xml:space="preserve"> sunulacağına dair taahhütname.</w:t>
      </w:r>
      <w:bookmarkStart w:id="0" w:name="_GoBack"/>
      <w:bookmarkEnd w:id="0"/>
    </w:p>
    <w:sectPr w:rsidR="0078108B" w:rsidRPr="00FA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8B"/>
    <w:rsid w:val="00060C46"/>
    <w:rsid w:val="00605121"/>
    <w:rsid w:val="00674693"/>
    <w:rsid w:val="0078108B"/>
    <w:rsid w:val="00A86BF8"/>
    <w:rsid w:val="00D22D3F"/>
    <w:rsid w:val="00E857FD"/>
    <w:rsid w:val="00F2321D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8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781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8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781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2</cp:revision>
  <dcterms:created xsi:type="dcterms:W3CDTF">2016-03-31T14:14:00Z</dcterms:created>
  <dcterms:modified xsi:type="dcterms:W3CDTF">2016-03-31T14:14:00Z</dcterms:modified>
</cp:coreProperties>
</file>