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49" w:rsidRPr="00416735" w:rsidRDefault="00C25349" w:rsidP="008530FC">
      <w:pPr>
        <w:pStyle w:val="1-Baslk"/>
        <w:tabs>
          <w:tab w:val="clear" w:pos="566"/>
          <w:tab w:val="left" w:pos="708"/>
        </w:tabs>
        <w:spacing w:line="240" w:lineRule="exact"/>
        <w:ind w:firstLine="567"/>
        <w:jc w:val="both"/>
        <w:rPr>
          <w:sz w:val="24"/>
          <w:szCs w:val="24"/>
        </w:rPr>
      </w:pPr>
      <w:r w:rsidRPr="00416735">
        <w:rPr>
          <w:sz w:val="24"/>
          <w:szCs w:val="24"/>
        </w:rPr>
        <w:t xml:space="preserve">Çevre ve </w:t>
      </w:r>
      <w:r w:rsidR="00967F3C" w:rsidRPr="00416735">
        <w:rPr>
          <w:sz w:val="24"/>
          <w:szCs w:val="24"/>
        </w:rPr>
        <w:t>Şehircilik</w:t>
      </w:r>
      <w:r w:rsidRPr="00416735">
        <w:rPr>
          <w:sz w:val="24"/>
          <w:szCs w:val="24"/>
        </w:rPr>
        <w:t xml:space="preserve"> Bakanlığından:</w:t>
      </w:r>
    </w:p>
    <w:p w:rsidR="00C25349" w:rsidRPr="00416735" w:rsidRDefault="00C25349" w:rsidP="008530FC">
      <w:pPr>
        <w:pStyle w:val="2-OrtaBaslk"/>
        <w:spacing w:line="240" w:lineRule="exact"/>
        <w:ind w:firstLine="567"/>
        <w:jc w:val="both"/>
        <w:rPr>
          <w:sz w:val="24"/>
          <w:szCs w:val="24"/>
        </w:rPr>
      </w:pPr>
    </w:p>
    <w:p w:rsidR="00C25349" w:rsidRPr="00416735" w:rsidRDefault="00C25349" w:rsidP="008530FC">
      <w:pPr>
        <w:pStyle w:val="2-ortabaslk0"/>
        <w:spacing w:line="240" w:lineRule="exact"/>
        <w:ind w:firstLine="567"/>
        <w:rPr>
          <w:sz w:val="24"/>
          <w:szCs w:val="24"/>
        </w:rPr>
      </w:pPr>
      <w:r w:rsidRPr="00416735">
        <w:rPr>
          <w:sz w:val="24"/>
          <w:szCs w:val="24"/>
        </w:rPr>
        <w:t>SANAYİ KAYNAKLI HAVA KİRLİLİĞİNİN KONTROLÜ YÖNETMELİĞİNDE DEĞİŞİKLİK YAPILMASINA DAİR YÖNETMELİK TASLAĞI</w:t>
      </w:r>
    </w:p>
    <w:p w:rsidR="00C25349" w:rsidRPr="00416735" w:rsidRDefault="00C25349" w:rsidP="008530FC">
      <w:pPr>
        <w:pStyle w:val="2-ortabaslk0"/>
        <w:spacing w:line="240" w:lineRule="exact"/>
        <w:ind w:firstLine="567"/>
        <w:jc w:val="both"/>
        <w:rPr>
          <w:sz w:val="24"/>
          <w:szCs w:val="24"/>
        </w:rPr>
      </w:pPr>
      <w:r w:rsidRPr="00416735">
        <w:rPr>
          <w:sz w:val="24"/>
          <w:szCs w:val="24"/>
        </w:rPr>
        <w:t> </w:t>
      </w:r>
    </w:p>
    <w:p w:rsidR="002005A6" w:rsidRPr="00416735" w:rsidRDefault="00D9596C" w:rsidP="008530FC">
      <w:pPr>
        <w:pStyle w:val="3-normalyaz0"/>
        <w:spacing w:line="240" w:lineRule="exact"/>
        <w:ind w:firstLine="567"/>
        <w:rPr>
          <w:spacing w:val="-3"/>
          <w:sz w:val="24"/>
          <w:szCs w:val="24"/>
        </w:rPr>
      </w:pPr>
      <w:r w:rsidRPr="00416735">
        <w:rPr>
          <w:b/>
          <w:bCs/>
          <w:sz w:val="24"/>
          <w:szCs w:val="24"/>
        </w:rPr>
        <w:t>MADDE 1</w:t>
      </w:r>
      <w:r w:rsidR="0097684D" w:rsidRPr="00416735">
        <w:rPr>
          <w:b/>
          <w:bCs/>
          <w:sz w:val="24"/>
          <w:szCs w:val="24"/>
        </w:rPr>
        <w:t xml:space="preserve"> - </w:t>
      </w:r>
      <w:proofErr w:type="gramStart"/>
      <w:r w:rsidRPr="00416735">
        <w:rPr>
          <w:spacing w:val="-3"/>
          <w:sz w:val="24"/>
          <w:szCs w:val="24"/>
        </w:rPr>
        <w:t>3/7/2009</w:t>
      </w:r>
      <w:proofErr w:type="gramEnd"/>
      <w:r w:rsidRPr="00416735">
        <w:rPr>
          <w:spacing w:val="-3"/>
          <w:sz w:val="24"/>
          <w:szCs w:val="24"/>
        </w:rPr>
        <w:t xml:space="preserve"> tarihli ve 27277 sayılı Resmi </w:t>
      </w:r>
      <w:proofErr w:type="spellStart"/>
      <w:r w:rsidRPr="00416735">
        <w:rPr>
          <w:spacing w:val="-3"/>
          <w:sz w:val="24"/>
          <w:szCs w:val="24"/>
        </w:rPr>
        <w:t>Gazete’de</w:t>
      </w:r>
      <w:proofErr w:type="spellEnd"/>
      <w:r w:rsidRPr="00416735">
        <w:rPr>
          <w:spacing w:val="-3"/>
          <w:sz w:val="24"/>
          <w:szCs w:val="24"/>
        </w:rPr>
        <w:t xml:space="preserve"> yayımlana</w:t>
      </w:r>
      <w:r w:rsidR="00EA46D8" w:rsidRPr="00416735">
        <w:rPr>
          <w:spacing w:val="-3"/>
          <w:sz w:val="24"/>
          <w:szCs w:val="24"/>
        </w:rPr>
        <w:t>n</w:t>
      </w:r>
      <w:r w:rsidRPr="00416735">
        <w:rPr>
          <w:spacing w:val="-3"/>
          <w:sz w:val="24"/>
          <w:szCs w:val="24"/>
        </w:rPr>
        <w:t xml:space="preserve"> Sanayi Kaynaklı Hava Kirliliğinin Kontrolü Yönetmeliği</w:t>
      </w:r>
      <w:r w:rsidR="00EA46D8" w:rsidRPr="00416735">
        <w:rPr>
          <w:spacing w:val="-3"/>
          <w:sz w:val="24"/>
          <w:szCs w:val="24"/>
        </w:rPr>
        <w:t>’</w:t>
      </w:r>
      <w:r w:rsidRPr="00416735">
        <w:rPr>
          <w:spacing w:val="-3"/>
          <w:sz w:val="24"/>
          <w:szCs w:val="24"/>
        </w:rPr>
        <w:t xml:space="preserve">nin </w:t>
      </w:r>
      <w:r w:rsidR="00317ACD" w:rsidRPr="00416735">
        <w:rPr>
          <w:spacing w:val="-3"/>
          <w:sz w:val="24"/>
          <w:szCs w:val="24"/>
        </w:rPr>
        <w:t>4</w:t>
      </w:r>
      <w:r w:rsidR="00091389" w:rsidRPr="00416735">
        <w:rPr>
          <w:spacing w:val="-3"/>
          <w:sz w:val="24"/>
          <w:szCs w:val="24"/>
        </w:rPr>
        <w:t xml:space="preserve"> </w:t>
      </w:r>
      <w:r w:rsidR="00317ACD" w:rsidRPr="00416735">
        <w:rPr>
          <w:spacing w:val="-3"/>
          <w:sz w:val="24"/>
          <w:szCs w:val="24"/>
        </w:rPr>
        <w:t>ü</w:t>
      </w:r>
      <w:r w:rsidR="00091389" w:rsidRPr="00416735">
        <w:rPr>
          <w:spacing w:val="-3"/>
          <w:sz w:val="24"/>
          <w:szCs w:val="24"/>
        </w:rPr>
        <w:t>nc</w:t>
      </w:r>
      <w:r w:rsidR="00317ACD" w:rsidRPr="00416735">
        <w:rPr>
          <w:spacing w:val="-3"/>
          <w:sz w:val="24"/>
          <w:szCs w:val="24"/>
        </w:rPr>
        <w:t>ü</w:t>
      </w:r>
      <w:r w:rsidR="00091389" w:rsidRPr="00416735">
        <w:rPr>
          <w:spacing w:val="-3"/>
          <w:sz w:val="24"/>
          <w:szCs w:val="24"/>
        </w:rPr>
        <w:t xml:space="preserve"> maddesi</w:t>
      </w:r>
      <w:r w:rsidR="0075674A" w:rsidRPr="00416735">
        <w:rPr>
          <w:spacing w:val="-3"/>
          <w:sz w:val="24"/>
          <w:szCs w:val="24"/>
        </w:rPr>
        <w:t>nin d</w:t>
      </w:r>
      <w:r w:rsidR="00317ACD" w:rsidRPr="00416735">
        <w:rPr>
          <w:spacing w:val="-3"/>
          <w:sz w:val="24"/>
          <w:szCs w:val="24"/>
        </w:rPr>
        <w:t xml:space="preserve"> bendi</w:t>
      </w:r>
      <w:r w:rsidR="00091389" w:rsidRPr="00416735">
        <w:rPr>
          <w:spacing w:val="-3"/>
          <w:sz w:val="24"/>
          <w:szCs w:val="24"/>
        </w:rPr>
        <w:t xml:space="preserve"> aşağıdaki gibi değiştirilmişti</w:t>
      </w:r>
      <w:r w:rsidR="002005A6" w:rsidRPr="00416735">
        <w:rPr>
          <w:spacing w:val="-3"/>
          <w:sz w:val="24"/>
          <w:szCs w:val="24"/>
        </w:rPr>
        <w:t>r.</w:t>
      </w:r>
    </w:p>
    <w:p w:rsidR="000F7E9D" w:rsidRPr="00416735" w:rsidRDefault="00091389" w:rsidP="008530FC">
      <w:pPr>
        <w:spacing w:line="240" w:lineRule="atLeast"/>
        <w:jc w:val="both"/>
      </w:pPr>
      <w:r w:rsidRPr="00416735">
        <w:t xml:space="preserve"> </w:t>
      </w:r>
      <w:r w:rsidR="00071DBE" w:rsidRPr="00416735">
        <w:tab/>
      </w:r>
      <w:r w:rsidR="000A73E3" w:rsidRPr="00416735">
        <w:t>“d)</w:t>
      </w:r>
      <w:r w:rsidR="000F7E9D" w:rsidRPr="00416735">
        <w:t xml:space="preserve"> </w:t>
      </w:r>
      <w:proofErr w:type="spellStart"/>
      <w:r w:rsidR="000F7E9D" w:rsidRPr="00416735">
        <w:t>Biyokütle</w:t>
      </w:r>
      <w:proofErr w:type="spellEnd"/>
      <w:r w:rsidR="000F7E9D" w:rsidRPr="00416735">
        <w:t>:</w:t>
      </w:r>
    </w:p>
    <w:p w:rsidR="00753048" w:rsidRPr="00416735" w:rsidRDefault="000F7E9D" w:rsidP="0054591B">
      <w:pPr>
        <w:pStyle w:val="NormalWeb"/>
        <w:shd w:val="clear" w:color="auto" w:fill="FFFFFF"/>
        <w:spacing w:before="150" w:beforeAutospacing="0" w:after="150" w:afterAutospacing="0"/>
        <w:ind w:left="225" w:right="525"/>
        <w:jc w:val="both"/>
        <w:textAlignment w:val="baseline"/>
      </w:pPr>
      <w:r w:rsidRPr="00416735">
        <w:t>1)</w:t>
      </w:r>
      <w:r w:rsidR="0075674A" w:rsidRPr="00416735">
        <w:t xml:space="preserve"> </w:t>
      </w:r>
      <w:r w:rsidR="00753048" w:rsidRPr="00416735">
        <w:t>Enerji içeriğinden yararlanmak amacıyla yakıt olarak kullanılabilen tarım ve ormancılık kaynaklı bitkisel maddelerin bir kısmını veya tamamını içeren ürünler  ile aşağıda tanımlanan ve yakıt olarak kullanılan atıkları</w:t>
      </w:r>
      <w:proofErr w:type="gramStart"/>
      <w:r w:rsidR="0054591B" w:rsidRPr="00416735">
        <w:t>;</w:t>
      </w:r>
      <w:r w:rsidR="007A6534" w:rsidRPr="00416735">
        <w:t>;</w:t>
      </w:r>
      <w:proofErr w:type="gramEnd"/>
      <w:r w:rsidR="00753048" w:rsidRPr="00416735">
        <w:t xml:space="preserve"> </w:t>
      </w:r>
    </w:p>
    <w:p w:rsidR="00753048" w:rsidRPr="00416735" w:rsidRDefault="00753048" w:rsidP="00753048">
      <w:pPr>
        <w:pStyle w:val="ListeParagraf"/>
        <w:numPr>
          <w:ilvl w:val="0"/>
          <w:numId w:val="15"/>
        </w:numPr>
        <w:spacing w:line="240" w:lineRule="atLeast"/>
        <w:jc w:val="both"/>
      </w:pPr>
      <w:r w:rsidRPr="00416735">
        <w:t>Tarım ve ormancılık kaynaklı bitkisel atığı,</w:t>
      </w:r>
    </w:p>
    <w:p w:rsidR="00753048" w:rsidRPr="00416735" w:rsidRDefault="006B03B8" w:rsidP="00753048">
      <w:pPr>
        <w:pStyle w:val="ListeParagraf"/>
        <w:numPr>
          <w:ilvl w:val="0"/>
          <w:numId w:val="15"/>
        </w:numPr>
        <w:spacing w:line="240" w:lineRule="atLeast"/>
        <w:jc w:val="both"/>
      </w:pPr>
      <w:r w:rsidRPr="00416735">
        <w:t>Üretilen ısıyı</w:t>
      </w:r>
      <w:r w:rsidR="00531977" w:rsidRPr="00416735">
        <w:t xml:space="preserve"> geri kazan</w:t>
      </w:r>
      <w:r w:rsidR="00753048" w:rsidRPr="00416735">
        <w:t>a</w:t>
      </w:r>
      <w:r w:rsidR="00531977" w:rsidRPr="00416735">
        <w:t>n</w:t>
      </w:r>
      <w:r w:rsidR="00753048" w:rsidRPr="00416735">
        <w:t xml:space="preserve"> gıda işleme sanayisinden kaynaklanan bitkisel atığı,</w:t>
      </w:r>
    </w:p>
    <w:p w:rsidR="00753048" w:rsidRPr="00416735" w:rsidRDefault="009427D5" w:rsidP="00753048">
      <w:pPr>
        <w:pStyle w:val="ListeParagraf"/>
        <w:numPr>
          <w:ilvl w:val="0"/>
          <w:numId w:val="15"/>
        </w:numPr>
        <w:spacing w:line="240" w:lineRule="atLeast"/>
        <w:jc w:val="both"/>
      </w:pPr>
      <w:r w:rsidRPr="00416735">
        <w:t>Üretim mahallinde beraber</w:t>
      </w:r>
      <w:r w:rsidR="00753048" w:rsidRPr="00416735">
        <w:t xml:space="preserve"> ya</w:t>
      </w:r>
      <w:r w:rsidR="00011818" w:rsidRPr="00416735">
        <w:t>kıl</w:t>
      </w:r>
      <w:r w:rsidRPr="00416735">
        <w:t xml:space="preserve">an ve ortaya çıkan ısıyı </w:t>
      </w:r>
      <w:r w:rsidR="00753048" w:rsidRPr="00416735">
        <w:t>geri kazan</w:t>
      </w:r>
      <w:r w:rsidRPr="00416735">
        <w:t>an</w:t>
      </w:r>
      <w:r w:rsidR="00753048" w:rsidRPr="00416735">
        <w:t xml:space="preserve"> </w:t>
      </w:r>
      <w:proofErr w:type="gramStart"/>
      <w:r w:rsidR="00753048" w:rsidRPr="00416735">
        <w:t>kağıt</w:t>
      </w:r>
      <w:proofErr w:type="gramEnd"/>
      <w:r w:rsidR="00753048" w:rsidRPr="00416735">
        <w:t xml:space="preserve"> hamuru üretimi </w:t>
      </w:r>
      <w:r w:rsidR="00011818" w:rsidRPr="00416735">
        <w:t>ve/</w:t>
      </w:r>
      <w:r w:rsidR="00753048" w:rsidRPr="00416735">
        <w:t>ve</w:t>
      </w:r>
      <w:r w:rsidR="00011818" w:rsidRPr="00416735">
        <w:t>ya</w:t>
      </w:r>
      <w:r w:rsidR="00753048" w:rsidRPr="00416735">
        <w:t xml:space="preserve"> kağıt hamurundan kağıt üretimi sırasında oluşan lifli bitkisel atıkları,</w:t>
      </w:r>
    </w:p>
    <w:p w:rsidR="00753048" w:rsidRPr="00416735" w:rsidRDefault="00753048" w:rsidP="00011818">
      <w:pPr>
        <w:pStyle w:val="ListeParagraf"/>
        <w:numPr>
          <w:ilvl w:val="0"/>
          <w:numId w:val="15"/>
        </w:numPr>
        <w:spacing w:line="240" w:lineRule="atLeast"/>
        <w:jc w:val="both"/>
      </w:pPr>
      <w:r w:rsidRPr="00416735">
        <w:t>Mantar atıkları,</w:t>
      </w:r>
    </w:p>
    <w:p w:rsidR="007060BE" w:rsidRPr="00416735" w:rsidRDefault="00753048" w:rsidP="00B77AC1">
      <w:pPr>
        <w:pStyle w:val="ListeParagraf"/>
        <w:numPr>
          <w:ilvl w:val="0"/>
          <w:numId w:val="15"/>
        </w:numPr>
        <w:spacing w:line="240" w:lineRule="atLeast"/>
        <w:jc w:val="both"/>
      </w:pPr>
      <w:r w:rsidRPr="00416735">
        <w:t xml:space="preserve">Ahşap koruyucuları ve kaplamaları ile </w:t>
      </w:r>
      <w:r w:rsidR="00B77AC1" w:rsidRPr="00416735">
        <w:t>işlem görmesi sonucu</w:t>
      </w:r>
      <w:r w:rsidRPr="00416735">
        <w:t xml:space="preserve"> </w:t>
      </w:r>
      <w:proofErr w:type="spellStart"/>
      <w:r w:rsidRPr="00416735">
        <w:t>halojenli</w:t>
      </w:r>
      <w:proofErr w:type="spellEnd"/>
      <w:r w:rsidRPr="00416735">
        <w:t xml:space="preserve"> organik bileşikler veya ağır metaller ihtiva eden </w:t>
      </w:r>
      <w:r w:rsidR="00B77AC1" w:rsidRPr="00416735">
        <w:t>inşaat veya yıkım atıklarından kaynaklanan ahşap atıklar ile diğer ahşap atıklar</w:t>
      </w:r>
      <w:r w:rsidR="0054591B" w:rsidRPr="00416735">
        <w:t>ı</w:t>
      </w:r>
      <w:r w:rsidRPr="00416735">
        <w:t xml:space="preserve"> hariç olmak üzere </w:t>
      </w:r>
      <w:r w:rsidR="00B77AC1" w:rsidRPr="00416735">
        <w:t>ahşap atıklarını</w:t>
      </w:r>
      <w:r w:rsidR="00AA480B" w:rsidRPr="00416735">
        <w:t>;</w:t>
      </w:r>
    </w:p>
    <w:p w:rsidR="007060BE" w:rsidRPr="00416735" w:rsidRDefault="007060BE" w:rsidP="008530FC">
      <w:pPr>
        <w:spacing w:line="240" w:lineRule="atLeast"/>
        <w:jc w:val="both"/>
      </w:pPr>
    </w:p>
    <w:p w:rsidR="00AA480B" w:rsidRPr="00416735" w:rsidRDefault="000A73E3" w:rsidP="008530FC">
      <w:pPr>
        <w:autoSpaceDE w:val="0"/>
        <w:autoSpaceDN w:val="0"/>
        <w:adjustRightInd w:val="0"/>
        <w:ind w:firstLine="708"/>
        <w:jc w:val="both"/>
      </w:pPr>
      <w:r w:rsidRPr="00416735">
        <w:t xml:space="preserve">2) </w:t>
      </w:r>
      <w:r w:rsidR="00B44D70" w:rsidRPr="00416735">
        <w:t>Bu bendin 1 inci</w:t>
      </w:r>
      <w:r w:rsidR="00C15E10" w:rsidRPr="00416735">
        <w:t xml:space="preserve"> alt bendinde tanı</w:t>
      </w:r>
      <w:r w:rsidR="00324ACF" w:rsidRPr="00416735">
        <w:t>mlanmayan ve i</w:t>
      </w:r>
      <w:r w:rsidR="00B44D70" w:rsidRPr="00416735">
        <w:t xml:space="preserve">thal edilmemek kaydıyla; kentsel atıkların yanı sıra bitkisel yağ </w:t>
      </w:r>
      <w:proofErr w:type="gramStart"/>
      <w:r w:rsidR="00B44D70" w:rsidRPr="00416735">
        <w:t>atıkları,</w:t>
      </w:r>
      <w:proofErr w:type="gramEnd"/>
      <w:r w:rsidR="00B44D70" w:rsidRPr="00416735">
        <w:t xml:space="preserve"> ve atık lastiklerin işlenmesi sonucu ortaya çıkan yan ürünlerden elde edilen kaynakları ve sanayi atık çamurları ile arıtma çamurlarını,”</w:t>
      </w:r>
      <w:r w:rsidR="00E21C5A" w:rsidRPr="00416735">
        <w:t xml:space="preserve"> </w:t>
      </w:r>
    </w:p>
    <w:p w:rsidR="00AA480B" w:rsidRPr="00416735" w:rsidRDefault="00AA480B" w:rsidP="008530FC">
      <w:pPr>
        <w:autoSpaceDE w:val="0"/>
        <w:autoSpaceDN w:val="0"/>
        <w:adjustRightInd w:val="0"/>
        <w:ind w:firstLine="708"/>
        <w:jc w:val="both"/>
      </w:pPr>
    </w:p>
    <w:p w:rsidR="00B44D70" w:rsidRPr="00416735" w:rsidRDefault="00E21C5A" w:rsidP="008530FC">
      <w:pPr>
        <w:autoSpaceDE w:val="0"/>
        <w:autoSpaceDN w:val="0"/>
        <w:adjustRightInd w:val="0"/>
        <w:ind w:firstLine="708"/>
        <w:jc w:val="both"/>
      </w:pPr>
      <w:proofErr w:type="gramStart"/>
      <w:r w:rsidRPr="00416735">
        <w:t>ifade</w:t>
      </w:r>
      <w:proofErr w:type="gramEnd"/>
      <w:r w:rsidRPr="00416735">
        <w:t xml:space="preserve"> eder.</w:t>
      </w:r>
    </w:p>
    <w:p w:rsidR="00B44D70" w:rsidRPr="00416735" w:rsidRDefault="00B44D70" w:rsidP="008530FC">
      <w:pPr>
        <w:spacing w:line="240" w:lineRule="atLeast"/>
        <w:jc w:val="both"/>
        <w:rPr>
          <w:rStyle w:val="Vurgu"/>
          <w:i w:val="0"/>
        </w:rPr>
      </w:pPr>
    </w:p>
    <w:p w:rsidR="00A16F29" w:rsidRPr="00416735" w:rsidRDefault="0075674A" w:rsidP="008530FC">
      <w:pPr>
        <w:pStyle w:val="3-normalyaz0"/>
        <w:spacing w:line="240" w:lineRule="exact"/>
        <w:ind w:firstLine="567"/>
        <w:rPr>
          <w:spacing w:val="-3"/>
          <w:sz w:val="24"/>
          <w:szCs w:val="24"/>
        </w:rPr>
      </w:pPr>
      <w:r w:rsidRPr="00416735">
        <w:rPr>
          <w:b/>
          <w:bCs/>
          <w:sz w:val="24"/>
          <w:szCs w:val="24"/>
        </w:rPr>
        <w:t xml:space="preserve">MADDE 2 </w:t>
      </w:r>
      <w:r w:rsidR="002C079D" w:rsidRPr="00416735">
        <w:rPr>
          <w:b/>
          <w:bCs/>
          <w:sz w:val="24"/>
          <w:szCs w:val="24"/>
        </w:rPr>
        <w:t>–</w:t>
      </w:r>
      <w:r w:rsidRPr="00416735">
        <w:rPr>
          <w:b/>
          <w:bCs/>
          <w:sz w:val="24"/>
          <w:szCs w:val="24"/>
        </w:rPr>
        <w:t xml:space="preserve"> </w:t>
      </w:r>
      <w:r w:rsidR="002C079D" w:rsidRPr="00416735">
        <w:rPr>
          <w:spacing w:val="-3"/>
          <w:sz w:val="24"/>
          <w:szCs w:val="24"/>
        </w:rPr>
        <w:t>Aynı Yönetmeliğin</w:t>
      </w:r>
      <w:r w:rsidRPr="00416735">
        <w:rPr>
          <w:spacing w:val="-3"/>
          <w:sz w:val="24"/>
          <w:szCs w:val="24"/>
        </w:rPr>
        <w:t xml:space="preserve"> </w:t>
      </w:r>
      <w:r w:rsidR="00DD6A4A" w:rsidRPr="00416735">
        <w:rPr>
          <w:spacing w:val="-3"/>
          <w:sz w:val="24"/>
          <w:szCs w:val="24"/>
        </w:rPr>
        <w:t>Ek-5’in</w:t>
      </w:r>
      <w:r w:rsidR="00D542AA" w:rsidRPr="00416735">
        <w:rPr>
          <w:spacing w:val="-3"/>
          <w:sz w:val="24"/>
          <w:szCs w:val="24"/>
        </w:rPr>
        <w:t>e</w:t>
      </w:r>
      <w:r w:rsidR="00DD6A4A" w:rsidRPr="00416735">
        <w:rPr>
          <w:spacing w:val="-3"/>
          <w:sz w:val="24"/>
          <w:szCs w:val="24"/>
        </w:rPr>
        <w:t xml:space="preserve"> A bendinden önce gelmek </w:t>
      </w:r>
      <w:proofErr w:type="gramStart"/>
      <w:r w:rsidR="00DD6A4A" w:rsidRPr="00416735">
        <w:rPr>
          <w:spacing w:val="-3"/>
          <w:sz w:val="24"/>
          <w:szCs w:val="24"/>
        </w:rPr>
        <w:t>üzere  aşağıdaki</w:t>
      </w:r>
      <w:proofErr w:type="gramEnd"/>
      <w:r w:rsidR="00DD6A4A" w:rsidRPr="00416735">
        <w:rPr>
          <w:spacing w:val="-3"/>
          <w:sz w:val="24"/>
          <w:szCs w:val="24"/>
        </w:rPr>
        <w:t xml:space="preserve"> paragraf eklenmiştir.</w:t>
      </w:r>
    </w:p>
    <w:p w:rsidR="00A16F29" w:rsidRPr="00416735" w:rsidRDefault="00A16F29" w:rsidP="008530FC">
      <w:pPr>
        <w:pStyle w:val="3-normalyaz0"/>
        <w:spacing w:line="240" w:lineRule="exact"/>
        <w:ind w:firstLine="567"/>
        <w:rPr>
          <w:spacing w:val="-3"/>
          <w:sz w:val="24"/>
          <w:szCs w:val="24"/>
        </w:rPr>
      </w:pPr>
    </w:p>
    <w:p w:rsidR="00DD6A4A" w:rsidRPr="00416735" w:rsidRDefault="00DD6A4A" w:rsidP="00D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rPr>
          <w:spacing w:val="-3"/>
        </w:rPr>
        <w:t>“</w:t>
      </w:r>
      <w:r w:rsidR="00D542AA" w:rsidRPr="00416735">
        <w:rPr>
          <w:spacing w:val="-3"/>
        </w:rPr>
        <w:t>Bu ekte belirtilen yakma tesisleri; i</w:t>
      </w:r>
      <w:r w:rsidRPr="00416735">
        <w:t xml:space="preserve">şletmelerde, </w:t>
      </w:r>
      <w:proofErr w:type="gramStart"/>
      <w:r w:rsidRPr="00416735">
        <w:t>proses</w:t>
      </w:r>
      <w:proofErr w:type="gramEnd"/>
      <w:r w:rsidRPr="00416735">
        <w:t xml:space="preserve"> gereği ortamın ısıtılmasında, ürün ve/veya hammadde kurutma üniteleri ve</w:t>
      </w:r>
      <w:r w:rsidR="00416735" w:rsidRPr="00416735">
        <w:t>/veya</w:t>
      </w:r>
      <w:r w:rsidRPr="00416735">
        <w:t xml:space="preserve"> üretim için gerekli ısının ve/veya su buharı ihtiyacının karşılanması amacıyla faaliyet gösteren </w:t>
      </w:r>
      <w:r w:rsidR="00D542AA" w:rsidRPr="00416735">
        <w:t xml:space="preserve">tesisleri </w:t>
      </w:r>
      <w:r w:rsidR="00416735" w:rsidRPr="00416735">
        <w:t xml:space="preserve">de </w:t>
      </w:r>
      <w:r w:rsidR="00D542AA" w:rsidRPr="00416735">
        <w:t>ifade eder.”</w:t>
      </w:r>
    </w:p>
    <w:p w:rsidR="00DD6A4A" w:rsidRPr="00416735" w:rsidRDefault="00DD6A4A" w:rsidP="00DD6A4A">
      <w:pPr>
        <w:pStyle w:val="3-normalyaz0"/>
        <w:spacing w:line="240" w:lineRule="exact"/>
        <w:ind w:firstLine="567"/>
        <w:rPr>
          <w:b/>
          <w:spacing w:val="-3"/>
          <w:sz w:val="24"/>
          <w:szCs w:val="24"/>
        </w:rPr>
      </w:pPr>
    </w:p>
    <w:p w:rsidR="00DD6A4A" w:rsidRPr="00416735" w:rsidRDefault="00DD6A4A" w:rsidP="00DD6A4A">
      <w:pPr>
        <w:pStyle w:val="3-normalyaz0"/>
        <w:spacing w:line="240" w:lineRule="exact"/>
        <w:ind w:firstLine="567"/>
        <w:rPr>
          <w:spacing w:val="-3"/>
          <w:sz w:val="24"/>
          <w:szCs w:val="24"/>
        </w:rPr>
      </w:pPr>
      <w:r w:rsidRPr="00416735">
        <w:rPr>
          <w:b/>
          <w:bCs/>
          <w:sz w:val="24"/>
          <w:szCs w:val="24"/>
        </w:rPr>
        <w:t xml:space="preserve">MADDE 2 – </w:t>
      </w:r>
      <w:r w:rsidRPr="00416735">
        <w:rPr>
          <w:spacing w:val="-3"/>
          <w:sz w:val="24"/>
          <w:szCs w:val="24"/>
        </w:rPr>
        <w:t>Aynı Yönetmeliğin Ek-5.A.</w:t>
      </w:r>
      <w:proofErr w:type="gramStart"/>
      <w:r w:rsidRPr="00416735">
        <w:rPr>
          <w:spacing w:val="-3"/>
          <w:sz w:val="24"/>
          <w:szCs w:val="24"/>
        </w:rPr>
        <w:t>2.3</w:t>
      </w:r>
      <w:proofErr w:type="gramEnd"/>
      <w:r w:rsidRPr="00416735">
        <w:rPr>
          <w:spacing w:val="-3"/>
          <w:sz w:val="24"/>
          <w:szCs w:val="24"/>
        </w:rPr>
        <w:t xml:space="preserve"> ve Ek- 5.A.3.3 alt bentleri yürürlükten kaldırılmıştır.</w:t>
      </w:r>
    </w:p>
    <w:p w:rsidR="00416735" w:rsidRPr="00416735" w:rsidRDefault="00416735" w:rsidP="00507323">
      <w:pPr>
        <w:pStyle w:val="3-normalyaz0"/>
        <w:spacing w:line="240" w:lineRule="exact"/>
        <w:ind w:firstLine="567"/>
        <w:rPr>
          <w:b/>
          <w:spacing w:val="-3"/>
          <w:sz w:val="24"/>
          <w:szCs w:val="24"/>
        </w:rPr>
      </w:pPr>
    </w:p>
    <w:p w:rsidR="00507323" w:rsidRPr="00416735" w:rsidRDefault="00A16F29" w:rsidP="00507323">
      <w:pPr>
        <w:pStyle w:val="3-normalyaz0"/>
        <w:spacing w:line="240" w:lineRule="exact"/>
        <w:ind w:firstLine="567"/>
        <w:rPr>
          <w:spacing w:val="-3"/>
          <w:sz w:val="24"/>
          <w:szCs w:val="24"/>
        </w:rPr>
      </w:pPr>
      <w:r w:rsidRPr="00416735">
        <w:rPr>
          <w:b/>
          <w:spacing w:val="-3"/>
          <w:sz w:val="24"/>
          <w:szCs w:val="24"/>
        </w:rPr>
        <w:t>MADDE 3-</w:t>
      </w:r>
      <w:r w:rsidRPr="00416735">
        <w:rPr>
          <w:spacing w:val="-3"/>
          <w:sz w:val="24"/>
          <w:szCs w:val="24"/>
        </w:rPr>
        <w:t xml:space="preserve"> </w:t>
      </w:r>
      <w:r w:rsidR="002C079D" w:rsidRPr="00416735">
        <w:rPr>
          <w:spacing w:val="-3"/>
          <w:sz w:val="24"/>
          <w:szCs w:val="24"/>
        </w:rPr>
        <w:t xml:space="preserve">Aynı Yönetmeliğin </w:t>
      </w:r>
      <w:r w:rsidR="00507323" w:rsidRPr="00416735">
        <w:rPr>
          <w:spacing w:val="-3"/>
          <w:sz w:val="24"/>
          <w:szCs w:val="24"/>
        </w:rPr>
        <w:t>Ek-5’in</w:t>
      </w:r>
      <w:r w:rsidR="0054591B" w:rsidRPr="00416735">
        <w:rPr>
          <w:spacing w:val="-3"/>
          <w:sz w:val="24"/>
          <w:szCs w:val="24"/>
        </w:rPr>
        <w:t>e</w:t>
      </w:r>
      <w:r w:rsidR="00B403DD" w:rsidRPr="00416735">
        <w:rPr>
          <w:spacing w:val="-3"/>
          <w:sz w:val="24"/>
          <w:szCs w:val="24"/>
        </w:rPr>
        <w:t xml:space="preserve"> </w:t>
      </w:r>
      <w:r w:rsidR="00507323" w:rsidRPr="00416735">
        <w:rPr>
          <w:spacing w:val="-3"/>
          <w:sz w:val="24"/>
          <w:szCs w:val="24"/>
        </w:rPr>
        <w:t>aşağıdaki alt ben</w:t>
      </w:r>
      <w:r w:rsidR="002C079D" w:rsidRPr="00416735">
        <w:rPr>
          <w:spacing w:val="-3"/>
          <w:sz w:val="24"/>
          <w:szCs w:val="24"/>
        </w:rPr>
        <w:t>t</w:t>
      </w:r>
      <w:r w:rsidR="00507323" w:rsidRPr="00416735">
        <w:rPr>
          <w:spacing w:val="-3"/>
          <w:sz w:val="24"/>
          <w:szCs w:val="24"/>
        </w:rPr>
        <w:t xml:space="preserve"> eklenmiştir.</w:t>
      </w:r>
    </w:p>
    <w:p w:rsidR="00B44D70" w:rsidRPr="00416735" w:rsidRDefault="00B44D70" w:rsidP="008530FC">
      <w:pPr>
        <w:spacing w:line="240" w:lineRule="atLeast"/>
        <w:jc w:val="both"/>
        <w:rPr>
          <w:rStyle w:val="Vurgu"/>
          <w:i w:val="0"/>
        </w:rPr>
      </w:pPr>
    </w:p>
    <w:p w:rsidR="0054591B" w:rsidRPr="00416735" w:rsidRDefault="00E97102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“</w:t>
      </w:r>
      <w:r w:rsidR="00ED5A73" w:rsidRPr="00EF339B">
        <w:rPr>
          <w:rStyle w:val="Vurgu"/>
          <w:b/>
          <w:i w:val="0"/>
        </w:rPr>
        <w:t>EE</w:t>
      </w:r>
      <w:r w:rsidR="0054591B" w:rsidRPr="00EF339B">
        <w:rPr>
          <w:rStyle w:val="Vurgu"/>
          <w:b/>
          <w:i w:val="0"/>
        </w:rPr>
        <w:t>- YİRMİSEKİZİNCİ GRUP TESİSLER</w:t>
      </w:r>
    </w:p>
    <w:p w:rsidR="00ED5A73" w:rsidRPr="00416735" w:rsidRDefault="00A16F29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 xml:space="preserve"> </w:t>
      </w:r>
    </w:p>
    <w:p w:rsidR="00E97102" w:rsidRPr="00EF339B" w:rsidRDefault="00C731D0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b/>
          <w:u w:val="single"/>
        </w:rPr>
      </w:pPr>
      <w:proofErr w:type="spellStart"/>
      <w:r>
        <w:rPr>
          <w:b/>
        </w:rPr>
        <w:t>Biyokütlenin</w:t>
      </w:r>
      <w:proofErr w:type="spellEnd"/>
      <w:r>
        <w:rPr>
          <w:b/>
        </w:rPr>
        <w:t xml:space="preserve"> </w:t>
      </w:r>
      <w:r w:rsidR="00E97102" w:rsidRPr="00EF339B">
        <w:rPr>
          <w:b/>
        </w:rPr>
        <w:t>yakıt olarak kullanıldığı tesisler</w:t>
      </w:r>
      <w:r w:rsidR="00E97102" w:rsidRPr="00EF339B">
        <w:rPr>
          <w:b/>
          <w:u w:val="single"/>
        </w:rPr>
        <w:t xml:space="preserve"> </w:t>
      </w:r>
    </w:p>
    <w:p w:rsidR="002C079D" w:rsidRPr="00416735" w:rsidRDefault="002C079D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u w:val="single"/>
        </w:rPr>
      </w:pPr>
    </w:p>
    <w:p w:rsidR="00E97102" w:rsidRPr="00416735" w:rsidRDefault="00E97102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 xml:space="preserve">1. Bu Yönetmeliğin 4 üncü maddesinin d bendinin 1 inci alt bendinde tanımı yapılan </w:t>
      </w:r>
      <w:proofErr w:type="spellStart"/>
      <w:r w:rsidRPr="00416735">
        <w:t>biyokütle</w:t>
      </w:r>
      <w:r w:rsidR="00CD4254" w:rsidRPr="00416735">
        <w:t>nin</w:t>
      </w:r>
      <w:proofErr w:type="spellEnd"/>
      <w:r w:rsidRPr="00416735">
        <w:t xml:space="preserve"> kullanımına ilişkin esaslar aşağıda belirlenmiştir. </w:t>
      </w:r>
    </w:p>
    <w:p w:rsidR="00E21C5A" w:rsidRPr="00416735" w:rsidRDefault="00E21C5A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D542AA" w:rsidRPr="00416735" w:rsidRDefault="00E97102" w:rsidP="00D5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 xml:space="preserve">1.1. </w:t>
      </w:r>
      <w:proofErr w:type="spellStart"/>
      <w:r w:rsidRPr="00416735">
        <w:t>Biyokütlenin</w:t>
      </w:r>
      <w:proofErr w:type="spellEnd"/>
      <w:r w:rsidRPr="00416735">
        <w:t xml:space="preserve"> </w:t>
      </w:r>
      <w:r w:rsidR="00D542AA" w:rsidRPr="00416735">
        <w:t>yakıt olarak kullanıldığı yakma tesisleri</w:t>
      </w:r>
      <w:r w:rsidR="00416735">
        <w:t>nde;</w:t>
      </w:r>
    </w:p>
    <w:p w:rsidR="00507323" w:rsidRPr="00416735" w:rsidRDefault="00507323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507323" w:rsidRPr="00416735" w:rsidRDefault="00507323" w:rsidP="00507323">
      <w:pPr>
        <w:pStyle w:val="ListeParagraf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proofErr w:type="spellStart"/>
      <w:r w:rsidRPr="00416735">
        <w:t>S</w:t>
      </w:r>
      <w:r w:rsidR="00E97102" w:rsidRPr="00416735">
        <w:t>ekonder</w:t>
      </w:r>
      <w:proofErr w:type="spellEnd"/>
      <w:r w:rsidR="00E97102" w:rsidRPr="00416735">
        <w:t xml:space="preserve"> hava beslemeli yakma sistemi olmalıdır. </w:t>
      </w:r>
    </w:p>
    <w:p w:rsidR="00507323" w:rsidRPr="00416735" w:rsidRDefault="00507323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C540D7" w:rsidRPr="00416735" w:rsidRDefault="00E04A01" w:rsidP="002756BC">
      <w:pPr>
        <w:pStyle w:val="ListeParagraf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416735">
        <w:t>Baca gazında %6 hacimsel oksijen esas alınarak a</w:t>
      </w:r>
      <w:r w:rsidR="00507323" w:rsidRPr="00416735">
        <w:t xml:space="preserve">şağıda </w:t>
      </w:r>
      <w:r w:rsidR="009C46A7" w:rsidRPr="00416735">
        <w:t xml:space="preserve">belirtilen </w:t>
      </w:r>
      <w:proofErr w:type="gramStart"/>
      <w:r w:rsidR="00E97102" w:rsidRPr="00416735">
        <w:t>emisyon</w:t>
      </w:r>
      <w:proofErr w:type="gramEnd"/>
      <w:r w:rsidR="00E97102" w:rsidRPr="00416735">
        <w:t xml:space="preserve"> </w:t>
      </w:r>
      <w:r w:rsidRPr="00416735">
        <w:t xml:space="preserve">sınır </w:t>
      </w:r>
      <w:r w:rsidR="00E97102" w:rsidRPr="00416735">
        <w:t>değerleri</w:t>
      </w:r>
      <w:r w:rsidRPr="00416735">
        <w:t xml:space="preserve"> aş</w:t>
      </w:r>
      <w:r w:rsidR="002C3BB8" w:rsidRPr="00416735">
        <w:t>ılamaz</w:t>
      </w:r>
      <w:r w:rsidRPr="00416735">
        <w:t>.</w:t>
      </w:r>
      <w:r w:rsidR="00E97102" w:rsidRPr="00416735">
        <w:t xml:space="preserve"> </w:t>
      </w:r>
      <w:bookmarkStart w:id="0" w:name="_GoBack"/>
      <w:bookmarkEnd w:id="0"/>
    </w:p>
    <w:p w:rsidR="009C46A7" w:rsidRPr="00416735" w:rsidRDefault="009C46A7" w:rsidP="009C46A7">
      <w:pPr>
        <w:pStyle w:val="ListeParagraf"/>
      </w:pPr>
    </w:p>
    <w:p w:rsidR="00E97102" w:rsidRPr="00416735" w:rsidRDefault="00E97102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>Tablo 5.1</w:t>
      </w:r>
      <w:r w:rsidR="00A16F29" w:rsidRPr="00416735">
        <w:t>5</w:t>
      </w:r>
      <w:r w:rsidRPr="00416735">
        <w:t xml:space="preserve"> Baca gazı </w:t>
      </w:r>
      <w:proofErr w:type="gramStart"/>
      <w:r w:rsidRPr="00416735">
        <w:t>emisyon</w:t>
      </w:r>
      <w:proofErr w:type="gramEnd"/>
      <w:r w:rsidRPr="00416735">
        <w:t xml:space="preserve"> değerleri</w:t>
      </w:r>
      <w:r w:rsidR="002756BC" w:rsidRPr="00416735">
        <w:t xml:space="preserve"> </w:t>
      </w:r>
    </w:p>
    <w:tbl>
      <w:tblPr>
        <w:tblStyle w:val="TabloKlavuzu"/>
        <w:tblW w:w="46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852"/>
        <w:gridCol w:w="850"/>
        <w:gridCol w:w="710"/>
        <w:gridCol w:w="708"/>
        <w:gridCol w:w="567"/>
        <w:gridCol w:w="708"/>
        <w:gridCol w:w="698"/>
      </w:tblGrid>
      <w:tr w:rsidR="00416735" w:rsidRPr="00416735" w:rsidTr="00A1065D">
        <w:trPr>
          <w:trHeight w:val="246"/>
        </w:trPr>
        <w:tc>
          <w:tcPr>
            <w:tcW w:w="2052" w:type="pct"/>
            <w:hideMark/>
          </w:tcPr>
          <w:p w:rsidR="00E97102" w:rsidRPr="00416735" w:rsidRDefault="00A1065D" w:rsidP="00A1065D">
            <w:pPr>
              <w:spacing w:line="240" w:lineRule="exact"/>
              <w:rPr>
                <w:lang w:eastAsia="en-US"/>
              </w:rPr>
            </w:pPr>
            <w:r w:rsidRPr="00416735">
              <w:t xml:space="preserve">Kirletici </w:t>
            </w:r>
            <w:r w:rsidR="00E97102" w:rsidRPr="00416735">
              <w:t>parametreler</w:t>
            </w:r>
            <w:r w:rsidRPr="00416735">
              <w:t xml:space="preserve"> (mg/Nm</w:t>
            </w:r>
            <w:r w:rsidRPr="00416735">
              <w:rPr>
                <w:vertAlign w:val="superscript"/>
              </w:rPr>
              <w:t>3</w:t>
            </w:r>
            <w:r w:rsidRPr="00416735">
              <w:t>)</w:t>
            </w:r>
          </w:p>
        </w:tc>
        <w:tc>
          <w:tcPr>
            <w:tcW w:w="493" w:type="pct"/>
            <w:hideMark/>
          </w:tcPr>
          <w:p w:rsidR="00E97102" w:rsidRPr="00416735" w:rsidRDefault="00E97102" w:rsidP="00A1065D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CO</w:t>
            </w:r>
          </w:p>
        </w:tc>
        <w:tc>
          <w:tcPr>
            <w:tcW w:w="492" w:type="pct"/>
            <w:hideMark/>
          </w:tcPr>
          <w:p w:rsidR="00E97102" w:rsidRPr="00416735" w:rsidRDefault="00E97102" w:rsidP="00A1065D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NO</w:t>
            </w:r>
          </w:p>
        </w:tc>
        <w:tc>
          <w:tcPr>
            <w:tcW w:w="411" w:type="pct"/>
            <w:hideMark/>
          </w:tcPr>
          <w:p w:rsidR="00E97102" w:rsidRPr="00416735" w:rsidRDefault="00E97102" w:rsidP="00A1065D">
            <w:pPr>
              <w:spacing w:line="240" w:lineRule="exact"/>
              <w:jc w:val="both"/>
              <w:rPr>
                <w:lang w:eastAsia="en-US"/>
              </w:rPr>
            </w:pPr>
            <w:proofErr w:type="spellStart"/>
            <w:r w:rsidRPr="00416735">
              <w:t>SO</w:t>
            </w:r>
            <w:r w:rsidRPr="00416735">
              <w:rPr>
                <w:vertAlign w:val="subscript"/>
              </w:rPr>
              <w:t>x</w:t>
            </w:r>
            <w:proofErr w:type="spellEnd"/>
          </w:p>
        </w:tc>
        <w:tc>
          <w:tcPr>
            <w:tcW w:w="410" w:type="pct"/>
            <w:hideMark/>
          </w:tcPr>
          <w:p w:rsidR="00E97102" w:rsidRPr="00416735" w:rsidRDefault="00E97102" w:rsidP="00A1065D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HCI</w:t>
            </w:r>
          </w:p>
        </w:tc>
        <w:tc>
          <w:tcPr>
            <w:tcW w:w="328" w:type="pct"/>
            <w:hideMark/>
          </w:tcPr>
          <w:p w:rsidR="00E97102" w:rsidRPr="00416735" w:rsidRDefault="00E97102" w:rsidP="00A1065D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HF</w:t>
            </w:r>
          </w:p>
        </w:tc>
        <w:tc>
          <w:tcPr>
            <w:tcW w:w="410" w:type="pct"/>
            <w:hideMark/>
          </w:tcPr>
          <w:p w:rsidR="00E97102" w:rsidRPr="00416735" w:rsidRDefault="00E97102" w:rsidP="00A1065D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PM</w:t>
            </w:r>
          </w:p>
        </w:tc>
        <w:tc>
          <w:tcPr>
            <w:tcW w:w="404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</w:pPr>
            <w:r w:rsidRPr="00416735">
              <w:t>TOC</w:t>
            </w:r>
          </w:p>
        </w:tc>
      </w:tr>
      <w:tr w:rsidR="00416735" w:rsidRPr="00416735" w:rsidTr="00A1065D">
        <w:tc>
          <w:tcPr>
            <w:tcW w:w="2052" w:type="pct"/>
            <w:hideMark/>
          </w:tcPr>
          <w:p w:rsidR="00E97102" w:rsidRPr="00416735" w:rsidRDefault="00E97102" w:rsidP="00A1065D">
            <w:pPr>
              <w:spacing w:line="240" w:lineRule="exact"/>
              <w:rPr>
                <w:lang w:eastAsia="en-US"/>
              </w:rPr>
            </w:pPr>
            <w:r w:rsidRPr="00416735">
              <w:t>500kW-15 MW</w:t>
            </w:r>
          </w:p>
        </w:tc>
        <w:tc>
          <w:tcPr>
            <w:tcW w:w="493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460</w:t>
            </w:r>
          </w:p>
        </w:tc>
        <w:tc>
          <w:tcPr>
            <w:tcW w:w="492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-</w:t>
            </w:r>
          </w:p>
        </w:tc>
        <w:tc>
          <w:tcPr>
            <w:tcW w:w="411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200</w:t>
            </w:r>
          </w:p>
        </w:tc>
        <w:tc>
          <w:tcPr>
            <w:tcW w:w="410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-</w:t>
            </w:r>
          </w:p>
        </w:tc>
        <w:tc>
          <w:tcPr>
            <w:tcW w:w="328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-</w:t>
            </w:r>
          </w:p>
        </w:tc>
        <w:tc>
          <w:tcPr>
            <w:tcW w:w="410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375</w:t>
            </w:r>
          </w:p>
        </w:tc>
        <w:tc>
          <w:tcPr>
            <w:tcW w:w="404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-</w:t>
            </w:r>
          </w:p>
        </w:tc>
      </w:tr>
      <w:tr w:rsidR="00416735" w:rsidRPr="00416735" w:rsidTr="00A1065D">
        <w:tc>
          <w:tcPr>
            <w:tcW w:w="2052" w:type="pct"/>
            <w:hideMark/>
          </w:tcPr>
          <w:p w:rsidR="00E97102" w:rsidRPr="00416735" w:rsidRDefault="00E97102" w:rsidP="00A1065D">
            <w:pPr>
              <w:spacing w:line="240" w:lineRule="exact"/>
              <w:rPr>
                <w:lang w:eastAsia="en-US"/>
              </w:rPr>
            </w:pPr>
            <w:r w:rsidRPr="00416735">
              <w:t>15MW-50 MW</w:t>
            </w:r>
          </w:p>
        </w:tc>
        <w:tc>
          <w:tcPr>
            <w:tcW w:w="493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460</w:t>
            </w:r>
          </w:p>
        </w:tc>
        <w:tc>
          <w:tcPr>
            <w:tcW w:w="492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-</w:t>
            </w:r>
          </w:p>
        </w:tc>
        <w:tc>
          <w:tcPr>
            <w:tcW w:w="411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200</w:t>
            </w:r>
          </w:p>
        </w:tc>
        <w:tc>
          <w:tcPr>
            <w:tcW w:w="410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200</w:t>
            </w:r>
          </w:p>
        </w:tc>
        <w:tc>
          <w:tcPr>
            <w:tcW w:w="328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30</w:t>
            </w:r>
          </w:p>
        </w:tc>
        <w:tc>
          <w:tcPr>
            <w:tcW w:w="410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375</w:t>
            </w:r>
          </w:p>
        </w:tc>
        <w:tc>
          <w:tcPr>
            <w:tcW w:w="404" w:type="pct"/>
            <w:hideMark/>
          </w:tcPr>
          <w:p w:rsidR="00E97102" w:rsidRPr="00416735" w:rsidRDefault="00E97102" w:rsidP="008530FC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30</w:t>
            </w:r>
          </w:p>
        </w:tc>
      </w:tr>
      <w:tr w:rsidR="00416735" w:rsidRPr="00416735" w:rsidTr="00A1065D">
        <w:tc>
          <w:tcPr>
            <w:tcW w:w="2052" w:type="pct"/>
            <w:vAlign w:val="center"/>
          </w:tcPr>
          <w:p w:rsidR="00A16F29" w:rsidRPr="00416735" w:rsidRDefault="00A16F29" w:rsidP="00A1065D">
            <w:pPr>
              <w:spacing w:line="240" w:lineRule="exact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≥ 50 MW</w:t>
            </w:r>
          </w:p>
        </w:tc>
        <w:tc>
          <w:tcPr>
            <w:tcW w:w="493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460</w:t>
            </w:r>
          </w:p>
        </w:tc>
        <w:tc>
          <w:tcPr>
            <w:tcW w:w="492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400</w:t>
            </w:r>
          </w:p>
        </w:tc>
        <w:tc>
          <w:tcPr>
            <w:tcW w:w="411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200</w:t>
            </w:r>
          </w:p>
        </w:tc>
        <w:tc>
          <w:tcPr>
            <w:tcW w:w="410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200</w:t>
            </w:r>
          </w:p>
        </w:tc>
        <w:tc>
          <w:tcPr>
            <w:tcW w:w="328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30</w:t>
            </w:r>
          </w:p>
        </w:tc>
        <w:tc>
          <w:tcPr>
            <w:tcW w:w="410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280</w:t>
            </w:r>
          </w:p>
        </w:tc>
        <w:tc>
          <w:tcPr>
            <w:tcW w:w="404" w:type="pct"/>
            <w:vAlign w:val="center"/>
          </w:tcPr>
          <w:p w:rsidR="00A16F29" w:rsidRPr="00416735" w:rsidRDefault="00A16F29" w:rsidP="00A64E24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30</w:t>
            </w:r>
          </w:p>
        </w:tc>
      </w:tr>
    </w:tbl>
    <w:p w:rsidR="002756BC" w:rsidRPr="00416735" w:rsidRDefault="002756BC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E04A01" w:rsidRPr="00416735" w:rsidRDefault="002756BC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>1.2.</w:t>
      </w:r>
      <w:r w:rsidR="00E97102" w:rsidRPr="00416735">
        <w:t xml:space="preserve"> </w:t>
      </w:r>
      <w:r w:rsidR="00E04A01" w:rsidRPr="00416735">
        <w:t xml:space="preserve">Yakıt olarak kullanılacak pirinanın aşağıda belirtilen özelliklere sahip olması </w:t>
      </w:r>
      <w:proofErr w:type="gramStart"/>
      <w:r w:rsidR="00E04A01" w:rsidRPr="00416735">
        <w:t>gerekmektedir</w:t>
      </w:r>
      <w:proofErr w:type="gramEnd"/>
      <w:r w:rsidR="00E04A01" w:rsidRPr="00416735">
        <w:t xml:space="preserve">. Pirinayı yakıt olarak kullanan işletmeler, kullanılan pirinanın özelliklerini analiz sertifikası ile belgelemek zorundadır. </w:t>
      </w:r>
    </w:p>
    <w:p w:rsidR="002E41BB" w:rsidRPr="00416735" w:rsidRDefault="002E41BB" w:rsidP="002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534896" w:rsidRPr="00416735" w:rsidRDefault="002E41BB" w:rsidP="002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 xml:space="preserve">Tablo 5.16 Pirina özellikleri </w:t>
      </w:r>
    </w:p>
    <w:tbl>
      <w:tblPr>
        <w:tblStyle w:val="TabloKlavuzu"/>
        <w:tblW w:w="450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4822"/>
      </w:tblGrid>
      <w:tr w:rsidR="00416735" w:rsidRPr="00416735" w:rsidTr="00E04A01">
        <w:tc>
          <w:tcPr>
            <w:tcW w:w="2118" w:type="pct"/>
            <w:hideMark/>
          </w:tcPr>
          <w:p w:rsidR="00E04A01" w:rsidRPr="00416735" w:rsidRDefault="00E04A01" w:rsidP="00031479">
            <w:pPr>
              <w:spacing w:line="240" w:lineRule="exact"/>
              <w:rPr>
                <w:lang w:eastAsia="en-US"/>
              </w:rPr>
            </w:pPr>
            <w:r w:rsidRPr="00416735">
              <w:t>Nem oranı</w:t>
            </w:r>
          </w:p>
        </w:tc>
        <w:tc>
          <w:tcPr>
            <w:tcW w:w="2882" w:type="pct"/>
            <w:hideMark/>
          </w:tcPr>
          <w:p w:rsidR="00E04A01" w:rsidRPr="00416735" w:rsidRDefault="00E04A01" w:rsidP="00031479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En fazla % 15</w:t>
            </w:r>
          </w:p>
        </w:tc>
      </w:tr>
      <w:tr w:rsidR="00416735" w:rsidRPr="00416735" w:rsidTr="00E04A01">
        <w:tc>
          <w:tcPr>
            <w:tcW w:w="2118" w:type="pct"/>
            <w:hideMark/>
          </w:tcPr>
          <w:p w:rsidR="00E04A01" w:rsidRPr="00416735" w:rsidRDefault="00E04A01" w:rsidP="00031479">
            <w:pPr>
              <w:spacing w:line="240" w:lineRule="exact"/>
              <w:rPr>
                <w:lang w:eastAsia="en-US"/>
              </w:rPr>
            </w:pPr>
            <w:r w:rsidRPr="00416735">
              <w:t xml:space="preserve">Yağ oranı (Kuru </w:t>
            </w:r>
            <w:proofErr w:type="gramStart"/>
            <w:r w:rsidRPr="00416735">
              <w:t>bazda</w:t>
            </w:r>
            <w:proofErr w:type="gramEnd"/>
            <w:r w:rsidRPr="00416735">
              <w:t>)</w:t>
            </w:r>
          </w:p>
        </w:tc>
        <w:tc>
          <w:tcPr>
            <w:tcW w:w="2882" w:type="pct"/>
            <w:hideMark/>
          </w:tcPr>
          <w:p w:rsidR="00E04A01" w:rsidRPr="00416735" w:rsidRDefault="00E04A01" w:rsidP="00031479">
            <w:pPr>
              <w:spacing w:line="240" w:lineRule="exact"/>
              <w:jc w:val="both"/>
              <w:rPr>
                <w:lang w:eastAsia="en-US"/>
              </w:rPr>
            </w:pPr>
            <w:r w:rsidRPr="00416735">
              <w:t>En fazla % 1,5</w:t>
            </w:r>
          </w:p>
        </w:tc>
      </w:tr>
      <w:tr w:rsidR="00416735" w:rsidRPr="00416735" w:rsidTr="00E04A01">
        <w:tc>
          <w:tcPr>
            <w:tcW w:w="2118" w:type="pct"/>
            <w:vAlign w:val="center"/>
          </w:tcPr>
          <w:p w:rsidR="00E04A01" w:rsidRPr="00416735" w:rsidRDefault="00E04A01" w:rsidP="00031479">
            <w:pPr>
              <w:spacing w:line="240" w:lineRule="exact"/>
              <w:rPr>
                <w:rStyle w:val="Vurgu"/>
                <w:i w:val="0"/>
              </w:rPr>
            </w:pPr>
            <w:proofErr w:type="spellStart"/>
            <w:r w:rsidRPr="00416735">
              <w:rPr>
                <w:rStyle w:val="Vurgu"/>
                <w:i w:val="0"/>
              </w:rPr>
              <w:t>Kalorifik</w:t>
            </w:r>
            <w:proofErr w:type="spellEnd"/>
            <w:r w:rsidRPr="00416735">
              <w:rPr>
                <w:rStyle w:val="Vurgu"/>
                <w:i w:val="0"/>
              </w:rPr>
              <w:t xml:space="preserve"> değeri </w:t>
            </w:r>
          </w:p>
        </w:tc>
        <w:tc>
          <w:tcPr>
            <w:tcW w:w="2882" w:type="pct"/>
            <w:vAlign w:val="center"/>
          </w:tcPr>
          <w:p w:rsidR="00E04A01" w:rsidRPr="00416735" w:rsidRDefault="00E04A01" w:rsidP="00031479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 xml:space="preserve">En az 3700 </w:t>
            </w:r>
            <w:proofErr w:type="spellStart"/>
            <w:r w:rsidRPr="00416735">
              <w:rPr>
                <w:rStyle w:val="Vurgu"/>
                <w:i w:val="0"/>
              </w:rPr>
              <w:t>Kcal</w:t>
            </w:r>
            <w:proofErr w:type="spellEnd"/>
            <w:r w:rsidRPr="00416735">
              <w:rPr>
                <w:rStyle w:val="Vurgu"/>
                <w:i w:val="0"/>
              </w:rPr>
              <w:t>/kg</w:t>
            </w:r>
          </w:p>
        </w:tc>
      </w:tr>
      <w:tr w:rsidR="00416735" w:rsidRPr="00416735" w:rsidTr="00E04A01">
        <w:tc>
          <w:tcPr>
            <w:tcW w:w="2118" w:type="pct"/>
            <w:vAlign w:val="center"/>
          </w:tcPr>
          <w:p w:rsidR="00E04A01" w:rsidRPr="00416735" w:rsidRDefault="00E04A01" w:rsidP="00031479">
            <w:pPr>
              <w:spacing w:line="240" w:lineRule="exact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Sodyum (</w:t>
            </w:r>
            <w:proofErr w:type="spellStart"/>
            <w:r w:rsidRPr="00416735">
              <w:rPr>
                <w:rStyle w:val="Vurgu"/>
                <w:i w:val="0"/>
              </w:rPr>
              <w:t>Na</w:t>
            </w:r>
            <w:proofErr w:type="spellEnd"/>
            <w:r w:rsidRPr="00416735">
              <w:rPr>
                <w:rStyle w:val="Vurgu"/>
                <w:i w:val="0"/>
              </w:rPr>
              <w:t>)</w:t>
            </w:r>
          </w:p>
        </w:tc>
        <w:tc>
          <w:tcPr>
            <w:tcW w:w="2882" w:type="pct"/>
            <w:vAlign w:val="center"/>
          </w:tcPr>
          <w:p w:rsidR="00E04A01" w:rsidRPr="00416735" w:rsidRDefault="00E04A01" w:rsidP="00031479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 xml:space="preserve">En fazla 1000 </w:t>
            </w:r>
            <w:proofErr w:type="spellStart"/>
            <w:r w:rsidRPr="00416735">
              <w:rPr>
                <w:rStyle w:val="Vurgu"/>
                <w:i w:val="0"/>
              </w:rPr>
              <w:t>ppm</w:t>
            </w:r>
            <w:proofErr w:type="spellEnd"/>
          </w:p>
        </w:tc>
      </w:tr>
      <w:tr w:rsidR="00416735" w:rsidRPr="00416735" w:rsidTr="00E04A01">
        <w:tc>
          <w:tcPr>
            <w:tcW w:w="2118" w:type="pct"/>
            <w:vAlign w:val="center"/>
          </w:tcPr>
          <w:p w:rsidR="00E04A01" w:rsidRPr="00416735" w:rsidRDefault="00E04A01" w:rsidP="00031479">
            <w:pPr>
              <w:spacing w:line="240" w:lineRule="exact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Kül oranı</w:t>
            </w:r>
          </w:p>
        </w:tc>
        <w:tc>
          <w:tcPr>
            <w:tcW w:w="2882" w:type="pct"/>
            <w:vAlign w:val="center"/>
          </w:tcPr>
          <w:p w:rsidR="00E04A01" w:rsidRPr="00416735" w:rsidRDefault="00E04A01" w:rsidP="00031479">
            <w:pPr>
              <w:spacing w:line="240" w:lineRule="exact"/>
              <w:jc w:val="both"/>
              <w:rPr>
                <w:rStyle w:val="Vurgu"/>
                <w:i w:val="0"/>
              </w:rPr>
            </w:pPr>
            <w:r w:rsidRPr="00416735">
              <w:rPr>
                <w:rStyle w:val="Vurgu"/>
                <w:i w:val="0"/>
              </w:rPr>
              <w:t>En fazla %4</w:t>
            </w:r>
          </w:p>
        </w:tc>
      </w:tr>
    </w:tbl>
    <w:p w:rsidR="00CD0369" w:rsidRPr="00416735" w:rsidRDefault="00CD0369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AB3948" w:rsidRPr="00416735" w:rsidRDefault="00AB3948" w:rsidP="0085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>1.3. İstisnalar:</w:t>
      </w:r>
    </w:p>
    <w:p w:rsidR="00AB3948" w:rsidRPr="00416735" w:rsidRDefault="00AB3948" w:rsidP="00AB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>(1) Yılda 120 günden uzun sürmeyen mevsimlik faaliyetlerini sürdüren zeytinyağı üretim tesisle</w:t>
      </w:r>
      <w:r w:rsidR="00ED5A73" w:rsidRPr="00416735">
        <w:t xml:space="preserve">rinde (yağhanelerde) yalnızca </w:t>
      </w:r>
      <w:r w:rsidR="002E41BB" w:rsidRPr="00416735">
        <w:t>Tablo 5.16</w:t>
      </w:r>
      <w:r w:rsidRPr="00416735">
        <w:t>’d</w:t>
      </w:r>
      <w:r w:rsidR="002E41BB" w:rsidRPr="00416735">
        <w:t>a</w:t>
      </w:r>
      <w:r w:rsidRPr="00416735">
        <w:t xml:space="preserve"> belirtilen özelliklere sahip </w:t>
      </w:r>
      <w:r w:rsidR="00237745" w:rsidRPr="00416735">
        <w:t xml:space="preserve">olan ve kendi üretim proseslerinde oluşan </w:t>
      </w:r>
      <w:r w:rsidRPr="00416735">
        <w:t xml:space="preserve">pirinanın yakıt olarak kullanılması halinde; atık gazlarındaki </w:t>
      </w:r>
      <w:proofErr w:type="spellStart"/>
      <w:r w:rsidRPr="00416735">
        <w:t>islilik</w:t>
      </w:r>
      <w:proofErr w:type="spellEnd"/>
      <w:r w:rsidRPr="00416735">
        <w:t xml:space="preserve"> derecesinin </w:t>
      </w:r>
      <w:proofErr w:type="spellStart"/>
      <w:r w:rsidRPr="00416735">
        <w:t>Bacharach</w:t>
      </w:r>
      <w:proofErr w:type="spellEnd"/>
      <w:r w:rsidRPr="00416735">
        <w:t xml:space="preserve"> skalasına göre en çok dört olması gerekmekte</w:t>
      </w:r>
      <w:r w:rsidR="00CD4254" w:rsidRPr="00416735">
        <w:t xml:space="preserve">dir Ayrıca; </w:t>
      </w:r>
      <w:r w:rsidRPr="00416735">
        <w:t xml:space="preserve">Tablo 5.15 de verilen </w:t>
      </w:r>
      <w:proofErr w:type="gramStart"/>
      <w:r w:rsidRPr="00416735">
        <w:t>emisyon</w:t>
      </w:r>
      <w:proofErr w:type="gramEnd"/>
      <w:r w:rsidRPr="00416735">
        <w:t xml:space="preserve"> sınır değerleri aranmaz.</w:t>
      </w:r>
    </w:p>
    <w:p w:rsidR="00AB3948" w:rsidRPr="00416735" w:rsidRDefault="00AB3948" w:rsidP="00AB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 xml:space="preserve"> </w:t>
      </w:r>
    </w:p>
    <w:p w:rsidR="00A43E0F" w:rsidRPr="00416735" w:rsidRDefault="00AB3948" w:rsidP="00A4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416735">
        <w:t xml:space="preserve">(2) </w:t>
      </w:r>
      <w:r w:rsidR="00E97102" w:rsidRPr="00416735">
        <w:t xml:space="preserve">Yılda 120 günden uzun sürmeyen mevsimlik faaliyetlerini sürdüren </w:t>
      </w:r>
      <w:r w:rsidR="00237745" w:rsidRPr="00416735">
        <w:t xml:space="preserve">ve kendi üretim proseslerinde oluşan </w:t>
      </w:r>
      <w:r w:rsidR="00E97102" w:rsidRPr="00416735">
        <w:t>çay lifinin yakıt olarak kullanı</w:t>
      </w:r>
      <w:r w:rsidRPr="00416735">
        <w:t>l</w:t>
      </w:r>
      <w:r w:rsidR="00237745" w:rsidRPr="00416735">
        <w:t>dığı çay fabrikaları</w:t>
      </w:r>
      <w:r w:rsidRPr="00416735">
        <w:t xml:space="preserve">; </w:t>
      </w:r>
      <w:r w:rsidR="00E97102" w:rsidRPr="00416735">
        <w:t>yalnızca PM parametresi</w:t>
      </w:r>
      <w:r w:rsidRPr="00416735">
        <w:t xml:space="preserve"> için Tablo 5.15 de verilen </w:t>
      </w:r>
      <w:proofErr w:type="gramStart"/>
      <w:r w:rsidRPr="00416735">
        <w:t>emisyon</w:t>
      </w:r>
      <w:proofErr w:type="gramEnd"/>
      <w:r w:rsidRPr="00416735">
        <w:t xml:space="preserve"> </w:t>
      </w:r>
      <w:r w:rsidR="00E97102" w:rsidRPr="00416735">
        <w:t>sınır değer</w:t>
      </w:r>
      <w:r w:rsidRPr="00416735">
        <w:t>ine tabidir.</w:t>
      </w:r>
    </w:p>
    <w:p w:rsidR="00AB3948" w:rsidRPr="00416735" w:rsidRDefault="00AB3948" w:rsidP="00A4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</w:p>
    <w:p w:rsidR="00860930" w:rsidRPr="00416735" w:rsidRDefault="00ED5A73" w:rsidP="00A4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rStyle w:val="Vurgu"/>
          <w:i w:val="0"/>
          <w:iCs w:val="0"/>
        </w:rPr>
      </w:pPr>
      <w:r w:rsidRPr="00416735">
        <w:rPr>
          <w:rStyle w:val="Vurgu"/>
          <w:i w:val="0"/>
        </w:rPr>
        <w:t>1.</w:t>
      </w:r>
      <w:r w:rsidR="007A4A53" w:rsidRPr="00416735">
        <w:rPr>
          <w:rStyle w:val="Vurgu"/>
          <w:i w:val="0"/>
        </w:rPr>
        <w:t xml:space="preserve">4. Atık Yönetimi Yönetmeliği EK4 te yer alan atıklardan (1) ile işaretlenen </w:t>
      </w:r>
      <w:r w:rsidR="00A43E0F" w:rsidRPr="00416735">
        <w:rPr>
          <w:rStyle w:val="Vurgu"/>
          <w:i w:val="0"/>
        </w:rPr>
        <w:t xml:space="preserve">ve TS EN ISO 17225 standardına uygunluğu belgelenen </w:t>
      </w:r>
      <w:proofErr w:type="spellStart"/>
      <w:r w:rsidR="007A4A53" w:rsidRPr="00416735">
        <w:rPr>
          <w:rStyle w:val="Vurgu"/>
          <w:i w:val="0"/>
        </w:rPr>
        <w:t>biyokütlenin</w:t>
      </w:r>
      <w:proofErr w:type="spellEnd"/>
      <w:r w:rsidR="00DA257C" w:rsidRPr="00416735">
        <w:rPr>
          <w:rStyle w:val="Vurgu"/>
          <w:i w:val="0"/>
        </w:rPr>
        <w:t xml:space="preserve"> </w:t>
      </w:r>
      <w:r w:rsidR="007A4A53" w:rsidRPr="00416735">
        <w:rPr>
          <w:rStyle w:val="Vurgu"/>
          <w:i w:val="0"/>
        </w:rPr>
        <w:t xml:space="preserve">yakıt olarak kullanılmasına </w:t>
      </w:r>
      <w:r w:rsidR="00860930" w:rsidRPr="00416735">
        <w:rPr>
          <w:rStyle w:val="Vurgu"/>
          <w:i w:val="0"/>
        </w:rPr>
        <w:t xml:space="preserve">ilişkin esaslar </w:t>
      </w:r>
      <w:r w:rsidR="00534896" w:rsidRPr="00416735">
        <w:rPr>
          <w:rStyle w:val="Vurgu"/>
          <w:i w:val="0"/>
        </w:rPr>
        <w:t xml:space="preserve">Bu yönetmeliğin Madde 33 ü gereği </w:t>
      </w:r>
      <w:r w:rsidR="00860930" w:rsidRPr="00416735">
        <w:rPr>
          <w:rStyle w:val="Vurgu"/>
          <w:i w:val="0"/>
        </w:rPr>
        <w:t>Bakanlıkça belirlenir.</w:t>
      </w:r>
    </w:p>
    <w:p w:rsidR="00860930" w:rsidRPr="00416735" w:rsidRDefault="00860930" w:rsidP="00860930">
      <w:pPr>
        <w:spacing w:line="240" w:lineRule="atLeast"/>
        <w:ind w:firstLine="567"/>
        <w:jc w:val="both"/>
        <w:rPr>
          <w:rStyle w:val="Vurgu"/>
          <w:i w:val="0"/>
        </w:rPr>
      </w:pPr>
    </w:p>
    <w:p w:rsidR="00B44D70" w:rsidRPr="00416735" w:rsidRDefault="00E97102" w:rsidP="00490594">
      <w:pPr>
        <w:spacing w:line="240" w:lineRule="atLeast"/>
        <w:ind w:firstLine="567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2</w:t>
      </w:r>
      <w:r w:rsidR="00ED5A73" w:rsidRPr="00416735">
        <w:rPr>
          <w:rStyle w:val="Vurgu"/>
          <w:i w:val="0"/>
        </w:rPr>
        <w:t>.</w:t>
      </w:r>
      <w:r w:rsidRPr="00416735">
        <w:rPr>
          <w:rStyle w:val="Vurgu"/>
          <w:i w:val="0"/>
        </w:rPr>
        <w:t xml:space="preserve"> </w:t>
      </w:r>
      <w:r w:rsidRPr="00416735">
        <w:t xml:space="preserve">Bu Yönetmeliğin 4 üncü maddesinin d bendinin 2 </w:t>
      </w:r>
      <w:proofErr w:type="spellStart"/>
      <w:r w:rsidRPr="00416735">
        <w:t>nci</w:t>
      </w:r>
      <w:proofErr w:type="spellEnd"/>
      <w:r w:rsidRPr="00416735">
        <w:t xml:space="preserve"> alt bendinde tanımı yapılan </w:t>
      </w:r>
      <w:r w:rsidR="007B6C3C" w:rsidRPr="00416735">
        <w:t xml:space="preserve">ve </w:t>
      </w:r>
      <w:r w:rsidR="007B6C3C" w:rsidRPr="00416735">
        <w:rPr>
          <w:rStyle w:val="Vurgu"/>
          <w:i w:val="0"/>
        </w:rPr>
        <w:t xml:space="preserve">Atık </w:t>
      </w:r>
      <w:r w:rsidR="00E5324F" w:rsidRPr="00416735">
        <w:rPr>
          <w:rStyle w:val="Vurgu"/>
          <w:i w:val="0"/>
        </w:rPr>
        <w:t>Yönetimi Yönetmeliği Ek-4’te (8</w:t>
      </w:r>
      <w:r w:rsidR="007B6C3C" w:rsidRPr="00416735">
        <w:rPr>
          <w:rStyle w:val="Vurgu"/>
          <w:i w:val="0"/>
        </w:rPr>
        <w:t>)</w:t>
      </w:r>
      <w:r w:rsidR="00521D63" w:rsidRPr="00416735">
        <w:rPr>
          <w:rStyle w:val="Vurgu"/>
          <w:i w:val="0"/>
        </w:rPr>
        <w:t xml:space="preserve"> </w:t>
      </w:r>
      <w:r w:rsidR="007B6C3C" w:rsidRPr="00416735">
        <w:rPr>
          <w:rStyle w:val="Vurgu"/>
          <w:i w:val="0"/>
        </w:rPr>
        <w:t xml:space="preserve">ile işaretlenmiş olan </w:t>
      </w:r>
      <w:proofErr w:type="spellStart"/>
      <w:r w:rsidR="00521D63" w:rsidRPr="00416735">
        <w:rPr>
          <w:rStyle w:val="Vurgu"/>
          <w:i w:val="0"/>
        </w:rPr>
        <w:t>biyokütlenin</w:t>
      </w:r>
      <w:proofErr w:type="spellEnd"/>
      <w:r w:rsidR="007B6C3C" w:rsidRPr="00416735">
        <w:rPr>
          <w:rStyle w:val="Vurgu"/>
          <w:i w:val="0"/>
        </w:rPr>
        <w:t xml:space="preserve"> diğer yakıtlarla karıştırmadan termal işleme</w:t>
      </w:r>
      <w:r w:rsidR="0033638D" w:rsidRPr="00416735">
        <w:rPr>
          <w:rStyle w:val="Vurgu"/>
          <w:i w:val="0"/>
        </w:rPr>
        <w:t xml:space="preserve"> (konvansiyonel yakma, </w:t>
      </w:r>
      <w:proofErr w:type="spellStart"/>
      <w:r w:rsidR="0033638D" w:rsidRPr="00416735">
        <w:rPr>
          <w:rStyle w:val="Vurgu"/>
          <w:i w:val="0"/>
        </w:rPr>
        <w:t>piroliz</w:t>
      </w:r>
      <w:proofErr w:type="spellEnd"/>
      <w:r w:rsidR="0033638D" w:rsidRPr="00416735">
        <w:rPr>
          <w:rStyle w:val="Vurgu"/>
          <w:i w:val="0"/>
        </w:rPr>
        <w:t xml:space="preserve"> ve </w:t>
      </w:r>
      <w:proofErr w:type="spellStart"/>
      <w:r w:rsidR="0033638D" w:rsidRPr="00416735">
        <w:rPr>
          <w:rStyle w:val="Vurgu"/>
          <w:i w:val="0"/>
        </w:rPr>
        <w:t>gazlaştırma</w:t>
      </w:r>
      <w:proofErr w:type="spellEnd"/>
      <w:r w:rsidR="0033638D" w:rsidRPr="00416735">
        <w:rPr>
          <w:rStyle w:val="Vurgu"/>
          <w:i w:val="0"/>
        </w:rPr>
        <w:t>)</w:t>
      </w:r>
      <w:r w:rsidR="00553DCF" w:rsidRPr="00416735">
        <w:rPr>
          <w:rStyle w:val="Vurgu"/>
          <w:i w:val="0"/>
        </w:rPr>
        <w:t xml:space="preserve"> tabi tutulduğu</w:t>
      </w:r>
      <w:r w:rsidR="007B6C3C" w:rsidRPr="00416735">
        <w:rPr>
          <w:rStyle w:val="Vurgu"/>
          <w:i w:val="0"/>
        </w:rPr>
        <w:t xml:space="preserve"> tesisler</w:t>
      </w:r>
      <w:r w:rsidR="00AD38D0" w:rsidRPr="00416735">
        <w:rPr>
          <w:rStyle w:val="Vurgu"/>
          <w:i w:val="0"/>
        </w:rPr>
        <w:t xml:space="preserve"> </w:t>
      </w:r>
      <w:r w:rsidRPr="00416735">
        <w:t xml:space="preserve">aşağıda </w:t>
      </w:r>
      <w:r w:rsidR="00381D3F" w:rsidRPr="00416735">
        <w:t>belirtilen esaslara uygun olarak faaliyet göstermelidi</w:t>
      </w:r>
      <w:r w:rsidRPr="00416735">
        <w:t>r.</w:t>
      </w:r>
    </w:p>
    <w:p w:rsidR="00B44D70" w:rsidRPr="00416735" w:rsidRDefault="00B44D70" w:rsidP="008530FC">
      <w:pPr>
        <w:spacing w:line="240" w:lineRule="atLeast"/>
        <w:jc w:val="both"/>
        <w:rPr>
          <w:rStyle w:val="Vurgu"/>
          <w:i w:val="0"/>
        </w:rPr>
      </w:pPr>
    </w:p>
    <w:p w:rsidR="006223D0" w:rsidRPr="00416735" w:rsidRDefault="00E4582C" w:rsidP="00490594">
      <w:pPr>
        <w:spacing w:line="240" w:lineRule="atLeast"/>
        <w:ind w:firstLine="567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2.1</w:t>
      </w:r>
      <w:r w:rsidR="00324ACF" w:rsidRPr="00416735">
        <w:rPr>
          <w:rStyle w:val="Vurgu"/>
          <w:i w:val="0"/>
        </w:rPr>
        <w:t xml:space="preserve"> </w:t>
      </w:r>
      <w:r w:rsidR="00553DCF" w:rsidRPr="00416735">
        <w:rPr>
          <w:rStyle w:val="Vurgu"/>
          <w:i w:val="0"/>
        </w:rPr>
        <w:t xml:space="preserve">Bu tesislerde </w:t>
      </w:r>
      <w:r w:rsidR="00E21C5A" w:rsidRPr="00416735">
        <w:rPr>
          <w:rStyle w:val="Vurgu"/>
          <w:i w:val="0"/>
        </w:rPr>
        <w:t>üretilen ısının</w:t>
      </w:r>
      <w:r w:rsidRPr="00416735">
        <w:rPr>
          <w:rStyle w:val="Vurgu"/>
          <w:i w:val="0"/>
        </w:rPr>
        <w:t xml:space="preserve"> elektrik enerjisine dönüştürü</w:t>
      </w:r>
      <w:r w:rsidR="00324ACF" w:rsidRPr="00416735">
        <w:rPr>
          <w:rStyle w:val="Vurgu"/>
          <w:i w:val="0"/>
        </w:rPr>
        <w:t>l</w:t>
      </w:r>
      <w:r w:rsidRPr="00416735">
        <w:rPr>
          <w:rStyle w:val="Vurgu"/>
          <w:i w:val="0"/>
        </w:rPr>
        <w:t xml:space="preserve">mesi </w:t>
      </w:r>
      <w:r w:rsidR="006223D0" w:rsidRPr="00416735">
        <w:rPr>
          <w:rStyle w:val="Vurgu"/>
          <w:i w:val="0"/>
        </w:rPr>
        <w:t>ve piyasaya arz edilmesi zorunludur</w:t>
      </w:r>
      <w:r w:rsidRPr="00416735">
        <w:rPr>
          <w:rStyle w:val="Vurgu"/>
          <w:i w:val="0"/>
        </w:rPr>
        <w:t>.</w:t>
      </w:r>
      <w:r w:rsidR="006223D0" w:rsidRPr="00416735">
        <w:rPr>
          <w:rStyle w:val="Vurgu"/>
          <w:i w:val="0"/>
        </w:rPr>
        <w:t xml:space="preserve"> </w:t>
      </w:r>
    </w:p>
    <w:p w:rsidR="005E6796" w:rsidRPr="00416735" w:rsidRDefault="005E6796" w:rsidP="008530FC">
      <w:pPr>
        <w:spacing w:line="240" w:lineRule="atLeast"/>
        <w:jc w:val="both"/>
        <w:rPr>
          <w:rStyle w:val="Vurgu"/>
          <w:i w:val="0"/>
        </w:rPr>
      </w:pPr>
    </w:p>
    <w:p w:rsidR="007D0F89" w:rsidRPr="00416735" w:rsidRDefault="007D0F89" w:rsidP="00490594">
      <w:pPr>
        <w:spacing w:line="240" w:lineRule="atLeast"/>
        <w:ind w:firstLine="567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2.</w:t>
      </w:r>
      <w:r w:rsidR="00E84F59" w:rsidRPr="00416735">
        <w:rPr>
          <w:rStyle w:val="Vurgu"/>
          <w:i w:val="0"/>
        </w:rPr>
        <w:t>2.</w:t>
      </w:r>
      <w:r w:rsidRPr="00416735">
        <w:rPr>
          <w:rStyle w:val="Vurgu"/>
          <w:i w:val="0"/>
        </w:rPr>
        <w:t xml:space="preserve"> </w:t>
      </w:r>
      <w:proofErr w:type="spellStart"/>
      <w:r w:rsidR="006223D0" w:rsidRPr="00416735">
        <w:rPr>
          <w:rStyle w:val="Vurgu"/>
          <w:i w:val="0"/>
        </w:rPr>
        <w:t>Biyokütle</w:t>
      </w:r>
      <w:proofErr w:type="spellEnd"/>
      <w:r w:rsidR="006223D0" w:rsidRPr="00416735">
        <w:rPr>
          <w:rStyle w:val="Vurgu"/>
          <w:i w:val="0"/>
        </w:rPr>
        <w:t xml:space="preserve"> yakan tesisler bu Yönetmelikte öngörülen koşulları sağlayacak şekilde tasarlanır, donatılır, inşa edilir ve işletilir. </w:t>
      </w:r>
      <w:r w:rsidRPr="00416735">
        <w:rPr>
          <w:rStyle w:val="Vurgu"/>
          <w:i w:val="0"/>
        </w:rPr>
        <w:t>Bu tesislerde aşağıda belirtilen işletme koşulları sağlanmalıdır.</w:t>
      </w:r>
    </w:p>
    <w:p w:rsidR="000B5FFE" w:rsidRPr="00416735" w:rsidRDefault="000B5FFE" w:rsidP="008530FC">
      <w:pPr>
        <w:spacing w:line="240" w:lineRule="atLeast"/>
        <w:jc w:val="both"/>
        <w:rPr>
          <w:rStyle w:val="Vurgu"/>
          <w:i w:val="0"/>
        </w:rPr>
      </w:pPr>
    </w:p>
    <w:p w:rsidR="0033638D" w:rsidRPr="00416735" w:rsidRDefault="0033638D" w:rsidP="00490594">
      <w:pPr>
        <w:spacing w:line="240" w:lineRule="atLeast"/>
        <w:ind w:firstLine="567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2.2.1 Konvansiyonel Yakma Tesisleri</w:t>
      </w:r>
    </w:p>
    <w:p w:rsidR="006223D0" w:rsidRPr="00416735" w:rsidRDefault="006223D0" w:rsidP="008530FC">
      <w:pPr>
        <w:spacing w:line="240" w:lineRule="atLeast"/>
        <w:jc w:val="both"/>
        <w:rPr>
          <w:rStyle w:val="Vurgu"/>
          <w:i w:val="0"/>
        </w:rPr>
      </w:pPr>
    </w:p>
    <w:p w:rsidR="005A13CE" w:rsidRDefault="005A13CE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a</w:t>
      </w:r>
      <w:r w:rsidR="00E84F59" w:rsidRPr="00416735">
        <w:rPr>
          <w:rStyle w:val="Vurgu"/>
          <w:i w:val="0"/>
        </w:rPr>
        <w:t>)</w:t>
      </w:r>
      <w:r w:rsidR="00490594">
        <w:rPr>
          <w:rStyle w:val="Vurgu"/>
          <w:i w:val="0"/>
        </w:rPr>
        <w:t xml:space="preserve"> </w:t>
      </w:r>
      <w:r w:rsidRPr="00416735">
        <w:rPr>
          <w:rStyle w:val="Vurgu"/>
          <w:i w:val="0"/>
        </w:rPr>
        <w:t xml:space="preserve">Yakma tesisleri işlemden kaynaklanan gazın,  ikinci yanma odasında </w:t>
      </w:r>
      <w:r w:rsidR="00E5324F" w:rsidRPr="00416735">
        <w:rPr>
          <w:rFonts w:eastAsia="ヒラギノ明朝 Pro W3"/>
        </w:rPr>
        <w:t xml:space="preserve">850 °C </w:t>
      </w:r>
      <w:r w:rsidRPr="00416735">
        <w:rPr>
          <w:rStyle w:val="Vurgu"/>
          <w:i w:val="0"/>
        </w:rPr>
        <w:t>sıcaklıkta en az iki saniye kalması zorunludur. Buna göre, yedek brülör ile donatılan ikinci yanma odası, brülörlerinin otomatik olarak devreye girmesi sağlanır.</w:t>
      </w:r>
    </w:p>
    <w:p w:rsidR="00490594" w:rsidRPr="00416735" w:rsidRDefault="00490594" w:rsidP="008530FC">
      <w:pPr>
        <w:spacing w:line="240" w:lineRule="atLeast"/>
        <w:jc w:val="both"/>
        <w:rPr>
          <w:rStyle w:val="Vurgu"/>
          <w:i w:val="0"/>
        </w:rPr>
      </w:pPr>
    </w:p>
    <w:p w:rsidR="005A13CE" w:rsidRDefault="0033638D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b</w:t>
      </w:r>
      <w:r w:rsidR="003D3539" w:rsidRPr="00416735">
        <w:rPr>
          <w:rStyle w:val="Vurgu"/>
          <w:i w:val="0"/>
        </w:rPr>
        <w:t>)</w:t>
      </w:r>
      <w:r w:rsidR="005A13CE" w:rsidRPr="00416735">
        <w:rPr>
          <w:rStyle w:val="Vurgu"/>
          <w:i w:val="0"/>
        </w:rPr>
        <w:t xml:space="preserve"> Yakma tesisinin her bir hattı en az bir yedek brülör ile donatılır. Yanma havasının en son </w:t>
      </w:r>
      <w:proofErr w:type="gramStart"/>
      <w:r w:rsidR="005A13CE" w:rsidRPr="00416735">
        <w:rPr>
          <w:rStyle w:val="Vurgu"/>
          <w:i w:val="0"/>
        </w:rPr>
        <w:t>enjeksiyonundan</w:t>
      </w:r>
      <w:proofErr w:type="gramEnd"/>
      <w:r w:rsidR="005A13CE" w:rsidRPr="00416735">
        <w:rPr>
          <w:rStyle w:val="Vurgu"/>
          <w:i w:val="0"/>
        </w:rPr>
        <w:t xml:space="preserve"> sonra yanma gazlarının sıcaklığı </w:t>
      </w:r>
      <w:r w:rsidR="00E5324F" w:rsidRPr="00416735">
        <w:rPr>
          <w:rStyle w:val="Vurgu"/>
          <w:i w:val="0"/>
        </w:rPr>
        <w:t>850 °C veya duruma göre</w:t>
      </w:r>
      <w:r w:rsidR="00E5324F" w:rsidRPr="00416735">
        <w:rPr>
          <w:rStyle w:val="Vurgu"/>
        </w:rPr>
        <w:t xml:space="preserve"> </w:t>
      </w:r>
      <w:r w:rsidRPr="00416735">
        <w:rPr>
          <w:rStyle w:val="Vurgu"/>
          <w:i w:val="0"/>
        </w:rPr>
        <w:t>1100 °C</w:t>
      </w:r>
      <w:r w:rsidR="005A13CE" w:rsidRPr="00416735">
        <w:rPr>
          <w:rStyle w:val="Vurgu"/>
          <w:i w:val="0"/>
        </w:rPr>
        <w:t xml:space="preserve">’nin altına düşerse, bu brülör otomatik olarak devreye girer. Başlama ve kapatma faaliyetleri </w:t>
      </w:r>
      <w:r w:rsidR="005A13CE" w:rsidRPr="00416735">
        <w:rPr>
          <w:rStyle w:val="Vurgu"/>
          <w:i w:val="0"/>
        </w:rPr>
        <w:lastRenderedPageBreak/>
        <w:t>sırasında ve yanmamış atığın yanma odasında bulunduğ</w:t>
      </w:r>
      <w:r w:rsidRPr="00416735">
        <w:rPr>
          <w:rStyle w:val="Vurgu"/>
          <w:i w:val="0"/>
        </w:rPr>
        <w:t xml:space="preserve">u süre boyunca sıcaklığı </w:t>
      </w:r>
      <w:r w:rsidR="00E5324F" w:rsidRPr="00416735">
        <w:rPr>
          <w:rStyle w:val="Vurgu"/>
          <w:i w:val="0"/>
        </w:rPr>
        <w:t xml:space="preserve">850 °C veya </w:t>
      </w:r>
      <w:proofErr w:type="spellStart"/>
      <w:r w:rsidR="00E5324F" w:rsidRPr="00416735">
        <w:rPr>
          <w:rStyle w:val="Vurgu"/>
          <w:i w:val="0"/>
        </w:rPr>
        <w:t>halojenli</w:t>
      </w:r>
      <w:proofErr w:type="spellEnd"/>
      <w:r w:rsidR="00E5324F" w:rsidRPr="00416735">
        <w:rPr>
          <w:rStyle w:val="Vurgu"/>
          <w:i w:val="0"/>
        </w:rPr>
        <w:t xml:space="preserve"> bileşikler için </w:t>
      </w:r>
      <w:r w:rsidRPr="00416735">
        <w:rPr>
          <w:rStyle w:val="Vurgu"/>
          <w:i w:val="0"/>
        </w:rPr>
        <w:t>1100 °</w:t>
      </w:r>
      <w:r w:rsidR="00AD38D0" w:rsidRPr="00416735">
        <w:rPr>
          <w:rStyle w:val="Vurgu"/>
          <w:i w:val="0"/>
        </w:rPr>
        <w:t>C’de muhafaza</w:t>
      </w:r>
      <w:r w:rsidR="005A13CE" w:rsidRPr="00416735">
        <w:rPr>
          <w:rStyle w:val="Vurgu"/>
          <w:i w:val="0"/>
        </w:rPr>
        <w:t xml:space="preserve"> edilmesini temin etmek amacıyla, bu brülör, tesisin başlama ve kapatma faaliyetlerinde de kullanılır.</w:t>
      </w:r>
    </w:p>
    <w:p w:rsidR="00490594" w:rsidRPr="00416735" w:rsidRDefault="00490594" w:rsidP="008530FC">
      <w:pPr>
        <w:spacing w:line="240" w:lineRule="atLeast"/>
        <w:jc w:val="both"/>
        <w:rPr>
          <w:rStyle w:val="Vurgu"/>
          <w:i w:val="0"/>
        </w:rPr>
      </w:pPr>
    </w:p>
    <w:p w:rsidR="00CC30DA" w:rsidRPr="00416735" w:rsidRDefault="00CC30DA" w:rsidP="00CC30DA">
      <w:pPr>
        <w:tabs>
          <w:tab w:val="left" w:pos="566"/>
        </w:tabs>
        <w:spacing w:line="240" w:lineRule="exac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c) </w:t>
      </w:r>
      <w:proofErr w:type="spellStart"/>
      <w:r w:rsidR="00F063A0" w:rsidRPr="00416735">
        <w:rPr>
          <w:rStyle w:val="Vurgu"/>
          <w:i w:val="0"/>
        </w:rPr>
        <w:t>Biyokütle</w:t>
      </w:r>
      <w:proofErr w:type="spellEnd"/>
      <w:r w:rsidR="00F063A0" w:rsidRPr="00416735">
        <w:rPr>
          <w:rStyle w:val="Vurgu"/>
          <w:i w:val="0"/>
        </w:rPr>
        <w:t xml:space="preserve"> yakan </w:t>
      </w:r>
      <w:r w:rsidRPr="00416735">
        <w:rPr>
          <w:rStyle w:val="Vurgu"/>
          <w:i w:val="0"/>
        </w:rPr>
        <w:t xml:space="preserve">tesisler, </w:t>
      </w:r>
      <w:r w:rsidR="00F063A0" w:rsidRPr="00416735">
        <w:rPr>
          <w:rStyle w:val="Vurgu"/>
          <w:i w:val="0"/>
        </w:rPr>
        <w:t>yanma</w:t>
      </w:r>
      <w:r w:rsidRPr="00416735">
        <w:rPr>
          <w:rStyle w:val="Vurgu"/>
          <w:i w:val="0"/>
        </w:rPr>
        <w:t xml:space="preserve">dan kaynaklanan gazın en elverişsiz koşullarda bile kontrollü ve homojen bir şekilde en az iki saniye için 850 °C sıcaklığa yükselmesine müsaade edecek şekilde tasarlanır, donatılır, inşa edilir ve işletilir. İçeriğinde %1’den fazla </w:t>
      </w:r>
      <w:proofErr w:type="spellStart"/>
      <w:r w:rsidRPr="00416735">
        <w:rPr>
          <w:rStyle w:val="Vurgu"/>
          <w:i w:val="0"/>
        </w:rPr>
        <w:t>halojenli</w:t>
      </w:r>
      <w:proofErr w:type="spellEnd"/>
      <w:r w:rsidRPr="00416735">
        <w:rPr>
          <w:rStyle w:val="Vurgu"/>
          <w:i w:val="0"/>
        </w:rPr>
        <w:t xml:space="preserve"> organik maddeler bulunan </w:t>
      </w:r>
      <w:proofErr w:type="spellStart"/>
      <w:r w:rsidR="00F063A0" w:rsidRPr="00416735">
        <w:rPr>
          <w:rStyle w:val="Vurgu"/>
          <w:i w:val="0"/>
        </w:rPr>
        <w:t>biyokütlenin</w:t>
      </w:r>
      <w:proofErr w:type="spellEnd"/>
      <w:r w:rsidR="00F063A0" w:rsidRPr="00416735">
        <w:rPr>
          <w:rStyle w:val="Vurgu"/>
          <w:i w:val="0"/>
        </w:rPr>
        <w:t xml:space="preserve"> yakılması durumunda</w:t>
      </w:r>
      <w:r w:rsidRPr="00416735">
        <w:rPr>
          <w:rStyle w:val="Vurgu"/>
          <w:i w:val="0"/>
        </w:rPr>
        <w:t>, sıcaklığın 1100 °C’ye yükseltilmesi zorunludur.</w:t>
      </w:r>
    </w:p>
    <w:p w:rsidR="00CC30DA" w:rsidRPr="00416735" w:rsidRDefault="00CC30DA" w:rsidP="008530FC">
      <w:pPr>
        <w:spacing w:line="240" w:lineRule="atLeast"/>
        <w:jc w:val="both"/>
        <w:rPr>
          <w:rStyle w:val="Vurgu"/>
          <w:i w:val="0"/>
        </w:rPr>
      </w:pPr>
    </w:p>
    <w:p w:rsidR="005A13CE" w:rsidRPr="00416735" w:rsidRDefault="00CC30DA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ç</w:t>
      </w:r>
      <w:r w:rsidR="003D3539" w:rsidRPr="00416735">
        <w:rPr>
          <w:rStyle w:val="Vurgu"/>
          <w:i w:val="0"/>
        </w:rPr>
        <w:t>)</w:t>
      </w:r>
      <w:r w:rsidR="006223D0" w:rsidRPr="00416735">
        <w:rPr>
          <w:rStyle w:val="Vurgu"/>
          <w:i w:val="0"/>
        </w:rPr>
        <w:t xml:space="preserve"> </w:t>
      </w:r>
      <w:proofErr w:type="spellStart"/>
      <w:r w:rsidR="007D08D6" w:rsidRPr="00416735">
        <w:rPr>
          <w:rStyle w:val="Vurgu"/>
          <w:i w:val="0"/>
        </w:rPr>
        <w:t>Biyokütle</w:t>
      </w:r>
      <w:proofErr w:type="spellEnd"/>
      <w:r w:rsidR="007D08D6" w:rsidRPr="00416735">
        <w:rPr>
          <w:rStyle w:val="Vurgu"/>
          <w:i w:val="0"/>
        </w:rPr>
        <w:t xml:space="preserve"> yakan tesisler</w:t>
      </w:r>
      <w:r w:rsidR="005A13CE" w:rsidRPr="00416735">
        <w:rPr>
          <w:rStyle w:val="Vurgu"/>
          <w:i w:val="0"/>
        </w:rPr>
        <w:t xml:space="preserve">, aşağıdaki durumlarda </w:t>
      </w:r>
      <w:proofErr w:type="spellStart"/>
      <w:r w:rsidR="005A13CE" w:rsidRPr="00416735">
        <w:rPr>
          <w:rStyle w:val="Vurgu"/>
          <w:i w:val="0"/>
        </w:rPr>
        <w:t>biyokütlenin</w:t>
      </w:r>
      <w:proofErr w:type="spellEnd"/>
      <w:r w:rsidR="005A13CE" w:rsidRPr="00416735">
        <w:rPr>
          <w:rStyle w:val="Vurgu"/>
          <w:i w:val="0"/>
        </w:rPr>
        <w:t xml:space="preserve"> beslenmesini engelleyecek bir otomatik sisteme sahip olur ve bu sistemi:</w:t>
      </w:r>
    </w:p>
    <w:p w:rsidR="0033638D" w:rsidRPr="00416735" w:rsidRDefault="0033638D" w:rsidP="0033638D">
      <w:pPr>
        <w:pStyle w:val="3-normalyaz1"/>
        <w:shd w:val="clear" w:color="auto" w:fill="FFFFFF"/>
        <w:spacing w:line="240" w:lineRule="atLeast"/>
        <w:ind w:firstLine="720"/>
        <w:rPr>
          <w:rStyle w:val="Vurgu"/>
          <w:i w:val="0"/>
          <w:sz w:val="24"/>
          <w:szCs w:val="24"/>
        </w:rPr>
      </w:pPr>
      <w:r w:rsidRPr="00416735">
        <w:rPr>
          <w:rStyle w:val="Vurgu"/>
          <w:i w:val="0"/>
          <w:sz w:val="24"/>
          <w:szCs w:val="24"/>
        </w:rPr>
        <w:t xml:space="preserve">1) Başlangıçta, minimum </w:t>
      </w:r>
      <w:r w:rsidR="00E5324F" w:rsidRPr="00416735">
        <w:rPr>
          <w:rStyle w:val="Vurgu"/>
          <w:i w:val="0"/>
          <w:sz w:val="24"/>
          <w:szCs w:val="24"/>
        </w:rPr>
        <w:t xml:space="preserve">850 °C veya </w:t>
      </w:r>
      <w:r w:rsidRPr="00416735">
        <w:rPr>
          <w:rStyle w:val="Vurgu"/>
          <w:i w:val="0"/>
          <w:sz w:val="24"/>
          <w:szCs w:val="24"/>
        </w:rPr>
        <w:t>1100 °C sıcaklığa ulaşılana kadar,</w:t>
      </w:r>
    </w:p>
    <w:p w:rsidR="0033638D" w:rsidRPr="00416735" w:rsidRDefault="0033638D" w:rsidP="0033638D">
      <w:pPr>
        <w:pStyle w:val="3-normalyaz1"/>
        <w:shd w:val="clear" w:color="auto" w:fill="FFFFFF"/>
        <w:spacing w:line="240" w:lineRule="atLeast"/>
        <w:ind w:firstLine="720"/>
        <w:rPr>
          <w:rStyle w:val="Vurgu"/>
          <w:i w:val="0"/>
          <w:sz w:val="24"/>
          <w:szCs w:val="24"/>
        </w:rPr>
      </w:pPr>
      <w:r w:rsidRPr="00416735">
        <w:rPr>
          <w:rStyle w:val="Vurgu"/>
          <w:i w:val="0"/>
          <w:sz w:val="24"/>
          <w:szCs w:val="24"/>
        </w:rPr>
        <w:t xml:space="preserve">2) </w:t>
      </w:r>
      <w:r w:rsidR="00977D6B" w:rsidRPr="00416735">
        <w:rPr>
          <w:rStyle w:val="Vurgu"/>
          <w:i w:val="0"/>
          <w:sz w:val="24"/>
          <w:szCs w:val="24"/>
        </w:rPr>
        <w:t>M</w:t>
      </w:r>
      <w:r w:rsidRPr="00416735">
        <w:rPr>
          <w:rStyle w:val="Vurgu"/>
          <w:i w:val="0"/>
          <w:sz w:val="24"/>
          <w:szCs w:val="24"/>
        </w:rPr>
        <w:t xml:space="preserve">inimum </w:t>
      </w:r>
      <w:r w:rsidR="00E5324F" w:rsidRPr="00416735">
        <w:rPr>
          <w:rStyle w:val="Vurgu"/>
          <w:i w:val="0"/>
          <w:sz w:val="24"/>
          <w:szCs w:val="24"/>
        </w:rPr>
        <w:t xml:space="preserve">850 °C veya </w:t>
      </w:r>
      <w:r w:rsidRPr="00416735">
        <w:rPr>
          <w:rStyle w:val="Vurgu"/>
          <w:i w:val="0"/>
          <w:sz w:val="24"/>
          <w:szCs w:val="24"/>
        </w:rPr>
        <w:t>1100°C sıcaklığın muhafaza edilemediği zaman,</w:t>
      </w:r>
    </w:p>
    <w:p w:rsidR="005A13CE" w:rsidRPr="00416735" w:rsidRDefault="006223D0" w:rsidP="006223D0">
      <w:pPr>
        <w:spacing w:line="240" w:lineRule="atLeast"/>
        <w:ind w:left="708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3</w:t>
      </w:r>
      <w:r w:rsidR="005A13CE" w:rsidRPr="00416735">
        <w:rPr>
          <w:rStyle w:val="Vurgu"/>
          <w:i w:val="0"/>
        </w:rPr>
        <w:t>) Bu Yönetmelik gereğince yapılması gereken sürekli ölçümlerde, arıtma cihazlarının arıza yapması veya bozulması gibi nedenlerle herhangi bir kirl</w:t>
      </w:r>
      <w:r w:rsidR="00A946BD" w:rsidRPr="00416735">
        <w:rPr>
          <w:rStyle w:val="Vurgu"/>
          <w:i w:val="0"/>
        </w:rPr>
        <w:t xml:space="preserve">etici parametrenin </w:t>
      </w:r>
      <w:proofErr w:type="gramStart"/>
      <w:r w:rsidR="00A946BD" w:rsidRPr="00416735">
        <w:rPr>
          <w:rStyle w:val="Vurgu"/>
          <w:i w:val="0"/>
        </w:rPr>
        <w:t>emisyon</w:t>
      </w:r>
      <w:proofErr w:type="gramEnd"/>
      <w:r w:rsidR="00A946BD" w:rsidRPr="00416735">
        <w:rPr>
          <w:rStyle w:val="Vurgu"/>
          <w:i w:val="0"/>
        </w:rPr>
        <w:t xml:space="preserve"> sınır</w:t>
      </w:r>
      <w:r w:rsidR="005A13CE" w:rsidRPr="00416735">
        <w:rPr>
          <w:rStyle w:val="Vurgu"/>
          <w:i w:val="0"/>
        </w:rPr>
        <w:t xml:space="preserve"> değerinin aşıldığının belirlenmesi durumunda, </w:t>
      </w:r>
    </w:p>
    <w:p w:rsidR="00E84F59" w:rsidRDefault="005A13CE" w:rsidP="008530FC">
      <w:pPr>
        <w:spacing w:line="240" w:lineRule="atLeast"/>
        <w:jc w:val="both"/>
        <w:rPr>
          <w:rStyle w:val="Vurgu"/>
          <w:i w:val="0"/>
        </w:rPr>
      </w:pPr>
      <w:proofErr w:type="gramStart"/>
      <w:r w:rsidRPr="00416735">
        <w:rPr>
          <w:rStyle w:val="Vurgu"/>
          <w:i w:val="0"/>
        </w:rPr>
        <w:t>kullanır</w:t>
      </w:r>
      <w:proofErr w:type="gramEnd"/>
      <w:r w:rsidRPr="00416735">
        <w:rPr>
          <w:rStyle w:val="Vurgu"/>
          <w:i w:val="0"/>
        </w:rPr>
        <w:t>.</w:t>
      </w:r>
    </w:p>
    <w:p w:rsidR="00490594" w:rsidRPr="00416735" w:rsidRDefault="00490594" w:rsidP="008530FC">
      <w:pPr>
        <w:spacing w:line="240" w:lineRule="atLeast"/>
        <w:jc w:val="both"/>
        <w:rPr>
          <w:rStyle w:val="Vurgu"/>
          <w:i w:val="0"/>
        </w:rPr>
      </w:pPr>
    </w:p>
    <w:p w:rsidR="0033638D" w:rsidRPr="00416735" w:rsidRDefault="006223D0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d</w:t>
      </w:r>
      <w:r w:rsidR="0033638D" w:rsidRPr="00416735">
        <w:rPr>
          <w:rStyle w:val="Vurgu"/>
          <w:i w:val="0"/>
        </w:rPr>
        <w:t xml:space="preserve">) Bu tesislerin </w:t>
      </w:r>
      <w:r w:rsidR="00BA1536" w:rsidRPr="00416735">
        <w:rPr>
          <w:rStyle w:val="Vurgu"/>
          <w:i w:val="0"/>
        </w:rPr>
        <w:t>uym</w:t>
      </w:r>
      <w:r w:rsidR="00A946BD" w:rsidRPr="00416735">
        <w:rPr>
          <w:rStyle w:val="Vurgu"/>
          <w:i w:val="0"/>
        </w:rPr>
        <w:t xml:space="preserve">ası gereken </w:t>
      </w:r>
      <w:proofErr w:type="gramStart"/>
      <w:r w:rsidR="00A946BD" w:rsidRPr="00416735">
        <w:rPr>
          <w:rStyle w:val="Vurgu"/>
          <w:i w:val="0"/>
        </w:rPr>
        <w:t>emisyon</w:t>
      </w:r>
      <w:proofErr w:type="gramEnd"/>
      <w:r w:rsidR="00A946BD" w:rsidRPr="00416735">
        <w:rPr>
          <w:rStyle w:val="Vurgu"/>
          <w:i w:val="0"/>
        </w:rPr>
        <w:t xml:space="preserve"> sınır</w:t>
      </w:r>
      <w:r w:rsidR="00BA1536" w:rsidRPr="00416735">
        <w:rPr>
          <w:rStyle w:val="Vurgu"/>
          <w:i w:val="0"/>
        </w:rPr>
        <w:t xml:space="preserve"> değerleri </w:t>
      </w:r>
      <w:r w:rsidR="00EB49AD" w:rsidRPr="00416735">
        <w:rPr>
          <w:rStyle w:val="Vurgu"/>
          <w:i w:val="0"/>
        </w:rPr>
        <w:t>Ek-13’de</w:t>
      </w:r>
      <w:r w:rsidR="00977D6B" w:rsidRPr="00416735">
        <w:rPr>
          <w:rStyle w:val="Vurgu"/>
          <w:i w:val="0"/>
        </w:rPr>
        <w:t xml:space="preserve"> yer almaktadır.</w:t>
      </w:r>
    </w:p>
    <w:p w:rsidR="00977D6B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</w:p>
    <w:p w:rsidR="00AD38D0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2.2.2 </w:t>
      </w:r>
      <w:proofErr w:type="spellStart"/>
      <w:r w:rsidRPr="00416735">
        <w:rPr>
          <w:rStyle w:val="Vurgu"/>
          <w:i w:val="0"/>
        </w:rPr>
        <w:t>Piroliz</w:t>
      </w:r>
      <w:proofErr w:type="spellEnd"/>
      <w:r w:rsidRPr="00416735">
        <w:rPr>
          <w:rStyle w:val="Vurgu"/>
          <w:i w:val="0"/>
        </w:rPr>
        <w:t xml:space="preserve"> Tesisleri</w:t>
      </w:r>
    </w:p>
    <w:p w:rsidR="00977D6B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</w:p>
    <w:p w:rsidR="00750005" w:rsidRPr="00416735" w:rsidRDefault="00E253C7" w:rsidP="008530FC">
      <w:pPr>
        <w:spacing w:line="240" w:lineRule="atLeast"/>
        <w:jc w:val="both"/>
        <w:rPr>
          <w:rStyle w:val="Vurgu"/>
          <w:i w:val="0"/>
        </w:rPr>
      </w:pPr>
      <w:proofErr w:type="spellStart"/>
      <w:r w:rsidRPr="00416735">
        <w:rPr>
          <w:rStyle w:val="Vurgu"/>
          <w:i w:val="0"/>
        </w:rPr>
        <w:t>Piroliz</w:t>
      </w:r>
      <w:proofErr w:type="spellEnd"/>
      <w:r w:rsidRPr="00416735">
        <w:rPr>
          <w:rStyle w:val="Vurgu"/>
          <w:i w:val="0"/>
        </w:rPr>
        <w:t xml:space="preserve"> işlem</w:t>
      </w:r>
      <w:r w:rsidR="00A946BD" w:rsidRPr="00416735">
        <w:rPr>
          <w:rStyle w:val="Vurgu"/>
          <w:i w:val="0"/>
        </w:rPr>
        <w:t>ler</w:t>
      </w:r>
      <w:r w:rsidRPr="00416735">
        <w:rPr>
          <w:rStyle w:val="Vurgu"/>
          <w:i w:val="0"/>
        </w:rPr>
        <w:t xml:space="preserve">i 500-800°C sıcaklıkta gerçekleştirilir. </w:t>
      </w:r>
      <w:r w:rsidR="00750005" w:rsidRPr="00416735">
        <w:rPr>
          <w:rStyle w:val="Vurgu"/>
          <w:i w:val="0"/>
        </w:rPr>
        <w:t xml:space="preserve">Yanma sıcaklığı kullanılacak </w:t>
      </w:r>
      <w:proofErr w:type="spellStart"/>
      <w:r w:rsidR="00750005" w:rsidRPr="00416735">
        <w:rPr>
          <w:rStyle w:val="Vurgu"/>
          <w:i w:val="0"/>
        </w:rPr>
        <w:t>biyokütle</w:t>
      </w:r>
      <w:proofErr w:type="spellEnd"/>
      <w:r w:rsidR="00750005" w:rsidRPr="00416735">
        <w:rPr>
          <w:rStyle w:val="Vurgu"/>
          <w:i w:val="0"/>
        </w:rPr>
        <w:t xml:space="preserve"> ve yakma sistemi özellikleri dikkate alınarak Bakanlıkça belirlenir.</w:t>
      </w:r>
    </w:p>
    <w:p w:rsidR="00750005" w:rsidRPr="00416735" w:rsidRDefault="00750005" w:rsidP="008530FC">
      <w:pPr>
        <w:spacing w:line="240" w:lineRule="atLeast"/>
        <w:jc w:val="both"/>
        <w:rPr>
          <w:rStyle w:val="Vurgu"/>
          <w:i w:val="0"/>
        </w:rPr>
      </w:pPr>
    </w:p>
    <w:p w:rsidR="006223D0" w:rsidRPr="00416735" w:rsidRDefault="00750005" w:rsidP="006223D0">
      <w:pPr>
        <w:spacing w:line="240" w:lineRule="atLeast"/>
        <w:jc w:val="both"/>
        <w:rPr>
          <w:rStyle w:val="Vurgu"/>
          <w:i w:val="0"/>
        </w:rPr>
      </w:pPr>
      <w:proofErr w:type="spellStart"/>
      <w:r w:rsidRPr="00416735">
        <w:rPr>
          <w:rStyle w:val="Vurgu"/>
          <w:i w:val="0"/>
        </w:rPr>
        <w:t>Piroliz</w:t>
      </w:r>
      <w:proofErr w:type="spellEnd"/>
      <w:r w:rsidRPr="00416735">
        <w:rPr>
          <w:rStyle w:val="Vurgu"/>
          <w:i w:val="0"/>
        </w:rPr>
        <w:t xml:space="preserve"> işlemi sonrası</w:t>
      </w:r>
      <w:r w:rsidR="005318B9" w:rsidRPr="00416735">
        <w:rPr>
          <w:rStyle w:val="Vurgu"/>
          <w:i w:val="0"/>
        </w:rPr>
        <w:t xml:space="preserve"> </w:t>
      </w:r>
      <w:r w:rsidR="00945C6B" w:rsidRPr="00416735">
        <w:rPr>
          <w:rStyle w:val="Vurgu"/>
          <w:i w:val="0"/>
        </w:rPr>
        <w:t>oluşan atık gazın i</w:t>
      </w:r>
      <w:r w:rsidR="006223D0" w:rsidRPr="00416735">
        <w:rPr>
          <w:rStyle w:val="Vurgu"/>
          <w:i w:val="0"/>
        </w:rPr>
        <w:t xml:space="preserve">kinci yanma odası ile </w:t>
      </w:r>
      <w:r w:rsidR="00945C6B" w:rsidRPr="00416735">
        <w:rPr>
          <w:rStyle w:val="Vurgu"/>
          <w:i w:val="0"/>
        </w:rPr>
        <w:t>termal işleme tabi tutulması</w:t>
      </w:r>
      <w:r w:rsidR="006223D0" w:rsidRPr="00416735">
        <w:rPr>
          <w:rStyle w:val="Vurgu"/>
          <w:i w:val="0"/>
        </w:rPr>
        <w:t xml:space="preserve"> durumunda, atık gazın 1100 °C sıcaklıkta en az iki saniye kalması zorunludur. Buna göre, yedek brülör ile donatılan ikinci yanma odası, brülörlerinin otomatik olarak devreye girmesi sağlanır.</w:t>
      </w:r>
    </w:p>
    <w:p w:rsidR="006223D0" w:rsidRPr="00416735" w:rsidRDefault="006223D0" w:rsidP="006223D0">
      <w:pPr>
        <w:spacing w:line="240" w:lineRule="atLeast"/>
        <w:jc w:val="both"/>
        <w:rPr>
          <w:rStyle w:val="Vurgu"/>
          <w:i w:val="0"/>
        </w:rPr>
      </w:pPr>
    </w:p>
    <w:p w:rsidR="00C64A7F" w:rsidRPr="00416735" w:rsidRDefault="00C64A7F" w:rsidP="00C64A7F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Bu tesislerin </w:t>
      </w:r>
      <w:proofErr w:type="spellStart"/>
      <w:r w:rsidRPr="00416735">
        <w:rPr>
          <w:rStyle w:val="Vurgu"/>
          <w:i w:val="0"/>
        </w:rPr>
        <w:t>konvasiyonel</w:t>
      </w:r>
      <w:proofErr w:type="spellEnd"/>
      <w:r w:rsidRPr="00416735">
        <w:rPr>
          <w:rStyle w:val="Vurgu"/>
          <w:i w:val="0"/>
        </w:rPr>
        <w:t xml:space="preserve"> yakma ve/veya </w:t>
      </w:r>
      <w:proofErr w:type="spellStart"/>
      <w:r w:rsidRPr="00416735">
        <w:rPr>
          <w:rStyle w:val="Vurgu"/>
          <w:i w:val="0"/>
        </w:rPr>
        <w:t>gazlaştırma</w:t>
      </w:r>
      <w:proofErr w:type="spellEnd"/>
      <w:r w:rsidRPr="00416735">
        <w:rPr>
          <w:rStyle w:val="Vurgu"/>
          <w:i w:val="0"/>
        </w:rPr>
        <w:t xml:space="preserve"> sistemleri ile aynı sistem içerisinde yer aldığı tesislerde “Atıkların Yakılmasına İlişkin Mevcut En İyi Teknikler Referans </w:t>
      </w:r>
      <w:proofErr w:type="spellStart"/>
      <w:r w:rsidRPr="00416735">
        <w:rPr>
          <w:rStyle w:val="Vurgu"/>
          <w:i w:val="0"/>
        </w:rPr>
        <w:t>Dokümanı”nda</w:t>
      </w:r>
      <w:proofErr w:type="spellEnd"/>
      <w:r w:rsidRPr="00416735">
        <w:rPr>
          <w:rStyle w:val="Vurgu"/>
          <w:i w:val="0"/>
        </w:rPr>
        <w:t xml:space="preserve"> ilgili sistem için belirtilen hüküm ve esaslar uygulanır.</w:t>
      </w:r>
    </w:p>
    <w:p w:rsidR="00775C29" w:rsidRPr="00416735" w:rsidRDefault="00775C29" w:rsidP="008530FC">
      <w:pPr>
        <w:spacing w:line="240" w:lineRule="atLeast"/>
        <w:jc w:val="both"/>
        <w:rPr>
          <w:rStyle w:val="Vurgu"/>
          <w:i w:val="0"/>
        </w:rPr>
      </w:pPr>
    </w:p>
    <w:p w:rsidR="00EB49AD" w:rsidRPr="00416735" w:rsidRDefault="00EB49AD" w:rsidP="00EB49AD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Bu tesislerin uyması gereken </w:t>
      </w:r>
      <w:proofErr w:type="gramStart"/>
      <w:r w:rsidRPr="00416735">
        <w:rPr>
          <w:rStyle w:val="Vurgu"/>
          <w:i w:val="0"/>
        </w:rPr>
        <w:t>emisyon</w:t>
      </w:r>
      <w:proofErr w:type="gramEnd"/>
      <w:r w:rsidRPr="00416735">
        <w:rPr>
          <w:rStyle w:val="Vurgu"/>
          <w:i w:val="0"/>
        </w:rPr>
        <w:t xml:space="preserve"> sınır değerleri Ek-13’de yer almaktadır.</w:t>
      </w:r>
    </w:p>
    <w:p w:rsidR="00977D6B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</w:p>
    <w:p w:rsidR="00977D6B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2.2.3 </w:t>
      </w:r>
      <w:proofErr w:type="spellStart"/>
      <w:r w:rsidRPr="00416735">
        <w:rPr>
          <w:rStyle w:val="Vurgu"/>
          <w:i w:val="0"/>
        </w:rPr>
        <w:t>Gazlaştırma</w:t>
      </w:r>
      <w:proofErr w:type="spellEnd"/>
      <w:r w:rsidRPr="00416735">
        <w:rPr>
          <w:rStyle w:val="Vurgu"/>
          <w:i w:val="0"/>
        </w:rPr>
        <w:t xml:space="preserve"> Tesisleri</w:t>
      </w:r>
    </w:p>
    <w:p w:rsidR="008659D6" w:rsidRPr="00416735" w:rsidRDefault="008659D6" w:rsidP="008530FC">
      <w:pPr>
        <w:spacing w:line="240" w:lineRule="atLeast"/>
        <w:jc w:val="both"/>
        <w:rPr>
          <w:rStyle w:val="Vurgu"/>
          <w:i w:val="0"/>
        </w:rPr>
      </w:pPr>
    </w:p>
    <w:p w:rsidR="00C64A7F" w:rsidRPr="00416735" w:rsidRDefault="00A946BD" w:rsidP="00C64A7F">
      <w:pPr>
        <w:spacing w:line="240" w:lineRule="atLeast"/>
        <w:jc w:val="both"/>
        <w:rPr>
          <w:rStyle w:val="Vurgu"/>
          <w:i w:val="0"/>
        </w:rPr>
      </w:pPr>
      <w:proofErr w:type="spellStart"/>
      <w:r w:rsidRPr="00416735">
        <w:rPr>
          <w:rStyle w:val="Vurgu"/>
          <w:i w:val="0"/>
        </w:rPr>
        <w:t>Gazlaştırma</w:t>
      </w:r>
      <w:proofErr w:type="spellEnd"/>
      <w:r w:rsidRPr="00416735">
        <w:rPr>
          <w:rStyle w:val="Vurgu"/>
          <w:i w:val="0"/>
        </w:rPr>
        <w:t xml:space="preserve"> işlemleri 800-1000°C sıcaklıkta gerçekleştirilir. </w:t>
      </w:r>
      <w:r w:rsidR="00C64A7F" w:rsidRPr="00416735">
        <w:rPr>
          <w:rStyle w:val="Vurgu"/>
          <w:i w:val="0"/>
        </w:rPr>
        <w:t xml:space="preserve">Yanma sıcaklığı kullanılacak </w:t>
      </w:r>
      <w:proofErr w:type="spellStart"/>
      <w:r w:rsidR="00C64A7F" w:rsidRPr="00416735">
        <w:rPr>
          <w:rStyle w:val="Vurgu"/>
          <w:i w:val="0"/>
        </w:rPr>
        <w:t>biyokütle</w:t>
      </w:r>
      <w:proofErr w:type="spellEnd"/>
      <w:r w:rsidR="00C64A7F" w:rsidRPr="00416735">
        <w:rPr>
          <w:rStyle w:val="Vurgu"/>
          <w:i w:val="0"/>
        </w:rPr>
        <w:t xml:space="preserve"> ve yakma sistemi özellikleri dikkate alınarak Bakanlıkça belirlenir.</w:t>
      </w:r>
    </w:p>
    <w:p w:rsidR="00C64A7F" w:rsidRPr="00416735" w:rsidRDefault="00C64A7F" w:rsidP="00C64A7F">
      <w:pPr>
        <w:spacing w:line="240" w:lineRule="atLeast"/>
        <w:jc w:val="both"/>
        <w:rPr>
          <w:rStyle w:val="Vurgu"/>
          <w:i w:val="0"/>
        </w:rPr>
      </w:pPr>
    </w:p>
    <w:p w:rsidR="00945C6B" w:rsidRPr="00416735" w:rsidRDefault="00C64A7F" w:rsidP="00945C6B">
      <w:pPr>
        <w:spacing w:line="240" w:lineRule="atLeast"/>
        <w:jc w:val="both"/>
        <w:rPr>
          <w:rStyle w:val="Vurgu"/>
          <w:i w:val="0"/>
        </w:rPr>
      </w:pPr>
      <w:proofErr w:type="spellStart"/>
      <w:r w:rsidRPr="00416735">
        <w:rPr>
          <w:rStyle w:val="Vurgu"/>
          <w:i w:val="0"/>
        </w:rPr>
        <w:t>Gazlaştırma</w:t>
      </w:r>
      <w:proofErr w:type="spellEnd"/>
      <w:r w:rsidRPr="00416735">
        <w:rPr>
          <w:rStyle w:val="Vurgu"/>
          <w:i w:val="0"/>
        </w:rPr>
        <w:t xml:space="preserve"> işlemi </w:t>
      </w:r>
      <w:r w:rsidR="00945C6B" w:rsidRPr="00416735">
        <w:rPr>
          <w:rStyle w:val="Vurgu"/>
          <w:i w:val="0"/>
        </w:rPr>
        <w:t>sonrası oluşan atık gazın ikinci yanma odası ile termal işleme tabi tutulması durumunda, atık gazın 1100 °C sıcaklıkta en az iki saniye kalması zorunludur. Buna göre, yedek brülör ile donatılan ikinci yanma odası, brülörlerinin otomatik olarak devreye girmesi sağlanır.</w:t>
      </w:r>
    </w:p>
    <w:p w:rsidR="00945C6B" w:rsidRPr="00416735" w:rsidRDefault="00945C6B" w:rsidP="00C64A7F">
      <w:pPr>
        <w:spacing w:line="240" w:lineRule="atLeast"/>
        <w:jc w:val="both"/>
        <w:rPr>
          <w:rStyle w:val="Vurgu"/>
          <w:i w:val="0"/>
        </w:rPr>
      </w:pPr>
    </w:p>
    <w:p w:rsidR="00C64A7F" w:rsidRPr="00416735" w:rsidRDefault="00C64A7F" w:rsidP="00C64A7F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Bu tesislerin konva</w:t>
      </w:r>
      <w:r w:rsidR="006D1583" w:rsidRPr="00416735">
        <w:rPr>
          <w:rStyle w:val="Vurgu"/>
          <w:i w:val="0"/>
        </w:rPr>
        <w:t>n</w:t>
      </w:r>
      <w:r w:rsidRPr="00416735">
        <w:rPr>
          <w:rStyle w:val="Vurgu"/>
          <w:i w:val="0"/>
        </w:rPr>
        <w:t xml:space="preserve">siyonel yakma sistemleri ile aynı sistem içerisinde yer aldığı tesislerde “Atıkların Yakılmasına İlişkin Mevcut En İyi Teknikler Referans </w:t>
      </w:r>
      <w:proofErr w:type="spellStart"/>
      <w:r w:rsidRPr="00416735">
        <w:rPr>
          <w:rStyle w:val="Vurgu"/>
          <w:i w:val="0"/>
        </w:rPr>
        <w:t>Dokümanı”nda</w:t>
      </w:r>
      <w:proofErr w:type="spellEnd"/>
      <w:r w:rsidRPr="00416735">
        <w:rPr>
          <w:rStyle w:val="Vurgu"/>
          <w:i w:val="0"/>
        </w:rPr>
        <w:t xml:space="preserve"> ilgili sistem için belirtilen hüküm ve esaslar uygulanır.</w:t>
      </w:r>
    </w:p>
    <w:p w:rsidR="00C64A7F" w:rsidRPr="00416735" w:rsidRDefault="00C64A7F" w:rsidP="00C64A7F">
      <w:pPr>
        <w:spacing w:line="240" w:lineRule="atLeast"/>
        <w:jc w:val="both"/>
        <w:rPr>
          <w:rStyle w:val="Vurgu"/>
          <w:i w:val="0"/>
        </w:rPr>
      </w:pPr>
    </w:p>
    <w:p w:rsidR="00EB49AD" w:rsidRPr="00416735" w:rsidRDefault="00EB49AD" w:rsidP="00EB49AD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lastRenderedPageBreak/>
        <w:t xml:space="preserve">Bu tesislerin uyması gereken </w:t>
      </w:r>
      <w:proofErr w:type="gramStart"/>
      <w:r w:rsidRPr="00416735">
        <w:rPr>
          <w:rStyle w:val="Vurgu"/>
          <w:i w:val="0"/>
        </w:rPr>
        <w:t>emisyon</w:t>
      </w:r>
      <w:proofErr w:type="gramEnd"/>
      <w:r w:rsidRPr="00416735">
        <w:rPr>
          <w:rStyle w:val="Vurgu"/>
          <w:i w:val="0"/>
        </w:rPr>
        <w:t xml:space="preserve"> sınır değerleri Ek-13’de yer almaktadır.</w:t>
      </w:r>
    </w:p>
    <w:p w:rsidR="00FB4A58" w:rsidRPr="00416735" w:rsidRDefault="00FB4A58" w:rsidP="008530FC">
      <w:pPr>
        <w:spacing w:line="240" w:lineRule="atLeast"/>
        <w:jc w:val="both"/>
        <w:rPr>
          <w:rStyle w:val="Vurgu"/>
          <w:i w:val="0"/>
        </w:rPr>
      </w:pPr>
    </w:p>
    <w:p w:rsidR="00977D6B" w:rsidRPr="00416735" w:rsidRDefault="00977D6B" w:rsidP="00490594">
      <w:pPr>
        <w:spacing w:line="240" w:lineRule="atLeast"/>
        <w:ind w:firstLine="708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3</w:t>
      </w:r>
      <w:r w:rsidR="00ED5A73" w:rsidRPr="00416735">
        <w:rPr>
          <w:rStyle w:val="Vurgu"/>
          <w:i w:val="0"/>
        </w:rPr>
        <w:t>.</w:t>
      </w:r>
      <w:r w:rsidRPr="00416735">
        <w:rPr>
          <w:rStyle w:val="Vurgu"/>
          <w:i w:val="0"/>
        </w:rPr>
        <w:t xml:space="preserve"> </w:t>
      </w:r>
      <w:r w:rsidRPr="00416735">
        <w:t xml:space="preserve">Bu Yönetmeliğin 4 üncü maddesinin d bendinin 2 </w:t>
      </w:r>
      <w:proofErr w:type="spellStart"/>
      <w:r w:rsidRPr="00416735">
        <w:t>nci</w:t>
      </w:r>
      <w:proofErr w:type="spellEnd"/>
      <w:r w:rsidRPr="00416735">
        <w:t xml:space="preserve"> alt bendinde tanımı yapılan ve </w:t>
      </w:r>
      <w:r w:rsidRPr="00416735">
        <w:rPr>
          <w:rStyle w:val="Vurgu"/>
          <w:i w:val="0"/>
        </w:rPr>
        <w:t xml:space="preserve">Atık </w:t>
      </w:r>
      <w:r w:rsidR="00E5324F" w:rsidRPr="00416735">
        <w:rPr>
          <w:rStyle w:val="Vurgu"/>
          <w:i w:val="0"/>
        </w:rPr>
        <w:t>Yönetimi Yönetmeliği Ek-4’te (8</w:t>
      </w:r>
      <w:r w:rsidRPr="00416735">
        <w:rPr>
          <w:rStyle w:val="Vurgu"/>
          <w:i w:val="0"/>
        </w:rPr>
        <w:t>)</w:t>
      </w:r>
      <w:r w:rsidR="00945C6B" w:rsidRPr="00416735">
        <w:rPr>
          <w:rStyle w:val="Vurgu"/>
          <w:i w:val="0"/>
        </w:rPr>
        <w:t xml:space="preserve"> </w:t>
      </w:r>
      <w:r w:rsidRPr="00416735">
        <w:rPr>
          <w:rStyle w:val="Vurgu"/>
          <w:i w:val="0"/>
        </w:rPr>
        <w:t xml:space="preserve">ile işaretlenmiş olan </w:t>
      </w:r>
      <w:proofErr w:type="spellStart"/>
      <w:r w:rsidR="00E5324F" w:rsidRPr="00416735">
        <w:rPr>
          <w:rStyle w:val="Vurgu"/>
          <w:i w:val="0"/>
        </w:rPr>
        <w:t>biyokütlenin</w:t>
      </w:r>
      <w:proofErr w:type="spellEnd"/>
      <w:r w:rsidR="00E5324F" w:rsidRPr="00416735">
        <w:rPr>
          <w:rStyle w:val="Vurgu"/>
          <w:i w:val="0"/>
        </w:rPr>
        <w:t xml:space="preserve"> kullanıldığı ve diğer atık</w:t>
      </w:r>
      <w:r w:rsidRPr="00416735">
        <w:rPr>
          <w:rStyle w:val="Vurgu"/>
          <w:i w:val="0"/>
        </w:rPr>
        <w:t xml:space="preserve">larla karıştırmadan kullanıldığı çimento tesisleri </w:t>
      </w:r>
      <w:r w:rsidRPr="00416735">
        <w:t>aşağıda belirtilen esaslara uygun olarak faaliyet göstermelidir.</w:t>
      </w:r>
    </w:p>
    <w:p w:rsidR="00977D6B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</w:p>
    <w:p w:rsidR="006223D0" w:rsidRPr="00416735" w:rsidRDefault="00676456" w:rsidP="00490594">
      <w:pPr>
        <w:spacing w:line="240" w:lineRule="atLeast"/>
        <w:ind w:firstLine="708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3.1 Bu tesislerde üretilen elektrik enerjisinin piyasa arz edilmesi </w:t>
      </w:r>
      <w:r w:rsidR="006223D0" w:rsidRPr="00416735">
        <w:rPr>
          <w:rStyle w:val="Vurgu"/>
          <w:i w:val="0"/>
        </w:rPr>
        <w:t>zorunludur.</w:t>
      </w:r>
      <w:r w:rsidRPr="00416735">
        <w:rPr>
          <w:rStyle w:val="Vurgu"/>
          <w:i w:val="0"/>
        </w:rPr>
        <w:t xml:space="preserve"> </w:t>
      </w:r>
    </w:p>
    <w:p w:rsidR="00945C6B" w:rsidRPr="00416735" w:rsidRDefault="00945C6B" w:rsidP="00676456">
      <w:pPr>
        <w:spacing w:line="240" w:lineRule="atLeast"/>
        <w:jc w:val="both"/>
        <w:rPr>
          <w:rStyle w:val="Vurgu"/>
          <w:i w:val="0"/>
        </w:rPr>
      </w:pPr>
    </w:p>
    <w:p w:rsidR="00977D6B" w:rsidRPr="00416735" w:rsidRDefault="00676456" w:rsidP="00490594">
      <w:pPr>
        <w:spacing w:line="240" w:lineRule="atLeast"/>
        <w:ind w:firstLine="708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3.2 </w:t>
      </w:r>
      <w:r w:rsidR="00977D6B" w:rsidRPr="00416735">
        <w:rPr>
          <w:rStyle w:val="Vurgu"/>
          <w:i w:val="0"/>
        </w:rPr>
        <w:t xml:space="preserve">Bu tesisler </w:t>
      </w:r>
      <w:proofErr w:type="spellStart"/>
      <w:r w:rsidR="00977D6B" w:rsidRPr="00416735">
        <w:rPr>
          <w:rStyle w:val="Vurgu"/>
          <w:i w:val="0"/>
        </w:rPr>
        <w:t>biyokütlenin</w:t>
      </w:r>
      <w:proofErr w:type="spellEnd"/>
      <w:r w:rsidR="00977D6B" w:rsidRPr="00416735">
        <w:rPr>
          <w:rStyle w:val="Vurgu"/>
          <w:i w:val="0"/>
        </w:rPr>
        <w:t xml:space="preserve"> beraber yakılmasından kaynaklanan gazın en elverişsiz koşullarda bile kontrollü ve homojen bir şekilde en az iki saniye için 850 °C sıcaklığa yükselmesine müsaade edecek şekilde tasarlanır, donatılır, inşa edilir ve işletilir. </w:t>
      </w:r>
    </w:p>
    <w:p w:rsidR="00977D6B" w:rsidRPr="00416735" w:rsidRDefault="00977D6B" w:rsidP="00977D6B">
      <w:pPr>
        <w:autoSpaceDE w:val="0"/>
        <w:autoSpaceDN w:val="0"/>
        <w:adjustRightInd w:val="0"/>
        <w:jc w:val="both"/>
        <w:rPr>
          <w:spacing w:val="-3"/>
        </w:rPr>
      </w:pPr>
    </w:p>
    <w:p w:rsidR="006223D0" w:rsidRPr="00416735" w:rsidRDefault="00676456" w:rsidP="00490594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 w:rsidRPr="00416735">
        <w:rPr>
          <w:spacing w:val="-3"/>
        </w:rPr>
        <w:t xml:space="preserve">3.3 </w:t>
      </w:r>
      <w:r w:rsidR="00977D6B" w:rsidRPr="00416735">
        <w:rPr>
          <w:spacing w:val="-3"/>
        </w:rPr>
        <w:t xml:space="preserve">Bu tesislerde </w:t>
      </w:r>
      <w:proofErr w:type="gramStart"/>
      <w:r w:rsidR="00977D6B" w:rsidRPr="00416735">
        <w:rPr>
          <w:spacing w:val="-3"/>
        </w:rPr>
        <w:t>e</w:t>
      </w:r>
      <w:r w:rsidR="00A946BD" w:rsidRPr="00416735">
        <w:rPr>
          <w:spacing w:val="-3"/>
        </w:rPr>
        <w:t>misyon</w:t>
      </w:r>
      <w:proofErr w:type="gramEnd"/>
      <w:r w:rsidR="00A946BD" w:rsidRPr="00416735">
        <w:rPr>
          <w:spacing w:val="-3"/>
        </w:rPr>
        <w:t xml:space="preserve"> sınır</w:t>
      </w:r>
      <w:r w:rsidR="00977D6B" w:rsidRPr="00416735">
        <w:rPr>
          <w:spacing w:val="-3"/>
        </w:rPr>
        <w:t xml:space="preserve"> değerlerine uygunluk göstermesi gereken ölçüm sonuçları, aşağıdaki koşullarda standart hale getirilir. Sıcaklık 273 </w:t>
      </w:r>
      <w:proofErr w:type="spellStart"/>
      <w:r w:rsidR="00977D6B" w:rsidRPr="00416735">
        <w:rPr>
          <w:spacing w:val="-3"/>
        </w:rPr>
        <w:t>oK</w:t>
      </w:r>
      <w:proofErr w:type="spellEnd"/>
      <w:r w:rsidR="00977D6B" w:rsidRPr="00416735">
        <w:rPr>
          <w:spacing w:val="-3"/>
        </w:rPr>
        <w:t xml:space="preserve">, basınç 101,3 </w:t>
      </w:r>
      <w:proofErr w:type="spellStart"/>
      <w:r w:rsidR="00977D6B" w:rsidRPr="00416735">
        <w:rPr>
          <w:spacing w:val="-3"/>
        </w:rPr>
        <w:t>kPa</w:t>
      </w:r>
      <w:proofErr w:type="spellEnd"/>
      <w:r w:rsidR="00977D6B" w:rsidRPr="00416735">
        <w:rPr>
          <w:spacing w:val="-3"/>
        </w:rPr>
        <w:t>, %10 oksijen, k</w:t>
      </w:r>
      <w:r w:rsidR="00A946BD" w:rsidRPr="00416735">
        <w:rPr>
          <w:spacing w:val="-3"/>
        </w:rPr>
        <w:t xml:space="preserve">uru bazdaki toplam </w:t>
      </w:r>
      <w:proofErr w:type="gramStart"/>
      <w:r w:rsidR="00A946BD" w:rsidRPr="00416735">
        <w:rPr>
          <w:spacing w:val="-3"/>
        </w:rPr>
        <w:t>emisyon</w:t>
      </w:r>
      <w:proofErr w:type="gramEnd"/>
      <w:r w:rsidR="00A946BD" w:rsidRPr="00416735">
        <w:rPr>
          <w:spacing w:val="-3"/>
        </w:rPr>
        <w:t xml:space="preserve"> sınır</w:t>
      </w:r>
      <w:r w:rsidR="00977D6B" w:rsidRPr="00416735">
        <w:rPr>
          <w:spacing w:val="-3"/>
        </w:rPr>
        <w:t xml:space="preserve"> değerleri aşağıdaki tablodaki değerleri sağlamalıdır. </w:t>
      </w:r>
    </w:p>
    <w:p w:rsidR="006223D0" w:rsidRPr="00416735" w:rsidRDefault="006223D0" w:rsidP="00977D6B">
      <w:pPr>
        <w:autoSpaceDE w:val="0"/>
        <w:autoSpaceDN w:val="0"/>
        <w:adjustRightInd w:val="0"/>
        <w:jc w:val="both"/>
        <w:rPr>
          <w:spacing w:val="-3"/>
        </w:rPr>
      </w:pPr>
    </w:p>
    <w:p w:rsidR="00977D6B" w:rsidRPr="00416735" w:rsidRDefault="00A946BD" w:rsidP="00977D6B">
      <w:pPr>
        <w:autoSpaceDE w:val="0"/>
        <w:autoSpaceDN w:val="0"/>
        <w:adjustRightInd w:val="0"/>
        <w:jc w:val="both"/>
        <w:rPr>
          <w:spacing w:val="-3"/>
        </w:rPr>
      </w:pPr>
      <w:r w:rsidRPr="00416735">
        <w:rPr>
          <w:spacing w:val="-3"/>
        </w:rPr>
        <w:t xml:space="preserve">Tablo 5.17: </w:t>
      </w:r>
      <w:proofErr w:type="spellStart"/>
      <w:r w:rsidRPr="00416735">
        <w:rPr>
          <w:spacing w:val="-3"/>
        </w:rPr>
        <w:t>Biyokütlenin</w:t>
      </w:r>
      <w:proofErr w:type="spellEnd"/>
      <w:r w:rsidRPr="00416735">
        <w:rPr>
          <w:spacing w:val="-3"/>
        </w:rPr>
        <w:t xml:space="preserve"> beraber yakıldığı çimento üretim tesisleri için Emisyon Sınır Değerleri</w:t>
      </w:r>
      <w:r w:rsidR="00A1065D" w:rsidRPr="00416735">
        <w:rPr>
          <w:spacing w:val="-3"/>
        </w:rPr>
        <w:t xml:space="preserve"> (mg/m3)</w:t>
      </w:r>
    </w:p>
    <w:tbl>
      <w:tblPr>
        <w:tblStyle w:val="AkListe"/>
        <w:tblW w:w="0" w:type="auto"/>
        <w:tblInd w:w="250" w:type="dxa"/>
        <w:tblLook w:val="0000" w:firstRow="0" w:lastRow="0" w:firstColumn="0" w:lastColumn="0" w:noHBand="0" w:noVBand="0"/>
      </w:tblPr>
      <w:tblGrid>
        <w:gridCol w:w="4536"/>
        <w:gridCol w:w="4394"/>
      </w:tblGrid>
      <w:tr w:rsidR="00416735" w:rsidRPr="00416735" w:rsidTr="0086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>Kirletici Madde</w:t>
            </w:r>
          </w:p>
        </w:tc>
        <w:tc>
          <w:tcPr>
            <w:tcW w:w="4394" w:type="dxa"/>
          </w:tcPr>
          <w:p w:rsidR="00977D6B" w:rsidRPr="00416735" w:rsidRDefault="00A1065D" w:rsidP="009F30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 xml:space="preserve">Emisyon Sınır </w:t>
            </w:r>
            <w:proofErr w:type="spellStart"/>
            <w:r w:rsidRPr="00416735">
              <w:rPr>
                <w:spacing w:val="-3"/>
              </w:rPr>
              <w:t>Dğerleri</w:t>
            </w:r>
            <w:proofErr w:type="spellEnd"/>
          </w:p>
        </w:tc>
      </w:tr>
      <w:tr w:rsidR="00416735" w:rsidRPr="00416735" w:rsidTr="008659D6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pStyle w:val="DipnotMetni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  <w:lang w:eastAsia="tr-TR"/>
              </w:rPr>
            </w:pPr>
            <w:r w:rsidRPr="00416735">
              <w:rPr>
                <w:spacing w:val="-3"/>
                <w:sz w:val="24"/>
                <w:szCs w:val="24"/>
                <w:lang w:eastAsia="tr-TR"/>
              </w:rPr>
              <w:t>Toplam toz</w:t>
            </w:r>
          </w:p>
        </w:tc>
        <w:tc>
          <w:tcPr>
            <w:tcW w:w="4394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30</w:t>
            </w:r>
          </w:p>
        </w:tc>
      </w:tr>
      <w:tr w:rsidR="00416735" w:rsidRPr="00416735" w:rsidTr="0086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>HCI</w:t>
            </w:r>
          </w:p>
        </w:tc>
        <w:tc>
          <w:tcPr>
            <w:tcW w:w="4394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10</w:t>
            </w:r>
          </w:p>
        </w:tc>
      </w:tr>
      <w:tr w:rsidR="00416735" w:rsidRPr="00416735" w:rsidTr="008659D6"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>HF</w:t>
            </w:r>
          </w:p>
        </w:tc>
        <w:tc>
          <w:tcPr>
            <w:tcW w:w="4394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1</w:t>
            </w:r>
          </w:p>
        </w:tc>
      </w:tr>
      <w:tr w:rsidR="00416735" w:rsidRPr="00416735" w:rsidTr="0086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 xml:space="preserve">Mevcut tesisler için </w:t>
            </w:r>
            <w:proofErr w:type="spellStart"/>
            <w:r w:rsidRPr="00416735">
              <w:rPr>
                <w:spacing w:val="-3"/>
              </w:rPr>
              <w:t>NOx</w:t>
            </w:r>
            <w:proofErr w:type="spellEnd"/>
          </w:p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 xml:space="preserve">Yeni tesisler için </w:t>
            </w:r>
            <w:proofErr w:type="spellStart"/>
            <w:r w:rsidRPr="00416735">
              <w:rPr>
                <w:spacing w:val="-3"/>
              </w:rPr>
              <w:t>NOx</w:t>
            </w:r>
            <w:proofErr w:type="spellEnd"/>
          </w:p>
        </w:tc>
        <w:tc>
          <w:tcPr>
            <w:tcW w:w="4394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01.01.2018 tarihine kadar 1300</w:t>
            </w:r>
          </w:p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01.01.2018 tarihinden itibaren 800</w:t>
            </w:r>
          </w:p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800</w:t>
            </w:r>
          </w:p>
        </w:tc>
      </w:tr>
      <w:tr w:rsidR="00416735" w:rsidRPr="00416735" w:rsidTr="008659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pStyle w:val="DipnotMetni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  <w:lang w:eastAsia="tr-TR"/>
              </w:rPr>
            </w:pPr>
            <w:r w:rsidRPr="00416735">
              <w:rPr>
                <w:spacing w:val="-3"/>
                <w:sz w:val="24"/>
                <w:szCs w:val="24"/>
                <w:lang w:eastAsia="tr-TR"/>
              </w:rPr>
              <w:t>SO</w:t>
            </w:r>
            <w:r w:rsidRPr="00416735">
              <w:rPr>
                <w:spacing w:val="-3"/>
                <w:sz w:val="24"/>
                <w:szCs w:val="24"/>
                <w:vertAlign w:val="subscript"/>
                <w:lang w:eastAsia="tr-TR"/>
              </w:rPr>
              <w:t>2</w:t>
            </w:r>
          </w:p>
        </w:tc>
        <w:tc>
          <w:tcPr>
            <w:tcW w:w="4394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50</w:t>
            </w:r>
          </w:p>
        </w:tc>
      </w:tr>
      <w:tr w:rsidR="00416735" w:rsidRPr="00416735" w:rsidTr="0086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>TOK</w:t>
            </w:r>
          </w:p>
        </w:tc>
        <w:tc>
          <w:tcPr>
            <w:tcW w:w="4394" w:type="dxa"/>
          </w:tcPr>
          <w:p w:rsidR="00977D6B" w:rsidRPr="00416735" w:rsidRDefault="00977D6B" w:rsidP="009F30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 w:rsidRPr="00416735">
              <w:rPr>
                <w:spacing w:val="-3"/>
              </w:rPr>
              <w:t>10</w:t>
            </w:r>
          </w:p>
        </w:tc>
      </w:tr>
    </w:tbl>
    <w:p w:rsidR="00977D6B" w:rsidRPr="00416735" w:rsidRDefault="00977D6B" w:rsidP="00977D6B">
      <w:pPr>
        <w:autoSpaceDE w:val="0"/>
        <w:autoSpaceDN w:val="0"/>
        <w:adjustRightInd w:val="0"/>
        <w:jc w:val="both"/>
        <w:rPr>
          <w:spacing w:val="-3"/>
        </w:rPr>
      </w:pPr>
    </w:p>
    <w:p w:rsidR="00977D6B" w:rsidRPr="00416735" w:rsidRDefault="008659D6" w:rsidP="00977D6B">
      <w:pPr>
        <w:autoSpaceDE w:val="0"/>
        <w:autoSpaceDN w:val="0"/>
        <w:adjustRightInd w:val="0"/>
        <w:spacing w:before="80" w:after="80"/>
        <w:jc w:val="both"/>
        <w:rPr>
          <w:spacing w:val="-3"/>
        </w:rPr>
      </w:pPr>
      <w:r w:rsidRPr="00416735">
        <w:rPr>
          <w:spacing w:val="-3"/>
        </w:rPr>
        <w:t xml:space="preserve">   </w:t>
      </w:r>
      <w:r w:rsidR="00977D6B" w:rsidRPr="00416735">
        <w:rPr>
          <w:spacing w:val="-3"/>
        </w:rPr>
        <w:t xml:space="preserve">Diğer kirletici parametreler </w:t>
      </w:r>
      <w:r w:rsidR="00A946BD" w:rsidRPr="00416735">
        <w:rPr>
          <w:spacing w:val="-3"/>
        </w:rPr>
        <w:t xml:space="preserve">için </w:t>
      </w:r>
      <w:proofErr w:type="gramStart"/>
      <w:r w:rsidR="00A946BD" w:rsidRPr="00416735">
        <w:rPr>
          <w:spacing w:val="-3"/>
        </w:rPr>
        <w:t>emisyon</w:t>
      </w:r>
      <w:proofErr w:type="gramEnd"/>
      <w:r w:rsidR="00A946BD" w:rsidRPr="00416735">
        <w:rPr>
          <w:spacing w:val="-3"/>
        </w:rPr>
        <w:t xml:space="preserve"> sınır </w:t>
      </w:r>
      <w:r w:rsidRPr="00416735">
        <w:rPr>
          <w:spacing w:val="-3"/>
        </w:rPr>
        <w:t>değerleri</w:t>
      </w:r>
      <w:r w:rsidR="00977D6B" w:rsidRPr="00416735">
        <w:rPr>
          <w:spacing w:val="-3"/>
        </w:rPr>
        <w:t>- (O2 içeriği %6)</w:t>
      </w:r>
    </w:p>
    <w:tbl>
      <w:tblPr>
        <w:tblStyle w:val="TabloKlavuzu"/>
        <w:tblW w:w="0" w:type="auto"/>
        <w:tblInd w:w="250" w:type="dxa"/>
        <w:tblLook w:val="0000" w:firstRow="0" w:lastRow="0" w:firstColumn="0" w:lastColumn="0" w:noHBand="0" w:noVBand="0"/>
      </w:tblPr>
      <w:tblGrid>
        <w:gridCol w:w="4536"/>
        <w:gridCol w:w="4394"/>
      </w:tblGrid>
      <w:tr w:rsidR="00416735" w:rsidRPr="00416735" w:rsidTr="008659D6">
        <w:trPr>
          <w:trHeight w:val="50"/>
        </w:trPr>
        <w:tc>
          <w:tcPr>
            <w:tcW w:w="4536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>Kirletici Madde</w:t>
            </w:r>
          </w:p>
        </w:tc>
        <w:tc>
          <w:tcPr>
            <w:tcW w:w="4394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416735">
              <w:rPr>
                <w:spacing w:val="-3"/>
              </w:rPr>
              <w:t>C mg/m3</w:t>
            </w:r>
          </w:p>
        </w:tc>
      </w:tr>
      <w:tr w:rsidR="00416735" w:rsidRPr="00416735" w:rsidTr="008659D6">
        <w:trPr>
          <w:trHeight w:val="51"/>
        </w:trPr>
        <w:tc>
          <w:tcPr>
            <w:tcW w:w="4536" w:type="dxa"/>
          </w:tcPr>
          <w:p w:rsidR="008659D6" w:rsidRPr="00416735" w:rsidRDefault="008659D6" w:rsidP="009F309F">
            <w:pPr>
              <w:pStyle w:val="DipnotMetni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  <w:lang w:eastAsia="tr-TR"/>
              </w:rPr>
            </w:pPr>
            <w:proofErr w:type="spellStart"/>
            <w:r w:rsidRPr="00416735">
              <w:rPr>
                <w:spacing w:val="-3"/>
                <w:sz w:val="24"/>
                <w:szCs w:val="24"/>
                <w:lang w:eastAsia="tr-TR"/>
              </w:rPr>
              <w:t>Cd</w:t>
            </w:r>
            <w:proofErr w:type="spellEnd"/>
            <w:r w:rsidRPr="00416735">
              <w:rPr>
                <w:spacing w:val="-3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416735">
              <w:rPr>
                <w:spacing w:val="-3"/>
                <w:sz w:val="24"/>
                <w:szCs w:val="24"/>
                <w:lang w:eastAsia="tr-TR"/>
              </w:rPr>
              <w:t>Tl</w:t>
            </w:r>
            <w:proofErr w:type="spellEnd"/>
          </w:p>
        </w:tc>
        <w:tc>
          <w:tcPr>
            <w:tcW w:w="4394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416735">
              <w:rPr>
                <w:spacing w:val="-3"/>
              </w:rPr>
              <w:t>0,05</w:t>
            </w:r>
          </w:p>
        </w:tc>
      </w:tr>
      <w:tr w:rsidR="00416735" w:rsidRPr="00416735" w:rsidTr="008659D6">
        <w:trPr>
          <w:trHeight w:val="56"/>
        </w:trPr>
        <w:tc>
          <w:tcPr>
            <w:tcW w:w="4536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>Hg</w:t>
            </w:r>
          </w:p>
        </w:tc>
        <w:tc>
          <w:tcPr>
            <w:tcW w:w="4394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416735">
              <w:rPr>
                <w:spacing w:val="-3"/>
              </w:rPr>
              <w:t>0,05</w:t>
            </w:r>
          </w:p>
        </w:tc>
      </w:tr>
      <w:tr w:rsidR="00416735" w:rsidRPr="00416735" w:rsidTr="008659D6">
        <w:trPr>
          <w:trHeight w:val="50"/>
        </w:trPr>
        <w:tc>
          <w:tcPr>
            <w:tcW w:w="4536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16735">
              <w:rPr>
                <w:spacing w:val="-3"/>
              </w:rPr>
              <w:t xml:space="preserve">Sb + As + Pb + Cr + </w:t>
            </w:r>
            <w:proofErr w:type="spellStart"/>
            <w:r w:rsidRPr="00416735">
              <w:rPr>
                <w:spacing w:val="-3"/>
              </w:rPr>
              <w:t>Co</w:t>
            </w:r>
            <w:proofErr w:type="spellEnd"/>
            <w:r w:rsidRPr="00416735">
              <w:rPr>
                <w:spacing w:val="-3"/>
              </w:rPr>
              <w:t xml:space="preserve"> + Cu + Mn + </w:t>
            </w:r>
            <w:proofErr w:type="spellStart"/>
            <w:r w:rsidRPr="00416735">
              <w:rPr>
                <w:spacing w:val="-3"/>
              </w:rPr>
              <w:t>Ni</w:t>
            </w:r>
            <w:proofErr w:type="spellEnd"/>
            <w:r w:rsidRPr="00416735">
              <w:rPr>
                <w:spacing w:val="-3"/>
              </w:rPr>
              <w:t xml:space="preserve"> + V </w:t>
            </w:r>
          </w:p>
        </w:tc>
        <w:tc>
          <w:tcPr>
            <w:tcW w:w="4394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416735">
              <w:rPr>
                <w:spacing w:val="-3"/>
              </w:rPr>
              <w:t>0,5</w:t>
            </w:r>
          </w:p>
        </w:tc>
      </w:tr>
      <w:tr w:rsidR="00416735" w:rsidRPr="00416735" w:rsidTr="008659D6">
        <w:trPr>
          <w:trHeight w:val="50"/>
        </w:trPr>
        <w:tc>
          <w:tcPr>
            <w:tcW w:w="4536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proofErr w:type="spellStart"/>
            <w:r w:rsidRPr="00416735">
              <w:rPr>
                <w:spacing w:val="-3"/>
              </w:rPr>
              <w:t>Dioksinler</w:t>
            </w:r>
            <w:proofErr w:type="spellEnd"/>
            <w:r w:rsidRPr="00416735">
              <w:rPr>
                <w:spacing w:val="-3"/>
              </w:rPr>
              <w:t xml:space="preserve"> ve </w:t>
            </w:r>
            <w:proofErr w:type="spellStart"/>
            <w:r w:rsidRPr="00416735">
              <w:rPr>
                <w:spacing w:val="-3"/>
              </w:rPr>
              <w:t>Furanlar</w:t>
            </w:r>
            <w:proofErr w:type="spellEnd"/>
          </w:p>
        </w:tc>
        <w:tc>
          <w:tcPr>
            <w:tcW w:w="4394" w:type="dxa"/>
          </w:tcPr>
          <w:p w:rsidR="008659D6" w:rsidRPr="00416735" w:rsidRDefault="008659D6" w:rsidP="009F309F">
            <w:pPr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 w:rsidRPr="00416735">
              <w:rPr>
                <w:spacing w:val="-3"/>
              </w:rPr>
              <w:t xml:space="preserve">0,1 </w:t>
            </w:r>
            <w:proofErr w:type="spellStart"/>
            <w:r w:rsidRPr="00416735">
              <w:rPr>
                <w:spacing w:val="-3"/>
              </w:rPr>
              <w:t>ng</w:t>
            </w:r>
            <w:proofErr w:type="spellEnd"/>
            <w:r w:rsidRPr="00416735">
              <w:rPr>
                <w:spacing w:val="-3"/>
              </w:rPr>
              <w:t>/Nm3</w:t>
            </w:r>
          </w:p>
        </w:tc>
      </w:tr>
    </w:tbl>
    <w:p w:rsidR="00977D6B" w:rsidRPr="00416735" w:rsidRDefault="00977D6B" w:rsidP="008530FC">
      <w:pPr>
        <w:spacing w:line="240" w:lineRule="atLeast"/>
        <w:jc w:val="both"/>
        <w:rPr>
          <w:rStyle w:val="Vurgu"/>
          <w:i w:val="0"/>
        </w:rPr>
      </w:pPr>
    </w:p>
    <w:p w:rsidR="00E84F59" w:rsidRPr="00416735" w:rsidRDefault="00977D6B" w:rsidP="00490594">
      <w:pPr>
        <w:spacing w:line="240" w:lineRule="atLeast"/>
        <w:ind w:firstLine="708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4</w:t>
      </w:r>
      <w:r w:rsidR="00490594">
        <w:rPr>
          <w:rStyle w:val="Vurgu"/>
          <w:i w:val="0"/>
        </w:rPr>
        <w:t>.</w:t>
      </w:r>
      <w:r w:rsidR="00E84F59" w:rsidRPr="00416735">
        <w:rPr>
          <w:rStyle w:val="Vurgu"/>
          <w:i w:val="0"/>
        </w:rPr>
        <w:t xml:space="preserve"> </w:t>
      </w:r>
      <w:r w:rsidR="002E41BB" w:rsidRPr="00416735">
        <w:rPr>
          <w:rStyle w:val="Vurgu"/>
          <w:i w:val="0"/>
        </w:rPr>
        <w:t>Yukarıdaki</w:t>
      </w:r>
      <w:r w:rsidRPr="00416735">
        <w:rPr>
          <w:rStyle w:val="Vurgu"/>
          <w:i w:val="0"/>
        </w:rPr>
        <w:t xml:space="preserve"> </w:t>
      </w:r>
      <w:r w:rsidR="00460B1F">
        <w:rPr>
          <w:rStyle w:val="Vurgu"/>
          <w:i w:val="0"/>
        </w:rPr>
        <w:t>(</w:t>
      </w:r>
      <w:r w:rsidRPr="00416735">
        <w:rPr>
          <w:rStyle w:val="Vurgu"/>
          <w:i w:val="0"/>
        </w:rPr>
        <w:t>2</w:t>
      </w:r>
      <w:r w:rsidR="00460B1F">
        <w:rPr>
          <w:rStyle w:val="Vurgu"/>
          <w:i w:val="0"/>
        </w:rPr>
        <w:t>)</w:t>
      </w:r>
      <w:r w:rsidRPr="00416735">
        <w:rPr>
          <w:rStyle w:val="Vurgu"/>
          <w:i w:val="0"/>
        </w:rPr>
        <w:t xml:space="preserve"> ve </w:t>
      </w:r>
      <w:r w:rsidR="00460B1F">
        <w:rPr>
          <w:rStyle w:val="Vurgu"/>
          <w:i w:val="0"/>
        </w:rPr>
        <w:t>(</w:t>
      </w:r>
      <w:r w:rsidRPr="00416735">
        <w:rPr>
          <w:rStyle w:val="Vurgu"/>
          <w:i w:val="0"/>
        </w:rPr>
        <w:t>3</w:t>
      </w:r>
      <w:r w:rsidR="00460B1F">
        <w:rPr>
          <w:rStyle w:val="Vurgu"/>
          <w:i w:val="0"/>
        </w:rPr>
        <w:t>)</w:t>
      </w:r>
      <w:r w:rsidRPr="00416735">
        <w:rPr>
          <w:rStyle w:val="Vurgu"/>
          <w:i w:val="0"/>
        </w:rPr>
        <w:t xml:space="preserve"> </w:t>
      </w:r>
      <w:r w:rsidR="002E41BB" w:rsidRPr="00416735">
        <w:rPr>
          <w:rStyle w:val="Vurgu"/>
          <w:i w:val="0"/>
        </w:rPr>
        <w:t xml:space="preserve">alt </w:t>
      </w:r>
      <w:r w:rsidRPr="00416735">
        <w:rPr>
          <w:rStyle w:val="Vurgu"/>
          <w:i w:val="0"/>
        </w:rPr>
        <w:t xml:space="preserve">bendinde yer alan </w:t>
      </w:r>
      <w:r w:rsidR="00E84F59" w:rsidRPr="00416735">
        <w:rPr>
          <w:rStyle w:val="Vurgu"/>
          <w:i w:val="0"/>
        </w:rPr>
        <w:t>tesislerde</w:t>
      </w:r>
      <w:r w:rsidR="002715EA" w:rsidRPr="00416735">
        <w:rPr>
          <w:rStyle w:val="Vurgu"/>
          <w:i w:val="0"/>
        </w:rPr>
        <w:t xml:space="preserve"> Ek-11’de yer alan Emisyon Ölçüm Raporu Formatında aşağıdaki </w:t>
      </w:r>
      <w:r w:rsidR="00E84F59" w:rsidRPr="00416735">
        <w:rPr>
          <w:rStyle w:val="Vurgu"/>
          <w:i w:val="0"/>
        </w:rPr>
        <w:t>hususlar</w:t>
      </w:r>
      <w:r w:rsidR="002715EA" w:rsidRPr="00416735">
        <w:rPr>
          <w:rStyle w:val="Vurgu"/>
          <w:i w:val="0"/>
        </w:rPr>
        <w:t>a yer verilmesi gerekmektedir.</w:t>
      </w:r>
    </w:p>
    <w:p w:rsidR="00977D6B" w:rsidRPr="00416735" w:rsidRDefault="00335827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 xml:space="preserve">a) </w:t>
      </w:r>
      <w:r w:rsidR="002715EA" w:rsidRPr="00416735">
        <w:rPr>
          <w:rStyle w:val="Vurgu"/>
          <w:i w:val="0"/>
        </w:rPr>
        <w:t>Y</w:t>
      </w:r>
      <w:r w:rsidR="00E84F59" w:rsidRPr="00416735">
        <w:rPr>
          <w:rStyle w:val="Vurgu"/>
          <w:i w:val="0"/>
        </w:rPr>
        <w:t xml:space="preserve">akılması planlanan </w:t>
      </w:r>
      <w:proofErr w:type="spellStart"/>
      <w:r w:rsidR="00E84F59" w:rsidRPr="00416735">
        <w:rPr>
          <w:rStyle w:val="Vurgu"/>
          <w:i w:val="0"/>
        </w:rPr>
        <w:t>biyokütlenin</w:t>
      </w:r>
      <w:proofErr w:type="spellEnd"/>
      <w:r w:rsidR="00E84F59" w:rsidRPr="00416735">
        <w:rPr>
          <w:rStyle w:val="Vurgu"/>
          <w:i w:val="0"/>
        </w:rPr>
        <w:t xml:space="preserve"> </w:t>
      </w:r>
      <w:r w:rsidR="002715EA" w:rsidRPr="00416735">
        <w:rPr>
          <w:rStyle w:val="Vurgu"/>
          <w:i w:val="0"/>
        </w:rPr>
        <w:t xml:space="preserve">Atık Yönetimi Yönetmeliği Ek-4’te yer alan atık kodu </w:t>
      </w:r>
      <w:r w:rsidR="00A74CDE" w:rsidRPr="00416735">
        <w:rPr>
          <w:rStyle w:val="Vurgu"/>
          <w:i w:val="0"/>
        </w:rPr>
        <w:t>ve kullanılacak miktar veril</w:t>
      </w:r>
      <w:r w:rsidR="002715EA" w:rsidRPr="00416735">
        <w:rPr>
          <w:rStyle w:val="Vurgu"/>
          <w:i w:val="0"/>
        </w:rPr>
        <w:t>ir</w:t>
      </w:r>
      <w:r w:rsidR="00977D6B" w:rsidRPr="00416735">
        <w:rPr>
          <w:rStyle w:val="Vurgu"/>
          <w:i w:val="0"/>
        </w:rPr>
        <w:t>.</w:t>
      </w:r>
    </w:p>
    <w:p w:rsidR="00977D6B" w:rsidRPr="00416735" w:rsidRDefault="002715EA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b</w:t>
      </w:r>
      <w:r w:rsidR="00E84F59" w:rsidRPr="00416735">
        <w:rPr>
          <w:rStyle w:val="Vurgu"/>
          <w:i w:val="0"/>
        </w:rPr>
        <w:t xml:space="preserve">) </w:t>
      </w:r>
      <w:r w:rsidRPr="00416735">
        <w:rPr>
          <w:rStyle w:val="Vurgu"/>
          <w:i w:val="0"/>
        </w:rPr>
        <w:t>Hava kirletici</w:t>
      </w:r>
      <w:r w:rsidR="00E84F59" w:rsidRPr="00416735">
        <w:rPr>
          <w:rStyle w:val="Vurgu"/>
          <w:i w:val="0"/>
        </w:rPr>
        <w:t xml:space="preserve"> parametrelerin her biri için periyodik ölçüm yükümlülüğünü yerine getirmek için kullanılan örnekleme ve ölçüm teknikleri belirt</w:t>
      </w:r>
      <w:r w:rsidR="00977D6B" w:rsidRPr="00416735">
        <w:rPr>
          <w:rStyle w:val="Vurgu"/>
          <w:i w:val="0"/>
        </w:rPr>
        <w:t>ilir.</w:t>
      </w:r>
    </w:p>
    <w:p w:rsidR="002715EA" w:rsidRPr="00416735" w:rsidRDefault="002715EA" w:rsidP="008530FC">
      <w:pPr>
        <w:spacing w:line="240" w:lineRule="atLeast"/>
        <w:jc w:val="both"/>
        <w:rPr>
          <w:rStyle w:val="Vurgu"/>
          <w:i w:val="0"/>
        </w:rPr>
      </w:pPr>
      <w:r w:rsidRPr="00416735">
        <w:rPr>
          <w:rStyle w:val="Vurgu"/>
          <w:i w:val="0"/>
        </w:rPr>
        <w:t>c</w:t>
      </w:r>
      <w:r w:rsidR="00E84F59" w:rsidRPr="00416735">
        <w:rPr>
          <w:rStyle w:val="Vurgu"/>
          <w:i w:val="0"/>
        </w:rPr>
        <w:t>)</w:t>
      </w:r>
      <w:r w:rsidRPr="00416735">
        <w:rPr>
          <w:rStyle w:val="Vurgu"/>
          <w:i w:val="0"/>
        </w:rPr>
        <w:t xml:space="preserve"> </w:t>
      </w:r>
      <w:r w:rsidR="00E84F59" w:rsidRPr="00416735">
        <w:rPr>
          <w:rStyle w:val="Vurgu"/>
          <w:i w:val="0"/>
        </w:rPr>
        <w:t>Bu yakıtların yakılması durumunda asgari ve azami kütle</w:t>
      </w:r>
      <w:r w:rsidRPr="00416735">
        <w:rPr>
          <w:rStyle w:val="Vurgu"/>
          <w:i w:val="0"/>
        </w:rPr>
        <w:t>sel debi değerinin</w:t>
      </w:r>
      <w:r w:rsidR="00E84F59" w:rsidRPr="00416735">
        <w:rPr>
          <w:rStyle w:val="Vurgu"/>
          <w:i w:val="0"/>
        </w:rPr>
        <w:t xml:space="preserve">, en düşük ve </w:t>
      </w:r>
      <w:r w:rsidR="00E751CD" w:rsidRPr="00416735">
        <w:rPr>
          <w:rStyle w:val="Vurgu"/>
          <w:i w:val="0"/>
        </w:rPr>
        <w:t xml:space="preserve">en yüksek </w:t>
      </w:r>
      <w:proofErr w:type="spellStart"/>
      <w:r w:rsidR="00E751CD" w:rsidRPr="00416735">
        <w:rPr>
          <w:rStyle w:val="Vurgu"/>
          <w:i w:val="0"/>
        </w:rPr>
        <w:t>kalorifik</w:t>
      </w:r>
      <w:proofErr w:type="spellEnd"/>
      <w:r w:rsidR="00E751CD" w:rsidRPr="00416735">
        <w:rPr>
          <w:rStyle w:val="Vurgu"/>
          <w:i w:val="0"/>
        </w:rPr>
        <w:t xml:space="preserve"> değerleri belirtilir.</w:t>
      </w:r>
    </w:p>
    <w:p w:rsidR="00E751CD" w:rsidRDefault="00E751CD" w:rsidP="008530FC">
      <w:pPr>
        <w:spacing w:line="240" w:lineRule="atLeast"/>
        <w:jc w:val="both"/>
        <w:rPr>
          <w:rStyle w:val="Vurgu"/>
          <w:i w:val="0"/>
        </w:rPr>
      </w:pPr>
    </w:p>
    <w:p w:rsidR="00460B1F" w:rsidRDefault="00460B1F" w:rsidP="008530FC">
      <w:pPr>
        <w:spacing w:line="240" w:lineRule="atLeast"/>
        <w:jc w:val="both"/>
        <w:rPr>
          <w:rStyle w:val="Vurgu"/>
          <w:i w:val="0"/>
        </w:rPr>
      </w:pPr>
    </w:p>
    <w:p w:rsidR="00460B1F" w:rsidRDefault="00460B1F" w:rsidP="008530FC">
      <w:pPr>
        <w:spacing w:line="240" w:lineRule="atLeast"/>
        <w:jc w:val="both"/>
        <w:rPr>
          <w:rStyle w:val="Vurgu"/>
          <w:i w:val="0"/>
        </w:rPr>
      </w:pPr>
    </w:p>
    <w:p w:rsidR="00460B1F" w:rsidRDefault="00460B1F" w:rsidP="008530FC">
      <w:pPr>
        <w:spacing w:line="240" w:lineRule="atLeast"/>
        <w:jc w:val="both"/>
        <w:rPr>
          <w:rStyle w:val="Vurgu"/>
          <w:i w:val="0"/>
        </w:rPr>
      </w:pPr>
    </w:p>
    <w:p w:rsidR="00460B1F" w:rsidRPr="00416735" w:rsidRDefault="00460B1F" w:rsidP="008530FC">
      <w:pPr>
        <w:spacing w:line="240" w:lineRule="atLeast"/>
        <w:jc w:val="both"/>
        <w:rPr>
          <w:rStyle w:val="Vurgu"/>
          <w:i w:val="0"/>
        </w:rPr>
      </w:pPr>
    </w:p>
    <w:p w:rsidR="00147492" w:rsidRDefault="00340AB4" w:rsidP="00460B1F">
      <w:pPr>
        <w:pStyle w:val="3-normalyaz0"/>
        <w:spacing w:line="240" w:lineRule="exact"/>
        <w:rPr>
          <w:spacing w:val="-3"/>
          <w:sz w:val="24"/>
          <w:szCs w:val="24"/>
        </w:rPr>
      </w:pPr>
      <w:r w:rsidRPr="00416735">
        <w:rPr>
          <w:b/>
          <w:bCs/>
          <w:sz w:val="24"/>
          <w:szCs w:val="24"/>
        </w:rPr>
        <w:lastRenderedPageBreak/>
        <w:t>MADDE 4</w:t>
      </w:r>
      <w:r w:rsidR="00147492" w:rsidRPr="00416735">
        <w:rPr>
          <w:b/>
          <w:bCs/>
          <w:sz w:val="24"/>
          <w:szCs w:val="24"/>
        </w:rPr>
        <w:t xml:space="preserve"> </w:t>
      </w:r>
      <w:r w:rsidR="00ED5A73" w:rsidRPr="00416735">
        <w:rPr>
          <w:b/>
          <w:bCs/>
          <w:sz w:val="24"/>
          <w:szCs w:val="24"/>
        </w:rPr>
        <w:t>–</w:t>
      </w:r>
      <w:r w:rsidR="00147492" w:rsidRPr="00416735">
        <w:rPr>
          <w:b/>
          <w:bCs/>
          <w:sz w:val="24"/>
          <w:szCs w:val="24"/>
        </w:rPr>
        <w:t xml:space="preserve"> </w:t>
      </w:r>
      <w:r w:rsidR="00ED5A73" w:rsidRPr="00416735">
        <w:rPr>
          <w:spacing w:val="-3"/>
          <w:sz w:val="24"/>
          <w:szCs w:val="24"/>
        </w:rPr>
        <w:t>A</w:t>
      </w:r>
      <w:r w:rsidR="002E41BB" w:rsidRPr="00416735">
        <w:rPr>
          <w:spacing w:val="-3"/>
          <w:sz w:val="24"/>
          <w:szCs w:val="24"/>
        </w:rPr>
        <w:t>ynı Yönetmeliği aşağıda E</w:t>
      </w:r>
      <w:r w:rsidR="00ED5A73" w:rsidRPr="00416735">
        <w:rPr>
          <w:spacing w:val="-3"/>
          <w:sz w:val="24"/>
          <w:szCs w:val="24"/>
        </w:rPr>
        <w:t>k eklenmiştir.</w:t>
      </w:r>
      <w:r w:rsidR="00147492" w:rsidRPr="00416735">
        <w:rPr>
          <w:spacing w:val="-3"/>
          <w:sz w:val="24"/>
          <w:szCs w:val="24"/>
        </w:rPr>
        <w:t xml:space="preserve"> </w:t>
      </w:r>
    </w:p>
    <w:p w:rsidR="00460B1F" w:rsidRPr="00460B1F" w:rsidRDefault="00460B1F" w:rsidP="00460B1F">
      <w:pPr>
        <w:pStyle w:val="3-normalyaz0"/>
        <w:spacing w:line="240" w:lineRule="exact"/>
        <w:rPr>
          <w:rStyle w:val="Vurgu"/>
          <w:i w:val="0"/>
          <w:iCs w:val="0"/>
          <w:spacing w:val="-3"/>
          <w:sz w:val="24"/>
          <w:szCs w:val="24"/>
        </w:rPr>
      </w:pPr>
    </w:p>
    <w:p w:rsidR="00546E68" w:rsidRPr="00416735" w:rsidRDefault="002E41BB" w:rsidP="008530FC">
      <w:pPr>
        <w:pStyle w:val="3-normalyaz1"/>
        <w:spacing w:line="240" w:lineRule="atLeast"/>
        <w:rPr>
          <w:b/>
          <w:spacing w:val="-3"/>
          <w:sz w:val="24"/>
          <w:szCs w:val="24"/>
        </w:rPr>
      </w:pPr>
      <w:r w:rsidRPr="00416735">
        <w:rPr>
          <w:b/>
          <w:spacing w:val="-3"/>
          <w:sz w:val="24"/>
          <w:szCs w:val="24"/>
        </w:rPr>
        <w:t>“</w:t>
      </w:r>
      <w:r w:rsidR="00B00741" w:rsidRPr="00416735">
        <w:rPr>
          <w:b/>
          <w:spacing w:val="-3"/>
          <w:sz w:val="24"/>
          <w:szCs w:val="24"/>
        </w:rPr>
        <w:t>Ek-13</w:t>
      </w:r>
    </w:p>
    <w:p w:rsidR="00AC040E" w:rsidRPr="00416735" w:rsidRDefault="00AC040E" w:rsidP="008530FC">
      <w:pPr>
        <w:pStyle w:val="3-normalyaz1"/>
        <w:spacing w:line="240" w:lineRule="atLeast"/>
        <w:rPr>
          <w:spacing w:val="-3"/>
          <w:sz w:val="24"/>
          <w:szCs w:val="24"/>
        </w:rPr>
      </w:pPr>
    </w:p>
    <w:p w:rsidR="00147492" w:rsidRPr="00416735" w:rsidRDefault="00A946BD" w:rsidP="008530FC">
      <w:pPr>
        <w:pStyle w:val="3-normalyaz1"/>
        <w:spacing w:line="240" w:lineRule="atLeast"/>
        <w:rPr>
          <w:spacing w:val="-3"/>
          <w:sz w:val="24"/>
          <w:szCs w:val="24"/>
        </w:rPr>
      </w:pPr>
      <w:r w:rsidRPr="00416735">
        <w:rPr>
          <w:spacing w:val="-3"/>
          <w:sz w:val="24"/>
          <w:szCs w:val="24"/>
        </w:rPr>
        <w:t xml:space="preserve">Emisyon Sınır </w:t>
      </w:r>
      <w:r w:rsidR="00147492" w:rsidRPr="00416735">
        <w:rPr>
          <w:spacing w:val="-3"/>
          <w:sz w:val="24"/>
          <w:szCs w:val="24"/>
        </w:rPr>
        <w:t>Değerler</w:t>
      </w:r>
      <w:r w:rsidRPr="00416735">
        <w:rPr>
          <w:spacing w:val="-3"/>
          <w:sz w:val="24"/>
          <w:szCs w:val="24"/>
        </w:rPr>
        <w:t>i</w:t>
      </w:r>
    </w:p>
    <w:p w:rsidR="00147492" w:rsidRPr="00416735" w:rsidRDefault="00147492" w:rsidP="008530FC">
      <w:pPr>
        <w:pStyle w:val="3-normalyaz1"/>
        <w:spacing w:line="240" w:lineRule="atLeast"/>
        <w:rPr>
          <w:spacing w:val="-3"/>
          <w:sz w:val="24"/>
          <w:szCs w:val="24"/>
        </w:rPr>
      </w:pPr>
    </w:p>
    <w:p w:rsidR="00C00DD0" w:rsidRPr="00416735" w:rsidRDefault="00B00741" w:rsidP="008530FC">
      <w:pPr>
        <w:pStyle w:val="3-normalyaz1"/>
        <w:numPr>
          <w:ilvl w:val="0"/>
          <w:numId w:val="5"/>
        </w:numPr>
        <w:spacing w:line="240" w:lineRule="atLeast"/>
        <w:rPr>
          <w:spacing w:val="-3"/>
          <w:sz w:val="24"/>
          <w:szCs w:val="24"/>
        </w:rPr>
      </w:pPr>
      <w:r w:rsidRPr="00416735">
        <w:rPr>
          <w:spacing w:val="-3"/>
          <w:sz w:val="24"/>
          <w:szCs w:val="24"/>
        </w:rPr>
        <w:t xml:space="preserve">Madde 4’ün d bendinin 2 </w:t>
      </w:r>
      <w:proofErr w:type="spellStart"/>
      <w:r w:rsidRPr="00416735">
        <w:rPr>
          <w:spacing w:val="-3"/>
          <w:sz w:val="24"/>
          <w:szCs w:val="24"/>
        </w:rPr>
        <w:t>nci</w:t>
      </w:r>
      <w:proofErr w:type="spellEnd"/>
      <w:r w:rsidRPr="00416735">
        <w:rPr>
          <w:spacing w:val="-3"/>
          <w:sz w:val="24"/>
          <w:szCs w:val="24"/>
        </w:rPr>
        <w:t xml:space="preserve"> alt bendind</w:t>
      </w:r>
      <w:r w:rsidR="00147492" w:rsidRPr="00416735">
        <w:rPr>
          <w:spacing w:val="-3"/>
          <w:sz w:val="24"/>
          <w:szCs w:val="24"/>
        </w:rPr>
        <w:t>e tanımlanan</w:t>
      </w:r>
      <w:r w:rsidR="00F72EA9" w:rsidRPr="00416735">
        <w:rPr>
          <w:spacing w:val="-3"/>
          <w:sz w:val="24"/>
          <w:szCs w:val="24"/>
        </w:rPr>
        <w:t xml:space="preserve"> </w:t>
      </w:r>
      <w:proofErr w:type="gramStart"/>
      <w:r w:rsidR="00F72EA9" w:rsidRPr="00416735">
        <w:rPr>
          <w:spacing w:val="-3"/>
          <w:sz w:val="24"/>
          <w:szCs w:val="24"/>
        </w:rPr>
        <w:t xml:space="preserve">ve </w:t>
      </w:r>
      <w:r w:rsidR="00147492" w:rsidRPr="00416735">
        <w:rPr>
          <w:spacing w:val="-3"/>
          <w:sz w:val="24"/>
          <w:szCs w:val="24"/>
        </w:rPr>
        <w:t xml:space="preserve"> </w:t>
      </w:r>
      <w:proofErr w:type="spellStart"/>
      <w:r w:rsidR="00147492" w:rsidRPr="00416735">
        <w:rPr>
          <w:spacing w:val="-3"/>
          <w:sz w:val="24"/>
          <w:szCs w:val="24"/>
        </w:rPr>
        <w:t>bi</w:t>
      </w:r>
      <w:r w:rsidR="00293B9A" w:rsidRPr="00416735">
        <w:rPr>
          <w:spacing w:val="-3"/>
          <w:sz w:val="24"/>
          <w:szCs w:val="24"/>
        </w:rPr>
        <w:t>y</w:t>
      </w:r>
      <w:r w:rsidR="00F72EA9" w:rsidRPr="00416735">
        <w:rPr>
          <w:spacing w:val="-3"/>
          <w:sz w:val="24"/>
          <w:szCs w:val="24"/>
        </w:rPr>
        <w:t>okütleyi</w:t>
      </w:r>
      <w:proofErr w:type="spellEnd"/>
      <w:proofErr w:type="gramEnd"/>
      <w:r w:rsidR="00F72EA9" w:rsidRPr="00416735">
        <w:rPr>
          <w:spacing w:val="-3"/>
          <w:sz w:val="24"/>
          <w:szCs w:val="24"/>
        </w:rPr>
        <w:t xml:space="preserve"> </w:t>
      </w:r>
      <w:r w:rsidR="00F72EA9" w:rsidRPr="00416735">
        <w:rPr>
          <w:iCs/>
          <w:spacing w:val="-3"/>
          <w:sz w:val="24"/>
          <w:szCs w:val="24"/>
        </w:rPr>
        <w:t xml:space="preserve">termal işleme (konvansiyonel yakma, </w:t>
      </w:r>
      <w:proofErr w:type="spellStart"/>
      <w:r w:rsidR="00F72EA9" w:rsidRPr="00416735">
        <w:rPr>
          <w:iCs/>
          <w:spacing w:val="-3"/>
          <w:sz w:val="24"/>
          <w:szCs w:val="24"/>
        </w:rPr>
        <w:t>piroliz</w:t>
      </w:r>
      <w:proofErr w:type="spellEnd"/>
      <w:r w:rsidR="00F72EA9" w:rsidRPr="00416735">
        <w:rPr>
          <w:iCs/>
          <w:spacing w:val="-3"/>
          <w:sz w:val="24"/>
          <w:szCs w:val="24"/>
        </w:rPr>
        <w:t xml:space="preserve"> ve </w:t>
      </w:r>
      <w:proofErr w:type="spellStart"/>
      <w:r w:rsidR="00F72EA9" w:rsidRPr="00416735">
        <w:rPr>
          <w:iCs/>
          <w:spacing w:val="-3"/>
          <w:sz w:val="24"/>
          <w:szCs w:val="24"/>
        </w:rPr>
        <w:t>gazlaştırma</w:t>
      </w:r>
      <w:proofErr w:type="spellEnd"/>
      <w:r w:rsidR="00F72EA9" w:rsidRPr="00416735">
        <w:rPr>
          <w:iCs/>
          <w:spacing w:val="-3"/>
          <w:sz w:val="24"/>
          <w:szCs w:val="24"/>
        </w:rPr>
        <w:t>) tabi tutan tesisler</w:t>
      </w:r>
      <w:r w:rsidRPr="00416735">
        <w:rPr>
          <w:spacing w:val="-3"/>
          <w:sz w:val="24"/>
          <w:szCs w:val="24"/>
        </w:rPr>
        <w:t xml:space="preserve"> </w:t>
      </w:r>
      <w:r w:rsidR="00C00DD0" w:rsidRPr="00416735">
        <w:rPr>
          <w:spacing w:val="-3"/>
          <w:sz w:val="24"/>
          <w:szCs w:val="24"/>
        </w:rPr>
        <w:t>bu ekin B bendinde yer alan</w:t>
      </w:r>
      <w:r w:rsidR="00A946BD" w:rsidRPr="00416735">
        <w:rPr>
          <w:spacing w:val="-3"/>
          <w:sz w:val="24"/>
          <w:szCs w:val="24"/>
        </w:rPr>
        <w:t xml:space="preserve"> hava emisyonu sınır</w:t>
      </w:r>
      <w:r w:rsidR="00FD3246" w:rsidRPr="00416735">
        <w:rPr>
          <w:spacing w:val="-3"/>
          <w:sz w:val="24"/>
          <w:szCs w:val="24"/>
        </w:rPr>
        <w:t xml:space="preserve"> değerleri</w:t>
      </w:r>
      <w:r w:rsidR="00C00DD0" w:rsidRPr="00416735">
        <w:rPr>
          <w:spacing w:val="-3"/>
          <w:sz w:val="24"/>
          <w:szCs w:val="24"/>
        </w:rPr>
        <w:t>ne uygun faaliyet gösterir.</w:t>
      </w:r>
    </w:p>
    <w:p w:rsidR="008B1CD7" w:rsidRPr="00416735" w:rsidRDefault="00893E18" w:rsidP="008530FC">
      <w:pPr>
        <w:pStyle w:val="3-normalyaz1"/>
        <w:numPr>
          <w:ilvl w:val="0"/>
          <w:numId w:val="4"/>
        </w:numPr>
        <w:spacing w:before="100" w:beforeAutospacing="1" w:after="113" w:afterAutospacing="1" w:line="240" w:lineRule="atLeast"/>
        <w:rPr>
          <w:spacing w:val="-3"/>
          <w:sz w:val="24"/>
          <w:szCs w:val="24"/>
        </w:rPr>
      </w:pPr>
      <w:r w:rsidRPr="00416735">
        <w:rPr>
          <w:spacing w:val="-3"/>
          <w:sz w:val="24"/>
          <w:szCs w:val="24"/>
        </w:rPr>
        <w:t>Emisyonların sürekli ölçümüne ilişkin hususlar bu Yönetmeliğin Ek-3’ü kapsamında değerlendirilir.</w:t>
      </w:r>
    </w:p>
    <w:p w:rsidR="00505CB1" w:rsidRPr="00416735" w:rsidRDefault="00505CB1" w:rsidP="008530FC">
      <w:pPr>
        <w:pStyle w:val="3-normalyaz1"/>
        <w:numPr>
          <w:ilvl w:val="0"/>
          <w:numId w:val="4"/>
        </w:numPr>
        <w:spacing w:before="100" w:beforeAutospacing="1" w:after="113" w:afterAutospacing="1" w:line="240" w:lineRule="atLeast"/>
        <w:rPr>
          <w:spacing w:val="-3"/>
          <w:sz w:val="24"/>
          <w:szCs w:val="24"/>
        </w:rPr>
      </w:pPr>
      <w:r w:rsidRPr="00416735">
        <w:rPr>
          <w:spacing w:val="-3"/>
          <w:sz w:val="24"/>
          <w:szCs w:val="24"/>
        </w:rPr>
        <w:t xml:space="preserve">Bu Yönetmeliğin Ek-3’ü kapsamında sürekli </w:t>
      </w:r>
      <w:proofErr w:type="gramStart"/>
      <w:r w:rsidRPr="00416735">
        <w:rPr>
          <w:spacing w:val="-3"/>
          <w:sz w:val="24"/>
          <w:szCs w:val="24"/>
        </w:rPr>
        <w:t>emisyon</w:t>
      </w:r>
      <w:proofErr w:type="gramEnd"/>
      <w:r w:rsidRPr="00416735">
        <w:rPr>
          <w:spacing w:val="-3"/>
          <w:sz w:val="24"/>
          <w:szCs w:val="24"/>
        </w:rPr>
        <w:t xml:space="preserve"> ölçümüne tabi olmayan kirleticilerin yılda </w:t>
      </w:r>
      <w:r w:rsidR="00F72EA9" w:rsidRPr="00416735">
        <w:rPr>
          <w:spacing w:val="-3"/>
          <w:sz w:val="24"/>
          <w:szCs w:val="24"/>
        </w:rPr>
        <w:t>4</w:t>
      </w:r>
      <w:r w:rsidR="00554793" w:rsidRPr="00416735">
        <w:rPr>
          <w:spacing w:val="-3"/>
          <w:sz w:val="24"/>
          <w:szCs w:val="24"/>
        </w:rPr>
        <w:t xml:space="preserve"> </w:t>
      </w:r>
      <w:r w:rsidRPr="00416735">
        <w:rPr>
          <w:spacing w:val="-3"/>
          <w:sz w:val="24"/>
          <w:szCs w:val="24"/>
        </w:rPr>
        <w:t>kez periyodik olarak ölçülmesi gerekmektedir.</w:t>
      </w:r>
    </w:p>
    <w:p w:rsidR="00C00DD0" w:rsidRPr="00416735" w:rsidRDefault="00F72EA9" w:rsidP="00F72EA9">
      <w:pPr>
        <w:pStyle w:val="Balk1"/>
        <w:numPr>
          <w:ilvl w:val="0"/>
          <w:numId w:val="5"/>
        </w:numPr>
        <w:rPr>
          <w:spacing w:val="-3"/>
          <w:szCs w:val="24"/>
        </w:rPr>
      </w:pPr>
      <w:r w:rsidRPr="00416735">
        <w:rPr>
          <w:spacing w:val="-3"/>
          <w:szCs w:val="24"/>
        </w:rPr>
        <w:t>E</w:t>
      </w:r>
      <w:r w:rsidR="00A946BD" w:rsidRPr="00416735">
        <w:rPr>
          <w:spacing w:val="-3"/>
          <w:szCs w:val="24"/>
        </w:rPr>
        <w:t>misyon sınır</w:t>
      </w:r>
      <w:r w:rsidR="00C00DD0" w:rsidRPr="00416735">
        <w:rPr>
          <w:spacing w:val="-3"/>
          <w:szCs w:val="24"/>
        </w:rPr>
        <w:t xml:space="preserve"> değer</w:t>
      </w:r>
      <w:r w:rsidRPr="00416735">
        <w:rPr>
          <w:spacing w:val="-3"/>
          <w:szCs w:val="24"/>
        </w:rPr>
        <w:t>leri</w:t>
      </w:r>
    </w:p>
    <w:p w:rsidR="00F72EA9" w:rsidRPr="00416735" w:rsidRDefault="00F72EA9" w:rsidP="00F72EA9"/>
    <w:p w:rsidR="00F72EA9" w:rsidRPr="00416735" w:rsidRDefault="00F72EA9" w:rsidP="00EB49AD">
      <w:pPr>
        <w:pStyle w:val="ListeParagraf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416735">
        <w:rPr>
          <w:bCs/>
        </w:rPr>
        <w:t>Günlük ortalama değerler</w:t>
      </w:r>
      <w:r w:rsidR="0042546B" w:rsidRPr="00416735">
        <w:rPr>
          <w:bCs/>
        </w:rPr>
        <w:t xml:space="preserve"> (</w:t>
      </w:r>
      <w:r w:rsidR="0042546B" w:rsidRPr="00416735">
        <w:t>mg/m</w:t>
      </w:r>
      <w:r w:rsidR="0042546B" w:rsidRPr="00416735">
        <w:rPr>
          <w:vertAlign w:val="superscript"/>
        </w:rPr>
        <w:t>3</w:t>
      </w:r>
      <w:r w:rsidR="0042546B" w:rsidRPr="00416735">
        <w:t>)</w:t>
      </w: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5000"/>
        <w:gridCol w:w="4288"/>
      </w:tblGrid>
      <w:tr w:rsidR="00416735" w:rsidRPr="00416735" w:rsidTr="00676456">
        <w:trPr>
          <w:trHeight w:val="298"/>
        </w:trPr>
        <w:tc>
          <w:tcPr>
            <w:tcW w:w="5220" w:type="dxa"/>
          </w:tcPr>
          <w:p w:rsidR="00F72EA9" w:rsidRPr="00416735" w:rsidRDefault="00F72EA9" w:rsidP="00A51637">
            <w:pPr>
              <w:pStyle w:val="DipnotMetni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Toplam toz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10</w:t>
            </w:r>
          </w:p>
        </w:tc>
      </w:tr>
      <w:tr w:rsidR="00416735" w:rsidRPr="00416735" w:rsidTr="00676456">
        <w:trPr>
          <w:trHeight w:val="337"/>
        </w:trPr>
        <w:tc>
          <w:tcPr>
            <w:tcW w:w="522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>Gaz ve buhar halindeki organik m</w:t>
            </w:r>
            <w:r w:rsidR="00EB49AD" w:rsidRPr="00416735">
              <w:t>addeler (</w:t>
            </w:r>
            <w:r w:rsidRPr="00416735">
              <w:t>toplam organik karbon</w:t>
            </w:r>
            <w:r w:rsidR="00EB49AD" w:rsidRPr="00416735">
              <w:t>)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10</w:t>
            </w:r>
          </w:p>
        </w:tc>
      </w:tr>
      <w:tr w:rsidR="00416735" w:rsidRPr="00416735" w:rsidTr="00676456">
        <w:trPr>
          <w:trHeight w:val="346"/>
        </w:trPr>
        <w:tc>
          <w:tcPr>
            <w:tcW w:w="522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>Hidrojen klorür (HCI)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10</w:t>
            </w:r>
          </w:p>
        </w:tc>
      </w:tr>
      <w:tr w:rsidR="00416735" w:rsidRPr="00416735" w:rsidTr="00676456">
        <w:tc>
          <w:tcPr>
            <w:tcW w:w="522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 xml:space="preserve">Hidrojen </w:t>
            </w:r>
            <w:proofErr w:type="spellStart"/>
            <w:r w:rsidRPr="00416735">
              <w:t>florür</w:t>
            </w:r>
            <w:proofErr w:type="spellEnd"/>
            <w:r w:rsidRPr="00416735">
              <w:t xml:space="preserve"> (HF)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 xml:space="preserve">1 </w:t>
            </w:r>
          </w:p>
        </w:tc>
      </w:tr>
      <w:tr w:rsidR="00416735" w:rsidRPr="00416735" w:rsidTr="00676456">
        <w:trPr>
          <w:trHeight w:val="337"/>
        </w:trPr>
        <w:tc>
          <w:tcPr>
            <w:tcW w:w="522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>Kükürt dioksit (SO</w:t>
            </w:r>
            <w:r w:rsidRPr="00416735">
              <w:rPr>
                <w:vertAlign w:val="subscript"/>
              </w:rPr>
              <w:t>2</w:t>
            </w:r>
            <w:r w:rsidRPr="00416735">
              <w:t>)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50</w:t>
            </w:r>
          </w:p>
        </w:tc>
      </w:tr>
      <w:tr w:rsidR="00416735" w:rsidRPr="00416735" w:rsidTr="00676456">
        <w:trPr>
          <w:trHeight w:val="346"/>
        </w:trPr>
        <w:tc>
          <w:tcPr>
            <w:tcW w:w="522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>Azot monoksit (NO) ve azot dioksit (NO</w:t>
            </w:r>
            <w:r w:rsidRPr="00416735">
              <w:rPr>
                <w:vertAlign w:val="subscript"/>
              </w:rPr>
              <w:t>2</w:t>
            </w:r>
            <w:r w:rsidRPr="00416735">
              <w:t xml:space="preserve">), </w:t>
            </w:r>
            <w:proofErr w:type="gramStart"/>
            <w:r w:rsidRPr="00416735">
              <w:t>nominal</w:t>
            </w:r>
            <w:proofErr w:type="gramEnd"/>
            <w:r w:rsidRPr="00416735">
              <w:t xml:space="preserve"> kapasitesi saatte 6 tonu aşan mevcut yakma tesisleri veya yeni yakma tesisleri için azot dioksit olarak ifade edilir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200</w:t>
            </w:r>
          </w:p>
        </w:tc>
      </w:tr>
      <w:tr w:rsidR="00F72EA9" w:rsidRPr="00416735" w:rsidTr="00676456">
        <w:tc>
          <w:tcPr>
            <w:tcW w:w="522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>Azot monoksit (NO) ve azot dioksit (NO</w:t>
            </w:r>
            <w:r w:rsidRPr="00416735">
              <w:rPr>
                <w:vertAlign w:val="subscript"/>
              </w:rPr>
              <w:t>2</w:t>
            </w:r>
            <w:r w:rsidRPr="00416735">
              <w:t xml:space="preserve">), </w:t>
            </w:r>
            <w:proofErr w:type="gramStart"/>
            <w:r w:rsidRPr="00416735">
              <w:t>nominal</w:t>
            </w:r>
            <w:proofErr w:type="gramEnd"/>
            <w:r w:rsidRPr="00416735">
              <w:t xml:space="preserve"> kapasitesi saatte 6 ton veya daha az olan mevcut yakma tesisleri için azot dioksit olarak ifade edilir</w:t>
            </w:r>
          </w:p>
        </w:tc>
        <w:tc>
          <w:tcPr>
            <w:tcW w:w="4500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400</w:t>
            </w:r>
          </w:p>
        </w:tc>
      </w:tr>
    </w:tbl>
    <w:p w:rsidR="00A51637" w:rsidRPr="00416735" w:rsidRDefault="00A51637" w:rsidP="00F72EA9">
      <w:pPr>
        <w:autoSpaceDE w:val="0"/>
        <w:autoSpaceDN w:val="0"/>
        <w:adjustRightInd w:val="0"/>
        <w:jc w:val="both"/>
      </w:pPr>
    </w:p>
    <w:p w:rsidR="00F72EA9" w:rsidRPr="00416735" w:rsidRDefault="00945C6B" w:rsidP="00F72EA9">
      <w:pPr>
        <w:autoSpaceDE w:val="0"/>
        <w:autoSpaceDN w:val="0"/>
        <w:adjustRightInd w:val="0"/>
        <w:jc w:val="both"/>
        <w:rPr>
          <w:bCs/>
        </w:rPr>
      </w:pPr>
      <w:r w:rsidRPr="00416735">
        <w:t xml:space="preserve"> (b</w:t>
      </w:r>
      <w:r w:rsidR="00F72EA9" w:rsidRPr="00416735">
        <w:t xml:space="preserve">) </w:t>
      </w:r>
      <w:r w:rsidR="00F72EA9" w:rsidRPr="00416735">
        <w:rPr>
          <w:bCs/>
        </w:rPr>
        <w:t xml:space="preserve">Asgari 30 dakika ve azami 8 saatlik bir örnekleme süresi boyunca bütün ortalama değerler </w:t>
      </w:r>
    </w:p>
    <w:tbl>
      <w:tblPr>
        <w:tblStyle w:val="TabloKlavuzu"/>
        <w:tblW w:w="9553" w:type="dxa"/>
        <w:tblLook w:val="0000" w:firstRow="0" w:lastRow="0" w:firstColumn="0" w:lastColumn="0" w:noHBand="0" w:noVBand="0"/>
      </w:tblPr>
      <w:tblGrid>
        <w:gridCol w:w="5291"/>
        <w:gridCol w:w="2043"/>
        <w:gridCol w:w="2219"/>
      </w:tblGrid>
      <w:tr w:rsidR="00416735" w:rsidRPr="00416735" w:rsidTr="00A51637">
        <w:trPr>
          <w:trHeight w:val="246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Kadmiyum ve bileşikleri, kadmiyum olarak belirtilir (</w:t>
            </w:r>
            <w:proofErr w:type="spellStart"/>
            <w:r w:rsidRPr="00416735">
              <w:rPr>
                <w:sz w:val="24"/>
                <w:szCs w:val="24"/>
              </w:rPr>
              <w:t>Cd</w:t>
            </w:r>
            <w:proofErr w:type="spellEnd"/>
            <w:r w:rsidRPr="00416735">
              <w:rPr>
                <w:sz w:val="24"/>
                <w:szCs w:val="24"/>
              </w:rPr>
              <w:t>)</w:t>
            </w:r>
          </w:p>
        </w:tc>
        <w:tc>
          <w:tcPr>
            <w:tcW w:w="2043" w:type="dxa"/>
            <w:vMerge w:val="restart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416735">
              <w:t>toplam</w:t>
            </w:r>
            <w:proofErr w:type="gramEnd"/>
            <w:r w:rsidRPr="00416735">
              <w:t xml:space="preserve"> 0,05 mg/ m</w:t>
            </w:r>
            <w:r w:rsidRPr="00416735">
              <w:rPr>
                <w:vertAlign w:val="superscript"/>
              </w:rPr>
              <w:t>3</w:t>
            </w:r>
          </w:p>
        </w:tc>
        <w:tc>
          <w:tcPr>
            <w:tcW w:w="2219" w:type="dxa"/>
            <w:vMerge w:val="restart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416735">
              <w:t>toplam</w:t>
            </w:r>
            <w:proofErr w:type="gramEnd"/>
            <w:r w:rsidRPr="00416735">
              <w:t xml:space="preserve"> 0,1 mg/ m</w:t>
            </w:r>
            <w:r w:rsidRPr="00416735">
              <w:rPr>
                <w:vertAlign w:val="superscript"/>
              </w:rPr>
              <w:t xml:space="preserve">3 </w:t>
            </w:r>
            <w:r w:rsidRPr="00416735">
              <w:t>(*)</w:t>
            </w:r>
          </w:p>
        </w:tc>
      </w:tr>
      <w:tr w:rsidR="00416735" w:rsidRPr="00416735" w:rsidTr="00A51637">
        <w:trPr>
          <w:trHeight w:val="232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Talyum ve bileşikleri, talyum olarak belirtilir (</w:t>
            </w:r>
            <w:proofErr w:type="spellStart"/>
            <w:r w:rsidRPr="00416735">
              <w:rPr>
                <w:sz w:val="24"/>
                <w:szCs w:val="24"/>
              </w:rPr>
              <w:t>Tl</w:t>
            </w:r>
            <w:proofErr w:type="spellEnd"/>
            <w:r w:rsidRPr="00416735">
              <w:rPr>
                <w:sz w:val="24"/>
                <w:szCs w:val="24"/>
              </w:rPr>
              <w:t>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Cıva ve bileşikleri, cıva olarak belirtilir (Hg)</w:t>
            </w:r>
          </w:p>
        </w:tc>
        <w:tc>
          <w:tcPr>
            <w:tcW w:w="2043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</w:pPr>
            <w:r w:rsidRPr="00416735">
              <w:t>0,05 mg/ m</w:t>
            </w:r>
            <w:r w:rsidRPr="00416735">
              <w:rPr>
                <w:vertAlign w:val="superscript"/>
              </w:rPr>
              <w:t>3</w:t>
            </w:r>
          </w:p>
        </w:tc>
        <w:tc>
          <w:tcPr>
            <w:tcW w:w="2219" w:type="dxa"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>0,1 mg/ m</w:t>
            </w:r>
            <w:r w:rsidRPr="00416735">
              <w:rPr>
                <w:vertAlign w:val="superscript"/>
              </w:rPr>
              <w:t xml:space="preserve">3 </w:t>
            </w:r>
            <w:r w:rsidRPr="00416735">
              <w:t>(*)</w:t>
            </w: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Antimon ve bileşikleri, antimon olarak belirtilir (Sb)</w:t>
            </w:r>
          </w:p>
        </w:tc>
        <w:tc>
          <w:tcPr>
            <w:tcW w:w="2043" w:type="dxa"/>
            <w:vMerge w:val="restart"/>
          </w:tcPr>
          <w:p w:rsidR="00F72EA9" w:rsidRPr="00416735" w:rsidRDefault="00F72EA9" w:rsidP="00A51637">
            <w:pPr>
              <w:spacing w:line="240" w:lineRule="atLeast"/>
              <w:jc w:val="center"/>
            </w:pPr>
            <w:proofErr w:type="gramStart"/>
            <w:r w:rsidRPr="00416735">
              <w:t>toplam</w:t>
            </w:r>
            <w:proofErr w:type="gramEnd"/>
            <w:r w:rsidRPr="00416735">
              <w:t xml:space="preserve"> 0,5 mg/ m</w:t>
            </w:r>
            <w:r w:rsidRPr="00416735">
              <w:rPr>
                <w:vertAlign w:val="superscript"/>
              </w:rPr>
              <w:t>3</w:t>
            </w:r>
          </w:p>
        </w:tc>
        <w:tc>
          <w:tcPr>
            <w:tcW w:w="2219" w:type="dxa"/>
            <w:vMerge w:val="restart"/>
          </w:tcPr>
          <w:p w:rsidR="00F72EA9" w:rsidRPr="00416735" w:rsidRDefault="00F72EA9" w:rsidP="00A51637">
            <w:pPr>
              <w:spacing w:line="240" w:lineRule="atLeast"/>
              <w:jc w:val="center"/>
            </w:pPr>
            <w:proofErr w:type="gramStart"/>
            <w:r w:rsidRPr="00416735">
              <w:t>toplam</w:t>
            </w:r>
            <w:proofErr w:type="gramEnd"/>
            <w:r w:rsidRPr="00416735">
              <w:t xml:space="preserve"> 0,5 mg/ m</w:t>
            </w:r>
            <w:r w:rsidRPr="00416735">
              <w:rPr>
                <w:vertAlign w:val="superscript"/>
              </w:rPr>
              <w:t xml:space="preserve">3 </w:t>
            </w: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Arsenik ve bileşikleri, arsenik olarak belirtilir (As)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Kurşun ve bileşikleri, kurşun olarak belirtilir (Pb)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Krom ve bileşikleri, krom olarak belirtilir (Cr)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Kobalt ve bileşikleri, kobalt olarak belirtilir (</w:t>
            </w:r>
            <w:proofErr w:type="spellStart"/>
            <w:r w:rsidRPr="00416735">
              <w:rPr>
                <w:sz w:val="24"/>
                <w:szCs w:val="24"/>
              </w:rPr>
              <w:t>Co</w:t>
            </w:r>
            <w:proofErr w:type="spellEnd"/>
            <w:r w:rsidRPr="00416735">
              <w:rPr>
                <w:sz w:val="24"/>
                <w:szCs w:val="24"/>
              </w:rPr>
              <w:t>)</w:t>
            </w:r>
            <w:r w:rsidRPr="00416735">
              <w:rPr>
                <w:sz w:val="24"/>
                <w:szCs w:val="24"/>
              </w:rPr>
              <w:tab/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Bakır ve bileşikleri, bakır olarak belirtilir (Cu)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Mangan ve bileşikleri, mangan olarak belirtilir (Mn)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Nikel ve bileşikleri, nikel olarak belirtilir (</w:t>
            </w:r>
            <w:proofErr w:type="spellStart"/>
            <w:r w:rsidRPr="00416735">
              <w:rPr>
                <w:sz w:val="24"/>
                <w:szCs w:val="24"/>
              </w:rPr>
              <w:t>Ni</w:t>
            </w:r>
            <w:proofErr w:type="spellEnd"/>
            <w:r w:rsidRPr="00416735">
              <w:rPr>
                <w:sz w:val="24"/>
                <w:szCs w:val="24"/>
              </w:rPr>
              <w:t>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416735" w:rsidRPr="00416735" w:rsidTr="00A51637">
        <w:trPr>
          <w:trHeight w:val="219"/>
        </w:trPr>
        <w:tc>
          <w:tcPr>
            <w:tcW w:w="5291" w:type="dxa"/>
          </w:tcPr>
          <w:p w:rsidR="00F72EA9" w:rsidRPr="00416735" w:rsidRDefault="00F72EA9" w:rsidP="00A51637">
            <w:pPr>
              <w:pStyle w:val="DipnotMetni"/>
              <w:tabs>
                <w:tab w:val="left" w:pos="252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16735">
              <w:rPr>
                <w:sz w:val="24"/>
                <w:szCs w:val="24"/>
              </w:rPr>
              <w:t>Vanadyum ve bileşikleri, vanadyum olarak belirtilir (V)</w:t>
            </w:r>
          </w:p>
        </w:tc>
        <w:tc>
          <w:tcPr>
            <w:tcW w:w="2043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219" w:type="dxa"/>
            <w:vMerge/>
          </w:tcPr>
          <w:p w:rsidR="00F72EA9" w:rsidRPr="00416735" w:rsidRDefault="00F72EA9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51637" w:rsidRPr="00416735" w:rsidTr="00A51637">
        <w:trPr>
          <w:trHeight w:val="219"/>
        </w:trPr>
        <w:tc>
          <w:tcPr>
            <w:tcW w:w="5291" w:type="dxa"/>
          </w:tcPr>
          <w:p w:rsidR="00A51637" w:rsidRPr="00416735" w:rsidRDefault="00A51637" w:rsidP="00AE3E8C">
            <w:pPr>
              <w:pStyle w:val="DipnotMetni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16735">
              <w:rPr>
                <w:sz w:val="24"/>
                <w:szCs w:val="24"/>
              </w:rPr>
              <w:t>Dioksinler</w:t>
            </w:r>
            <w:proofErr w:type="spellEnd"/>
            <w:r w:rsidRPr="00416735">
              <w:rPr>
                <w:sz w:val="24"/>
                <w:szCs w:val="24"/>
              </w:rPr>
              <w:t xml:space="preserve"> ve </w:t>
            </w:r>
            <w:proofErr w:type="spellStart"/>
            <w:r w:rsidRPr="00416735">
              <w:rPr>
                <w:sz w:val="24"/>
                <w:szCs w:val="24"/>
              </w:rPr>
              <w:t>Furanlar</w:t>
            </w:r>
            <w:proofErr w:type="spellEnd"/>
          </w:p>
        </w:tc>
        <w:tc>
          <w:tcPr>
            <w:tcW w:w="2043" w:type="dxa"/>
          </w:tcPr>
          <w:p w:rsidR="00A51637" w:rsidRPr="00416735" w:rsidRDefault="00A51637" w:rsidP="00AE3E8C">
            <w:pPr>
              <w:autoSpaceDE w:val="0"/>
              <w:autoSpaceDN w:val="0"/>
              <w:adjustRightInd w:val="0"/>
              <w:jc w:val="center"/>
            </w:pPr>
            <w:r w:rsidRPr="00416735">
              <w:t>-</w:t>
            </w:r>
          </w:p>
        </w:tc>
        <w:tc>
          <w:tcPr>
            <w:tcW w:w="2219" w:type="dxa"/>
          </w:tcPr>
          <w:p w:rsidR="00A51637" w:rsidRPr="00416735" w:rsidRDefault="00A51637" w:rsidP="00A5163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416735">
              <w:t xml:space="preserve">0,1 </w:t>
            </w:r>
            <w:proofErr w:type="spellStart"/>
            <w:r w:rsidRPr="00416735">
              <w:t>ng</w:t>
            </w:r>
            <w:proofErr w:type="spellEnd"/>
            <w:r w:rsidRPr="00416735">
              <w:t>/ m</w:t>
            </w:r>
            <w:r w:rsidRPr="00416735">
              <w:rPr>
                <w:vertAlign w:val="superscript"/>
              </w:rPr>
              <w:t>3</w:t>
            </w:r>
          </w:p>
        </w:tc>
      </w:tr>
    </w:tbl>
    <w:p w:rsidR="00A51637" w:rsidRPr="00416735" w:rsidRDefault="00A51637" w:rsidP="00F72EA9">
      <w:pPr>
        <w:autoSpaceDE w:val="0"/>
        <w:autoSpaceDN w:val="0"/>
        <w:adjustRightInd w:val="0"/>
        <w:jc w:val="both"/>
      </w:pPr>
    </w:p>
    <w:p w:rsidR="00F72EA9" w:rsidRPr="00416735" w:rsidRDefault="00F72EA9" w:rsidP="00F72EA9">
      <w:pPr>
        <w:autoSpaceDE w:val="0"/>
        <w:autoSpaceDN w:val="0"/>
        <w:adjustRightInd w:val="0"/>
        <w:jc w:val="both"/>
      </w:pPr>
      <w:r w:rsidRPr="00416735">
        <w:t xml:space="preserve">Bu ortalama değerler aynı zamanda ilgili ağır metal </w:t>
      </w:r>
      <w:proofErr w:type="gramStart"/>
      <w:r w:rsidRPr="00416735">
        <w:t>emisyonlarının</w:t>
      </w:r>
      <w:proofErr w:type="gramEnd"/>
      <w:r w:rsidRPr="00416735">
        <w:t xml:space="preserve"> gaz ve buhar hallerini ve bileşiklerini de kapsar.</w:t>
      </w:r>
    </w:p>
    <w:p w:rsidR="00F72EA9" w:rsidRPr="00416735" w:rsidRDefault="00F72EA9" w:rsidP="00F72EA9">
      <w:pPr>
        <w:autoSpaceDE w:val="0"/>
        <w:autoSpaceDN w:val="0"/>
        <w:adjustRightInd w:val="0"/>
        <w:jc w:val="both"/>
      </w:pPr>
    </w:p>
    <w:p w:rsidR="00F72EA9" w:rsidRPr="00416735" w:rsidRDefault="003F1FBF" w:rsidP="00F72EA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(c</w:t>
      </w:r>
      <w:r w:rsidR="00F72EA9" w:rsidRPr="00416735">
        <w:t xml:space="preserve">) Yanma gazlarında </w:t>
      </w:r>
      <w:r w:rsidR="00F72EA9" w:rsidRPr="00416735">
        <w:rPr>
          <w:bCs/>
        </w:rPr>
        <w:t xml:space="preserve">karbon monoksit (CO) konsantrasyonları için aşağıdaki </w:t>
      </w:r>
      <w:proofErr w:type="gramStart"/>
      <w:r w:rsidR="00F72EA9" w:rsidRPr="00416735">
        <w:rPr>
          <w:bCs/>
        </w:rPr>
        <w:t>emisyon</w:t>
      </w:r>
      <w:proofErr w:type="gramEnd"/>
      <w:r w:rsidR="00A946BD" w:rsidRPr="00416735">
        <w:rPr>
          <w:bCs/>
        </w:rPr>
        <w:t xml:space="preserve"> sınır </w:t>
      </w:r>
      <w:r w:rsidR="00F72EA9" w:rsidRPr="00416735">
        <w:rPr>
          <w:bCs/>
        </w:rPr>
        <w:t>değerleri aşılmamalıdır (devreye alma ve devreden çıkarma safhaları hariçtir):</w:t>
      </w:r>
    </w:p>
    <w:p w:rsidR="00F72EA9" w:rsidRPr="00416735" w:rsidRDefault="00F72EA9" w:rsidP="00F72EA9">
      <w:pPr>
        <w:autoSpaceDE w:val="0"/>
        <w:autoSpaceDN w:val="0"/>
        <w:adjustRightInd w:val="0"/>
        <w:jc w:val="both"/>
      </w:pPr>
    </w:p>
    <w:p w:rsidR="00F72EA9" w:rsidRPr="00416735" w:rsidRDefault="00F72EA9" w:rsidP="00F72EA9">
      <w:pPr>
        <w:tabs>
          <w:tab w:val="left" w:pos="360"/>
        </w:tabs>
        <w:autoSpaceDE w:val="0"/>
        <w:autoSpaceDN w:val="0"/>
        <w:adjustRightInd w:val="0"/>
        <w:spacing w:before="80" w:after="80"/>
        <w:ind w:left="357" w:hanging="357"/>
        <w:jc w:val="both"/>
      </w:pPr>
      <w:r w:rsidRPr="00416735">
        <w:t>—</w:t>
      </w:r>
      <w:r w:rsidRPr="00416735">
        <w:tab/>
        <w:t>Günlük ortalama değer olarak saptanan 50 miligram/m</w:t>
      </w:r>
      <w:r w:rsidRPr="00416735">
        <w:rPr>
          <w:vertAlign w:val="superscript"/>
        </w:rPr>
        <w:t>3</w:t>
      </w:r>
      <w:r w:rsidRPr="00416735">
        <w:t xml:space="preserve"> yanma gazı;</w:t>
      </w:r>
    </w:p>
    <w:p w:rsidR="00F72EA9" w:rsidRPr="00416735" w:rsidRDefault="00F72EA9" w:rsidP="00F72EA9">
      <w:pPr>
        <w:tabs>
          <w:tab w:val="left" w:pos="360"/>
        </w:tabs>
        <w:autoSpaceDE w:val="0"/>
        <w:autoSpaceDN w:val="0"/>
        <w:adjustRightInd w:val="0"/>
        <w:spacing w:before="80" w:after="80"/>
        <w:ind w:left="357" w:hanging="357"/>
        <w:jc w:val="both"/>
      </w:pPr>
      <w:r w:rsidRPr="00416735">
        <w:t>—</w:t>
      </w:r>
      <w:r w:rsidRPr="00416735">
        <w:tab/>
        <w:t>Bütün ölçümlerin en az %95’i 10 dakikalık ortalama değerler olarak saptanan 150 miligram/m</w:t>
      </w:r>
      <w:r w:rsidRPr="00416735">
        <w:rPr>
          <w:vertAlign w:val="superscript"/>
        </w:rPr>
        <w:t>3</w:t>
      </w:r>
      <w:r w:rsidRPr="00416735">
        <w:t xml:space="preserve"> yanma gazı veya ölçümlerin hepsi herhangi bir 24 saatlik süreçte yarım saatlik ortalama değerler olarak saptanan 100 miligram/m</w:t>
      </w:r>
      <w:r w:rsidRPr="00416735">
        <w:rPr>
          <w:vertAlign w:val="superscript"/>
        </w:rPr>
        <w:t>3</w:t>
      </w:r>
      <w:r w:rsidRPr="00416735">
        <w:t xml:space="preserve"> yanma </w:t>
      </w:r>
      <w:proofErr w:type="gramStart"/>
      <w:r w:rsidRPr="00416735">
        <w:t>gazı ;</w:t>
      </w:r>
      <w:proofErr w:type="gramEnd"/>
    </w:p>
    <w:p w:rsidR="00F72EA9" w:rsidRPr="00416735" w:rsidRDefault="00F72EA9" w:rsidP="00F72EA9"/>
    <w:p w:rsidR="00F72EA9" w:rsidRPr="00416735" w:rsidRDefault="00F72EA9" w:rsidP="00F72EA9">
      <w:pPr>
        <w:pStyle w:val="ListeParagraf"/>
        <w:ind w:left="360"/>
      </w:pPr>
    </w:p>
    <w:sectPr w:rsidR="00F72EA9" w:rsidRPr="00416735" w:rsidSect="008848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AC" w:rsidRDefault="00E833AC" w:rsidP="001D7633">
      <w:r>
        <w:separator/>
      </w:r>
    </w:p>
  </w:endnote>
  <w:endnote w:type="continuationSeparator" w:id="0">
    <w:p w:rsidR="00E833AC" w:rsidRDefault="00E833AC" w:rsidP="001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A8" w:rsidRDefault="00A22E6E">
    <w:pPr>
      <w:pStyle w:val="Altbilgi"/>
      <w:jc w:val="center"/>
    </w:pPr>
    <w:r>
      <w:fldChar w:fldCharType="begin"/>
    </w:r>
    <w:r w:rsidR="00053FA8">
      <w:instrText>PAGE   \* MERGEFORMAT</w:instrText>
    </w:r>
    <w:r>
      <w:fldChar w:fldCharType="separate"/>
    </w:r>
    <w:r w:rsidR="00C731D0">
      <w:rPr>
        <w:noProof/>
      </w:rPr>
      <w:t>1</w:t>
    </w:r>
    <w:r>
      <w:fldChar w:fldCharType="end"/>
    </w:r>
  </w:p>
  <w:p w:rsidR="00053FA8" w:rsidRDefault="00053F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AC" w:rsidRDefault="00E833AC" w:rsidP="001D7633">
      <w:r>
        <w:separator/>
      </w:r>
    </w:p>
  </w:footnote>
  <w:footnote w:type="continuationSeparator" w:id="0">
    <w:p w:rsidR="00E833AC" w:rsidRDefault="00E833AC" w:rsidP="001D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47E"/>
    <w:multiLevelType w:val="hybridMultilevel"/>
    <w:tmpl w:val="E24E4966"/>
    <w:lvl w:ilvl="0" w:tplc="227E97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EE4"/>
    <w:multiLevelType w:val="hybridMultilevel"/>
    <w:tmpl w:val="4C8AE1CE"/>
    <w:lvl w:ilvl="0" w:tplc="5FCE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952"/>
    <w:multiLevelType w:val="hybridMultilevel"/>
    <w:tmpl w:val="71E4D192"/>
    <w:lvl w:ilvl="0" w:tplc="99783E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225C"/>
    <w:multiLevelType w:val="singleLevel"/>
    <w:tmpl w:val="4C6632EC"/>
    <w:lvl w:ilvl="0">
      <w:start w:val="3"/>
      <w:numFmt w:val="upperLetter"/>
      <w:pStyle w:val="Balk8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29B5405C"/>
    <w:multiLevelType w:val="hybridMultilevel"/>
    <w:tmpl w:val="6F48B5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7B2"/>
    <w:multiLevelType w:val="hybridMultilevel"/>
    <w:tmpl w:val="89BC759A"/>
    <w:lvl w:ilvl="0" w:tplc="A5344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15688"/>
    <w:multiLevelType w:val="hybridMultilevel"/>
    <w:tmpl w:val="B066A774"/>
    <w:lvl w:ilvl="0" w:tplc="9238E2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91D3D"/>
    <w:multiLevelType w:val="hybridMultilevel"/>
    <w:tmpl w:val="5EA8D0D0"/>
    <w:lvl w:ilvl="0" w:tplc="639CB26C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65DB7"/>
    <w:multiLevelType w:val="hybridMultilevel"/>
    <w:tmpl w:val="AF049CA8"/>
    <w:lvl w:ilvl="0" w:tplc="99B42248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AC492D"/>
    <w:multiLevelType w:val="hybridMultilevel"/>
    <w:tmpl w:val="A3187ED0"/>
    <w:lvl w:ilvl="0" w:tplc="72EE97B6">
      <w:start w:val="1"/>
      <w:numFmt w:val="lowerLetter"/>
      <w:lvlText w:val="%1-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45BB5"/>
    <w:multiLevelType w:val="hybridMultilevel"/>
    <w:tmpl w:val="B066A774"/>
    <w:lvl w:ilvl="0" w:tplc="9238E2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26F6F"/>
    <w:multiLevelType w:val="hybridMultilevel"/>
    <w:tmpl w:val="25B61C00"/>
    <w:lvl w:ilvl="0" w:tplc="365CB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320B8"/>
    <w:multiLevelType w:val="hybridMultilevel"/>
    <w:tmpl w:val="A3187ED0"/>
    <w:lvl w:ilvl="0" w:tplc="72EE97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C39B5"/>
    <w:multiLevelType w:val="hybridMultilevel"/>
    <w:tmpl w:val="B066A774"/>
    <w:lvl w:ilvl="0" w:tplc="9238E2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C7FA3"/>
    <w:multiLevelType w:val="hybridMultilevel"/>
    <w:tmpl w:val="06E2699A"/>
    <w:lvl w:ilvl="0" w:tplc="D890B8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0"/>
    <w:rsid w:val="000000B3"/>
    <w:rsid w:val="0000182E"/>
    <w:rsid w:val="0000232D"/>
    <w:rsid w:val="00002F29"/>
    <w:rsid w:val="000038C0"/>
    <w:rsid w:val="00004403"/>
    <w:rsid w:val="00006B17"/>
    <w:rsid w:val="00010B4A"/>
    <w:rsid w:val="00011818"/>
    <w:rsid w:val="000163BA"/>
    <w:rsid w:val="00021395"/>
    <w:rsid w:val="00023D08"/>
    <w:rsid w:val="00030C97"/>
    <w:rsid w:val="00036402"/>
    <w:rsid w:val="00037119"/>
    <w:rsid w:val="000371C7"/>
    <w:rsid w:val="00041B61"/>
    <w:rsid w:val="00042E4C"/>
    <w:rsid w:val="00044E0D"/>
    <w:rsid w:val="000473AC"/>
    <w:rsid w:val="000527EE"/>
    <w:rsid w:val="000528A4"/>
    <w:rsid w:val="00053FA8"/>
    <w:rsid w:val="000549A6"/>
    <w:rsid w:val="00055B0A"/>
    <w:rsid w:val="00056A56"/>
    <w:rsid w:val="00065AE7"/>
    <w:rsid w:val="00071C17"/>
    <w:rsid w:val="00071DBE"/>
    <w:rsid w:val="00076BBC"/>
    <w:rsid w:val="0007771C"/>
    <w:rsid w:val="000779FB"/>
    <w:rsid w:val="00081523"/>
    <w:rsid w:val="00083AE7"/>
    <w:rsid w:val="00090460"/>
    <w:rsid w:val="00090C7E"/>
    <w:rsid w:val="00091389"/>
    <w:rsid w:val="00095825"/>
    <w:rsid w:val="00096293"/>
    <w:rsid w:val="00096D0B"/>
    <w:rsid w:val="000A0C53"/>
    <w:rsid w:val="000A12F6"/>
    <w:rsid w:val="000A6CEF"/>
    <w:rsid w:val="000A73E3"/>
    <w:rsid w:val="000A76B9"/>
    <w:rsid w:val="000B2797"/>
    <w:rsid w:val="000B316C"/>
    <w:rsid w:val="000B4B8B"/>
    <w:rsid w:val="000B4F3C"/>
    <w:rsid w:val="000B507C"/>
    <w:rsid w:val="000B5FFE"/>
    <w:rsid w:val="000B6A62"/>
    <w:rsid w:val="000C6E5E"/>
    <w:rsid w:val="000D25D7"/>
    <w:rsid w:val="000D2AEA"/>
    <w:rsid w:val="000D2C3F"/>
    <w:rsid w:val="000D2EF4"/>
    <w:rsid w:val="000D4709"/>
    <w:rsid w:val="000D7040"/>
    <w:rsid w:val="000E7DA4"/>
    <w:rsid w:val="000F09CD"/>
    <w:rsid w:val="000F12DF"/>
    <w:rsid w:val="000F2513"/>
    <w:rsid w:val="000F26A3"/>
    <w:rsid w:val="000F329B"/>
    <w:rsid w:val="000F379A"/>
    <w:rsid w:val="000F38CA"/>
    <w:rsid w:val="000F56EC"/>
    <w:rsid w:val="000F6C6A"/>
    <w:rsid w:val="000F7E9D"/>
    <w:rsid w:val="00101B06"/>
    <w:rsid w:val="001036C5"/>
    <w:rsid w:val="001049B6"/>
    <w:rsid w:val="00105E6E"/>
    <w:rsid w:val="00106E44"/>
    <w:rsid w:val="00106EAB"/>
    <w:rsid w:val="00106F94"/>
    <w:rsid w:val="00113894"/>
    <w:rsid w:val="00115E62"/>
    <w:rsid w:val="00124606"/>
    <w:rsid w:val="00127271"/>
    <w:rsid w:val="00127A72"/>
    <w:rsid w:val="00134F4B"/>
    <w:rsid w:val="00135F53"/>
    <w:rsid w:val="00137038"/>
    <w:rsid w:val="00142FC6"/>
    <w:rsid w:val="00143B40"/>
    <w:rsid w:val="00147492"/>
    <w:rsid w:val="0015588D"/>
    <w:rsid w:val="00155ABB"/>
    <w:rsid w:val="0016260F"/>
    <w:rsid w:val="001639CF"/>
    <w:rsid w:val="001725B5"/>
    <w:rsid w:val="001738E1"/>
    <w:rsid w:val="001741E6"/>
    <w:rsid w:val="00174325"/>
    <w:rsid w:val="00175BF7"/>
    <w:rsid w:val="00181888"/>
    <w:rsid w:val="0018358D"/>
    <w:rsid w:val="00183593"/>
    <w:rsid w:val="00184ED8"/>
    <w:rsid w:val="001864EC"/>
    <w:rsid w:val="00187A41"/>
    <w:rsid w:val="00187A45"/>
    <w:rsid w:val="00197F91"/>
    <w:rsid w:val="00197FF8"/>
    <w:rsid w:val="001A07DC"/>
    <w:rsid w:val="001A165C"/>
    <w:rsid w:val="001A3CB5"/>
    <w:rsid w:val="001A64CE"/>
    <w:rsid w:val="001B087F"/>
    <w:rsid w:val="001B329A"/>
    <w:rsid w:val="001B4774"/>
    <w:rsid w:val="001B7EE3"/>
    <w:rsid w:val="001C7A26"/>
    <w:rsid w:val="001D0F05"/>
    <w:rsid w:val="001D1AFE"/>
    <w:rsid w:val="001D39CD"/>
    <w:rsid w:val="001D5445"/>
    <w:rsid w:val="001D73CA"/>
    <w:rsid w:val="001D7633"/>
    <w:rsid w:val="001D7724"/>
    <w:rsid w:val="001E22B1"/>
    <w:rsid w:val="001E29A6"/>
    <w:rsid w:val="001E4E9B"/>
    <w:rsid w:val="001E62BA"/>
    <w:rsid w:val="001F4A7E"/>
    <w:rsid w:val="001F5A3C"/>
    <w:rsid w:val="001F70DC"/>
    <w:rsid w:val="002005A6"/>
    <w:rsid w:val="00210FAE"/>
    <w:rsid w:val="002158D8"/>
    <w:rsid w:val="0021614A"/>
    <w:rsid w:val="00216326"/>
    <w:rsid w:val="00223794"/>
    <w:rsid w:val="0022395F"/>
    <w:rsid w:val="00223EB1"/>
    <w:rsid w:val="00227740"/>
    <w:rsid w:val="00231E65"/>
    <w:rsid w:val="0023329F"/>
    <w:rsid w:val="0023463A"/>
    <w:rsid w:val="00237745"/>
    <w:rsid w:val="0024481A"/>
    <w:rsid w:val="00246DC1"/>
    <w:rsid w:val="00247448"/>
    <w:rsid w:val="00247C48"/>
    <w:rsid w:val="00254499"/>
    <w:rsid w:val="00264EE5"/>
    <w:rsid w:val="0026509B"/>
    <w:rsid w:val="00267910"/>
    <w:rsid w:val="00267B6D"/>
    <w:rsid w:val="002715EA"/>
    <w:rsid w:val="00272478"/>
    <w:rsid w:val="002756BC"/>
    <w:rsid w:val="00276B9D"/>
    <w:rsid w:val="00276EA6"/>
    <w:rsid w:val="00280F71"/>
    <w:rsid w:val="00282416"/>
    <w:rsid w:val="0028419F"/>
    <w:rsid w:val="0028421C"/>
    <w:rsid w:val="00284495"/>
    <w:rsid w:val="0028492E"/>
    <w:rsid w:val="00284A90"/>
    <w:rsid w:val="0028611E"/>
    <w:rsid w:val="002924E7"/>
    <w:rsid w:val="00293B9A"/>
    <w:rsid w:val="00296DD7"/>
    <w:rsid w:val="002A1BDD"/>
    <w:rsid w:val="002A75E4"/>
    <w:rsid w:val="002B4ABB"/>
    <w:rsid w:val="002B7D7D"/>
    <w:rsid w:val="002C079D"/>
    <w:rsid w:val="002C3BB8"/>
    <w:rsid w:val="002C3C61"/>
    <w:rsid w:val="002C3DCE"/>
    <w:rsid w:val="002C4279"/>
    <w:rsid w:val="002C4611"/>
    <w:rsid w:val="002D02A5"/>
    <w:rsid w:val="002D11F9"/>
    <w:rsid w:val="002D333E"/>
    <w:rsid w:val="002D3E49"/>
    <w:rsid w:val="002D44BF"/>
    <w:rsid w:val="002D55C6"/>
    <w:rsid w:val="002E1271"/>
    <w:rsid w:val="002E19B7"/>
    <w:rsid w:val="002E1C54"/>
    <w:rsid w:val="002E26F5"/>
    <w:rsid w:val="002E27A3"/>
    <w:rsid w:val="002E3248"/>
    <w:rsid w:val="002E3B58"/>
    <w:rsid w:val="002E4142"/>
    <w:rsid w:val="002E41BB"/>
    <w:rsid w:val="002E42BB"/>
    <w:rsid w:val="002E58F6"/>
    <w:rsid w:val="002E65FD"/>
    <w:rsid w:val="002E7096"/>
    <w:rsid w:val="002F1F88"/>
    <w:rsid w:val="002F44B5"/>
    <w:rsid w:val="002F58DC"/>
    <w:rsid w:val="00311719"/>
    <w:rsid w:val="0031182E"/>
    <w:rsid w:val="00313AA6"/>
    <w:rsid w:val="00316088"/>
    <w:rsid w:val="00317ACD"/>
    <w:rsid w:val="003241CD"/>
    <w:rsid w:val="00324ACF"/>
    <w:rsid w:val="0032628E"/>
    <w:rsid w:val="003262E9"/>
    <w:rsid w:val="003324B5"/>
    <w:rsid w:val="00335827"/>
    <w:rsid w:val="0033638D"/>
    <w:rsid w:val="003366A0"/>
    <w:rsid w:val="003379AA"/>
    <w:rsid w:val="00337FD2"/>
    <w:rsid w:val="00340AB4"/>
    <w:rsid w:val="00340F19"/>
    <w:rsid w:val="00341A36"/>
    <w:rsid w:val="0034788B"/>
    <w:rsid w:val="00347EDC"/>
    <w:rsid w:val="00351F6E"/>
    <w:rsid w:val="0035272C"/>
    <w:rsid w:val="003600A5"/>
    <w:rsid w:val="00361300"/>
    <w:rsid w:val="00361593"/>
    <w:rsid w:val="00364BE7"/>
    <w:rsid w:val="00365156"/>
    <w:rsid w:val="00366FCE"/>
    <w:rsid w:val="003709E0"/>
    <w:rsid w:val="00370A0E"/>
    <w:rsid w:val="00373BB0"/>
    <w:rsid w:val="003744B6"/>
    <w:rsid w:val="003753DA"/>
    <w:rsid w:val="00376ED7"/>
    <w:rsid w:val="00381D3F"/>
    <w:rsid w:val="00385145"/>
    <w:rsid w:val="00390023"/>
    <w:rsid w:val="00390FDB"/>
    <w:rsid w:val="00392FDD"/>
    <w:rsid w:val="00395C07"/>
    <w:rsid w:val="003A1798"/>
    <w:rsid w:val="003A4343"/>
    <w:rsid w:val="003B1252"/>
    <w:rsid w:val="003B1E11"/>
    <w:rsid w:val="003B3710"/>
    <w:rsid w:val="003C187B"/>
    <w:rsid w:val="003C1F9D"/>
    <w:rsid w:val="003D3539"/>
    <w:rsid w:val="003D382D"/>
    <w:rsid w:val="003D6D34"/>
    <w:rsid w:val="003E1EB4"/>
    <w:rsid w:val="003E264B"/>
    <w:rsid w:val="003E3D8A"/>
    <w:rsid w:val="003E6026"/>
    <w:rsid w:val="003E646D"/>
    <w:rsid w:val="003E7B8C"/>
    <w:rsid w:val="003F1FBF"/>
    <w:rsid w:val="003F2B58"/>
    <w:rsid w:val="003F2C5E"/>
    <w:rsid w:val="003F2D0F"/>
    <w:rsid w:val="003F5D0F"/>
    <w:rsid w:val="003F5F32"/>
    <w:rsid w:val="0040262E"/>
    <w:rsid w:val="0040274E"/>
    <w:rsid w:val="00403431"/>
    <w:rsid w:val="004041D4"/>
    <w:rsid w:val="00406664"/>
    <w:rsid w:val="004079D0"/>
    <w:rsid w:val="0041519A"/>
    <w:rsid w:val="00416735"/>
    <w:rsid w:val="0042546B"/>
    <w:rsid w:val="00426100"/>
    <w:rsid w:val="00427BF0"/>
    <w:rsid w:val="00431A4D"/>
    <w:rsid w:val="00433B9B"/>
    <w:rsid w:val="00436CD3"/>
    <w:rsid w:val="0043732F"/>
    <w:rsid w:val="00440744"/>
    <w:rsid w:val="00442369"/>
    <w:rsid w:val="00442C80"/>
    <w:rsid w:val="00446C0A"/>
    <w:rsid w:val="00452491"/>
    <w:rsid w:val="00452C89"/>
    <w:rsid w:val="004564EF"/>
    <w:rsid w:val="00460716"/>
    <w:rsid w:val="00460B1F"/>
    <w:rsid w:val="00467002"/>
    <w:rsid w:val="0047337D"/>
    <w:rsid w:val="00475323"/>
    <w:rsid w:val="0047591C"/>
    <w:rsid w:val="00480EB6"/>
    <w:rsid w:val="00480FF4"/>
    <w:rsid w:val="00481AC4"/>
    <w:rsid w:val="00484F7E"/>
    <w:rsid w:val="004850F0"/>
    <w:rsid w:val="0049024B"/>
    <w:rsid w:val="00490427"/>
    <w:rsid w:val="00490594"/>
    <w:rsid w:val="0049417C"/>
    <w:rsid w:val="0049529A"/>
    <w:rsid w:val="00496F85"/>
    <w:rsid w:val="004A4701"/>
    <w:rsid w:val="004A5D98"/>
    <w:rsid w:val="004A6C66"/>
    <w:rsid w:val="004B2454"/>
    <w:rsid w:val="004B53B8"/>
    <w:rsid w:val="004B69A3"/>
    <w:rsid w:val="004C04DC"/>
    <w:rsid w:val="004C66FE"/>
    <w:rsid w:val="004D2849"/>
    <w:rsid w:val="004D2EC2"/>
    <w:rsid w:val="004D3F08"/>
    <w:rsid w:val="004D44B9"/>
    <w:rsid w:val="004D4C06"/>
    <w:rsid w:val="004E405B"/>
    <w:rsid w:val="004E4307"/>
    <w:rsid w:val="004E4F1C"/>
    <w:rsid w:val="004E56B6"/>
    <w:rsid w:val="004E56FA"/>
    <w:rsid w:val="004E5C3F"/>
    <w:rsid w:val="004F1687"/>
    <w:rsid w:val="004F6F1C"/>
    <w:rsid w:val="004F72DE"/>
    <w:rsid w:val="005019C3"/>
    <w:rsid w:val="00501B2F"/>
    <w:rsid w:val="00502B71"/>
    <w:rsid w:val="00505CB1"/>
    <w:rsid w:val="005064D6"/>
    <w:rsid w:val="00507323"/>
    <w:rsid w:val="005106D8"/>
    <w:rsid w:val="0051072C"/>
    <w:rsid w:val="00513A57"/>
    <w:rsid w:val="00514343"/>
    <w:rsid w:val="005150DA"/>
    <w:rsid w:val="00515931"/>
    <w:rsid w:val="005160FA"/>
    <w:rsid w:val="00516CA0"/>
    <w:rsid w:val="00521D63"/>
    <w:rsid w:val="0052482D"/>
    <w:rsid w:val="005318B9"/>
    <w:rsid w:val="00531977"/>
    <w:rsid w:val="00532398"/>
    <w:rsid w:val="00534896"/>
    <w:rsid w:val="00535493"/>
    <w:rsid w:val="00535DEB"/>
    <w:rsid w:val="0053642A"/>
    <w:rsid w:val="00536532"/>
    <w:rsid w:val="0054064B"/>
    <w:rsid w:val="00542572"/>
    <w:rsid w:val="00542C13"/>
    <w:rsid w:val="00543E3E"/>
    <w:rsid w:val="0054529D"/>
    <w:rsid w:val="0054591B"/>
    <w:rsid w:val="00546E68"/>
    <w:rsid w:val="00553DCF"/>
    <w:rsid w:val="00554184"/>
    <w:rsid w:val="00554793"/>
    <w:rsid w:val="005551E8"/>
    <w:rsid w:val="00556459"/>
    <w:rsid w:val="00560151"/>
    <w:rsid w:val="00565E96"/>
    <w:rsid w:val="00567E21"/>
    <w:rsid w:val="00570148"/>
    <w:rsid w:val="005729FE"/>
    <w:rsid w:val="00572EA9"/>
    <w:rsid w:val="00576190"/>
    <w:rsid w:val="00576878"/>
    <w:rsid w:val="005815C5"/>
    <w:rsid w:val="00582459"/>
    <w:rsid w:val="005846E6"/>
    <w:rsid w:val="005849FC"/>
    <w:rsid w:val="0058629C"/>
    <w:rsid w:val="00591624"/>
    <w:rsid w:val="00591AAD"/>
    <w:rsid w:val="0059205B"/>
    <w:rsid w:val="00594AAA"/>
    <w:rsid w:val="00594E06"/>
    <w:rsid w:val="00596038"/>
    <w:rsid w:val="005A0424"/>
    <w:rsid w:val="005A1304"/>
    <w:rsid w:val="005A13CE"/>
    <w:rsid w:val="005B08FA"/>
    <w:rsid w:val="005B181A"/>
    <w:rsid w:val="005B18AD"/>
    <w:rsid w:val="005B402A"/>
    <w:rsid w:val="005C445E"/>
    <w:rsid w:val="005C605D"/>
    <w:rsid w:val="005C68EA"/>
    <w:rsid w:val="005C7169"/>
    <w:rsid w:val="005C740F"/>
    <w:rsid w:val="005C7DB0"/>
    <w:rsid w:val="005D2A93"/>
    <w:rsid w:val="005D6E2A"/>
    <w:rsid w:val="005D7C5C"/>
    <w:rsid w:val="005D7D86"/>
    <w:rsid w:val="005E3430"/>
    <w:rsid w:val="005E6796"/>
    <w:rsid w:val="005E6B46"/>
    <w:rsid w:val="005F0DB7"/>
    <w:rsid w:val="005F35C7"/>
    <w:rsid w:val="005F4BEF"/>
    <w:rsid w:val="005F675D"/>
    <w:rsid w:val="005F7225"/>
    <w:rsid w:val="00602E57"/>
    <w:rsid w:val="00603EDD"/>
    <w:rsid w:val="0060526D"/>
    <w:rsid w:val="00605C87"/>
    <w:rsid w:val="00605D57"/>
    <w:rsid w:val="00610323"/>
    <w:rsid w:val="006113AB"/>
    <w:rsid w:val="00613E28"/>
    <w:rsid w:val="006160F5"/>
    <w:rsid w:val="00616550"/>
    <w:rsid w:val="00616707"/>
    <w:rsid w:val="006223D0"/>
    <w:rsid w:val="0062428E"/>
    <w:rsid w:val="00627382"/>
    <w:rsid w:val="00632782"/>
    <w:rsid w:val="00633345"/>
    <w:rsid w:val="00633621"/>
    <w:rsid w:val="006345FA"/>
    <w:rsid w:val="00635EA4"/>
    <w:rsid w:val="00636F0A"/>
    <w:rsid w:val="00637B0A"/>
    <w:rsid w:val="00647238"/>
    <w:rsid w:val="00647395"/>
    <w:rsid w:val="00651C27"/>
    <w:rsid w:val="0065786A"/>
    <w:rsid w:val="00660F36"/>
    <w:rsid w:val="0066616B"/>
    <w:rsid w:val="00667318"/>
    <w:rsid w:val="006712F6"/>
    <w:rsid w:val="006720AF"/>
    <w:rsid w:val="00673DAC"/>
    <w:rsid w:val="00676456"/>
    <w:rsid w:val="00680DE6"/>
    <w:rsid w:val="00681ABB"/>
    <w:rsid w:val="00681E7E"/>
    <w:rsid w:val="0068627B"/>
    <w:rsid w:val="00687AC2"/>
    <w:rsid w:val="00693E13"/>
    <w:rsid w:val="00695678"/>
    <w:rsid w:val="00697818"/>
    <w:rsid w:val="00697D21"/>
    <w:rsid w:val="006A30BB"/>
    <w:rsid w:val="006A4155"/>
    <w:rsid w:val="006A4A01"/>
    <w:rsid w:val="006A6267"/>
    <w:rsid w:val="006B02F6"/>
    <w:rsid w:val="006B03B8"/>
    <w:rsid w:val="006B1CD0"/>
    <w:rsid w:val="006B2CC2"/>
    <w:rsid w:val="006B4896"/>
    <w:rsid w:val="006B49B1"/>
    <w:rsid w:val="006B5522"/>
    <w:rsid w:val="006B60A4"/>
    <w:rsid w:val="006B7B72"/>
    <w:rsid w:val="006C7B19"/>
    <w:rsid w:val="006D1583"/>
    <w:rsid w:val="006D5658"/>
    <w:rsid w:val="006D7BF8"/>
    <w:rsid w:val="006E0271"/>
    <w:rsid w:val="006E243F"/>
    <w:rsid w:val="006E2835"/>
    <w:rsid w:val="006E4306"/>
    <w:rsid w:val="006F07E7"/>
    <w:rsid w:val="006F2708"/>
    <w:rsid w:val="006F3F02"/>
    <w:rsid w:val="006F6A84"/>
    <w:rsid w:val="006F6E32"/>
    <w:rsid w:val="00704137"/>
    <w:rsid w:val="007060BE"/>
    <w:rsid w:val="00711556"/>
    <w:rsid w:val="007116F1"/>
    <w:rsid w:val="00712698"/>
    <w:rsid w:val="00714BB4"/>
    <w:rsid w:val="00717F94"/>
    <w:rsid w:val="007211EA"/>
    <w:rsid w:val="0072221D"/>
    <w:rsid w:val="00722873"/>
    <w:rsid w:val="0072557A"/>
    <w:rsid w:val="00730324"/>
    <w:rsid w:val="00743336"/>
    <w:rsid w:val="00743F68"/>
    <w:rsid w:val="007476D0"/>
    <w:rsid w:val="00747A5F"/>
    <w:rsid w:val="00750005"/>
    <w:rsid w:val="00750F92"/>
    <w:rsid w:val="00751342"/>
    <w:rsid w:val="007514A4"/>
    <w:rsid w:val="007516ED"/>
    <w:rsid w:val="00752D59"/>
    <w:rsid w:val="00753048"/>
    <w:rsid w:val="007549E7"/>
    <w:rsid w:val="0075674A"/>
    <w:rsid w:val="00757F28"/>
    <w:rsid w:val="00760181"/>
    <w:rsid w:val="007629D1"/>
    <w:rsid w:val="007649F5"/>
    <w:rsid w:val="007652DC"/>
    <w:rsid w:val="00765D06"/>
    <w:rsid w:val="00770FB7"/>
    <w:rsid w:val="0077176F"/>
    <w:rsid w:val="007746CB"/>
    <w:rsid w:val="00775C29"/>
    <w:rsid w:val="00776991"/>
    <w:rsid w:val="0078159A"/>
    <w:rsid w:val="00781625"/>
    <w:rsid w:val="007820A9"/>
    <w:rsid w:val="007876D4"/>
    <w:rsid w:val="00787C91"/>
    <w:rsid w:val="007A04F4"/>
    <w:rsid w:val="007A0B6D"/>
    <w:rsid w:val="007A0D11"/>
    <w:rsid w:val="007A368B"/>
    <w:rsid w:val="007A4A53"/>
    <w:rsid w:val="007A4B12"/>
    <w:rsid w:val="007A6534"/>
    <w:rsid w:val="007A6F25"/>
    <w:rsid w:val="007A76E2"/>
    <w:rsid w:val="007A7C00"/>
    <w:rsid w:val="007B1E75"/>
    <w:rsid w:val="007B320A"/>
    <w:rsid w:val="007B4533"/>
    <w:rsid w:val="007B69DE"/>
    <w:rsid w:val="007B6C3C"/>
    <w:rsid w:val="007C048F"/>
    <w:rsid w:val="007C2239"/>
    <w:rsid w:val="007C31B4"/>
    <w:rsid w:val="007C3CA3"/>
    <w:rsid w:val="007D08D6"/>
    <w:rsid w:val="007D0F89"/>
    <w:rsid w:val="007D3BF9"/>
    <w:rsid w:val="007D4C02"/>
    <w:rsid w:val="007D56CB"/>
    <w:rsid w:val="007E2C42"/>
    <w:rsid w:val="007F0E72"/>
    <w:rsid w:val="007F183B"/>
    <w:rsid w:val="007F2C11"/>
    <w:rsid w:val="007F345A"/>
    <w:rsid w:val="007F4E32"/>
    <w:rsid w:val="007F5A86"/>
    <w:rsid w:val="007F76EA"/>
    <w:rsid w:val="007F7FBD"/>
    <w:rsid w:val="00800635"/>
    <w:rsid w:val="00801C0B"/>
    <w:rsid w:val="008052AF"/>
    <w:rsid w:val="008106B3"/>
    <w:rsid w:val="00810735"/>
    <w:rsid w:val="00810B3D"/>
    <w:rsid w:val="008123AD"/>
    <w:rsid w:val="00812FC9"/>
    <w:rsid w:val="0081329C"/>
    <w:rsid w:val="00816FE3"/>
    <w:rsid w:val="00820603"/>
    <w:rsid w:val="00821A8F"/>
    <w:rsid w:val="00822105"/>
    <w:rsid w:val="00822B28"/>
    <w:rsid w:val="008307F4"/>
    <w:rsid w:val="00832706"/>
    <w:rsid w:val="0083398D"/>
    <w:rsid w:val="00842E3C"/>
    <w:rsid w:val="00843777"/>
    <w:rsid w:val="0084433A"/>
    <w:rsid w:val="008456C9"/>
    <w:rsid w:val="00847FA1"/>
    <w:rsid w:val="00851410"/>
    <w:rsid w:val="008530FC"/>
    <w:rsid w:val="008531F8"/>
    <w:rsid w:val="00853B93"/>
    <w:rsid w:val="00853DCC"/>
    <w:rsid w:val="00860930"/>
    <w:rsid w:val="008617F4"/>
    <w:rsid w:val="008626CA"/>
    <w:rsid w:val="00863D21"/>
    <w:rsid w:val="008659D6"/>
    <w:rsid w:val="008670A3"/>
    <w:rsid w:val="00873A0D"/>
    <w:rsid w:val="00873A43"/>
    <w:rsid w:val="00873AEC"/>
    <w:rsid w:val="00874640"/>
    <w:rsid w:val="00880D9F"/>
    <w:rsid w:val="00883142"/>
    <w:rsid w:val="00884842"/>
    <w:rsid w:val="008859C7"/>
    <w:rsid w:val="008926D0"/>
    <w:rsid w:val="00893E18"/>
    <w:rsid w:val="00895466"/>
    <w:rsid w:val="008A0993"/>
    <w:rsid w:val="008A0FE4"/>
    <w:rsid w:val="008A43F3"/>
    <w:rsid w:val="008A5EED"/>
    <w:rsid w:val="008A6535"/>
    <w:rsid w:val="008A66F1"/>
    <w:rsid w:val="008B1CD7"/>
    <w:rsid w:val="008B429C"/>
    <w:rsid w:val="008B456C"/>
    <w:rsid w:val="008B4F3F"/>
    <w:rsid w:val="008B54E5"/>
    <w:rsid w:val="008B70D3"/>
    <w:rsid w:val="008C29CB"/>
    <w:rsid w:val="008C533D"/>
    <w:rsid w:val="008D0E42"/>
    <w:rsid w:val="008D3393"/>
    <w:rsid w:val="008D410E"/>
    <w:rsid w:val="008D5158"/>
    <w:rsid w:val="008D7CA0"/>
    <w:rsid w:val="008E20C9"/>
    <w:rsid w:val="008E2312"/>
    <w:rsid w:val="008E694A"/>
    <w:rsid w:val="008E6E81"/>
    <w:rsid w:val="008E71D7"/>
    <w:rsid w:val="008F183C"/>
    <w:rsid w:val="008F1CCB"/>
    <w:rsid w:val="008F5AF3"/>
    <w:rsid w:val="008F5B4D"/>
    <w:rsid w:val="00901599"/>
    <w:rsid w:val="00901DA7"/>
    <w:rsid w:val="00901F76"/>
    <w:rsid w:val="0090267F"/>
    <w:rsid w:val="00902B63"/>
    <w:rsid w:val="0090667B"/>
    <w:rsid w:val="0090795F"/>
    <w:rsid w:val="00907A6A"/>
    <w:rsid w:val="0091286B"/>
    <w:rsid w:val="009230E4"/>
    <w:rsid w:val="00926CF3"/>
    <w:rsid w:val="00932C93"/>
    <w:rsid w:val="0093323B"/>
    <w:rsid w:val="00935BC8"/>
    <w:rsid w:val="009374B6"/>
    <w:rsid w:val="009427D5"/>
    <w:rsid w:val="00943065"/>
    <w:rsid w:val="00944D4C"/>
    <w:rsid w:val="00945C6B"/>
    <w:rsid w:val="00947C02"/>
    <w:rsid w:val="00947E7E"/>
    <w:rsid w:val="009521D2"/>
    <w:rsid w:val="00952271"/>
    <w:rsid w:val="00953369"/>
    <w:rsid w:val="00954EF3"/>
    <w:rsid w:val="00954FB3"/>
    <w:rsid w:val="00956D4D"/>
    <w:rsid w:val="00957212"/>
    <w:rsid w:val="00957527"/>
    <w:rsid w:val="0096033F"/>
    <w:rsid w:val="009622AE"/>
    <w:rsid w:val="0096373B"/>
    <w:rsid w:val="00966A64"/>
    <w:rsid w:val="00967251"/>
    <w:rsid w:val="009677B7"/>
    <w:rsid w:val="00967C16"/>
    <w:rsid w:val="00967F3C"/>
    <w:rsid w:val="00971BE4"/>
    <w:rsid w:val="0097684D"/>
    <w:rsid w:val="00977C1A"/>
    <w:rsid w:val="00977D6B"/>
    <w:rsid w:val="009814CE"/>
    <w:rsid w:val="0098222C"/>
    <w:rsid w:val="00982FEA"/>
    <w:rsid w:val="00983730"/>
    <w:rsid w:val="009843AE"/>
    <w:rsid w:val="00994AB9"/>
    <w:rsid w:val="00997249"/>
    <w:rsid w:val="009A46D3"/>
    <w:rsid w:val="009A7BDB"/>
    <w:rsid w:val="009B1E71"/>
    <w:rsid w:val="009B573C"/>
    <w:rsid w:val="009C15DF"/>
    <w:rsid w:val="009C1B08"/>
    <w:rsid w:val="009C46A7"/>
    <w:rsid w:val="009C4E2E"/>
    <w:rsid w:val="009C76A3"/>
    <w:rsid w:val="009D078A"/>
    <w:rsid w:val="009D0827"/>
    <w:rsid w:val="009D319B"/>
    <w:rsid w:val="009D5328"/>
    <w:rsid w:val="009D6A19"/>
    <w:rsid w:val="009D79C3"/>
    <w:rsid w:val="009E3421"/>
    <w:rsid w:val="009E542E"/>
    <w:rsid w:val="009E7C24"/>
    <w:rsid w:val="009F0D24"/>
    <w:rsid w:val="009F3516"/>
    <w:rsid w:val="009F4554"/>
    <w:rsid w:val="009F5855"/>
    <w:rsid w:val="00A01B3C"/>
    <w:rsid w:val="00A01BE5"/>
    <w:rsid w:val="00A02353"/>
    <w:rsid w:val="00A02B82"/>
    <w:rsid w:val="00A04638"/>
    <w:rsid w:val="00A07A9F"/>
    <w:rsid w:val="00A1065D"/>
    <w:rsid w:val="00A142F9"/>
    <w:rsid w:val="00A144C3"/>
    <w:rsid w:val="00A146E9"/>
    <w:rsid w:val="00A16F29"/>
    <w:rsid w:val="00A206B7"/>
    <w:rsid w:val="00A22E6E"/>
    <w:rsid w:val="00A248A5"/>
    <w:rsid w:val="00A24FE9"/>
    <w:rsid w:val="00A25156"/>
    <w:rsid w:val="00A34DF9"/>
    <w:rsid w:val="00A3549B"/>
    <w:rsid w:val="00A360AE"/>
    <w:rsid w:val="00A407B9"/>
    <w:rsid w:val="00A437F2"/>
    <w:rsid w:val="00A43B54"/>
    <w:rsid w:val="00A43E0F"/>
    <w:rsid w:val="00A45210"/>
    <w:rsid w:val="00A455E6"/>
    <w:rsid w:val="00A46124"/>
    <w:rsid w:val="00A47616"/>
    <w:rsid w:val="00A51637"/>
    <w:rsid w:val="00A51A80"/>
    <w:rsid w:val="00A55CBC"/>
    <w:rsid w:val="00A5701A"/>
    <w:rsid w:val="00A579DB"/>
    <w:rsid w:val="00A624A3"/>
    <w:rsid w:val="00A66108"/>
    <w:rsid w:val="00A67FA4"/>
    <w:rsid w:val="00A707D2"/>
    <w:rsid w:val="00A74CDE"/>
    <w:rsid w:val="00A81D34"/>
    <w:rsid w:val="00A84064"/>
    <w:rsid w:val="00A85AC5"/>
    <w:rsid w:val="00A8724C"/>
    <w:rsid w:val="00A9016D"/>
    <w:rsid w:val="00A9068E"/>
    <w:rsid w:val="00A946BD"/>
    <w:rsid w:val="00A95961"/>
    <w:rsid w:val="00AA0316"/>
    <w:rsid w:val="00AA2B57"/>
    <w:rsid w:val="00AA480B"/>
    <w:rsid w:val="00AA67F8"/>
    <w:rsid w:val="00AB01DE"/>
    <w:rsid w:val="00AB13BA"/>
    <w:rsid w:val="00AB3948"/>
    <w:rsid w:val="00AC040E"/>
    <w:rsid w:val="00AC146D"/>
    <w:rsid w:val="00AC2E9F"/>
    <w:rsid w:val="00AC42EF"/>
    <w:rsid w:val="00AC6136"/>
    <w:rsid w:val="00AC772F"/>
    <w:rsid w:val="00AD18C7"/>
    <w:rsid w:val="00AD2D94"/>
    <w:rsid w:val="00AD38D0"/>
    <w:rsid w:val="00AD4502"/>
    <w:rsid w:val="00AD5E85"/>
    <w:rsid w:val="00AE24FB"/>
    <w:rsid w:val="00AE3652"/>
    <w:rsid w:val="00AE3BAF"/>
    <w:rsid w:val="00AE6623"/>
    <w:rsid w:val="00AE6782"/>
    <w:rsid w:val="00AF14B7"/>
    <w:rsid w:val="00AF688D"/>
    <w:rsid w:val="00B0044A"/>
    <w:rsid w:val="00B00741"/>
    <w:rsid w:val="00B02EEA"/>
    <w:rsid w:val="00B03B77"/>
    <w:rsid w:val="00B06FD4"/>
    <w:rsid w:val="00B07841"/>
    <w:rsid w:val="00B12693"/>
    <w:rsid w:val="00B1428B"/>
    <w:rsid w:val="00B154C4"/>
    <w:rsid w:val="00B20932"/>
    <w:rsid w:val="00B20E88"/>
    <w:rsid w:val="00B214D9"/>
    <w:rsid w:val="00B21510"/>
    <w:rsid w:val="00B26A1A"/>
    <w:rsid w:val="00B32706"/>
    <w:rsid w:val="00B35179"/>
    <w:rsid w:val="00B403DD"/>
    <w:rsid w:val="00B40E08"/>
    <w:rsid w:val="00B44D70"/>
    <w:rsid w:val="00B54853"/>
    <w:rsid w:val="00B55CB6"/>
    <w:rsid w:val="00B6277E"/>
    <w:rsid w:val="00B6604B"/>
    <w:rsid w:val="00B673BB"/>
    <w:rsid w:val="00B7013A"/>
    <w:rsid w:val="00B71151"/>
    <w:rsid w:val="00B72C3A"/>
    <w:rsid w:val="00B77AC1"/>
    <w:rsid w:val="00B77EEC"/>
    <w:rsid w:val="00B80D87"/>
    <w:rsid w:val="00B815EC"/>
    <w:rsid w:val="00B82CA7"/>
    <w:rsid w:val="00B831D9"/>
    <w:rsid w:val="00B87677"/>
    <w:rsid w:val="00B878B6"/>
    <w:rsid w:val="00B93956"/>
    <w:rsid w:val="00B94E8E"/>
    <w:rsid w:val="00B955E8"/>
    <w:rsid w:val="00B97D78"/>
    <w:rsid w:val="00BA1536"/>
    <w:rsid w:val="00BA4E2A"/>
    <w:rsid w:val="00BA58ED"/>
    <w:rsid w:val="00BA719D"/>
    <w:rsid w:val="00BB04A0"/>
    <w:rsid w:val="00BB25B7"/>
    <w:rsid w:val="00BB3406"/>
    <w:rsid w:val="00BB4916"/>
    <w:rsid w:val="00BB654C"/>
    <w:rsid w:val="00BB77FB"/>
    <w:rsid w:val="00BB79EA"/>
    <w:rsid w:val="00BC24D5"/>
    <w:rsid w:val="00BD0848"/>
    <w:rsid w:val="00BD1E66"/>
    <w:rsid w:val="00BD618E"/>
    <w:rsid w:val="00BD7A1E"/>
    <w:rsid w:val="00BD7B29"/>
    <w:rsid w:val="00BE36B9"/>
    <w:rsid w:val="00BE4ACB"/>
    <w:rsid w:val="00BF0D1C"/>
    <w:rsid w:val="00BF1F0E"/>
    <w:rsid w:val="00BF4E9F"/>
    <w:rsid w:val="00C00DD0"/>
    <w:rsid w:val="00C01291"/>
    <w:rsid w:val="00C0555E"/>
    <w:rsid w:val="00C06DAB"/>
    <w:rsid w:val="00C11F6F"/>
    <w:rsid w:val="00C12885"/>
    <w:rsid w:val="00C131CB"/>
    <w:rsid w:val="00C13424"/>
    <w:rsid w:val="00C1452D"/>
    <w:rsid w:val="00C155F1"/>
    <w:rsid w:val="00C15E10"/>
    <w:rsid w:val="00C16274"/>
    <w:rsid w:val="00C16CEE"/>
    <w:rsid w:val="00C212C0"/>
    <w:rsid w:val="00C225F5"/>
    <w:rsid w:val="00C252C0"/>
    <w:rsid w:val="00C25349"/>
    <w:rsid w:val="00C2563F"/>
    <w:rsid w:val="00C314EC"/>
    <w:rsid w:val="00C33F5E"/>
    <w:rsid w:val="00C344DE"/>
    <w:rsid w:val="00C357A9"/>
    <w:rsid w:val="00C35EA0"/>
    <w:rsid w:val="00C415FE"/>
    <w:rsid w:val="00C45062"/>
    <w:rsid w:val="00C455ED"/>
    <w:rsid w:val="00C50E39"/>
    <w:rsid w:val="00C540D7"/>
    <w:rsid w:val="00C5548D"/>
    <w:rsid w:val="00C57742"/>
    <w:rsid w:val="00C57DB2"/>
    <w:rsid w:val="00C61B1D"/>
    <w:rsid w:val="00C61B55"/>
    <w:rsid w:val="00C62AB7"/>
    <w:rsid w:val="00C64A7F"/>
    <w:rsid w:val="00C731D0"/>
    <w:rsid w:val="00C750CE"/>
    <w:rsid w:val="00C8043C"/>
    <w:rsid w:val="00C81823"/>
    <w:rsid w:val="00C82DEE"/>
    <w:rsid w:val="00C84D62"/>
    <w:rsid w:val="00C850E5"/>
    <w:rsid w:val="00C90968"/>
    <w:rsid w:val="00C96434"/>
    <w:rsid w:val="00CA1F93"/>
    <w:rsid w:val="00CA646F"/>
    <w:rsid w:val="00CB2528"/>
    <w:rsid w:val="00CB25D6"/>
    <w:rsid w:val="00CB4B07"/>
    <w:rsid w:val="00CB4F93"/>
    <w:rsid w:val="00CB6398"/>
    <w:rsid w:val="00CC24E4"/>
    <w:rsid w:val="00CC30DA"/>
    <w:rsid w:val="00CC3B4F"/>
    <w:rsid w:val="00CC4B86"/>
    <w:rsid w:val="00CC5B62"/>
    <w:rsid w:val="00CC6441"/>
    <w:rsid w:val="00CD0369"/>
    <w:rsid w:val="00CD2484"/>
    <w:rsid w:val="00CD250E"/>
    <w:rsid w:val="00CD4254"/>
    <w:rsid w:val="00CD42C5"/>
    <w:rsid w:val="00CE33E0"/>
    <w:rsid w:val="00CE3A4D"/>
    <w:rsid w:val="00CE414A"/>
    <w:rsid w:val="00CE4347"/>
    <w:rsid w:val="00CF18F0"/>
    <w:rsid w:val="00CF21BE"/>
    <w:rsid w:val="00D03797"/>
    <w:rsid w:val="00D040BE"/>
    <w:rsid w:val="00D06C6F"/>
    <w:rsid w:val="00D0777A"/>
    <w:rsid w:val="00D12A49"/>
    <w:rsid w:val="00D15469"/>
    <w:rsid w:val="00D16CB4"/>
    <w:rsid w:val="00D17DB4"/>
    <w:rsid w:val="00D25BD9"/>
    <w:rsid w:val="00D263BE"/>
    <w:rsid w:val="00D3271E"/>
    <w:rsid w:val="00D32F2F"/>
    <w:rsid w:val="00D34D2A"/>
    <w:rsid w:val="00D34F27"/>
    <w:rsid w:val="00D408AC"/>
    <w:rsid w:val="00D4303A"/>
    <w:rsid w:val="00D479A6"/>
    <w:rsid w:val="00D47AD7"/>
    <w:rsid w:val="00D54235"/>
    <w:rsid w:val="00D542AA"/>
    <w:rsid w:val="00D54686"/>
    <w:rsid w:val="00D550CF"/>
    <w:rsid w:val="00D565C6"/>
    <w:rsid w:val="00D56CA2"/>
    <w:rsid w:val="00D5701F"/>
    <w:rsid w:val="00D57937"/>
    <w:rsid w:val="00D61AE0"/>
    <w:rsid w:val="00D63596"/>
    <w:rsid w:val="00D66E56"/>
    <w:rsid w:val="00D67213"/>
    <w:rsid w:val="00D6721E"/>
    <w:rsid w:val="00D70682"/>
    <w:rsid w:val="00D70D1A"/>
    <w:rsid w:val="00D7500B"/>
    <w:rsid w:val="00D777D0"/>
    <w:rsid w:val="00D77B8E"/>
    <w:rsid w:val="00D80CCF"/>
    <w:rsid w:val="00D80F4A"/>
    <w:rsid w:val="00D8366E"/>
    <w:rsid w:val="00D86A03"/>
    <w:rsid w:val="00D92A8D"/>
    <w:rsid w:val="00D9596C"/>
    <w:rsid w:val="00D961D5"/>
    <w:rsid w:val="00D96EF0"/>
    <w:rsid w:val="00DA257C"/>
    <w:rsid w:val="00DA5A0A"/>
    <w:rsid w:val="00DA6396"/>
    <w:rsid w:val="00DA6B70"/>
    <w:rsid w:val="00DB3150"/>
    <w:rsid w:val="00DB3D00"/>
    <w:rsid w:val="00DB406C"/>
    <w:rsid w:val="00DB40E2"/>
    <w:rsid w:val="00DB4FF3"/>
    <w:rsid w:val="00DC7A46"/>
    <w:rsid w:val="00DC7AEA"/>
    <w:rsid w:val="00DD1763"/>
    <w:rsid w:val="00DD2FA2"/>
    <w:rsid w:val="00DD2FC0"/>
    <w:rsid w:val="00DD4752"/>
    <w:rsid w:val="00DD5129"/>
    <w:rsid w:val="00DD6A4A"/>
    <w:rsid w:val="00DD7530"/>
    <w:rsid w:val="00DE1788"/>
    <w:rsid w:val="00DE3264"/>
    <w:rsid w:val="00DE3A6B"/>
    <w:rsid w:val="00DE5CED"/>
    <w:rsid w:val="00DE6A5B"/>
    <w:rsid w:val="00DF13F4"/>
    <w:rsid w:val="00DF4C04"/>
    <w:rsid w:val="00E04A01"/>
    <w:rsid w:val="00E132D8"/>
    <w:rsid w:val="00E1466A"/>
    <w:rsid w:val="00E15A24"/>
    <w:rsid w:val="00E15B43"/>
    <w:rsid w:val="00E16241"/>
    <w:rsid w:val="00E21C5A"/>
    <w:rsid w:val="00E233C0"/>
    <w:rsid w:val="00E24C89"/>
    <w:rsid w:val="00E253C7"/>
    <w:rsid w:val="00E305DD"/>
    <w:rsid w:val="00E33FC6"/>
    <w:rsid w:val="00E35DFB"/>
    <w:rsid w:val="00E4028F"/>
    <w:rsid w:val="00E4582C"/>
    <w:rsid w:val="00E475DE"/>
    <w:rsid w:val="00E521A7"/>
    <w:rsid w:val="00E5324F"/>
    <w:rsid w:val="00E573CF"/>
    <w:rsid w:val="00E577FC"/>
    <w:rsid w:val="00E63A62"/>
    <w:rsid w:val="00E6575E"/>
    <w:rsid w:val="00E70814"/>
    <w:rsid w:val="00E723B5"/>
    <w:rsid w:val="00E728B8"/>
    <w:rsid w:val="00E73F24"/>
    <w:rsid w:val="00E751CD"/>
    <w:rsid w:val="00E775B0"/>
    <w:rsid w:val="00E817E0"/>
    <w:rsid w:val="00E818A5"/>
    <w:rsid w:val="00E833AC"/>
    <w:rsid w:val="00E84D44"/>
    <w:rsid w:val="00E84E6A"/>
    <w:rsid w:val="00E84F59"/>
    <w:rsid w:val="00E94B67"/>
    <w:rsid w:val="00E94D4C"/>
    <w:rsid w:val="00E96D3F"/>
    <w:rsid w:val="00E97102"/>
    <w:rsid w:val="00EA0373"/>
    <w:rsid w:val="00EA46D8"/>
    <w:rsid w:val="00EA6087"/>
    <w:rsid w:val="00EA7BC4"/>
    <w:rsid w:val="00EB0071"/>
    <w:rsid w:val="00EB4278"/>
    <w:rsid w:val="00EB49AD"/>
    <w:rsid w:val="00EB49FD"/>
    <w:rsid w:val="00ED1753"/>
    <w:rsid w:val="00ED26D3"/>
    <w:rsid w:val="00ED3517"/>
    <w:rsid w:val="00ED465B"/>
    <w:rsid w:val="00ED5A73"/>
    <w:rsid w:val="00ED60F8"/>
    <w:rsid w:val="00ED6824"/>
    <w:rsid w:val="00ED68B3"/>
    <w:rsid w:val="00ED6DBB"/>
    <w:rsid w:val="00ED7084"/>
    <w:rsid w:val="00EE0799"/>
    <w:rsid w:val="00EE0AB3"/>
    <w:rsid w:val="00EE5010"/>
    <w:rsid w:val="00EE6622"/>
    <w:rsid w:val="00EF1049"/>
    <w:rsid w:val="00EF339B"/>
    <w:rsid w:val="00EF4168"/>
    <w:rsid w:val="00EF4A55"/>
    <w:rsid w:val="00EF4B4C"/>
    <w:rsid w:val="00EF5B35"/>
    <w:rsid w:val="00EF6069"/>
    <w:rsid w:val="00F00435"/>
    <w:rsid w:val="00F031DD"/>
    <w:rsid w:val="00F03B83"/>
    <w:rsid w:val="00F046E3"/>
    <w:rsid w:val="00F05346"/>
    <w:rsid w:val="00F063A0"/>
    <w:rsid w:val="00F113F0"/>
    <w:rsid w:val="00F11C84"/>
    <w:rsid w:val="00F1264A"/>
    <w:rsid w:val="00F13CB5"/>
    <w:rsid w:val="00F14F15"/>
    <w:rsid w:val="00F15111"/>
    <w:rsid w:val="00F215BD"/>
    <w:rsid w:val="00F230E9"/>
    <w:rsid w:val="00F244E3"/>
    <w:rsid w:val="00F24F82"/>
    <w:rsid w:val="00F25C5C"/>
    <w:rsid w:val="00F31F44"/>
    <w:rsid w:val="00F31FBB"/>
    <w:rsid w:val="00F32EF1"/>
    <w:rsid w:val="00F33700"/>
    <w:rsid w:val="00F340F0"/>
    <w:rsid w:val="00F347C0"/>
    <w:rsid w:val="00F34EDB"/>
    <w:rsid w:val="00F3627A"/>
    <w:rsid w:val="00F41487"/>
    <w:rsid w:val="00F43E41"/>
    <w:rsid w:val="00F45157"/>
    <w:rsid w:val="00F46544"/>
    <w:rsid w:val="00F46926"/>
    <w:rsid w:val="00F47599"/>
    <w:rsid w:val="00F52F91"/>
    <w:rsid w:val="00F55837"/>
    <w:rsid w:val="00F558FD"/>
    <w:rsid w:val="00F60216"/>
    <w:rsid w:val="00F61C1A"/>
    <w:rsid w:val="00F62810"/>
    <w:rsid w:val="00F63467"/>
    <w:rsid w:val="00F70C8D"/>
    <w:rsid w:val="00F71163"/>
    <w:rsid w:val="00F729C9"/>
    <w:rsid w:val="00F72EA9"/>
    <w:rsid w:val="00F75A59"/>
    <w:rsid w:val="00F81A1D"/>
    <w:rsid w:val="00F81E16"/>
    <w:rsid w:val="00F9265A"/>
    <w:rsid w:val="00F952FD"/>
    <w:rsid w:val="00F95BE4"/>
    <w:rsid w:val="00FB1235"/>
    <w:rsid w:val="00FB4A58"/>
    <w:rsid w:val="00FB54A3"/>
    <w:rsid w:val="00FB5643"/>
    <w:rsid w:val="00FC3B8C"/>
    <w:rsid w:val="00FD2A8C"/>
    <w:rsid w:val="00FD3246"/>
    <w:rsid w:val="00FD41DC"/>
    <w:rsid w:val="00FD4207"/>
    <w:rsid w:val="00FD56D7"/>
    <w:rsid w:val="00FD5A98"/>
    <w:rsid w:val="00FD6551"/>
    <w:rsid w:val="00FE067A"/>
    <w:rsid w:val="00FE090B"/>
    <w:rsid w:val="00FE1756"/>
    <w:rsid w:val="00FE2A71"/>
    <w:rsid w:val="00FE2C05"/>
    <w:rsid w:val="00FE642F"/>
    <w:rsid w:val="00FE7124"/>
    <w:rsid w:val="00FE7417"/>
    <w:rsid w:val="00FE7B6F"/>
    <w:rsid w:val="00FF0B59"/>
    <w:rsid w:val="00FF1DB2"/>
    <w:rsid w:val="00FF2FF9"/>
    <w:rsid w:val="00FF31A7"/>
    <w:rsid w:val="00FF3A5B"/>
    <w:rsid w:val="00FF60ED"/>
    <w:rsid w:val="00FF666F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4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1A7"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E52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E521A7"/>
    <w:pPr>
      <w:keepNext/>
      <w:ind w:firstLine="720"/>
      <w:jc w:val="center"/>
      <w:outlineLvl w:val="3"/>
    </w:pPr>
    <w:rPr>
      <w:b/>
      <w:szCs w:val="20"/>
    </w:rPr>
  </w:style>
  <w:style w:type="paragraph" w:styleId="Balk5">
    <w:name w:val="heading 5"/>
    <w:basedOn w:val="Normal"/>
    <w:next w:val="Normal"/>
    <w:link w:val="Balk5Char"/>
    <w:qFormat/>
    <w:rsid w:val="00E521A7"/>
    <w:pPr>
      <w:keepNext/>
      <w:ind w:firstLine="720"/>
      <w:jc w:val="both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E521A7"/>
    <w:pPr>
      <w:keepNext/>
      <w:jc w:val="center"/>
      <w:outlineLvl w:val="5"/>
    </w:pPr>
    <w:rPr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E521A7"/>
    <w:pPr>
      <w:keepNext/>
      <w:tabs>
        <w:tab w:val="left" w:pos="993"/>
        <w:tab w:val="left" w:pos="7088"/>
      </w:tabs>
      <w:jc w:val="both"/>
      <w:outlineLvl w:val="6"/>
    </w:pPr>
    <w:rPr>
      <w:b/>
      <w:bCs/>
      <w:szCs w:val="20"/>
    </w:rPr>
  </w:style>
  <w:style w:type="paragraph" w:styleId="Balk8">
    <w:name w:val="heading 8"/>
    <w:basedOn w:val="Normal"/>
    <w:next w:val="Normal"/>
    <w:link w:val="Balk8Char"/>
    <w:qFormat/>
    <w:rsid w:val="00E521A7"/>
    <w:pPr>
      <w:keepNext/>
      <w:numPr>
        <w:numId w:val="1"/>
      </w:numPr>
      <w:tabs>
        <w:tab w:val="left" w:pos="709"/>
        <w:tab w:val="left" w:pos="7088"/>
      </w:tabs>
      <w:jc w:val="both"/>
      <w:outlineLvl w:val="7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34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E34D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4Char">
    <w:name w:val="Başlık 4 Char"/>
    <w:link w:val="Balk4"/>
    <w:uiPriority w:val="9"/>
    <w:semiHidden/>
    <w:rsid w:val="00E3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E3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E34D85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semiHidden/>
    <w:rsid w:val="00E34D85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E34D85"/>
    <w:rPr>
      <w:b/>
      <w:sz w:val="24"/>
      <w:szCs w:val="20"/>
    </w:rPr>
  </w:style>
  <w:style w:type="paragraph" w:styleId="NormalWeb">
    <w:name w:val="Normal (Web)"/>
    <w:basedOn w:val="Normal"/>
    <w:uiPriority w:val="99"/>
    <w:rsid w:val="00EE5010"/>
    <w:pPr>
      <w:spacing w:before="100" w:beforeAutospacing="1" w:after="100" w:afterAutospacing="1"/>
    </w:pPr>
  </w:style>
  <w:style w:type="paragraph" w:customStyle="1" w:styleId="1-Baslk">
    <w:name w:val="1-Baslık"/>
    <w:uiPriority w:val="99"/>
    <w:rsid w:val="00EE5010"/>
    <w:pPr>
      <w:tabs>
        <w:tab w:val="left" w:pos="566"/>
      </w:tabs>
    </w:pPr>
    <w:rPr>
      <w:sz w:val="22"/>
      <w:u w:val="single"/>
      <w:lang w:eastAsia="en-US"/>
    </w:rPr>
  </w:style>
  <w:style w:type="paragraph" w:customStyle="1" w:styleId="2-OrtaBaslk">
    <w:name w:val="2-Orta Baslık"/>
    <w:uiPriority w:val="99"/>
    <w:rsid w:val="00EE5010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E5010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satnalma">
    <w:name w:val="satınalma"/>
    <w:basedOn w:val="Normal"/>
    <w:uiPriority w:val="99"/>
    <w:rsid w:val="00E521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nuBal">
    <w:name w:val="Title"/>
    <w:basedOn w:val="Normal"/>
    <w:link w:val="KonuBalChar"/>
    <w:qFormat/>
    <w:rsid w:val="00E521A7"/>
    <w:pPr>
      <w:tabs>
        <w:tab w:val="left" w:pos="993"/>
        <w:tab w:val="left" w:pos="7088"/>
      </w:tabs>
      <w:jc w:val="center"/>
    </w:pPr>
    <w:rPr>
      <w:b/>
      <w:bCs/>
      <w:sz w:val="22"/>
    </w:rPr>
  </w:style>
  <w:style w:type="character" w:customStyle="1" w:styleId="KonuBalChar">
    <w:name w:val="Konu Başlığı Char"/>
    <w:link w:val="KonuBal"/>
    <w:uiPriority w:val="10"/>
    <w:rsid w:val="00E34D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qFormat/>
    <w:rsid w:val="00E521A7"/>
    <w:pPr>
      <w:tabs>
        <w:tab w:val="left" w:pos="993"/>
        <w:tab w:val="left" w:pos="7088"/>
      </w:tabs>
      <w:jc w:val="center"/>
    </w:pPr>
    <w:rPr>
      <w:b/>
      <w:iCs/>
      <w:sz w:val="18"/>
    </w:rPr>
  </w:style>
  <w:style w:type="character" w:customStyle="1" w:styleId="AltKonuBalChar">
    <w:name w:val="Alt Konu Başlığı Char"/>
    <w:link w:val="AltKonuBal"/>
    <w:uiPriority w:val="11"/>
    <w:rsid w:val="00E34D85"/>
    <w:rPr>
      <w:rFonts w:ascii="Cambria" w:eastAsia="Times New Roman" w:hAnsi="Cambria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E521A7"/>
    <w:pPr>
      <w:tabs>
        <w:tab w:val="left" w:pos="709"/>
        <w:tab w:val="left" w:pos="7088"/>
      </w:tabs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rsid w:val="00E34D85"/>
    <w:rPr>
      <w:sz w:val="24"/>
      <w:szCs w:val="24"/>
    </w:rPr>
  </w:style>
  <w:style w:type="paragraph" w:styleId="GvdeMetni">
    <w:name w:val="Body Text"/>
    <w:basedOn w:val="Normal"/>
    <w:link w:val="GvdeMetniChar"/>
    <w:rsid w:val="00E521A7"/>
    <w:pPr>
      <w:tabs>
        <w:tab w:val="left" w:pos="993"/>
        <w:tab w:val="left" w:pos="7088"/>
      </w:tabs>
      <w:jc w:val="both"/>
    </w:pPr>
    <w:rPr>
      <w:b/>
      <w:i/>
      <w:szCs w:val="20"/>
    </w:rPr>
  </w:style>
  <w:style w:type="character" w:customStyle="1" w:styleId="GvdeMetniChar">
    <w:name w:val="Gövde Metni Char"/>
    <w:link w:val="GvdeMetni"/>
    <w:uiPriority w:val="99"/>
    <w:semiHidden/>
    <w:rsid w:val="00E34D85"/>
    <w:rPr>
      <w:sz w:val="24"/>
      <w:szCs w:val="24"/>
    </w:rPr>
  </w:style>
  <w:style w:type="paragraph" w:styleId="GvdeMetni3">
    <w:name w:val="Body Text 3"/>
    <w:basedOn w:val="Normal"/>
    <w:link w:val="GvdeMetni3Char"/>
    <w:rsid w:val="00E521A7"/>
    <w:pPr>
      <w:tabs>
        <w:tab w:val="left" w:pos="993"/>
        <w:tab w:val="left" w:pos="7088"/>
      </w:tabs>
      <w:jc w:val="both"/>
    </w:pPr>
    <w:rPr>
      <w:b/>
      <w:bCs/>
      <w:szCs w:val="20"/>
    </w:rPr>
  </w:style>
  <w:style w:type="character" w:customStyle="1" w:styleId="GvdeMetni3Char">
    <w:name w:val="Gövde Metni 3 Char"/>
    <w:link w:val="GvdeMetni3"/>
    <w:uiPriority w:val="99"/>
    <w:semiHidden/>
    <w:rsid w:val="00E34D85"/>
    <w:rPr>
      <w:sz w:val="16"/>
      <w:szCs w:val="16"/>
    </w:rPr>
  </w:style>
  <w:style w:type="paragraph" w:styleId="ResimYazs">
    <w:name w:val="caption"/>
    <w:basedOn w:val="Normal"/>
    <w:next w:val="Normal"/>
    <w:qFormat/>
    <w:rsid w:val="00E521A7"/>
    <w:pPr>
      <w:spacing w:before="120" w:after="120"/>
    </w:pPr>
    <w:rPr>
      <w:b/>
      <w:bCs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521A7"/>
    <w:pPr>
      <w:tabs>
        <w:tab w:val="left" w:pos="993"/>
        <w:tab w:val="left" w:pos="7088"/>
      </w:tabs>
      <w:ind w:left="990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uiPriority w:val="99"/>
    <w:semiHidden/>
    <w:rsid w:val="00E34D85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E521A7"/>
    <w:pPr>
      <w:tabs>
        <w:tab w:val="left" w:pos="993"/>
        <w:tab w:val="left" w:pos="7088"/>
      </w:tabs>
      <w:ind w:left="709"/>
      <w:jc w:val="both"/>
    </w:pPr>
    <w:rPr>
      <w:szCs w:val="2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E34D85"/>
    <w:rPr>
      <w:sz w:val="24"/>
      <w:szCs w:val="24"/>
    </w:rPr>
  </w:style>
  <w:style w:type="table" w:styleId="TabloKlavuzu">
    <w:name w:val="Table Grid"/>
    <w:basedOn w:val="NormalTablo"/>
    <w:uiPriority w:val="99"/>
    <w:rsid w:val="00E5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rsid w:val="00E521A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34D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sid w:val="00E521A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34D8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rsid w:val="00E52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34D85"/>
    <w:rPr>
      <w:sz w:val="0"/>
      <w:szCs w:val="0"/>
    </w:rPr>
  </w:style>
  <w:style w:type="paragraph" w:styleId="Altbilgi">
    <w:name w:val="footer"/>
    <w:basedOn w:val="Normal"/>
    <w:link w:val="AltbilgiChar"/>
    <w:rsid w:val="00E521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34D85"/>
    <w:rPr>
      <w:sz w:val="24"/>
      <w:szCs w:val="24"/>
    </w:rPr>
  </w:style>
  <w:style w:type="character" w:styleId="SayfaNumaras">
    <w:name w:val="page number"/>
    <w:uiPriority w:val="99"/>
    <w:rsid w:val="00E521A7"/>
    <w:rPr>
      <w:rFonts w:cs="Times New Roman"/>
    </w:rPr>
  </w:style>
  <w:style w:type="paragraph" w:styleId="HTMLncedenBiimlendirilmi">
    <w:name w:val="HTML Preformatted"/>
    <w:basedOn w:val="Normal"/>
    <w:link w:val="HTMLncedenBiimlendirilmiChar"/>
    <w:rsid w:val="00E5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locked/>
    <w:rsid w:val="00E521A7"/>
    <w:rPr>
      <w:rFonts w:ascii="Courier New" w:hAnsi="Courier New"/>
      <w:lang w:val="tr-TR" w:eastAsia="tr-TR"/>
    </w:rPr>
  </w:style>
  <w:style w:type="paragraph" w:styleId="ListeParagraf">
    <w:name w:val="List Paragraph"/>
    <w:basedOn w:val="Normal"/>
    <w:uiPriority w:val="34"/>
    <w:qFormat/>
    <w:rsid w:val="00E521A7"/>
    <w:pPr>
      <w:ind w:left="708"/>
    </w:pPr>
  </w:style>
  <w:style w:type="table" w:styleId="Tablo3Befektler1">
    <w:name w:val="Table 3D effects 1"/>
    <w:basedOn w:val="NormalTablo"/>
    <w:uiPriority w:val="99"/>
    <w:rsid w:val="00E52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rsid w:val="00E52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">
    <w:name w:val="Char Char Char Char Char Char Char Char Char Char"/>
    <w:basedOn w:val="Normal"/>
    <w:uiPriority w:val="99"/>
    <w:rsid w:val="00E521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E521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34D85"/>
    <w:rPr>
      <w:sz w:val="24"/>
      <w:szCs w:val="24"/>
    </w:rPr>
  </w:style>
  <w:style w:type="character" w:customStyle="1" w:styleId="Normal1">
    <w:name w:val="Normal1"/>
    <w:uiPriority w:val="99"/>
    <w:rsid w:val="00A02B82"/>
    <w:rPr>
      <w:rFonts w:ascii="Times New Roman" w:hAnsi="Times New Roman"/>
      <w:sz w:val="24"/>
      <w:lang w:val="en-GB"/>
    </w:rPr>
  </w:style>
  <w:style w:type="paragraph" w:customStyle="1" w:styleId="2-ortabaslk0">
    <w:name w:val="2-ortabaslk0"/>
    <w:basedOn w:val="Normal"/>
    <w:uiPriority w:val="99"/>
    <w:rsid w:val="001725B5"/>
    <w:pPr>
      <w:jc w:val="center"/>
    </w:pPr>
    <w:rPr>
      <w:b/>
      <w:bCs/>
      <w:sz w:val="19"/>
      <w:szCs w:val="19"/>
    </w:rPr>
  </w:style>
  <w:style w:type="paragraph" w:customStyle="1" w:styleId="3-normalyaz0">
    <w:name w:val="3-normalyaz0"/>
    <w:basedOn w:val="Normal"/>
    <w:rsid w:val="001725B5"/>
    <w:pPr>
      <w:jc w:val="both"/>
    </w:pPr>
    <w:rPr>
      <w:sz w:val="19"/>
      <w:szCs w:val="19"/>
    </w:rPr>
  </w:style>
  <w:style w:type="character" w:styleId="Kpr">
    <w:name w:val="Hyperlink"/>
    <w:uiPriority w:val="99"/>
    <w:rsid w:val="004C66FE"/>
    <w:rPr>
      <w:rFonts w:cs="Times New Roman"/>
      <w:color w:val="0000FF"/>
      <w:u w:val="single"/>
    </w:rPr>
  </w:style>
  <w:style w:type="character" w:customStyle="1" w:styleId="searchword">
    <w:name w:val="searchword"/>
    <w:uiPriority w:val="99"/>
    <w:rsid w:val="0000182E"/>
    <w:rPr>
      <w:color w:val="FFFFFF"/>
      <w:shd w:val="clear" w:color="auto" w:fill="0082BF"/>
    </w:rPr>
  </w:style>
  <w:style w:type="paragraph" w:customStyle="1" w:styleId="3-normalyaz1">
    <w:name w:val="3-normalyaz"/>
    <w:basedOn w:val="Normal"/>
    <w:rsid w:val="0000182E"/>
    <w:pPr>
      <w:jc w:val="both"/>
    </w:pPr>
    <w:rPr>
      <w:sz w:val="19"/>
      <w:szCs w:val="19"/>
    </w:rPr>
  </w:style>
  <w:style w:type="paragraph" w:customStyle="1" w:styleId="msobodytextindent">
    <w:name w:val="msobodytextindent"/>
    <w:basedOn w:val="Normal"/>
    <w:rsid w:val="00704137"/>
    <w:pPr>
      <w:ind w:left="990"/>
      <w:jc w:val="both"/>
    </w:pPr>
  </w:style>
  <w:style w:type="character" w:styleId="AklamaBavurusu">
    <w:name w:val="annotation reference"/>
    <w:uiPriority w:val="99"/>
    <w:semiHidden/>
    <w:unhideWhenUsed/>
    <w:rsid w:val="00542C13"/>
    <w:rPr>
      <w:sz w:val="16"/>
      <w:szCs w:val="16"/>
    </w:rPr>
  </w:style>
  <w:style w:type="character" w:styleId="Vurgu">
    <w:name w:val="Emphasis"/>
    <w:qFormat/>
    <w:locked/>
    <w:rsid w:val="00071DBE"/>
    <w:rPr>
      <w:i/>
      <w:iCs/>
    </w:rPr>
  </w:style>
  <w:style w:type="paragraph" w:styleId="DipnotMetni">
    <w:name w:val="footnote text"/>
    <w:basedOn w:val="Normal"/>
    <w:link w:val="DipnotMetniChar"/>
    <w:rsid w:val="00873A43"/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873A43"/>
    <w:rPr>
      <w:lang w:eastAsia="en-US"/>
    </w:rPr>
  </w:style>
  <w:style w:type="table" w:styleId="AkListe">
    <w:name w:val="Light List"/>
    <w:basedOn w:val="NormalTablo"/>
    <w:uiPriority w:val="61"/>
    <w:rsid w:val="002F58D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33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4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21A7"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E52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E521A7"/>
    <w:pPr>
      <w:keepNext/>
      <w:ind w:firstLine="720"/>
      <w:jc w:val="center"/>
      <w:outlineLvl w:val="3"/>
    </w:pPr>
    <w:rPr>
      <w:b/>
      <w:szCs w:val="20"/>
    </w:rPr>
  </w:style>
  <w:style w:type="paragraph" w:styleId="Balk5">
    <w:name w:val="heading 5"/>
    <w:basedOn w:val="Normal"/>
    <w:next w:val="Normal"/>
    <w:link w:val="Balk5Char"/>
    <w:qFormat/>
    <w:rsid w:val="00E521A7"/>
    <w:pPr>
      <w:keepNext/>
      <w:ind w:firstLine="720"/>
      <w:jc w:val="both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E521A7"/>
    <w:pPr>
      <w:keepNext/>
      <w:jc w:val="center"/>
      <w:outlineLvl w:val="5"/>
    </w:pPr>
    <w:rPr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E521A7"/>
    <w:pPr>
      <w:keepNext/>
      <w:tabs>
        <w:tab w:val="left" w:pos="993"/>
        <w:tab w:val="left" w:pos="7088"/>
      </w:tabs>
      <w:jc w:val="both"/>
      <w:outlineLvl w:val="6"/>
    </w:pPr>
    <w:rPr>
      <w:b/>
      <w:bCs/>
      <w:szCs w:val="20"/>
    </w:rPr>
  </w:style>
  <w:style w:type="paragraph" w:styleId="Balk8">
    <w:name w:val="heading 8"/>
    <w:basedOn w:val="Normal"/>
    <w:next w:val="Normal"/>
    <w:link w:val="Balk8Char"/>
    <w:qFormat/>
    <w:rsid w:val="00E521A7"/>
    <w:pPr>
      <w:keepNext/>
      <w:numPr>
        <w:numId w:val="1"/>
      </w:numPr>
      <w:tabs>
        <w:tab w:val="left" w:pos="709"/>
        <w:tab w:val="left" w:pos="7088"/>
      </w:tabs>
      <w:jc w:val="both"/>
      <w:outlineLvl w:val="7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34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E34D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4Char">
    <w:name w:val="Başlık 4 Char"/>
    <w:link w:val="Balk4"/>
    <w:uiPriority w:val="9"/>
    <w:semiHidden/>
    <w:rsid w:val="00E3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E3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E34D85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semiHidden/>
    <w:rsid w:val="00E34D85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E34D85"/>
    <w:rPr>
      <w:b/>
      <w:sz w:val="24"/>
      <w:szCs w:val="20"/>
    </w:rPr>
  </w:style>
  <w:style w:type="paragraph" w:styleId="NormalWeb">
    <w:name w:val="Normal (Web)"/>
    <w:basedOn w:val="Normal"/>
    <w:uiPriority w:val="99"/>
    <w:rsid w:val="00EE5010"/>
    <w:pPr>
      <w:spacing w:before="100" w:beforeAutospacing="1" w:after="100" w:afterAutospacing="1"/>
    </w:pPr>
  </w:style>
  <w:style w:type="paragraph" w:customStyle="1" w:styleId="1-Baslk">
    <w:name w:val="1-Baslık"/>
    <w:uiPriority w:val="99"/>
    <w:rsid w:val="00EE5010"/>
    <w:pPr>
      <w:tabs>
        <w:tab w:val="left" w:pos="566"/>
      </w:tabs>
    </w:pPr>
    <w:rPr>
      <w:sz w:val="22"/>
      <w:u w:val="single"/>
      <w:lang w:eastAsia="en-US"/>
    </w:rPr>
  </w:style>
  <w:style w:type="paragraph" w:customStyle="1" w:styleId="2-OrtaBaslk">
    <w:name w:val="2-Orta Baslık"/>
    <w:uiPriority w:val="99"/>
    <w:rsid w:val="00EE5010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EE5010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satnalma">
    <w:name w:val="satınalma"/>
    <w:basedOn w:val="Normal"/>
    <w:uiPriority w:val="99"/>
    <w:rsid w:val="00E521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nuBal">
    <w:name w:val="Title"/>
    <w:basedOn w:val="Normal"/>
    <w:link w:val="KonuBalChar"/>
    <w:qFormat/>
    <w:rsid w:val="00E521A7"/>
    <w:pPr>
      <w:tabs>
        <w:tab w:val="left" w:pos="993"/>
        <w:tab w:val="left" w:pos="7088"/>
      </w:tabs>
      <w:jc w:val="center"/>
    </w:pPr>
    <w:rPr>
      <w:b/>
      <w:bCs/>
      <w:sz w:val="22"/>
    </w:rPr>
  </w:style>
  <w:style w:type="character" w:customStyle="1" w:styleId="KonuBalChar">
    <w:name w:val="Konu Başlığı Char"/>
    <w:link w:val="KonuBal"/>
    <w:uiPriority w:val="10"/>
    <w:rsid w:val="00E34D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qFormat/>
    <w:rsid w:val="00E521A7"/>
    <w:pPr>
      <w:tabs>
        <w:tab w:val="left" w:pos="993"/>
        <w:tab w:val="left" w:pos="7088"/>
      </w:tabs>
      <w:jc w:val="center"/>
    </w:pPr>
    <w:rPr>
      <w:b/>
      <w:iCs/>
      <w:sz w:val="18"/>
    </w:rPr>
  </w:style>
  <w:style w:type="character" w:customStyle="1" w:styleId="AltKonuBalChar">
    <w:name w:val="Alt Konu Başlığı Char"/>
    <w:link w:val="AltKonuBal"/>
    <w:uiPriority w:val="11"/>
    <w:rsid w:val="00E34D85"/>
    <w:rPr>
      <w:rFonts w:ascii="Cambria" w:eastAsia="Times New Roman" w:hAnsi="Cambria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E521A7"/>
    <w:pPr>
      <w:tabs>
        <w:tab w:val="left" w:pos="709"/>
        <w:tab w:val="left" w:pos="7088"/>
      </w:tabs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rsid w:val="00E34D85"/>
    <w:rPr>
      <w:sz w:val="24"/>
      <w:szCs w:val="24"/>
    </w:rPr>
  </w:style>
  <w:style w:type="paragraph" w:styleId="GvdeMetni">
    <w:name w:val="Body Text"/>
    <w:basedOn w:val="Normal"/>
    <w:link w:val="GvdeMetniChar"/>
    <w:rsid w:val="00E521A7"/>
    <w:pPr>
      <w:tabs>
        <w:tab w:val="left" w:pos="993"/>
        <w:tab w:val="left" w:pos="7088"/>
      </w:tabs>
      <w:jc w:val="both"/>
    </w:pPr>
    <w:rPr>
      <w:b/>
      <w:i/>
      <w:szCs w:val="20"/>
    </w:rPr>
  </w:style>
  <w:style w:type="character" w:customStyle="1" w:styleId="GvdeMetniChar">
    <w:name w:val="Gövde Metni Char"/>
    <w:link w:val="GvdeMetni"/>
    <w:uiPriority w:val="99"/>
    <w:semiHidden/>
    <w:rsid w:val="00E34D85"/>
    <w:rPr>
      <w:sz w:val="24"/>
      <w:szCs w:val="24"/>
    </w:rPr>
  </w:style>
  <w:style w:type="paragraph" w:styleId="GvdeMetni3">
    <w:name w:val="Body Text 3"/>
    <w:basedOn w:val="Normal"/>
    <w:link w:val="GvdeMetni3Char"/>
    <w:rsid w:val="00E521A7"/>
    <w:pPr>
      <w:tabs>
        <w:tab w:val="left" w:pos="993"/>
        <w:tab w:val="left" w:pos="7088"/>
      </w:tabs>
      <w:jc w:val="both"/>
    </w:pPr>
    <w:rPr>
      <w:b/>
      <w:bCs/>
      <w:szCs w:val="20"/>
    </w:rPr>
  </w:style>
  <w:style w:type="character" w:customStyle="1" w:styleId="GvdeMetni3Char">
    <w:name w:val="Gövde Metni 3 Char"/>
    <w:link w:val="GvdeMetni3"/>
    <w:uiPriority w:val="99"/>
    <w:semiHidden/>
    <w:rsid w:val="00E34D85"/>
    <w:rPr>
      <w:sz w:val="16"/>
      <w:szCs w:val="16"/>
    </w:rPr>
  </w:style>
  <w:style w:type="paragraph" w:styleId="ResimYazs">
    <w:name w:val="caption"/>
    <w:basedOn w:val="Normal"/>
    <w:next w:val="Normal"/>
    <w:qFormat/>
    <w:rsid w:val="00E521A7"/>
    <w:pPr>
      <w:spacing w:before="120" w:after="120"/>
    </w:pPr>
    <w:rPr>
      <w:b/>
      <w:bCs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521A7"/>
    <w:pPr>
      <w:tabs>
        <w:tab w:val="left" w:pos="993"/>
        <w:tab w:val="left" w:pos="7088"/>
      </w:tabs>
      <w:ind w:left="990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uiPriority w:val="99"/>
    <w:semiHidden/>
    <w:rsid w:val="00E34D85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E521A7"/>
    <w:pPr>
      <w:tabs>
        <w:tab w:val="left" w:pos="993"/>
        <w:tab w:val="left" w:pos="7088"/>
      </w:tabs>
      <w:ind w:left="709"/>
      <w:jc w:val="both"/>
    </w:pPr>
    <w:rPr>
      <w:szCs w:val="2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E34D85"/>
    <w:rPr>
      <w:sz w:val="24"/>
      <w:szCs w:val="24"/>
    </w:rPr>
  </w:style>
  <w:style w:type="table" w:styleId="TabloKlavuzu">
    <w:name w:val="Table Grid"/>
    <w:basedOn w:val="NormalTablo"/>
    <w:uiPriority w:val="99"/>
    <w:rsid w:val="00E5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link w:val="AklamaMetniChar"/>
    <w:rsid w:val="00E521A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34D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sid w:val="00E521A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34D8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rsid w:val="00E52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34D85"/>
    <w:rPr>
      <w:sz w:val="0"/>
      <w:szCs w:val="0"/>
    </w:rPr>
  </w:style>
  <w:style w:type="paragraph" w:styleId="Altbilgi">
    <w:name w:val="footer"/>
    <w:basedOn w:val="Normal"/>
    <w:link w:val="AltbilgiChar"/>
    <w:rsid w:val="00E521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34D85"/>
    <w:rPr>
      <w:sz w:val="24"/>
      <w:szCs w:val="24"/>
    </w:rPr>
  </w:style>
  <w:style w:type="character" w:styleId="SayfaNumaras">
    <w:name w:val="page number"/>
    <w:uiPriority w:val="99"/>
    <w:rsid w:val="00E521A7"/>
    <w:rPr>
      <w:rFonts w:cs="Times New Roman"/>
    </w:rPr>
  </w:style>
  <w:style w:type="paragraph" w:styleId="HTMLncedenBiimlendirilmi">
    <w:name w:val="HTML Preformatted"/>
    <w:basedOn w:val="Normal"/>
    <w:link w:val="HTMLncedenBiimlendirilmiChar"/>
    <w:rsid w:val="00E5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locked/>
    <w:rsid w:val="00E521A7"/>
    <w:rPr>
      <w:rFonts w:ascii="Courier New" w:hAnsi="Courier New"/>
      <w:lang w:val="tr-TR" w:eastAsia="tr-TR"/>
    </w:rPr>
  </w:style>
  <w:style w:type="paragraph" w:styleId="ListeParagraf">
    <w:name w:val="List Paragraph"/>
    <w:basedOn w:val="Normal"/>
    <w:uiPriority w:val="34"/>
    <w:qFormat/>
    <w:rsid w:val="00E521A7"/>
    <w:pPr>
      <w:ind w:left="708"/>
    </w:pPr>
  </w:style>
  <w:style w:type="table" w:styleId="Tablo3Befektler1">
    <w:name w:val="Table 3D effects 1"/>
    <w:basedOn w:val="NormalTablo"/>
    <w:uiPriority w:val="99"/>
    <w:rsid w:val="00E52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rsid w:val="00E52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">
    <w:name w:val="Char Char Char Char Char Char Char Char Char Char"/>
    <w:basedOn w:val="Normal"/>
    <w:uiPriority w:val="99"/>
    <w:rsid w:val="00E521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E521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34D85"/>
    <w:rPr>
      <w:sz w:val="24"/>
      <w:szCs w:val="24"/>
    </w:rPr>
  </w:style>
  <w:style w:type="character" w:customStyle="1" w:styleId="Normal1">
    <w:name w:val="Normal1"/>
    <w:uiPriority w:val="99"/>
    <w:rsid w:val="00A02B82"/>
    <w:rPr>
      <w:rFonts w:ascii="Times New Roman" w:hAnsi="Times New Roman"/>
      <w:sz w:val="24"/>
      <w:lang w:val="en-GB"/>
    </w:rPr>
  </w:style>
  <w:style w:type="paragraph" w:customStyle="1" w:styleId="2-ortabaslk0">
    <w:name w:val="2-ortabaslk0"/>
    <w:basedOn w:val="Normal"/>
    <w:uiPriority w:val="99"/>
    <w:rsid w:val="001725B5"/>
    <w:pPr>
      <w:jc w:val="center"/>
    </w:pPr>
    <w:rPr>
      <w:b/>
      <w:bCs/>
      <w:sz w:val="19"/>
      <w:szCs w:val="19"/>
    </w:rPr>
  </w:style>
  <w:style w:type="paragraph" w:customStyle="1" w:styleId="3-normalyaz0">
    <w:name w:val="3-normalyaz0"/>
    <w:basedOn w:val="Normal"/>
    <w:rsid w:val="001725B5"/>
    <w:pPr>
      <w:jc w:val="both"/>
    </w:pPr>
    <w:rPr>
      <w:sz w:val="19"/>
      <w:szCs w:val="19"/>
    </w:rPr>
  </w:style>
  <w:style w:type="character" w:styleId="Kpr">
    <w:name w:val="Hyperlink"/>
    <w:uiPriority w:val="99"/>
    <w:rsid w:val="004C66FE"/>
    <w:rPr>
      <w:rFonts w:cs="Times New Roman"/>
      <w:color w:val="0000FF"/>
      <w:u w:val="single"/>
    </w:rPr>
  </w:style>
  <w:style w:type="character" w:customStyle="1" w:styleId="searchword">
    <w:name w:val="searchword"/>
    <w:uiPriority w:val="99"/>
    <w:rsid w:val="0000182E"/>
    <w:rPr>
      <w:color w:val="FFFFFF"/>
      <w:shd w:val="clear" w:color="auto" w:fill="0082BF"/>
    </w:rPr>
  </w:style>
  <w:style w:type="paragraph" w:customStyle="1" w:styleId="3-normalyaz1">
    <w:name w:val="3-normalyaz"/>
    <w:basedOn w:val="Normal"/>
    <w:rsid w:val="0000182E"/>
    <w:pPr>
      <w:jc w:val="both"/>
    </w:pPr>
    <w:rPr>
      <w:sz w:val="19"/>
      <w:szCs w:val="19"/>
    </w:rPr>
  </w:style>
  <w:style w:type="paragraph" w:customStyle="1" w:styleId="msobodytextindent">
    <w:name w:val="msobodytextindent"/>
    <w:basedOn w:val="Normal"/>
    <w:rsid w:val="00704137"/>
    <w:pPr>
      <w:ind w:left="990"/>
      <w:jc w:val="both"/>
    </w:pPr>
  </w:style>
  <w:style w:type="character" w:styleId="AklamaBavurusu">
    <w:name w:val="annotation reference"/>
    <w:uiPriority w:val="99"/>
    <w:semiHidden/>
    <w:unhideWhenUsed/>
    <w:rsid w:val="00542C13"/>
    <w:rPr>
      <w:sz w:val="16"/>
      <w:szCs w:val="16"/>
    </w:rPr>
  </w:style>
  <w:style w:type="character" w:styleId="Vurgu">
    <w:name w:val="Emphasis"/>
    <w:qFormat/>
    <w:locked/>
    <w:rsid w:val="00071DBE"/>
    <w:rPr>
      <w:i/>
      <w:iCs/>
    </w:rPr>
  </w:style>
  <w:style w:type="paragraph" w:styleId="DipnotMetni">
    <w:name w:val="footnote text"/>
    <w:basedOn w:val="Normal"/>
    <w:link w:val="DipnotMetniChar"/>
    <w:rsid w:val="00873A43"/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873A43"/>
    <w:rPr>
      <w:lang w:eastAsia="en-US"/>
    </w:rPr>
  </w:style>
  <w:style w:type="table" w:styleId="AkListe">
    <w:name w:val="Light List"/>
    <w:basedOn w:val="NormalTablo"/>
    <w:uiPriority w:val="61"/>
    <w:rsid w:val="002F58D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33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8">
      <w:marLeft w:val="16"/>
      <w:marRight w:val="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214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19210">
      <w:marLeft w:val="16"/>
      <w:marRight w:val="1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211">
                  <w:marLeft w:val="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3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B4C8-D63C-4488-9C67-EC0C5D5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Temmuz 2009 CUMA</vt:lpstr>
      <vt:lpstr>Temmuz 2009 CUMA</vt:lpstr>
    </vt:vector>
  </TitlesOfParts>
  <Company>Microsoft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Temmuz 2009 CUMA</dc:title>
  <dc:creator>ssavas</dc:creator>
  <cp:lastModifiedBy>Sezin Çalık Tepe</cp:lastModifiedBy>
  <cp:revision>3</cp:revision>
  <cp:lastPrinted>2016-11-22T11:32:00Z</cp:lastPrinted>
  <dcterms:created xsi:type="dcterms:W3CDTF">2016-12-02T12:26:00Z</dcterms:created>
  <dcterms:modified xsi:type="dcterms:W3CDTF">2016-12-02T13:26:00Z</dcterms:modified>
</cp:coreProperties>
</file>