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932"/>
      </w:tblGrid>
      <w:tr w:rsidR="00E3194A" w:rsidRPr="00644EAA" w:rsidTr="00B45D0E">
        <w:trPr>
          <w:trHeight w:val="1440"/>
        </w:trPr>
        <w:tc>
          <w:tcPr>
            <w:tcW w:w="3369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RAPORU HAZIRLAMASI UYGUN BULUNAN KİŞİ,  KURUM/KURULUŞ:</w:t>
            </w:r>
          </w:p>
        </w:tc>
        <w:tc>
          <w:tcPr>
            <w:tcW w:w="6932" w:type="dxa"/>
          </w:tcPr>
          <w:p w:rsidR="00E3194A" w:rsidRPr="00644EAA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</w:rPr>
              <w:t>Teknik Uygunluk Raporu,  çevre yönetim birimi, istihdam edilen çevre görevlisi ya da Bakanlıkça yetkilendirilmiş çevre danışmanlık firmaları veya bilimsel kuruluşlar tarafından aşağıda yer alan formata uygun olarak hazırlanır</w:t>
            </w:r>
            <w:r w:rsidRPr="00644EA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44EAA" w:rsidRDefault="00644EAA" w:rsidP="00644E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44EAA">
              <w:rPr>
                <w:rFonts w:ascii="Times New Roman" w:hAnsi="Times New Roman"/>
              </w:rPr>
              <w:t>Biyodizel</w:t>
            </w:r>
            <w:proofErr w:type="spellEnd"/>
            <w:r w:rsidRPr="00644EAA">
              <w:rPr>
                <w:rFonts w:ascii="Times New Roman" w:hAnsi="Times New Roman"/>
              </w:rPr>
              <w:t xml:space="preserve"> Üretimi yapan tesislerin Teknik Uygunluk Raporu ulusal veya uluslararası akreditasyona sahip kuruluşlarca veya TÜBİTAK tarafından aşağıdaki yer alan formata uygun Yönetmeliğin 19 uncu maddesi uyarınca hazırlanır. </w:t>
            </w:r>
          </w:p>
          <w:p w:rsidR="00644EAA" w:rsidRPr="00644EAA" w:rsidRDefault="00644EAA" w:rsidP="00D645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2877" w:rsidRPr="00644EAA" w:rsidRDefault="001C2877" w:rsidP="00644EAA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3194A" w:rsidRPr="00644EAA" w:rsidRDefault="00DB30EC" w:rsidP="0099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TEKNİK UYGUNLUK </w:t>
      </w:r>
      <w:r w:rsidR="00E3194A" w:rsidRPr="00644EAA">
        <w:rPr>
          <w:rFonts w:ascii="Times New Roman" w:hAnsi="Times New Roman"/>
          <w:b/>
          <w:sz w:val="24"/>
          <w:szCs w:val="24"/>
        </w:rPr>
        <w:t>RAPORU (BİTKİSEL ATIK YAĞ)</w:t>
      </w:r>
    </w:p>
    <w:p w:rsidR="006164B2" w:rsidRPr="00644EAA" w:rsidRDefault="006164B2" w:rsidP="0099772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6663"/>
      </w:tblGrid>
      <w:tr w:rsidR="00E3194A" w:rsidRPr="00644EAA" w:rsidTr="00B45D0E">
        <w:tc>
          <w:tcPr>
            <w:tcW w:w="9606" w:type="dxa"/>
            <w:gridSpan w:val="2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İÇİNDEKİLER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İÇİNDEKİLER TABLOSU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EKLER LİSTESİ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TABLOLAR LİSTESİ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ŞEKİLLER LİSTESİ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RESİMLER LİSTESİ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BÖLÜM 1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44EAA">
              <w:rPr>
                <w:rFonts w:ascii="Times New Roman" w:hAnsi="Times New Roman"/>
                <w:b/>
              </w:rPr>
              <w:t>RAPORU HAZIRLAYAN KİŞİ, KURUM, KURULUŞ BİLGİLERİ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İletişim Bilgileri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BÖLÜM 2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TESİS BİLGİLERİ</w:t>
            </w:r>
            <w:r w:rsidR="00644EAA" w:rsidRPr="00644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Faaliyet Hakkında Genel Bilgi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Faaliyet Sahibinin Adı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sz w:val="24"/>
                <w:szCs w:val="24"/>
              </w:rPr>
              <w:t>Tesis Yatırım Maliyeti</w:t>
            </w:r>
          </w:p>
        </w:tc>
      </w:tr>
      <w:tr w:rsidR="00E3194A" w:rsidRPr="00644EAA" w:rsidTr="00B45D0E">
        <w:tc>
          <w:tcPr>
            <w:tcW w:w="2943" w:type="dxa"/>
          </w:tcPr>
          <w:p w:rsidR="00E3194A" w:rsidRPr="00644EAA" w:rsidRDefault="00E3194A" w:rsidP="00B45D0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BÖLÜM 3</w:t>
            </w:r>
          </w:p>
        </w:tc>
        <w:tc>
          <w:tcPr>
            <w:tcW w:w="6663" w:type="dxa"/>
          </w:tcPr>
          <w:p w:rsidR="00E3194A" w:rsidRPr="00644EAA" w:rsidRDefault="00E3194A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sz w:val="24"/>
                <w:szCs w:val="24"/>
              </w:rPr>
              <w:t>TESİS SAHA BİLGİLERİ</w:t>
            </w:r>
            <w:r w:rsidR="0045014D" w:rsidRPr="00644EA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014D"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(Bu bölüm İl Müdürlüklerimiz tarafından doldurulan “çevre lisansı başvurusunda bulunacak işletmelerin sağlaması gereken fiziksel şartlar” tablosu uyarınca hazırlanacaktır)</w:t>
            </w:r>
          </w:p>
        </w:tc>
      </w:tr>
      <w:tr w:rsidR="00644EAA" w:rsidRPr="00644EAA" w:rsidTr="00B45D0E">
        <w:tc>
          <w:tcPr>
            <w:tcW w:w="2943" w:type="dxa"/>
          </w:tcPr>
          <w:p w:rsidR="00E3194A" w:rsidRPr="00644EAA" w:rsidRDefault="00E3194A" w:rsidP="0045230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452304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663" w:type="dxa"/>
          </w:tcPr>
          <w:p w:rsidR="00E3194A" w:rsidRPr="00644EAA" w:rsidRDefault="00E3194A" w:rsidP="004523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Tesis Bölümlerinin </w:t>
            </w:r>
            <w:r w:rsidR="00A37676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Genel 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Tanıtımı </w:t>
            </w:r>
            <w:r w:rsidR="00447A0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(Tesis Açık ve Kapalı Ala</w:t>
            </w:r>
            <w:r w:rsidR="00452304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nlarındaki Zemin Geçirimsizliği-</w:t>
            </w:r>
            <w:r w:rsidR="00447A0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Beton, </w:t>
            </w:r>
            <w:proofErr w:type="spellStart"/>
            <w:r w:rsidR="00447A0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epoksi</w:t>
            </w:r>
            <w:proofErr w:type="spellEnd"/>
            <w:r w:rsidR="00447A0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boya, </w:t>
            </w:r>
            <w:proofErr w:type="spellStart"/>
            <w:r w:rsidR="00447A0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jeomembran</w:t>
            </w:r>
            <w:proofErr w:type="spellEnd"/>
            <w:r w:rsidR="00447A0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vb. olduğu </w:t>
            </w:r>
            <w:r w:rsidR="00452304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ve tesis çevresinin çevrili olup olmadığına dair bilgi belirtilerek)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0F95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37676" w:rsidRPr="00644EAA" w:rsidRDefault="00A37676" w:rsidP="00F7359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Tesisin Girişi </w:t>
            </w:r>
            <w:r w:rsidR="00F7359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(Vaziyet Planı verilerek tankların bağlantı hatları gösterilerek)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Atık Kabul Ünitesi </w:t>
            </w:r>
            <w:r w:rsidR="00F7359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(Fotoğraf verilerek)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A37676" w:rsidRPr="00644EAA" w:rsidRDefault="00A37676" w:rsidP="00FC517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1181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Bitkisel Atık Yağ </w:t>
            </w:r>
            <w:r w:rsidR="00FC51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Stok Sahası</w:t>
            </w:r>
            <w:r w:rsidR="0081181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Teknik ve Fiziksel Özellikleri 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(Tankların sayısı, şekli-yatay-dikey-ayaklı 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ve Güvenlik Havuzları (Hacmi 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F7359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(Fotoğraf verilerek)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Proses Ünitesi</w:t>
            </w:r>
            <w:r w:rsidR="00F7359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(Fotoğraf verilerek)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0F95" w:rsidRPr="00644EAA" w:rsidRDefault="00A30F95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6663" w:type="dxa"/>
          </w:tcPr>
          <w:p w:rsidR="00A30F95" w:rsidRPr="00644EAA" w:rsidRDefault="00A30F95" w:rsidP="00644EA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Laboratuvar (tesiste lab</w:t>
            </w:r>
            <w:r w:rsid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ratuvar varsa aşağıdaki baş</w:t>
            </w:r>
            <w:r w:rsid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lıklar doldurulacak tesiste labo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ratuvar mevcut değilse bu başl</w:t>
            </w:r>
            <w:r w:rsid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ık altında akredite edilmiş labo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ratuvar ile yapılmış güncel sözleşme </w:t>
            </w:r>
            <w:r w:rsidR="00866F2F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ile ne kadar sıklıkta numune alımı ve analiz yapıldığı</w:t>
            </w:r>
            <w:r w:rsidR="00296A5F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bilgisi 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yer alacaktır).</w:t>
            </w:r>
            <w:r w:rsidR="00F7359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44EAA" w:rsidRPr="00644EAA" w:rsidTr="00B45D0E">
        <w:tc>
          <w:tcPr>
            <w:tcW w:w="2943" w:type="dxa"/>
          </w:tcPr>
          <w:p w:rsidR="00A30F95" w:rsidRPr="00644EAA" w:rsidRDefault="00A30F95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A30F95" w:rsidRPr="00644EAA" w:rsidRDefault="00A30F95" w:rsidP="00A30F9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Tesis Laboratuvarında Bulunan Cihazlar (Atık yağ içinde su ve tortu tayini; üründe viskozite, parlama noktası, akma noktası, renk, yoğunluk 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analizler için kullanılan cihazlar, laboratu</w:t>
            </w:r>
            <w:r w:rsidR="00816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 </w:t>
            </w:r>
            <w:r w:rsidR="00BB2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fotoğ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rafları vb</w:t>
            </w:r>
            <w:r w:rsidR="00BB2D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4EAA" w:rsidRPr="00644EAA" w:rsidTr="00B45D0E">
        <w:tc>
          <w:tcPr>
            <w:tcW w:w="2943" w:type="dxa"/>
          </w:tcPr>
          <w:p w:rsidR="00A30F95" w:rsidRPr="00644EAA" w:rsidRDefault="00A30F95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</w:t>
            </w:r>
          </w:p>
        </w:tc>
        <w:tc>
          <w:tcPr>
            <w:tcW w:w="6663" w:type="dxa"/>
          </w:tcPr>
          <w:p w:rsidR="00A30F95" w:rsidRPr="00644EAA" w:rsidRDefault="00A30F95" w:rsidP="00B7768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Tesiste Sürekli Yapılan Ölçümler (</w:t>
            </w:r>
            <w:r w:rsidR="00B7768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Tesiste yapılan ölçümlerin </w:t>
            </w:r>
            <w:r w:rsidR="00B77681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numune alma noktaları, t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esis yönetimi ve yetkili laboratu</w:t>
            </w:r>
            <w:r w:rsidR="008160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arlar tarafından geri kazanım verimi, işlemin güvenliği ve çevresel tedbirler açısından yapılan atık yağ, atık su, baca gazı ve ürün analizleri 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vb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  <w:r w:rsidR="0037755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6663" w:type="dxa"/>
          </w:tcPr>
          <w:p w:rsidR="00A37676" w:rsidRPr="00644EAA" w:rsidRDefault="00F7359C" w:rsidP="00150402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150402" w:rsidRPr="00644EAA">
              <w:rPr>
                <w:rFonts w:ascii="Times New Roman" w:hAnsi="Times New Roman"/>
                <w:color w:val="000000" w:themeColor="text1"/>
              </w:rPr>
              <w:t xml:space="preserve">Tesise Kabul Edilecek Bitkisel Atık Yağların Kabul </w:t>
            </w:r>
            <w:proofErr w:type="gramStart"/>
            <w:r w:rsidR="00150402" w:rsidRPr="00644EAA">
              <w:rPr>
                <w:rFonts w:ascii="Times New Roman" w:hAnsi="Times New Roman"/>
                <w:color w:val="000000" w:themeColor="text1"/>
              </w:rPr>
              <w:t>kriterleri</w:t>
            </w:r>
            <w:proofErr w:type="gramEnd"/>
            <w:r w:rsidR="00150402" w:rsidRPr="00644EAA">
              <w:rPr>
                <w:rFonts w:ascii="Times New Roman" w:hAnsi="Times New Roman"/>
                <w:color w:val="000000" w:themeColor="text1"/>
              </w:rPr>
              <w:t xml:space="preserve"> ve Belirlenmesinde Kullanılan Alet ve Ekipmanlar (Fotoğraf verilerek)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05596" w:rsidRPr="00644EAA" w:rsidRDefault="00A05596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3.8</w:t>
            </w:r>
          </w:p>
        </w:tc>
        <w:tc>
          <w:tcPr>
            <w:tcW w:w="6663" w:type="dxa"/>
          </w:tcPr>
          <w:p w:rsidR="00A05596" w:rsidRPr="00644EAA" w:rsidRDefault="00150402" w:rsidP="00A055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Yıkama Ünitesi (Fotoğraf verilerek)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05596" w:rsidRPr="00644EAA" w:rsidRDefault="00A05596" w:rsidP="0037755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3.9</w:t>
            </w:r>
          </w:p>
        </w:tc>
        <w:tc>
          <w:tcPr>
            <w:tcW w:w="6663" w:type="dxa"/>
          </w:tcPr>
          <w:p w:rsidR="00A05596" w:rsidRPr="00644EAA" w:rsidRDefault="00845330" w:rsidP="00A0559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Tesisteki Diğer Üniteler (Fotoğraf verilerek)</w:t>
            </w:r>
          </w:p>
        </w:tc>
      </w:tr>
      <w:tr w:rsidR="00644EAA" w:rsidRPr="00644EAA" w:rsidTr="00F7359C">
        <w:trPr>
          <w:trHeight w:val="443"/>
        </w:trPr>
        <w:tc>
          <w:tcPr>
            <w:tcW w:w="2943" w:type="dxa"/>
          </w:tcPr>
          <w:p w:rsidR="005F5373" w:rsidRPr="00644EAA" w:rsidRDefault="005F5373" w:rsidP="00A0559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 w:rsidR="00A05596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6663" w:type="dxa"/>
          </w:tcPr>
          <w:p w:rsidR="00D27167" w:rsidRPr="00644EAA" w:rsidRDefault="005F5373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 İçerisindeki Güvenlik Önlemleri</w:t>
            </w:r>
            <w:r w:rsidR="00711B19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(Fotoğraf verilerek)</w:t>
            </w:r>
            <w:r w:rsidR="00150402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(Tesiste görevli tüm personelin acil durum, yanıcı, patlayıcı maddelerin özellikleri ile potansiyel tehlikeler, yangınla mücadele ve ilk yardım konularında eğitildiğini gösteren belgeler sunulacak)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4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HAMMADDE BİLGİLERİ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4.1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Tesiste İşlem Görecek Bitkisel Atık Yağların Türleri ve Kod Numaraları (Atık Yönetimi Genel Esaslarına İlişkin Yönetmelik Ek-4 Atık Listesi esas alınacaktır)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4.2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Tesiste İşlem Görecek Bitkisel Atık Yağların Temin Edileceği Yerler</w:t>
            </w:r>
            <w:r w:rsidR="00A0567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(GFB sürecinde temin edilmiş yerlerin firma isimleri ve adresleri belirtilerek)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5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MAKİNE VE TEÇHİZAT BİLGİLERİ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5.1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Bitkisel Atık Yağ Kabulünden Başlayarak Nihai Ürünün Depolanmasına Kadar Kullanılan Tüm Ekipman, Makine ve Teçhizatın Adı, Sayıları ve Kapasiteleri</w:t>
            </w:r>
            <w:r w:rsidR="00A0567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(Kapasite raporu ile uyumlu olarak</w:t>
            </w:r>
            <w:r w:rsidR="00D031B5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 fotoğraf verilerek</w:t>
            </w:r>
            <w:r w:rsidR="00A0567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6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PROSES HAKKINDA BİLGİ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Tesiste Kullanılan Kimyasallar</w:t>
            </w:r>
            <w:r w:rsidR="0081181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(İsim ve miktarı ve </w:t>
            </w:r>
            <w:proofErr w:type="gramStart"/>
            <w:r w:rsidR="0081181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proseste</w:t>
            </w:r>
            <w:proofErr w:type="gramEnd"/>
            <w:r w:rsidR="0081181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nerede kullanıldığına dair tablo düzenlenerek</w:t>
            </w:r>
            <w:r w:rsidR="00D53D6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ayrıca Kimyasal Depolama Koşulları belirtilecek</w:t>
            </w:r>
            <w:r w:rsidR="0081181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CA03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CA032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663" w:type="dxa"/>
          </w:tcPr>
          <w:p w:rsidR="00A37676" w:rsidRPr="00644EAA" w:rsidRDefault="00A37676" w:rsidP="00936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Üretim Proseslerinin </w:t>
            </w:r>
            <w:r w:rsidR="00CA032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Açıklanması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(Geri kazanım yöntemi </w:t>
            </w:r>
            <w:r w:rsidR="00936E17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ilişkin teknolojik bilgi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ile </w:t>
            </w:r>
            <w:proofErr w:type="gramStart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proses</w:t>
            </w:r>
            <w:proofErr w:type="gramEnd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akım şemasını içerecek şekilde)</w:t>
            </w:r>
          </w:p>
        </w:tc>
      </w:tr>
      <w:tr w:rsidR="00354E7F" w:rsidRPr="00644EAA" w:rsidTr="00B45D0E">
        <w:tc>
          <w:tcPr>
            <w:tcW w:w="2943" w:type="dxa"/>
          </w:tcPr>
          <w:p w:rsidR="00354E7F" w:rsidRPr="00644EAA" w:rsidRDefault="00354E7F" w:rsidP="00CA03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6663" w:type="dxa"/>
          </w:tcPr>
          <w:p w:rsidR="00354E7F" w:rsidRPr="00644EAA" w:rsidRDefault="00354E7F" w:rsidP="00936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Proses kapasitesi</w:t>
            </w:r>
          </w:p>
        </w:tc>
      </w:tr>
      <w:tr w:rsidR="00644EAA" w:rsidRPr="00644EAA" w:rsidTr="00B45D0E">
        <w:tc>
          <w:tcPr>
            <w:tcW w:w="2943" w:type="dxa"/>
          </w:tcPr>
          <w:p w:rsidR="005F5373" w:rsidRPr="00644EAA" w:rsidRDefault="005F537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  <w:r w:rsidR="00354E7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5F5373" w:rsidRPr="00644EAA" w:rsidRDefault="005F5373" w:rsidP="00CA03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Ürünlerin Satışa Sunuluş Şekli</w:t>
            </w:r>
            <w:r w:rsidR="00330C04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(Fotoğraf verilerek)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7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ÜRÜNLERE İLİŞKİN BİLGİLER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7.1</w:t>
            </w:r>
          </w:p>
        </w:tc>
        <w:tc>
          <w:tcPr>
            <w:tcW w:w="6663" w:type="dxa"/>
          </w:tcPr>
          <w:p w:rsidR="00A37676" w:rsidRPr="00644EAA" w:rsidRDefault="00A37676" w:rsidP="00CA032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Bitkisel Atık Yağların Geri Kazanımı Sonucu Elde Edilen/ Edilecek Ürünler/Yarı Ürünler</w:t>
            </w:r>
            <w:r w:rsidR="00CA032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(GFB sürecinde elde edilen ürün/ürünlerin isimleri, miktarları, satış yerlerini gösteren tablo ile birlikte)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7.2</w:t>
            </w:r>
          </w:p>
        </w:tc>
        <w:tc>
          <w:tcPr>
            <w:tcW w:w="6663" w:type="dxa"/>
          </w:tcPr>
          <w:p w:rsidR="00A37676" w:rsidRPr="00644EAA" w:rsidRDefault="00A37676" w:rsidP="00936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Geri Kaz</w:t>
            </w:r>
            <w:r w:rsidR="005F5373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anım Ürünlerin Satışa Sunulan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Sektörler Hakkında Bilgi</w:t>
            </w:r>
            <w:r w:rsidR="00831C69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r w:rsidR="00936E17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GFB alındıktan sonra t</w:t>
            </w:r>
            <w:r w:rsidR="00831C69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esisin ürün sattığı firmalar tarafından üretiminde kullandığı bu ürünün sakıncası olmadığına dair kaşeli ve imzalı yazısı ile satın alma faturası verilerek)</w:t>
            </w:r>
          </w:p>
        </w:tc>
      </w:tr>
      <w:tr w:rsidR="007345A4" w:rsidRPr="00644EAA" w:rsidTr="00B45D0E">
        <w:tc>
          <w:tcPr>
            <w:tcW w:w="2943" w:type="dxa"/>
          </w:tcPr>
          <w:p w:rsidR="007345A4" w:rsidRPr="00644EAA" w:rsidRDefault="007345A4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7.3</w:t>
            </w:r>
          </w:p>
        </w:tc>
        <w:tc>
          <w:tcPr>
            <w:tcW w:w="6663" w:type="dxa"/>
          </w:tcPr>
          <w:p w:rsidR="007345A4" w:rsidRPr="00644EAA" w:rsidRDefault="007345A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Geri kazanım </w:t>
            </w:r>
            <w:r w:rsidR="00DB30E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ürünlerinin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TSE uygunluğunun belirlenmesine yönelik numune alımına ilişkin belgeler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734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6663" w:type="dxa"/>
          </w:tcPr>
          <w:p w:rsidR="00344C4A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Geri Kazanım Ürünlerinin İlgili </w:t>
            </w:r>
            <w:r w:rsidR="00FE42A7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TSE 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Standartlara Göre Yapılan Analiz Sonuçları</w:t>
            </w:r>
            <w:r w:rsidR="00241C9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veya TSE Uygunluk Belgesi</w:t>
            </w:r>
            <w:r w:rsidR="00344C4A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(GFB alındıktan sonraki tarihlerde olacak şekilde)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  <w:r w:rsidR="007345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6663" w:type="dxa"/>
          </w:tcPr>
          <w:p w:rsidR="00A37676" w:rsidRPr="00644EAA" w:rsidRDefault="00644EAA" w:rsidP="00936E17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644EAA">
              <w:rPr>
                <w:rFonts w:ascii="Times New Roman" w:hAnsi="Times New Roman"/>
                <w:color w:val="000000" w:themeColor="text1"/>
              </w:rPr>
              <w:t>Geri Kazanım Ürünlerinin Standartlara Uygunluğunu Gösterir Belge (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</w:rPr>
              <w:t>Biyodizel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</w:rPr>
              <w:t xml:space="preserve"> üretimi için EPDK’dan 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</w:rPr>
              <w:t>biyodizel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</w:rPr>
              <w:t xml:space="preserve"> üretim lisansını bu bölüme eklenecektir).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8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ATIK KARAKTERİZASYONU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8.1</w:t>
            </w:r>
            <w:bookmarkStart w:id="0" w:name="_GoBack"/>
            <w:bookmarkEnd w:id="0"/>
          </w:p>
        </w:tc>
        <w:tc>
          <w:tcPr>
            <w:tcW w:w="6663" w:type="dxa"/>
          </w:tcPr>
          <w:p w:rsidR="005F5373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Geri Kazanım İşlemleri Sonucu Oluşan Atıklar</w:t>
            </w:r>
          </w:p>
          <w:p w:rsidR="00A37676" w:rsidRPr="00644EAA" w:rsidRDefault="005F5373" w:rsidP="005F53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</w:t>
            </w:r>
            <w:proofErr w:type="gramEnd"/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Atıkları</w:t>
            </w:r>
            <w:r w:rsidR="00A37676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 Türleri (Tehlikeli, tehlikesiz, </w:t>
            </w:r>
            <w:proofErr w:type="spellStart"/>
            <w:r w:rsidR="00A37676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inert</w:t>
            </w:r>
            <w:proofErr w:type="spellEnd"/>
            <w:r w:rsidR="00A37676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), Miktarları ve Bu Atıkların Ne Şekilde Bertaraf Edileceği</w:t>
            </w:r>
            <w:r w:rsidR="00F6407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="00F6407B" w:rsidRPr="00F6407B">
              <w:rPr>
                <w:rFonts w:ascii="Times New Roman" w:hAnsi="Times New Roman"/>
                <w:color w:val="FF0000"/>
                <w:sz w:val="24"/>
                <w:szCs w:val="24"/>
              </w:rPr>
              <w:t>Seperatörden</w:t>
            </w:r>
            <w:proofErr w:type="spellEnd"/>
            <w:r w:rsidR="00F6407B" w:rsidRPr="00F6407B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çıkan atık malzeme, dinlendirme işleminde sonra çöken dip malzeme gibi ve diğer atıklar türlerinin tesiste nasıl bekletildiği, tesiste tehlikeli atık geçici depolama sahası bulunup bulunmadığı ile ilgili atık yönetimi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22DC5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ve </w:t>
            </w:r>
            <w:proofErr w:type="spellStart"/>
            <w:r w:rsidR="00A22DC5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bertarafı</w:t>
            </w:r>
            <w:proofErr w:type="spellEnd"/>
            <w:r w:rsidR="00A22DC5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yapacak firma ile </w:t>
            </w:r>
            <w:r w:rsidR="004D5D2C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yaptığı sözleşmeyi 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belirtilerek)</w:t>
            </w:r>
          </w:p>
          <w:p w:rsidR="00936E17" w:rsidRPr="00644EAA" w:rsidRDefault="00936E17" w:rsidP="005F537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EAA" w:rsidRPr="00644EAA" w:rsidTr="00B45D0E">
        <w:tc>
          <w:tcPr>
            <w:tcW w:w="2943" w:type="dxa"/>
          </w:tcPr>
          <w:p w:rsidR="00B87583" w:rsidRPr="00644EAA" w:rsidRDefault="00B87583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8.2</w:t>
            </w:r>
          </w:p>
        </w:tc>
        <w:tc>
          <w:tcPr>
            <w:tcW w:w="6663" w:type="dxa"/>
          </w:tcPr>
          <w:p w:rsidR="00B87583" w:rsidRPr="00644EAA" w:rsidRDefault="00B87583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Proses Atıklarının Depolama Alanı (Fotoğraf verilerek)</w:t>
            </w:r>
          </w:p>
          <w:p w:rsidR="00936E17" w:rsidRPr="00644EAA" w:rsidRDefault="00936E17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44EAA" w:rsidRPr="00644EAA" w:rsidTr="00B45D0E">
        <w:tc>
          <w:tcPr>
            <w:tcW w:w="2943" w:type="dxa"/>
          </w:tcPr>
          <w:p w:rsidR="00644EAA" w:rsidRPr="00644EAA" w:rsidRDefault="00644EAA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8.3</w:t>
            </w:r>
          </w:p>
        </w:tc>
        <w:tc>
          <w:tcPr>
            <w:tcW w:w="6663" w:type="dxa"/>
          </w:tcPr>
          <w:p w:rsidR="00644EAA" w:rsidRPr="00644EAA" w:rsidRDefault="00644EAA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</w:rPr>
              <w:t xml:space="preserve">Geçici Faaliyet Belgesi alınmasından sonraki dönemi kapsayacak şekilde, işletmeye kabul edilen atıklar ile tesisten çıkan tehlikeli atıklar için düzenlenen Ulusal Atık Taşıma Formları tablosu (UATF seri </w:t>
            </w:r>
            <w:proofErr w:type="spellStart"/>
            <w:r w:rsidRPr="00644EAA">
              <w:rPr>
                <w:rFonts w:ascii="Times New Roman" w:hAnsi="Times New Roman"/>
                <w:color w:val="000000" w:themeColor="text1"/>
              </w:rPr>
              <w:t>no</w:t>
            </w:r>
            <w:proofErr w:type="spellEnd"/>
            <w:r w:rsidRPr="00644EAA">
              <w:rPr>
                <w:rFonts w:ascii="Times New Roman" w:hAnsi="Times New Roman"/>
                <w:color w:val="000000" w:themeColor="text1"/>
              </w:rPr>
              <w:t>, atık kabul/çıkış tarihi, alım/gönderim yeri, miktarı bilgilerini içerecek şekilde hazırlanacak tablo)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9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KOKU GİDERİMİ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B45D0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9.1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Koku Giderimi İçin Uygulanan İşlemler</w:t>
            </w:r>
          </w:p>
        </w:tc>
      </w:tr>
      <w:tr w:rsidR="00644EAA" w:rsidRPr="00644EAA" w:rsidTr="00B45D0E">
        <w:tc>
          <w:tcPr>
            <w:tcW w:w="2943" w:type="dxa"/>
          </w:tcPr>
          <w:p w:rsidR="00A37676" w:rsidRPr="00644EAA" w:rsidRDefault="00A37676" w:rsidP="00831C69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BÖLÜM 1</w:t>
            </w:r>
            <w:r w:rsidR="00831C69"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663" w:type="dxa"/>
          </w:tcPr>
          <w:p w:rsidR="00A37676" w:rsidRPr="00644EAA" w:rsidRDefault="00A37676" w:rsidP="00B45D0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SONUÇLAR</w:t>
            </w:r>
          </w:p>
        </w:tc>
      </w:tr>
      <w:tr w:rsidR="00A37676" w:rsidRPr="00644EAA" w:rsidTr="00B45D0E">
        <w:tc>
          <w:tcPr>
            <w:tcW w:w="2943" w:type="dxa"/>
          </w:tcPr>
          <w:p w:rsidR="00A37676" w:rsidRPr="00644EAA" w:rsidRDefault="00A37676" w:rsidP="00831C6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31C69"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.1</w:t>
            </w:r>
          </w:p>
        </w:tc>
        <w:tc>
          <w:tcPr>
            <w:tcW w:w="6663" w:type="dxa"/>
          </w:tcPr>
          <w:p w:rsidR="00A37676" w:rsidRPr="00644EAA" w:rsidRDefault="00936E1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Tesis ve Faaliyet</w:t>
            </w:r>
            <w:r w:rsidR="003D3F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 üretim ve ürün kalitesi açısından nihai değerlendirmesi</w:t>
            </w:r>
            <w:r w:rsidRPr="00644EA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E3194A" w:rsidRPr="00644EAA" w:rsidRDefault="00E3194A" w:rsidP="00711B19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E3194A" w:rsidRPr="00644EAA" w:rsidSect="008A3F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BAC"/>
    <w:multiLevelType w:val="hybridMultilevel"/>
    <w:tmpl w:val="E84E7C1A"/>
    <w:lvl w:ilvl="0" w:tplc="73866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329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3AF8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0AD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54E6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747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1C04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AC16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0E6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F2"/>
    <w:rsid w:val="00011DA3"/>
    <w:rsid w:val="000237C0"/>
    <w:rsid w:val="000376AB"/>
    <w:rsid w:val="0004058F"/>
    <w:rsid w:val="000573CE"/>
    <w:rsid w:val="000632C7"/>
    <w:rsid w:val="000B5A36"/>
    <w:rsid w:val="000F7208"/>
    <w:rsid w:val="00150402"/>
    <w:rsid w:val="001804F8"/>
    <w:rsid w:val="001C2877"/>
    <w:rsid w:val="001C2E76"/>
    <w:rsid w:val="001D04EC"/>
    <w:rsid w:val="001F076E"/>
    <w:rsid w:val="00232E9B"/>
    <w:rsid w:val="00241C9A"/>
    <w:rsid w:val="00245F97"/>
    <w:rsid w:val="00296A5F"/>
    <w:rsid w:val="00330C04"/>
    <w:rsid w:val="00333119"/>
    <w:rsid w:val="003447B0"/>
    <w:rsid w:val="00344C4A"/>
    <w:rsid w:val="00352BB9"/>
    <w:rsid w:val="00354E7F"/>
    <w:rsid w:val="0037755A"/>
    <w:rsid w:val="00395483"/>
    <w:rsid w:val="00396C52"/>
    <w:rsid w:val="003D3F00"/>
    <w:rsid w:val="003F5452"/>
    <w:rsid w:val="00434F3E"/>
    <w:rsid w:val="00447A01"/>
    <w:rsid w:val="0045014D"/>
    <w:rsid w:val="00452304"/>
    <w:rsid w:val="0046753C"/>
    <w:rsid w:val="004D5D2C"/>
    <w:rsid w:val="005005D0"/>
    <w:rsid w:val="00553157"/>
    <w:rsid w:val="0056494F"/>
    <w:rsid w:val="00565929"/>
    <w:rsid w:val="00582806"/>
    <w:rsid w:val="005D076B"/>
    <w:rsid w:val="005F5373"/>
    <w:rsid w:val="006164B2"/>
    <w:rsid w:val="00644EAA"/>
    <w:rsid w:val="00656E83"/>
    <w:rsid w:val="006D4D83"/>
    <w:rsid w:val="006E567A"/>
    <w:rsid w:val="00711B19"/>
    <w:rsid w:val="007345A4"/>
    <w:rsid w:val="00773D24"/>
    <w:rsid w:val="00794693"/>
    <w:rsid w:val="007D7CB6"/>
    <w:rsid w:val="0081181A"/>
    <w:rsid w:val="00816019"/>
    <w:rsid w:val="00831C69"/>
    <w:rsid w:val="00845330"/>
    <w:rsid w:val="00866F2F"/>
    <w:rsid w:val="008A3F45"/>
    <w:rsid w:val="008B2BA0"/>
    <w:rsid w:val="008D6735"/>
    <w:rsid w:val="00936E17"/>
    <w:rsid w:val="00960F1E"/>
    <w:rsid w:val="00976C31"/>
    <w:rsid w:val="0099772C"/>
    <w:rsid w:val="009E2337"/>
    <w:rsid w:val="009F6D02"/>
    <w:rsid w:val="00A05596"/>
    <w:rsid w:val="00A0567C"/>
    <w:rsid w:val="00A11E36"/>
    <w:rsid w:val="00A15623"/>
    <w:rsid w:val="00A22DC5"/>
    <w:rsid w:val="00A30F95"/>
    <w:rsid w:val="00A37676"/>
    <w:rsid w:val="00AE3C46"/>
    <w:rsid w:val="00AF242C"/>
    <w:rsid w:val="00AF3358"/>
    <w:rsid w:val="00B04F6A"/>
    <w:rsid w:val="00B30D7C"/>
    <w:rsid w:val="00B45D0E"/>
    <w:rsid w:val="00B55058"/>
    <w:rsid w:val="00B77681"/>
    <w:rsid w:val="00B87583"/>
    <w:rsid w:val="00BA35CD"/>
    <w:rsid w:val="00BB2D0B"/>
    <w:rsid w:val="00BC086D"/>
    <w:rsid w:val="00BD17C6"/>
    <w:rsid w:val="00BD44A6"/>
    <w:rsid w:val="00C63042"/>
    <w:rsid w:val="00CA032A"/>
    <w:rsid w:val="00CB45AC"/>
    <w:rsid w:val="00CC3420"/>
    <w:rsid w:val="00D031B5"/>
    <w:rsid w:val="00D169C9"/>
    <w:rsid w:val="00D250FA"/>
    <w:rsid w:val="00D27167"/>
    <w:rsid w:val="00D42C20"/>
    <w:rsid w:val="00D53D6A"/>
    <w:rsid w:val="00D645E9"/>
    <w:rsid w:val="00DB30EC"/>
    <w:rsid w:val="00DC0685"/>
    <w:rsid w:val="00DF1777"/>
    <w:rsid w:val="00E3194A"/>
    <w:rsid w:val="00E72B98"/>
    <w:rsid w:val="00ED635A"/>
    <w:rsid w:val="00F507BB"/>
    <w:rsid w:val="00F567B3"/>
    <w:rsid w:val="00F6407B"/>
    <w:rsid w:val="00F7359C"/>
    <w:rsid w:val="00FB33F2"/>
    <w:rsid w:val="00FC517F"/>
    <w:rsid w:val="00FD1E07"/>
    <w:rsid w:val="00FE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F2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2E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34"/>
    <w:qFormat/>
    <w:rsid w:val="000376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2C7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45F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AF242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02E"/>
    <w:rPr>
      <w:rFonts w:ascii="Times New Roman" w:hAnsi="Times New Roman"/>
      <w:sz w:val="0"/>
      <w:szCs w:val="0"/>
      <w:lang w:eastAsia="en-US"/>
    </w:rPr>
  </w:style>
  <w:style w:type="paragraph" w:styleId="ListeParagraf">
    <w:name w:val="List Paragraph"/>
    <w:basedOn w:val="Normal"/>
    <w:uiPriority w:val="34"/>
    <w:qFormat/>
    <w:rsid w:val="000376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08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88574-0286-4A85-9593-2016AC0A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Cevre Orman Bakanlıgı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ykaraca</dc:creator>
  <cp:lastModifiedBy>Alev Pirci</cp:lastModifiedBy>
  <cp:revision>3</cp:revision>
  <cp:lastPrinted>2011-09-13T12:38:00Z</cp:lastPrinted>
  <dcterms:created xsi:type="dcterms:W3CDTF">2017-09-25T13:20:00Z</dcterms:created>
  <dcterms:modified xsi:type="dcterms:W3CDTF">2017-09-25T13:24:00Z</dcterms:modified>
</cp:coreProperties>
</file>