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4" w:rsidRPr="00BC26AA" w:rsidRDefault="00D57CA4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TEKNİK UYGUNLUK RAPOR FORMATI</w:t>
      </w:r>
    </w:p>
    <w:p w:rsidR="00D57CA4" w:rsidRDefault="00D57CA4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(</w:t>
      </w:r>
      <w:proofErr w:type="spellStart"/>
      <w:r w:rsidR="007E32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Kompost</w:t>
      </w:r>
      <w:proofErr w:type="spellEnd"/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)</w:t>
      </w:r>
    </w:p>
    <w:p w:rsidR="00A62773" w:rsidRDefault="00A62773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11393" w:rsidRPr="00BC26AA" w:rsidRDefault="00D57CA4" w:rsidP="00F831B1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Tesise Kabul edilecek atık kodları</w:t>
      </w:r>
      <w:r w:rsidR="00750283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711393" w:rsidRPr="00331105" w:rsidRDefault="007E3268" w:rsidP="009D7EAA">
      <w:pPr>
        <w:spacing w:line="240" w:lineRule="auto"/>
        <w:ind w:firstLine="708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proofErr w:type="spellStart"/>
      <w:r w:rsidRPr="00331105">
        <w:rPr>
          <w:rFonts w:ascii="Times New Roman" w:eastAsiaTheme="minorEastAsia" w:hAnsi="Times New Roman" w:cs="Times New Roman"/>
          <w:color w:val="auto"/>
          <w:sz w:val="22"/>
          <w:szCs w:val="22"/>
        </w:rPr>
        <w:t>Kompost</w:t>
      </w:r>
      <w:proofErr w:type="spellEnd"/>
      <w:r w:rsidR="00711393" w:rsidRPr="00331105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Tebliğ</w:t>
      </w:r>
      <w:r w:rsidRPr="00331105">
        <w:rPr>
          <w:rFonts w:ascii="Times New Roman" w:eastAsiaTheme="minorEastAsia" w:hAnsi="Times New Roman" w:cs="Times New Roman"/>
          <w:color w:val="auto"/>
          <w:sz w:val="22"/>
          <w:szCs w:val="22"/>
        </w:rPr>
        <w:t>i</w:t>
      </w:r>
      <w:r w:rsidR="00711393" w:rsidRPr="00331105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kapsamında işletmeye kabul edilmesi talep edilen atık kodları tablo olarak eklenmelidir.</w:t>
      </w:r>
    </w:p>
    <w:p w:rsidR="005F6161" w:rsidRPr="00BC26AA" w:rsidRDefault="005F6161" w:rsidP="00BC26AA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50283" w:rsidRDefault="00711393" w:rsidP="00F831B1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Ekipman Listesi</w:t>
      </w:r>
    </w:p>
    <w:p w:rsidR="007E3268" w:rsidRDefault="007E3268" w:rsidP="009D7EAA">
      <w:pPr>
        <w:spacing w:line="240" w:lineRule="auto"/>
        <w:ind w:firstLine="708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9D7EA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Aşağıdaki </w:t>
      </w:r>
      <w:proofErr w:type="gramStart"/>
      <w:r w:rsidRPr="009D7EAA">
        <w:rPr>
          <w:rFonts w:ascii="Times New Roman" w:eastAsiaTheme="minorEastAsia" w:hAnsi="Times New Roman" w:cs="Times New Roman"/>
          <w:color w:val="auto"/>
          <w:sz w:val="22"/>
          <w:szCs w:val="22"/>
        </w:rPr>
        <w:t>ekipmanlar</w:t>
      </w:r>
      <w:proofErr w:type="gramEnd"/>
      <w:r w:rsidRPr="009D7EAA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bulunmalıdır.</w:t>
      </w:r>
    </w:p>
    <w:p w:rsidR="003419B0" w:rsidRDefault="003419B0" w:rsidP="003419B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6629" w:type="dxa"/>
        <w:tblLook w:val="04A0" w:firstRow="1" w:lastRow="0" w:firstColumn="1" w:lastColumn="0" w:noHBand="0" w:noVBand="1"/>
      </w:tblPr>
      <w:tblGrid>
        <w:gridCol w:w="6204"/>
        <w:gridCol w:w="425"/>
      </w:tblGrid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Atık Kabul Birimi (üzeri kapalı)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419B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6473EF8" wp14:editId="7647764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33020</wp:posOffset>
                      </wp:positionV>
                      <wp:extent cx="180340" cy="2766695"/>
                      <wp:effectExtent l="0" t="0" r="10160" b="14605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2766695"/>
                                <a:chOff x="0" y="0"/>
                                <a:chExt cx="180391" cy="2766848"/>
                              </a:xfrm>
                            </wpg:grpSpPr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19B0" w:rsidRDefault="003419B0" w:rsidP="003419B0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828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60202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111911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39720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247985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358445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5193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6949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87050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77027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9458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2140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6" y="228965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264810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3" o:spid="_x0000_s1026" style="position:absolute;margin-left:-1.75pt;margin-top:2.6pt;width:14.2pt;height:217.85pt;z-index:251663360;mso-width-relative:margin;mso-height-relative:margin" coordsize="1803,2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m0DwQAAJAqAAAOAAAAZHJzL2Uyb0RvYy54bWzsWtuOnDgQfV8p/2D5PQM2dzRMFE0yo0jZ&#10;JFJ2P8DNXQuY2PTQs1+/ZcPQMOl5ySpEq3U/0C7Apur4UK4qfP3m1DboIRey5l2CyZWNUd6lPKu7&#10;MsF//nH3OsRIDqzLWMO7PMGPucRvbl79dj32cU55xZssFwgG6WQ89gmuhqGPLUumVd4yecX7vIOL&#10;BRctG0AUpZUJNsLobWNR2/atkYusFzzNpYSz76aL+EaPXxR5OnwuCpkPqEkw6Dboo9DHgzpaN9cs&#10;LgXrqzqd1WA/oEXL6g4eugz1jg0MHUX93VBtnQoueTFcpby1eFHUaa5tAGuI/cyae8GPvbaljMey&#10;X2ACaJ/h9MPDpp8evghUZwl2MOpYC1N0L449chQyY1/GcMO96L/2X8R8opwkZeypEK36BzPQSWP6&#10;uGCanwaUwkkS2o4LyKdwiQa+70feBHpawcx81y2t3q86RuTcMXRD1dF6eqyltFuUGXvgjzxDJP8d&#10;RF8r1ucaeakQmCEiC0afH1iDQNSY6FsUQgoL2X/k6V8Sdfy2Yl2ZvxWCj1XOMtCIaAOUqjDm1EEJ&#10;Erqiw/g7zwB9dhy4ZtIzcInrO4DGBYA9QpwZYELCwNX4LjCxuBdyuM95i1QjwXnT1L1UxrGYPXyU&#10;wwTq013aBt7U2V3dNFoQ5eG2EQgsTvCd/s3zINe3NR0aExx51NMjb67J9RC2/l0aAtjeZaANixVe&#10;7+f2wOpmaoNNTQcMeMJMEVTGw+lwmqfhwLNHgFLw6TUHtwSNiou/MRrhFU+w/HZkIseo+dDBdETE&#10;VcwctOB6AQVBrK8c1ldYl8JQCR4wmpq3w+RHjr2oywqeRLTlHX8LU1jUGlel4KTVrDdwdFL755PV&#10;fXqhJ7K6O5KVksj1NVlJSMNwdrOLS/ifM9bQdO1TvS1NtfdSr83iIn+eT13R1LepTSP1irDY8HRy&#10;UYana54GW54GO7rT89pP4BcRHUcYnqqA67zAmmVfh/EEEq4pjp+WfR007+RPVzx1IgindMhheGp4&#10;eimXirY81WvvTjylEfWnXIq6QRR6Oo8zPDU8vcBTuk2jQJyTzT3i04Wnjhe6U2JvaGpoeomm2zQK&#10;qjC/gqYeiRyT7atVTNX0THQKBbF5SZ8rqBSqQqvoFMQdaboUpfzIjVwTnBqaduXlQj/dJvsg/gqa&#10;hoHt2aYmZWj6Ik23uT7dM9df1U6DwKaB4anh6Ys83eb6U519r1x/WfWhobIo5cpNEmWi0wtJlPqM&#10;vopOQdxv2YdHqx0ShBLX1n7ccNRw9BJHoXC55qj+FrSTLw0cMn3VpzSMfM/Q1Cz5Ly35znarFIj7&#10;udLzZyjquyGxTXn/P8lTvcEPtj3qPX/zFk21r3It611V542kN/8AAAD//wMAUEsDBBQABgAIAAAA&#10;IQDTEED63gAAAAcBAAAPAAAAZHJzL2Rvd25yZXYueG1sTI7BaoNAFEX3hf7D8ArdJaNGS2McQwht&#10;V6GQpFCye9EXlThvxJmo+ftOV+3yci/nnmw96VYM1NvGsIJwHoAgLkzZcKXg6/g+ewVhHXKJrWFS&#10;cCcL6/zxIcO0NCPvaTi4SngI2xQV1M51qZS2qEmjnZuO2HcX02t0PvaVLHscPVy3MgqCF6mxYf9Q&#10;Y0fbmorr4aYVfIw4bhbh27C7Xrb30zH5/N6FpNTz07RZgXA0ub8x/Op7dci909ncuLSiVTBbJH6p&#10;IIlA+DqKlyDOCuI4WILMM/nfP/8BAAD//wMAUEsBAi0AFAAGAAgAAAAhALaDOJL+AAAA4QEAABMA&#10;AAAAAAAAAAAAAAAAAAAAAFtDb250ZW50X1R5cGVzXS54bWxQSwECLQAUAAYACAAAACEAOP0h/9YA&#10;AACUAQAACwAAAAAAAAAAAAAAAAAvAQAAX3JlbHMvLnJlbHNQSwECLQAUAAYACAAAACEANUnptA8E&#10;AACQKgAADgAAAAAAAAAAAAAAAAAuAgAAZHJzL2Uyb0RvYy54bWxQSwECLQAUAAYACAAAACEA0xBA&#10;+t4AAAAHAQAADwAAAAAAAAAAAAAAAABpBgAAZHJzL2Rvd25yZXYueG1sUEsFBgAAAAAEAAQA8wAA&#10;AHQHAAAAAA==&#10;">
                      <v:oval id="Oval 13" o:spid="_x0000_s1027" style="position:absolute;left:146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      <v:textbox>
                          <w:txbxContent>
                            <w:p w:rsidR="003419B0" w:rsidRDefault="003419B0" w:rsidP="003419B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" o:spid="_x0000_s1028" style="position:absolute;left:219;top:1828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  <v:oval id="Oval 15" o:spid="_x0000_s1029" style="position:absolute;left:219;top:16020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    <v:oval id="Oval 17" o:spid="_x0000_s1030" style="position:absolute;left:146;top:11119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    <v:oval id="Oval 18" o:spid="_x0000_s1031" style="position:absolute;left:146;top:13972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      <v:oval id="Oval 19" o:spid="_x0000_s1032" style="position:absolute;left:292;top:24798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    <v:oval id="Oval 24" o:spid="_x0000_s1033" style="position:absolute;left:292;top:3584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<v:oval id="Oval 25" o:spid="_x0000_s1034" style="position:absolute;left:292;top:5193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v:oval id="Oval 26" o:spid="_x0000_s1035" style="position:absolute;left:219;top:6949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  <v:oval id="Oval 27" o:spid="_x0000_s1036" style="position:absolute;left:219;top:8705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      <v:oval id="Oval 28" o:spid="_x0000_s1037" style="position:absolute;left:219;top:17702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    <v:oval id="Oval 29" o:spid="_x0000_s1038" style="position:absolute;left:219;top:19458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<v:oval id="Oval 30" o:spid="_x0000_s1039" style="position:absolute;top:21214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<v:oval id="Oval 31" o:spid="_x0000_s1040" style="position:absolute;left:73;top:22896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  <v:oval id="Oval 33" o:spid="_x0000_s1041" style="position:absolute;left:146;top:26481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419B0">
              <w:rPr>
                <w:rFonts w:ascii="Times New Roman" w:hAnsi="Times New Roman" w:cs="Times New Roman"/>
                <w:color w:val="auto"/>
              </w:rPr>
              <w:t>Loader</w:t>
            </w:r>
            <w:proofErr w:type="spellEnd"/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Vinç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1, 3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Manyetik ayırıcı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1, 3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Konveyör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Poşet parçalayıcı döner elek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1, 3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Parçalayıcı (Kesici değirmenler, toplu değirmenler, döner davul/ elek, parçalayıcı elekler, silindirik kırıcı vb.)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 xml:space="preserve">Döner elek (Ayırma, parçalama, ince </w:t>
            </w:r>
            <w:proofErr w:type="gramStart"/>
            <w:r w:rsidRPr="003419B0">
              <w:rPr>
                <w:rFonts w:ascii="Times New Roman" w:hAnsi="Times New Roman" w:cs="Times New Roman"/>
                <w:color w:val="auto"/>
              </w:rPr>
              <w:t>fraksiyon</w:t>
            </w:r>
            <w:proofErr w:type="gramEnd"/>
            <w:r w:rsidRPr="003419B0">
              <w:rPr>
                <w:rFonts w:ascii="Times New Roman" w:hAnsi="Times New Roman" w:cs="Times New Roman"/>
                <w:color w:val="auto"/>
              </w:rPr>
              <w:t xml:space="preserve"> &lt; 6 – 8 mm, orta fraksiyon 6/8 – 60/80 mm, kaba fraksiyon &gt; 60/80 mm.)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 xml:space="preserve">Karıştırma, havalandırma </w:t>
            </w:r>
            <w:proofErr w:type="gramStart"/>
            <w:r w:rsidRPr="003419B0">
              <w:rPr>
                <w:rFonts w:ascii="Times New Roman" w:hAnsi="Times New Roman" w:cs="Times New Roman"/>
                <w:color w:val="auto"/>
              </w:rPr>
              <w:t>ekipmanı</w:t>
            </w:r>
            <w:proofErr w:type="gramEnd"/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Ön şartlandırma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419B0">
              <w:rPr>
                <w:rFonts w:ascii="Times New Roman" w:hAnsi="Times New Roman" w:cs="Times New Roman"/>
                <w:color w:val="auto"/>
              </w:rPr>
              <w:t>Kompostlaştırma</w:t>
            </w:r>
            <w:proofErr w:type="spellEnd"/>
            <w:r w:rsidRPr="003419B0">
              <w:rPr>
                <w:rFonts w:ascii="Times New Roman" w:hAnsi="Times New Roman" w:cs="Times New Roman"/>
                <w:color w:val="auto"/>
              </w:rPr>
              <w:t xml:space="preserve">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Son şartlandırma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Son eleme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 xml:space="preserve">Diğer 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(1)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3419B0">
              <w:rPr>
                <w:rFonts w:ascii="Times New Roman" w:hAnsi="Times New Roman" w:cs="Times New Roman"/>
                <w:color w:val="auto"/>
              </w:rPr>
              <w:t>Hijyenizasyon</w:t>
            </w:r>
            <w:proofErr w:type="spellEnd"/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(2)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/>
                <w:color w:val="auto"/>
              </w:rPr>
              <w:t>Kapalı Ürün Deposu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419B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373180" wp14:editId="4A72EBB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-21590</wp:posOffset>
                      </wp:positionV>
                      <wp:extent cx="150495" cy="118110"/>
                      <wp:effectExtent l="0" t="0" r="20955" b="15240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-.7pt;margin-top:-1.7pt;width:11.85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azGQIAAC4EAAAOAAAAZHJzL2Uyb0RvYy54bWysU1Fv0zAQfkfiP1h+p0lKC2vUdJo6ipDG&#10;NmnwA1zHSSwcnzm7Tcuv5+x0pQOeEH6w7nznz999d15eH3rD9gq9BlvxYpJzpqyEWtu24l+/bN5c&#10;ceaDsLUwYFXFj8rz69XrV8vBlWoKHZhaISMQ68vBVbwLwZVZ5mWneuEn4JSlYAPYi0AutlmNYiD0&#10;3mTTPH+XDYC1Q5DKezq9HYN8lfCbRsnw0DReBWYqTtxC2jHt27hnq6UoWxSu0/JEQ/wDi15oS4+e&#10;oW5FEGyH+g+oXksED02YSOgzaBotVaqBqiny36p56oRTqRYSx7uzTP7/wcr7/SMyXVf87YwzK3rq&#10;0cNeGEYuaTM4X1LKk3vEWJ13dyC/eWZh3QnbqhtEGDolamJUxPzsxYXoeLrKtsNnqAlZ7AIkmQ4N&#10;9hGQBGCH1I3juRvqEJikw2KezxZzziSFiuKqKFK3MlE+X3bow0cFPYtGxZUx2vmolyjF/s6HyEeU&#10;z1mJPxhdb7QxycF2uzbIqNqKb9JKJVCZl2nGsqHii/l0npBfxPwlRJ7W3yAQdrZOkxa1+nCyg9Bm&#10;tImlsSfxol6j7luoj6Qdwji09MnI6AB/cDbQwFbcf98JVJyZT5b0XxSzWZzw5Mzm76fk4GVkexkR&#10;VhJUxQNno7kO46/YOdRtRy8VqVwLN9SzRicxYz9HVieyNJRJ49MHilN/6aesX9989RMAAP//AwBQ&#10;SwMEFAAGAAgAAAAhAHX2G6HbAAAABwEAAA8AAABkcnMvZG93bnJldi54bWxMjsFOwzAQRO9I/IO1&#10;SNxaJzGpUIhTVVRIcOBACnc33iZR43UUu2n4e5YTnEareZp95XZxg5hxCr0nDek6AYHUeNtTq+Hz&#10;8LJ6BBGiIWsGT6jhGwNsq9ub0hTWX+kD5zq2gkcoFEZDF+NYSBmaDp0Jaz8icXfykzORz6mVdjJX&#10;HneDzJJkI53piT90ZsTnDptzfXEa9u2u3sxSxVyd9q8xP3+9v6lU6/u7ZfcEIuIS/2D41Wd1qNjp&#10;6C9kgxg0rNIHJjkVJ/dZpkAcmcszkFUp//tXPwAAAP//AwBQSwECLQAUAAYACAAAACEAtoM4kv4A&#10;AADhAQAAEwAAAAAAAAAAAAAAAAAAAAAAW0NvbnRlbnRfVHlwZXNdLnhtbFBLAQItABQABgAIAAAA&#10;IQA4/SH/1gAAAJQBAAALAAAAAAAAAAAAAAAAAC8BAABfcmVscy8ucmVsc1BLAQItABQABgAIAAAA&#10;IQDH4mazGQIAAC4EAAAOAAAAAAAAAAAAAAAAAC4CAABkcnMvZTJvRG9jLnhtbFBLAQItABQABgAI&#10;AAAAIQB19huh2wAAAAcBAAAPAAAAAAAAAAAAAAAAAHMEAABkcnMvZG93bnJldi54bWxQSwUGAAAA&#10;AAQABADzAAAAewUAAAAA&#10;"/>
                  </w:pict>
                </mc:Fallback>
              </mc:AlternateContent>
            </w: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Paketleme Ünitesi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(4)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419B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29FEDD" wp14:editId="6323178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1905</wp:posOffset>
                      </wp:positionV>
                      <wp:extent cx="150495" cy="118110"/>
                      <wp:effectExtent l="0" t="0" r="20955" b="1524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-.95pt;margin-top:.15pt;width:11.85pt;height: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NGGQIAAC4EAAAOAAAAZHJzL2Uyb0RvYy54bWysU1Fv0zAQfkfiP1h+p0lKC2vUdJo6ipDG&#10;NmnwA1zHSSwcnzm7Tcuv5+x0pQOeEH6w7nznz999d15eH3rD9gq9BlvxYpJzpqyEWtu24l+/bN5c&#10;ceaDsLUwYFXFj8rz69XrV8vBlWoKHZhaISMQ68vBVbwLwZVZ5mWneuEn4JSlYAPYi0AutlmNYiD0&#10;3mTTPH+XDYC1Q5DKezq9HYN8lfCbRsnw0DReBWYqTtxC2jHt27hnq6UoWxSu0/JEQ/wDi15oS4+e&#10;oW5FEGyH+g+oXksED02YSOgzaBotVaqBqiny36p56oRTqRYSx7uzTP7/wcr7/SMyXVf87ZwzK3rq&#10;0cNeGEYuaTM4X1LKk3vEWJ13dyC/eWZh3QnbqhtEGDolamJUxPzsxYXoeLrKtsNnqAlZ7AIkmQ4N&#10;9hGQBGCH1I3juRvqEJikw2KezxZESlKoKK6KInUrE+XzZYc+fFTQs2hUXBmjnY96iVLs73yIfET5&#10;nJX4g9H1RhuTHGy3a4OMqq34Jq1UApV5mWYsGyq+mE/nCflFzF9C5Gn9DQJhZ+s0aVGrDyc7CG1G&#10;m1gaexIv6jXqvoX6SNohjENLn4yMDvAHZwMNbMX9951AxZn5ZEn/RTGbxQlPzmz+fkoOXka2lxFh&#10;JUFVPHA2musw/oqdQ9129FKRyrVwQz1rdBIz9nNkdSJLQ5k0Pn2gOPWXfsr69c1XPwEAAP//AwBQ&#10;SwMEFAAGAAgAAAAhAJ79O13bAAAABQEAAA8AAABkcnMvZG93bnJldi54bWxMj8FuwjAQRO+V+Adr&#10;kXoDJ0QgCHEQAlVqDxwa2ruJlyQiXkexCenfdzm1x9U8zbzNdqNtxYC9bxwpiOcRCKTSmYYqBV/n&#10;t9kahA+ajG4doYIf9LDLJy+ZTo170CcORagEl5BPtYI6hC6V0pc1Wu3nrkPi7Op6qwOffSVNrx9c&#10;blu5iKKVtLohXqh1h4cay1txtwqO1b5YDTIJy+R6fA/L2/fpI4mVep2O+y2IgGP4g+Gpz+qQs9PF&#10;3cl40SqYxRsmFSQgOF3E/MeFqfUGZJ7J//b5LwAAAP//AwBQSwECLQAUAAYACAAAACEAtoM4kv4A&#10;AADhAQAAEwAAAAAAAAAAAAAAAAAAAAAAW0NvbnRlbnRfVHlwZXNdLnhtbFBLAQItABQABgAIAAAA&#10;IQA4/SH/1gAAAJQBAAALAAAAAAAAAAAAAAAAAC8BAABfcmVscy8ucmVsc1BLAQItABQABgAIAAAA&#10;IQDfpgNGGQIAAC4EAAAOAAAAAAAAAAAAAAAAAC4CAABkcnMvZTJvRG9jLnhtbFBLAQItABQABgAI&#10;AAAAIQCe/Ttd2wAAAAU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3419B0" w:rsidRPr="003419B0" w:rsidRDefault="003419B0" w:rsidP="003419B0">
      <w:pPr>
        <w:spacing w:line="240" w:lineRule="auto"/>
        <w:jc w:val="both"/>
        <w:rPr>
          <w:rFonts w:ascii="Times New Roman" w:hAnsi="Times New Roman"/>
          <w:color w:val="auto"/>
        </w:rPr>
      </w:pPr>
      <w:r w:rsidRPr="003419B0">
        <w:rPr>
          <w:rFonts w:ascii="Times New Roman" w:hAnsi="Times New Roman"/>
          <w:color w:val="auto"/>
          <w:vertAlign w:val="superscript"/>
        </w:rPr>
        <w:t>(1)</w:t>
      </w:r>
      <w:r w:rsidRPr="003419B0">
        <w:rPr>
          <w:rFonts w:ascii="Times New Roman" w:hAnsi="Times New Roman"/>
          <w:color w:val="auto"/>
        </w:rPr>
        <w:t xml:space="preserve"> İhtiyaç duyulması halinde yer alır.</w:t>
      </w:r>
    </w:p>
    <w:p w:rsidR="003419B0" w:rsidRPr="003419B0" w:rsidRDefault="003419B0" w:rsidP="003419B0">
      <w:pPr>
        <w:spacing w:line="240" w:lineRule="auto"/>
        <w:jc w:val="both"/>
        <w:rPr>
          <w:rFonts w:ascii="Times New Roman" w:hAnsi="Times New Roman"/>
          <w:color w:val="auto"/>
        </w:rPr>
      </w:pPr>
      <w:r w:rsidRPr="003419B0">
        <w:rPr>
          <w:rFonts w:ascii="Times New Roman" w:hAnsi="Times New Roman"/>
          <w:color w:val="auto"/>
          <w:vertAlign w:val="superscript"/>
        </w:rPr>
        <w:t xml:space="preserve">(2) </w:t>
      </w:r>
      <w:r w:rsidRPr="003419B0">
        <w:rPr>
          <w:rFonts w:ascii="Times New Roman" w:hAnsi="Times New Roman"/>
          <w:color w:val="auto"/>
        </w:rPr>
        <w:t>Hayvansal atık beslenmesi durumunda yer alır.</w:t>
      </w:r>
    </w:p>
    <w:p w:rsidR="003419B0" w:rsidRPr="003419B0" w:rsidRDefault="003419B0" w:rsidP="003419B0">
      <w:pPr>
        <w:spacing w:line="240" w:lineRule="auto"/>
        <w:jc w:val="both"/>
        <w:rPr>
          <w:rFonts w:ascii="Times New Roman" w:hAnsi="Times New Roman"/>
          <w:color w:val="auto"/>
        </w:rPr>
      </w:pPr>
      <w:r w:rsidRPr="003419B0">
        <w:rPr>
          <w:rFonts w:ascii="Times New Roman" w:hAnsi="Times New Roman"/>
          <w:color w:val="auto"/>
          <w:vertAlign w:val="superscript"/>
        </w:rPr>
        <w:t xml:space="preserve">(3) </w:t>
      </w:r>
      <w:r w:rsidRPr="003419B0">
        <w:rPr>
          <w:rFonts w:ascii="Times New Roman" w:hAnsi="Times New Roman"/>
          <w:color w:val="auto"/>
        </w:rPr>
        <w:t>Mekanik ayırma ünitesi olması durumunda aranmaz.</w:t>
      </w:r>
    </w:p>
    <w:p w:rsidR="003419B0" w:rsidRPr="003419B0" w:rsidRDefault="003419B0" w:rsidP="003419B0">
      <w:pPr>
        <w:spacing w:line="240" w:lineRule="auto"/>
        <w:jc w:val="both"/>
        <w:rPr>
          <w:rFonts w:ascii="Times New Roman" w:hAnsi="Times New Roman"/>
          <w:color w:val="auto"/>
        </w:rPr>
      </w:pPr>
      <w:r w:rsidRPr="003419B0">
        <w:rPr>
          <w:rFonts w:ascii="Times New Roman" w:hAnsi="Times New Roman"/>
          <w:color w:val="auto"/>
          <w:vertAlign w:val="superscript"/>
        </w:rPr>
        <w:t>(4)</w:t>
      </w:r>
      <w:r>
        <w:rPr>
          <w:rFonts w:ascii="Times New Roman" w:hAnsi="Times New Roman"/>
          <w:color w:val="auto"/>
          <w:vertAlign w:val="superscript"/>
        </w:rPr>
        <w:t xml:space="preserve"> </w:t>
      </w:r>
      <w:r w:rsidRPr="003419B0">
        <w:rPr>
          <w:rFonts w:ascii="Times New Roman" w:hAnsi="Times New Roman"/>
          <w:color w:val="auto"/>
        </w:rPr>
        <w:t>Ürünün piyasaya arz edilmesi durumunda yer alır.</w:t>
      </w:r>
    </w:p>
    <w:p w:rsidR="003419B0" w:rsidRPr="009D7EAA" w:rsidRDefault="003419B0" w:rsidP="009D7EAA">
      <w:pPr>
        <w:spacing w:line="240" w:lineRule="auto"/>
        <w:ind w:firstLine="708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5F6161" w:rsidRPr="004A4EBD" w:rsidRDefault="005F6161" w:rsidP="007839D1">
      <w:p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750283" w:rsidRPr="009D7EAA" w:rsidRDefault="00711393" w:rsidP="009D7EAA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9D7E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Yu</w:t>
      </w:r>
      <w:r w:rsidR="007E3268" w:rsidRPr="009D7E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karıda yer alan tabloda uygun sütün</w:t>
      </w:r>
      <w:r w:rsidRPr="009D7E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işaretlenerek işletmede bulunması gereken ekipmanların resimleri aşağıya eklenmeli ve </w:t>
      </w:r>
      <w:proofErr w:type="gramStart"/>
      <w:r w:rsidRPr="009D7E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ekipman</w:t>
      </w:r>
      <w:proofErr w:type="gramEnd"/>
      <w:r w:rsidRPr="009D7E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hakkında bilgi verilmelidir.</w:t>
      </w:r>
    </w:p>
    <w:p w:rsidR="005F6161" w:rsidRDefault="005F6161" w:rsidP="00BC26AA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A62773" w:rsidRDefault="00A62773" w:rsidP="00A62773">
      <w:pPr>
        <w:pStyle w:val="ListeParagraf"/>
        <w:numPr>
          <w:ilvl w:val="0"/>
          <w:numId w:val="5"/>
        </w:numPr>
        <w:spacing w:after="200"/>
        <w:ind w:hanging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6277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Geri kazanım sonucu elde edilecek ürünler, ürünlere ait etiketleme ve ambalajlama bilgileri</w:t>
      </w:r>
    </w:p>
    <w:p w:rsidR="00B36B28" w:rsidRDefault="00B36B28" w:rsidP="009D7EAA">
      <w:pPr>
        <w:spacing w:after="200"/>
        <w:ind w:left="708" w:firstLine="708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Kompost</w:t>
      </w:r>
      <w:proofErr w:type="spellEnd"/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Tablosu</w:t>
      </w:r>
    </w:p>
    <w:p w:rsidR="00B36B28" w:rsidRDefault="00B36B28" w:rsidP="00B36B28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TabloKlavuzu"/>
        <w:tblW w:w="8897" w:type="dxa"/>
        <w:tblLook w:val="04A0" w:firstRow="1" w:lastRow="0" w:firstColumn="1" w:lastColumn="0" w:noHBand="0" w:noVBand="1"/>
      </w:tblPr>
      <w:tblGrid>
        <w:gridCol w:w="1270"/>
        <w:gridCol w:w="1673"/>
        <w:gridCol w:w="1276"/>
        <w:gridCol w:w="1418"/>
        <w:gridCol w:w="1701"/>
        <w:gridCol w:w="1559"/>
      </w:tblGrid>
      <w:tr w:rsidR="00B36B28" w:rsidRPr="00411F42" w:rsidTr="00A21734">
        <w:tc>
          <w:tcPr>
            <w:tcW w:w="1270" w:type="dxa"/>
          </w:tcPr>
          <w:p w:rsidR="00B36B28" w:rsidRPr="00331105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Atık Kodu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673" w:type="dxa"/>
          </w:tcPr>
          <w:p w:rsidR="00B36B28" w:rsidRPr="00331105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Toplam Alınan Atık Miktarı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36B28" w:rsidRPr="00331105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Toplam Üretilen Kompost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</w:tcPr>
          <w:p w:rsidR="00B36B28" w:rsidRPr="00331105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Kompost</w:t>
            </w:r>
            <w:proofErr w:type="spellEnd"/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Gönderilen</w:t>
            </w:r>
          </w:p>
          <w:p w:rsidR="00B36B28" w:rsidRPr="00331105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Yer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4</w:t>
            </w:r>
          </w:p>
        </w:tc>
        <w:tc>
          <w:tcPr>
            <w:tcW w:w="1701" w:type="dxa"/>
          </w:tcPr>
          <w:p w:rsidR="00B36B28" w:rsidRPr="00331105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Gönderilen </w:t>
            </w:r>
            <w:proofErr w:type="spellStart"/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Kompost</w:t>
            </w:r>
            <w:proofErr w:type="spellEnd"/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Miktarı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</w:t>
            </w:r>
          </w:p>
        </w:tc>
        <w:tc>
          <w:tcPr>
            <w:tcW w:w="1559" w:type="dxa"/>
          </w:tcPr>
          <w:p w:rsidR="00B36B28" w:rsidRPr="00331105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Toplam Stok Kompost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6</w:t>
            </w:r>
          </w:p>
        </w:tc>
      </w:tr>
      <w:tr w:rsidR="00B36B28" w:rsidRPr="00411F42" w:rsidTr="00A21734">
        <w:tc>
          <w:tcPr>
            <w:tcW w:w="1270" w:type="dxa"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411F4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1673" w:type="dxa"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B36B28" w:rsidRPr="00411F42" w:rsidTr="00A21734">
        <w:tc>
          <w:tcPr>
            <w:tcW w:w="1270" w:type="dxa"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411F4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1673" w:type="dxa"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B36B28" w:rsidRPr="00411F42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B36B28" w:rsidRDefault="00B36B28" w:rsidP="00B36B28">
      <w:pPr>
        <w:spacing w:after="20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B36B28" w:rsidRPr="00B36B28" w:rsidRDefault="00B36B28" w:rsidP="009D7EAA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B36B28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lastRenderedPageBreak/>
        <w:t xml:space="preserve">Yukarıda yer alan bilgiler GFB başlangıç tarihinden Lisans başvurusu tarihine kadar olan dönem için </w:t>
      </w:r>
      <w:r w:rsidRPr="00B36B28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TON</w:t>
      </w:r>
      <w:r w:rsidRPr="00B36B28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cinsinden doldurulmalıdır.</w:t>
      </w:r>
    </w:p>
    <w:p w:rsidR="00B36B28" w:rsidRPr="00CE0F22" w:rsidRDefault="00B36B28" w:rsidP="00B36B28">
      <w:pPr>
        <w:pStyle w:val="ListeParagraf"/>
        <w:numPr>
          <w:ilvl w:val="0"/>
          <w:numId w:val="11"/>
        </w:numPr>
        <w:tabs>
          <w:tab w:val="left" w:pos="993"/>
        </w:tabs>
        <w:spacing w:after="200"/>
        <w:ind w:firstLine="131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GFB döneminde atık kabulü yapılan kodlar sadece yazılmalıdır.</w:t>
      </w:r>
    </w:p>
    <w:p w:rsidR="00B36B28" w:rsidRPr="00CE0F22" w:rsidRDefault="00B36B28" w:rsidP="00B36B28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GFB başlangıç tarihinden Lisans başvurusu zamanının toplam atık kodu bazındaki kabul miktarı yazılmalıdır.</w:t>
      </w:r>
    </w:p>
    <w:p w:rsidR="00B36B28" w:rsidRPr="00CE0F22" w:rsidRDefault="00B36B28" w:rsidP="00B36B28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GFB başlangıç tarihinden Lisans başvurusu zamanına kadarki süreçte elde edilen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t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oplam </w:t>
      </w:r>
      <w:proofErr w:type="spellStart"/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kompost</w:t>
      </w:r>
      <w:proofErr w:type="spellEnd"/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miktarı verilmelidir.</w:t>
      </w:r>
    </w:p>
    <w:p w:rsidR="00B36B28" w:rsidRPr="00CE0F22" w:rsidRDefault="00B36B28" w:rsidP="00B36B28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GFB başlangıç tarihinden Lisans başvurusu zamanı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na kadarki süreçte elde edilen t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oplam </w:t>
      </w:r>
      <w:proofErr w:type="spellStart"/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kompost</w:t>
      </w:r>
      <w:proofErr w:type="spellEnd"/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miktarından gönderim yapılan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yer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ile uyumlu olacak şekilde belirtilmelidir.</w:t>
      </w:r>
    </w:p>
    <w:p w:rsidR="00B36B28" w:rsidRDefault="00B36B28" w:rsidP="00B36B28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4 üncü sütunda 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gönderim yapılan </w:t>
      </w:r>
      <w:proofErr w:type="spellStart"/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kompost</w:t>
      </w:r>
      <w:proofErr w:type="spellEnd"/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miktarı yazılmalıdır.</w:t>
      </w:r>
    </w:p>
    <w:p w:rsidR="00B36B28" w:rsidRPr="0079419F" w:rsidRDefault="00B36B28" w:rsidP="00B36B28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79419F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Lisans başvurusu itibariyle işletmede stok olarak yer alan toplam </w:t>
      </w:r>
      <w:proofErr w:type="spellStart"/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kompost</w:t>
      </w:r>
      <w:proofErr w:type="spellEnd"/>
      <w:r w:rsidRPr="0079419F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miktarı yazılmalıdır.</w:t>
      </w:r>
    </w:p>
    <w:p w:rsidR="00B36B28" w:rsidRDefault="00B36B28" w:rsidP="00B36B28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4A4EBD" w:rsidRPr="003419B0" w:rsidRDefault="004A4EBD" w:rsidP="009D7EAA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Kompost</w:t>
      </w:r>
      <w:proofErr w:type="spellEnd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Tebliği’nin 11 inci maddesinin 2 </w:t>
      </w:r>
      <w:proofErr w:type="spellStart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nci</w:t>
      </w:r>
      <w:proofErr w:type="spellEnd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fıkrası gereğince, yapılan ölçümlere ilişkin tablo (GFB süreci içerisinde)</w:t>
      </w:r>
      <w:r w:rsidR="00331105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verilmelidir.</w:t>
      </w:r>
    </w:p>
    <w:p w:rsidR="004A4EBD" w:rsidRPr="003419B0" w:rsidRDefault="004A4EBD" w:rsidP="009D7EAA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D7EAA" w:rsidRPr="003419B0" w:rsidRDefault="004A4EBD" w:rsidP="005F6161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Kompost</w:t>
      </w:r>
      <w:proofErr w:type="spellEnd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Tebliği’nin 11 inci maddesinin 5 inci fıkrası gereğince, </w:t>
      </w:r>
      <w:r w:rsidR="009D7EAA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 saat 70 ºC sıcaklığın uygulanacağı </w:t>
      </w:r>
      <w:proofErr w:type="spellStart"/>
      <w:r w:rsidR="009D7EAA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hijyenizasyon</w:t>
      </w:r>
      <w:proofErr w:type="spellEnd"/>
      <w:r w:rsidR="009D7EAA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ünitesi şartının sağlandığının belgelenme</w:t>
      </w:r>
      <w:r w:rsidR="00331105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lidir.</w:t>
      </w:r>
    </w:p>
    <w:p w:rsidR="005F6161" w:rsidRPr="003419B0" w:rsidRDefault="005F6161" w:rsidP="005F6161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36B28" w:rsidRPr="003419B0" w:rsidRDefault="00B36B28" w:rsidP="00331105">
      <w:pPr>
        <w:pStyle w:val="ListeParagraf"/>
        <w:spacing w:after="200"/>
        <w:ind w:left="0" w:firstLine="7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proofErr w:type="spellStart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Kompost</w:t>
      </w:r>
      <w:proofErr w:type="spellEnd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Tebliği’nin 13 üncü maddesi kapsamında </w:t>
      </w:r>
      <w:proofErr w:type="spellStart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kompostun</w:t>
      </w:r>
      <w:proofErr w:type="spellEnd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piyasaya arz edilmesinde, Tarımda Kullanılan Organik, </w:t>
      </w:r>
      <w:proofErr w:type="spellStart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Organomineral</w:t>
      </w:r>
      <w:proofErr w:type="spellEnd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Gübreler ve Toprak Düzenleyiciler ile </w:t>
      </w:r>
      <w:proofErr w:type="spellStart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Mikrobiyal</w:t>
      </w:r>
      <w:proofErr w:type="spellEnd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Enzim İçerikli ve Organik Kaynaklı Diğer Ürünlerin Üretimi, İthalatı, İhracatı ve Piyasaya Arzına Dair Yönetmelik hükümleri çerçevesinde alınan izin </w:t>
      </w:r>
      <w:r w:rsidR="00331105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belge </w:t>
      </w:r>
      <w:proofErr w:type="gramStart"/>
      <w:r w:rsidR="00331105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örnekleri  eklenmelidir</w:t>
      </w:r>
      <w:proofErr w:type="gramEnd"/>
      <w:r w:rsidR="00331105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E236AE" w:rsidRPr="003419B0" w:rsidRDefault="00E236AE" w:rsidP="00B36B28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B36B28" w:rsidRPr="003419B0" w:rsidRDefault="00B36B28" w:rsidP="00B36B28">
      <w:pPr>
        <w:pStyle w:val="ListeParagraf"/>
        <w:numPr>
          <w:ilvl w:val="0"/>
          <w:numId w:val="5"/>
        </w:numPr>
        <w:spacing w:after="200"/>
        <w:ind w:hanging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Tesisten Kaynaklanan Atıklar</w:t>
      </w:r>
    </w:p>
    <w:p w:rsidR="00B36B28" w:rsidRPr="003419B0" w:rsidRDefault="00B36B28" w:rsidP="00B36B28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B36B28" w:rsidRPr="003419B0" w:rsidRDefault="00B36B28" w:rsidP="009D7EAA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Tesisten </w:t>
      </w:r>
      <w:proofErr w:type="gramStart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proses</w:t>
      </w:r>
      <w:proofErr w:type="gramEnd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kaynaklı tüm atıklar (bakiye atık, elek üstü malzemeler vb.) oluştukları birim yıllık oluşum miktarları, atık kodları ve değerlendirme aşağıdaki tabloda belirtilmelidir.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29"/>
        <w:gridCol w:w="1422"/>
        <w:gridCol w:w="1276"/>
        <w:gridCol w:w="1984"/>
        <w:gridCol w:w="1756"/>
        <w:gridCol w:w="2355"/>
      </w:tblGrid>
      <w:tr w:rsidR="003419B0" w:rsidRPr="003419B0" w:rsidTr="00A217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Atık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Oluştuğu birim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Tahmini Yıllık Miktar (kg)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Değerlendirme Biçimi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Açıklama</w:t>
            </w:r>
          </w:p>
        </w:tc>
      </w:tr>
      <w:tr w:rsidR="003419B0" w:rsidRPr="003419B0" w:rsidTr="00A217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lang w:eastAsia="en-US"/>
              </w:rPr>
              <w:t>R3 vb.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Atığın ne olduğu hususunda bilgi (elek üstü malzemeler </w:t>
            </w:r>
            <w:proofErr w:type="spellStart"/>
            <w:r w:rsidRPr="003419B0">
              <w:rPr>
                <w:rFonts w:ascii="Times New Roman" w:eastAsia="Calibri" w:hAnsi="Times New Roman" w:cs="Times New Roman"/>
                <w:color w:val="auto"/>
                <w:lang w:eastAsia="en-US"/>
              </w:rPr>
              <w:t>vb</w:t>
            </w:r>
            <w:proofErr w:type="spellEnd"/>
            <w:r w:rsidRPr="003419B0">
              <w:rPr>
                <w:rFonts w:ascii="Times New Roman" w:eastAsia="Calibri" w:hAnsi="Times New Roman" w:cs="Times New Roman"/>
                <w:color w:val="auto"/>
                <w:lang w:eastAsia="en-US"/>
              </w:rPr>
              <w:t>)</w:t>
            </w:r>
          </w:p>
        </w:tc>
      </w:tr>
      <w:tr w:rsidR="00B36B28" w:rsidRPr="003419B0" w:rsidTr="00A217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236AE" w:rsidRPr="003419B0" w:rsidRDefault="00E236AE" w:rsidP="00B36B28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9D7EAA" w:rsidRPr="003419B0" w:rsidRDefault="00B36B28" w:rsidP="00B36B28">
      <w:pPr>
        <w:pStyle w:val="ListeParagraf"/>
        <w:numPr>
          <w:ilvl w:val="0"/>
          <w:numId w:val="5"/>
        </w:numPr>
        <w:spacing w:after="200"/>
        <w:ind w:hanging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proofErr w:type="spellStart"/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Kompost</w:t>
      </w:r>
      <w:proofErr w:type="spellEnd"/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Tebliği’nin 12 </w:t>
      </w:r>
      <w:proofErr w:type="spellStart"/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nci</w:t>
      </w:r>
      <w:proofErr w:type="spellEnd"/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maddesinin 2 </w:t>
      </w:r>
      <w:proofErr w:type="spellStart"/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nci</w:t>
      </w:r>
      <w:proofErr w:type="spellEnd"/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fıkrası gereği Ek-2 ve Ek-3’te yer alan </w:t>
      </w:r>
      <w:proofErr w:type="spellStart"/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kompost</w:t>
      </w:r>
      <w:proofErr w:type="spellEnd"/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kriterleri</w:t>
      </w:r>
      <w:proofErr w:type="gramEnd"/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içeren </w:t>
      </w:r>
      <w:r w:rsidR="001D0F95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Yetkili laboratuvar tarafından</w:t>
      </w:r>
      <w:r w:rsidR="001D0F95"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hazırlanan </w:t>
      </w:r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analiz raporları </w:t>
      </w:r>
    </w:p>
    <w:p w:rsidR="009D7EAA" w:rsidRPr="003419B0" w:rsidRDefault="009D7EAA" w:rsidP="009D7EAA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36B28" w:rsidRPr="003419B0" w:rsidRDefault="00E06538" w:rsidP="009D7EAA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Analiz sonuçları her bir parametre için Tebliğ’de belirtilen şartlarda, birimlerde ve sıralamada, Tebliğle karşılaştırmalı</w:t>
      </w:r>
      <w:r w:rsidR="005F6161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verilerek </w:t>
      </w:r>
      <w:r w:rsidR="009D7EAA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değerlendirilmesi yapılmalıdır.</w:t>
      </w:r>
      <w:r w:rsidR="008B7283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236AE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Analiz Raporlarının her sayfası imzalı ve kaşeli olmalıdır.</w:t>
      </w:r>
      <w:proofErr w:type="gramStart"/>
      <w:r w:rsidR="005A0841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proofErr w:type="gramEnd"/>
      <w:r w:rsidR="00C14899" w:rsidRPr="00C1489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14899">
        <w:rPr>
          <w:rFonts w:ascii="Times New Roman" w:eastAsia="Times New Roman" w:hAnsi="Times New Roman" w:cs="Times New Roman"/>
          <w:color w:val="auto"/>
          <w:sz w:val="22"/>
          <w:szCs w:val="22"/>
        </w:rPr>
        <w:t>Numuneler, yetkili laboratuvar tarafından veya Çevre ve Şehircilik İl Müdürlüğü gözetiminde alınarak analize gönderilmelidir. Numune Alma Tutanağı Analiz Raporu ile birlikte sunulmalıdır.</w:t>
      </w:r>
      <w:proofErr w:type="gramStart"/>
      <w:r w:rsidR="00C14899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proofErr w:type="gramEnd"/>
    </w:p>
    <w:p w:rsidR="00B36B28" w:rsidRPr="003419B0" w:rsidRDefault="00B36B28" w:rsidP="00B36B28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B36B28" w:rsidRPr="003419B0" w:rsidRDefault="00B36B28" w:rsidP="00B36B28">
      <w:pPr>
        <w:pStyle w:val="ListeParagraf"/>
        <w:numPr>
          <w:ilvl w:val="0"/>
          <w:numId w:val="5"/>
        </w:numPr>
        <w:spacing w:after="200"/>
        <w:ind w:hanging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Anlaşmalı Tesisler</w:t>
      </w:r>
    </w:p>
    <w:p w:rsidR="009D7EAA" w:rsidRPr="003419B0" w:rsidRDefault="009D7EAA" w:rsidP="009D7EAA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B36B28" w:rsidRPr="003419B0" w:rsidRDefault="00B36B28" w:rsidP="009D7EAA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İşletmenin, tesisten kaynaklanan kullanılmayan ve/veya standart dışı </w:t>
      </w:r>
      <w:proofErr w:type="spellStart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kompostu</w:t>
      </w:r>
      <w:proofErr w:type="spellEnd"/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kabul edecek olan atık işleme/bertaraf tesisleri ile yaptığı anlaşmalar yüklenmelidir.</w:t>
      </w:r>
    </w:p>
    <w:p w:rsidR="00B36B28" w:rsidRPr="003419B0" w:rsidRDefault="00B36B28" w:rsidP="00B36B28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9D7EAA" w:rsidRPr="003419B0" w:rsidRDefault="00B36B28" w:rsidP="00B36B28">
      <w:pPr>
        <w:pStyle w:val="ListeParagraf"/>
        <w:numPr>
          <w:ilvl w:val="0"/>
          <w:numId w:val="5"/>
        </w:numPr>
        <w:spacing w:after="200"/>
        <w:ind w:hanging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Fotoğraflar</w:t>
      </w:r>
    </w:p>
    <w:p w:rsidR="004A4EBD" w:rsidRPr="003419B0" w:rsidRDefault="00B36B28" w:rsidP="00552F8B">
      <w:pPr>
        <w:pStyle w:val="ListeParagraf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4A4EBD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İşletmede yer alan her </w:t>
      </w:r>
      <w:r w:rsidR="008B7283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bir </w:t>
      </w:r>
      <w:r w:rsidR="004A4EBD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ünitenin fotoğrafı </w:t>
      </w:r>
      <w:r w:rsidR="008B7283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ünite </w:t>
      </w:r>
      <w:r w:rsidR="004A4EBD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ismi belirtilerek </w:t>
      </w:r>
      <w:r w:rsidR="008B7283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verilmelidir.</w:t>
      </w:r>
    </w:p>
    <w:sectPr w:rsidR="004A4EBD" w:rsidRPr="003419B0" w:rsidSect="003311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98A"/>
    <w:multiLevelType w:val="hybridMultilevel"/>
    <w:tmpl w:val="4AE0C4E8"/>
    <w:lvl w:ilvl="0" w:tplc="CEC038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66AA0"/>
    <w:multiLevelType w:val="hybridMultilevel"/>
    <w:tmpl w:val="A5484280"/>
    <w:lvl w:ilvl="0" w:tplc="7A72FCC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0B51"/>
    <w:multiLevelType w:val="hybridMultilevel"/>
    <w:tmpl w:val="AA2AADD8"/>
    <w:lvl w:ilvl="0" w:tplc="48DA4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C3818"/>
    <w:multiLevelType w:val="hybridMultilevel"/>
    <w:tmpl w:val="79E231BE"/>
    <w:lvl w:ilvl="0" w:tplc="CEC03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25924"/>
    <w:multiLevelType w:val="hybridMultilevel"/>
    <w:tmpl w:val="DE2CC80A"/>
    <w:lvl w:ilvl="0" w:tplc="B34CDB9E">
      <w:start w:val="1"/>
      <w:numFmt w:val="decimal"/>
      <w:lvlText w:val="(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82325BA"/>
    <w:multiLevelType w:val="hybridMultilevel"/>
    <w:tmpl w:val="43823CA0"/>
    <w:lvl w:ilvl="0" w:tplc="10B42E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6532F"/>
    <w:multiLevelType w:val="hybridMultilevel"/>
    <w:tmpl w:val="8FDEBB34"/>
    <w:lvl w:ilvl="0" w:tplc="9A5677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C391F"/>
    <w:multiLevelType w:val="hybridMultilevel"/>
    <w:tmpl w:val="1572FA16"/>
    <w:lvl w:ilvl="0" w:tplc="09A673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90444C"/>
    <w:multiLevelType w:val="hybridMultilevel"/>
    <w:tmpl w:val="541C43A4"/>
    <w:lvl w:ilvl="0" w:tplc="DFDEE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44862"/>
    <w:multiLevelType w:val="hybridMultilevel"/>
    <w:tmpl w:val="9A2AC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92E44"/>
    <w:multiLevelType w:val="hybridMultilevel"/>
    <w:tmpl w:val="DEFA9BDA"/>
    <w:lvl w:ilvl="0" w:tplc="177092C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74A8C"/>
    <w:multiLevelType w:val="hybridMultilevel"/>
    <w:tmpl w:val="885A842A"/>
    <w:lvl w:ilvl="0" w:tplc="D5082F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4"/>
    <w:rsid w:val="000039A1"/>
    <w:rsid w:val="000723D1"/>
    <w:rsid w:val="00097E66"/>
    <w:rsid w:val="000A256B"/>
    <w:rsid w:val="000B107D"/>
    <w:rsid w:val="0017139C"/>
    <w:rsid w:val="00197A2E"/>
    <w:rsid w:val="001D0F95"/>
    <w:rsid w:val="001E1C8C"/>
    <w:rsid w:val="002D260C"/>
    <w:rsid w:val="002E4681"/>
    <w:rsid w:val="00331105"/>
    <w:rsid w:val="003419B0"/>
    <w:rsid w:val="003B5BD0"/>
    <w:rsid w:val="003C4F43"/>
    <w:rsid w:val="00411F42"/>
    <w:rsid w:val="00454A5D"/>
    <w:rsid w:val="004A4EBD"/>
    <w:rsid w:val="004A7BC4"/>
    <w:rsid w:val="004F09A4"/>
    <w:rsid w:val="00552F8B"/>
    <w:rsid w:val="005A0841"/>
    <w:rsid w:val="005F6161"/>
    <w:rsid w:val="00636CC3"/>
    <w:rsid w:val="00711393"/>
    <w:rsid w:val="00750283"/>
    <w:rsid w:val="007839D1"/>
    <w:rsid w:val="00792E98"/>
    <w:rsid w:val="007938AE"/>
    <w:rsid w:val="0079419F"/>
    <w:rsid w:val="007B462D"/>
    <w:rsid w:val="007C5CD4"/>
    <w:rsid w:val="007D51FD"/>
    <w:rsid w:val="007E3268"/>
    <w:rsid w:val="008B7283"/>
    <w:rsid w:val="00922845"/>
    <w:rsid w:val="009D7EAA"/>
    <w:rsid w:val="00A13637"/>
    <w:rsid w:val="00A62773"/>
    <w:rsid w:val="00B2031B"/>
    <w:rsid w:val="00B36B28"/>
    <w:rsid w:val="00BC26AA"/>
    <w:rsid w:val="00C14899"/>
    <w:rsid w:val="00C5337E"/>
    <w:rsid w:val="00C80FF4"/>
    <w:rsid w:val="00CD56A8"/>
    <w:rsid w:val="00CE0F22"/>
    <w:rsid w:val="00D57CA4"/>
    <w:rsid w:val="00DF3978"/>
    <w:rsid w:val="00E06538"/>
    <w:rsid w:val="00E236AE"/>
    <w:rsid w:val="00E43ED3"/>
    <w:rsid w:val="00F43933"/>
    <w:rsid w:val="00F81655"/>
    <w:rsid w:val="00F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7E326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7E326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Şahin</dc:creator>
  <cp:lastModifiedBy>Hasan Seçgin</cp:lastModifiedBy>
  <cp:revision>11</cp:revision>
  <cp:lastPrinted>2017-07-12T11:02:00Z</cp:lastPrinted>
  <dcterms:created xsi:type="dcterms:W3CDTF">2017-07-12T13:03:00Z</dcterms:created>
  <dcterms:modified xsi:type="dcterms:W3CDTF">2017-09-22T08:14:00Z</dcterms:modified>
</cp:coreProperties>
</file>