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A4" w:rsidRPr="00FD71A5" w:rsidRDefault="00D57CA4" w:rsidP="00922845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TEKNİK UYGUNLUK RAPOR FORMATI</w:t>
      </w:r>
    </w:p>
    <w:p w:rsidR="00D57CA4" w:rsidRDefault="00D57CA4" w:rsidP="00922845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(</w:t>
      </w:r>
      <w:proofErr w:type="spellStart"/>
      <w:r w:rsidR="00D05833"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Biyometanizasyon</w:t>
      </w:r>
      <w:proofErr w:type="spellEnd"/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)</w:t>
      </w:r>
    </w:p>
    <w:p w:rsidR="00DA76B5" w:rsidRPr="00FD71A5" w:rsidRDefault="00DA76B5" w:rsidP="00922845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711393" w:rsidRPr="00FD71A5" w:rsidRDefault="008045E4" w:rsidP="00F831B1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Tesise Kabul Edilecek Atık Kodları </w:t>
      </w:r>
    </w:p>
    <w:p w:rsidR="00711393" w:rsidRPr="00DA76B5" w:rsidRDefault="00C35AC6" w:rsidP="00DA76B5">
      <w:pPr>
        <w:autoSpaceDE w:val="0"/>
        <w:autoSpaceDN w:val="0"/>
        <w:adjustRightInd w:val="0"/>
        <w:spacing w:line="240" w:lineRule="auto"/>
        <w:ind w:firstLine="708"/>
        <w:contextualSpacing w:val="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 w:rsidRPr="00DA76B5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Mekanik Ayırma, </w:t>
      </w:r>
      <w:proofErr w:type="spellStart"/>
      <w:r w:rsidRPr="00DA76B5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Biyokurutma</w:t>
      </w:r>
      <w:proofErr w:type="spellEnd"/>
      <w:r w:rsidRPr="00DA76B5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ve </w:t>
      </w:r>
      <w:proofErr w:type="spellStart"/>
      <w:r w:rsidRPr="00DA76B5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>Biyometanizasyon</w:t>
      </w:r>
      <w:proofErr w:type="spellEnd"/>
      <w:r w:rsidRPr="00DA76B5"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  <w:t xml:space="preserve"> Tesisleri İle Fermente Ürün Yönetimi Tebliği </w:t>
      </w:r>
      <w:r w:rsidR="00711393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kapsamında işletmeye kabul edilmesi talep e</w:t>
      </w:r>
      <w:r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dilen atık kodları tablo </w:t>
      </w:r>
      <w:r w:rsidR="00886EB8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halinde</w:t>
      </w:r>
      <w:r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711393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eklenmelidir.</w:t>
      </w:r>
    </w:p>
    <w:p w:rsidR="00711393" w:rsidRPr="00FD71A5" w:rsidRDefault="00711393" w:rsidP="00BC26AA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750283" w:rsidRPr="00FD71A5" w:rsidRDefault="00711393" w:rsidP="00F831B1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Ekipman Listesi</w:t>
      </w:r>
    </w:p>
    <w:p w:rsidR="007E3268" w:rsidRPr="00FD71A5" w:rsidRDefault="00DA76B5" w:rsidP="007E3268">
      <w:pPr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ab/>
      </w:r>
      <w:r w:rsidR="007E3268" w:rsidRPr="00FD71A5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Aşağıdaki </w:t>
      </w:r>
      <w:proofErr w:type="gramStart"/>
      <w:r w:rsidR="007E3268" w:rsidRPr="00FD71A5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ekipmanlar</w:t>
      </w:r>
      <w:proofErr w:type="gramEnd"/>
      <w:r w:rsidR="007E3268" w:rsidRPr="00FD71A5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 bulunmalıdır.</w:t>
      </w:r>
    </w:p>
    <w:p w:rsidR="007E3268" w:rsidRPr="00FD71A5" w:rsidRDefault="007E3268" w:rsidP="007E3268">
      <w:pPr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</w:pPr>
    </w:p>
    <w:tbl>
      <w:tblPr>
        <w:tblStyle w:val="TabloKlavuzu"/>
        <w:tblW w:w="6629" w:type="dxa"/>
        <w:tblLook w:val="04A0" w:firstRow="1" w:lastRow="0" w:firstColumn="1" w:lastColumn="0" w:noHBand="0" w:noVBand="1"/>
      </w:tblPr>
      <w:tblGrid>
        <w:gridCol w:w="6143"/>
        <w:gridCol w:w="486"/>
      </w:tblGrid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E70048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0048">
              <w:rPr>
                <w:rFonts w:ascii="Times New Roman" w:eastAsia="Times New Roman" w:hAnsi="Times New Roman" w:cs="Times New Roman"/>
                <w:color w:val="auto"/>
              </w:rPr>
              <w:t>Atık</w:t>
            </w:r>
            <w:r w:rsidRPr="00E700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Kabul Birimi (Kalıcı yapı malzemesiyle kapalı)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71A5"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CF35B8" wp14:editId="174C9FE6">
                      <wp:simplePos x="0" y="0"/>
                      <wp:positionH relativeFrom="column">
                        <wp:posOffset>3327</wp:posOffset>
                      </wp:positionH>
                      <wp:positionV relativeFrom="paragraph">
                        <wp:posOffset>33172</wp:posOffset>
                      </wp:positionV>
                      <wp:extent cx="180391" cy="2766848"/>
                      <wp:effectExtent l="0" t="0" r="10160" b="14605"/>
                      <wp:wrapNone/>
                      <wp:docPr id="23" name="Gr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91" cy="2766848"/>
                                <a:chOff x="0" y="0"/>
                                <a:chExt cx="180391" cy="2766848"/>
                              </a:xfrm>
                            </wpg:grpSpPr>
                            <wps:wsp>
                              <wps:cNvPr id="5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0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45E4" w:rsidRDefault="008045E4" w:rsidP="008045E4">
                                    <w:pPr>
                                      <w:jc w:val="center"/>
                                    </w:pPr>
                                    <w:proofErr w:type="gramStart"/>
                                    <w: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82880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602029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1111911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1397204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61" y="2479853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Oval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61" y="358445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61" y="519380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694944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870509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770279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945844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21408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6" y="2289658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2648103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23" o:spid="_x0000_s1026" style="position:absolute;margin-left:.25pt;margin-top:2.6pt;width:14.2pt;height:217.85pt;z-index:251659264;mso-width-relative:margin;mso-height-relative:margin" coordsize="1803,2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">
                      <v:oval id="Oval 5" o:spid="_x0000_s1027" style="position:absolute;left:146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      <v:textbox>
                          <w:txbxContent>
                            <w:p w:rsidR="008045E4" w:rsidRDefault="008045E4" w:rsidP="008045E4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6" o:spid="_x0000_s1028" style="position:absolute;left:219;top:1828;width:151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    <v:oval id="Oval 12" o:spid="_x0000_s1029" style="position:absolute;left:219;top:16020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    <v:oval id="Oval 10" o:spid="_x0000_s1030" style="position:absolute;left:146;top:11119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      <v:oval id="Oval 11" o:spid="_x0000_s1031" style="position:absolute;left:146;top:13972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      <v:oval id="Oval 32" o:spid="_x0000_s1032" style="position:absolute;left:292;top:24798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    <v:oval id="Oval 1" o:spid="_x0000_s1033" style="position:absolute;left:292;top:3584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/>
                      <v:oval id="Oval 4" o:spid="_x0000_s1034" style="position:absolute;left:292;top:5193;width:151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      <v:oval id="Oval 7" o:spid="_x0000_s1035" style="position:absolute;left:219;top:6949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      <v:oval id="Oval 8" o:spid="_x0000_s1036" style="position:absolute;left:219;top:8705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v:oval id="Oval 9" o:spid="_x0000_s1037" style="position:absolute;left:219;top:17702;width:151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      <v:oval id="Oval 16" o:spid="_x0000_s1038" style="position:absolute;left:219;top:19458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    <v:oval id="Oval 20" o:spid="_x0000_s1039" style="position:absolute;top:21214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    <v:oval id="Oval 21" o:spid="_x0000_s1040" style="position:absolute;left:73;top:22896;width:151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    <v:oval id="Oval 22" o:spid="_x0000_s1041" style="position:absolute;left:146;top:26481;width:1511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    </v:group>
                  </w:pict>
                </mc:Fallback>
              </mc:AlternateContent>
            </w: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>Loader</w:t>
            </w:r>
            <w:proofErr w:type="spellEnd"/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>Vinç</w:t>
            </w:r>
            <w:r w:rsidRPr="004218C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1, 3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>Manyetik Ayırıcı</w:t>
            </w:r>
            <w:r w:rsidRPr="004218C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1, 3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Konveyör </w:t>
            </w:r>
            <w:r w:rsidRPr="004218C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1,3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>Poşet Parçalayıcı Döner Elek</w:t>
            </w:r>
            <w:r w:rsidRPr="004218C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1, 3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>Parçalayıcı (Kesici değirmenler, toplu değirmenler, döner davul/ elek, parçalayıcı elekler, silindirik kırıcı vb.)</w:t>
            </w:r>
            <w:r w:rsidRPr="004218C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Döner Elek (Ayırma, parçalama, ince </w:t>
            </w:r>
            <w:proofErr w:type="gramStart"/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>fraksiyon</w:t>
            </w:r>
            <w:proofErr w:type="gramEnd"/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&lt; 6 – 8 mm, orta fraksiyon 6/8 – 60/80 mm, kaba fraksiyon &gt; 60/80 mm.)</w:t>
            </w:r>
            <w:r w:rsidRPr="004218C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>Fermantasyon Reaktörü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>Gaz Depolama Birimi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4218C6">
              <w:rPr>
                <w:rFonts w:ascii="Times New Roman" w:eastAsia="Calibri" w:hAnsi="Times New Roman" w:cs="Times New Roman"/>
                <w:color w:val="000000" w:themeColor="text1"/>
              </w:rPr>
              <w:t>Susuzlaştırma</w:t>
            </w:r>
            <w:proofErr w:type="spellEnd"/>
            <w:r w:rsidRPr="004218C6">
              <w:rPr>
                <w:rFonts w:ascii="Times New Roman" w:eastAsia="Calibri" w:hAnsi="Times New Roman" w:cs="Times New Roman"/>
                <w:color w:val="000000" w:themeColor="text1"/>
              </w:rPr>
              <w:t xml:space="preserve"> Ünitesi</w:t>
            </w:r>
            <w:r w:rsidRPr="004218C6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4218C6">
              <w:rPr>
                <w:rFonts w:ascii="Times New Roman" w:hAnsi="Times New Roman" w:cs="Times New Roman"/>
                <w:color w:val="000000" w:themeColor="text1"/>
              </w:rPr>
              <w:t>Biyogazdan Enerji/Yakıt Elde Edilmesi İçin Gereken Ünite</w:t>
            </w:r>
            <w:r w:rsidRPr="004218C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 xml:space="preserve"> 1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</w:pPr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>Meşale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8045E4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18C6">
              <w:rPr>
                <w:rFonts w:ascii="Times New Roman" w:eastAsia="Calibri" w:hAnsi="Times New Roman" w:cs="Times New Roman"/>
                <w:color w:val="000000" w:themeColor="text1"/>
              </w:rPr>
              <w:t>Ürün (Katı-Sıvı) Depolama Ünitesi</w:t>
            </w:r>
            <w:r w:rsidR="00E70048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E70048">
              <w:rPr>
                <w:rFonts w:ascii="Times New Roman" w:eastAsia="Calibri" w:hAnsi="Times New Roman" w:cs="Times New Roman"/>
                <w:sz w:val="18"/>
                <w:szCs w:val="18"/>
              </w:rPr>
              <w:t>(Kapalı)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8045E4" w:rsidP="003F67F5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F42911" w:rsidRPr="00FD71A5" w:rsidTr="003F67F5">
        <w:trPr>
          <w:trHeight w:val="268"/>
        </w:trPr>
        <w:tc>
          <w:tcPr>
            <w:tcW w:w="6143" w:type="dxa"/>
            <w:vAlign w:val="center"/>
          </w:tcPr>
          <w:p w:rsidR="00F42911" w:rsidRPr="004218C6" w:rsidRDefault="00F42911" w:rsidP="003F67F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4218C6">
              <w:rPr>
                <w:rFonts w:ascii="Times New Roman" w:eastAsia="Times New Roman" w:hAnsi="Times New Roman" w:cs="Times New Roman"/>
                <w:color w:val="000000" w:themeColor="text1"/>
              </w:rPr>
              <w:t>Hijyenizasyon</w:t>
            </w:r>
            <w:proofErr w:type="spellEnd"/>
            <w:r w:rsidRPr="004218C6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</w:rPr>
              <w:t>(2)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F42911" w:rsidRPr="00FD71A5" w:rsidRDefault="00F42911" w:rsidP="003F67F5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FD71A5" w:rsidRPr="00FD71A5" w:rsidTr="003F67F5">
        <w:trPr>
          <w:trHeight w:val="268"/>
        </w:trPr>
        <w:tc>
          <w:tcPr>
            <w:tcW w:w="6143" w:type="dxa"/>
            <w:vAlign w:val="center"/>
          </w:tcPr>
          <w:p w:rsidR="008045E4" w:rsidRPr="004218C6" w:rsidRDefault="00F42911" w:rsidP="003F67F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70048">
              <w:rPr>
                <w:rFonts w:ascii="Times New Roman" w:hAnsi="Times New Roman" w:cs="Times New Roman"/>
                <w:color w:val="auto"/>
              </w:rPr>
              <w:t>Paketleme ünitesi</w:t>
            </w:r>
            <w:r w:rsidRPr="00E70048">
              <w:rPr>
                <w:rFonts w:ascii="Times New Roman" w:hAnsi="Times New Roman"/>
                <w:color w:val="auto"/>
                <w:vertAlign w:val="superscript"/>
              </w:rPr>
              <w:t>(4)</w:t>
            </w:r>
          </w:p>
        </w:tc>
        <w:tc>
          <w:tcPr>
            <w:tcW w:w="486" w:type="dxa"/>
            <w:shd w:val="clear" w:color="auto" w:fill="00B0F0"/>
            <w:vAlign w:val="center"/>
          </w:tcPr>
          <w:p w:rsidR="008045E4" w:rsidRPr="00FD71A5" w:rsidRDefault="00F42911" w:rsidP="003F67F5">
            <w:pPr>
              <w:rPr>
                <w:rFonts w:ascii="Times New Roman" w:eastAsia="Times New Roman" w:hAnsi="Times New Roman" w:cs="Times New Roman"/>
                <w:noProof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F8D5E" wp14:editId="7B6F5D2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-12065</wp:posOffset>
                      </wp:positionV>
                      <wp:extent cx="150495" cy="118110"/>
                      <wp:effectExtent l="0" t="0" r="20955" b="1524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18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.6pt;margin-top:-.95pt;width:11.85pt;height: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"/>
                  </w:pict>
                </mc:Fallback>
              </mc:AlternateContent>
            </w:r>
          </w:p>
        </w:tc>
      </w:tr>
    </w:tbl>
    <w:p w:rsidR="008045E4" w:rsidRPr="00FD71A5" w:rsidRDefault="008045E4" w:rsidP="008045E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D71A5">
        <w:rPr>
          <w:rFonts w:ascii="Times New Roman" w:eastAsia="Times New Roman" w:hAnsi="Times New Roman" w:cs="Times New Roman"/>
          <w:color w:val="000000" w:themeColor="text1"/>
          <w:vertAlign w:val="superscript"/>
        </w:rPr>
        <w:t>(1)</w:t>
      </w:r>
      <w:r w:rsidRPr="00FD71A5">
        <w:rPr>
          <w:rFonts w:ascii="Times New Roman" w:eastAsia="Times New Roman" w:hAnsi="Times New Roman" w:cs="Times New Roman"/>
          <w:color w:val="000000" w:themeColor="text1"/>
        </w:rPr>
        <w:t xml:space="preserve"> İhtiyaç duyulması halinde </w:t>
      </w:r>
      <w:r w:rsidR="00E70048">
        <w:rPr>
          <w:rFonts w:ascii="Times New Roman" w:eastAsia="Times New Roman" w:hAnsi="Times New Roman" w:cs="Times New Roman"/>
          <w:color w:val="000000" w:themeColor="text1"/>
        </w:rPr>
        <w:t>yer alır</w:t>
      </w:r>
      <w:r w:rsidRPr="00FD71A5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8045E4" w:rsidRPr="00FD71A5" w:rsidRDefault="008045E4" w:rsidP="008045E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D71A5">
        <w:rPr>
          <w:rFonts w:ascii="Times New Roman" w:eastAsia="Times New Roman" w:hAnsi="Times New Roman" w:cs="Times New Roman"/>
          <w:color w:val="000000" w:themeColor="text1"/>
          <w:vertAlign w:val="superscript"/>
        </w:rPr>
        <w:t xml:space="preserve">(2) </w:t>
      </w:r>
      <w:r w:rsidRPr="00FD71A5">
        <w:rPr>
          <w:rFonts w:ascii="Times New Roman" w:eastAsia="Times New Roman" w:hAnsi="Times New Roman" w:cs="Times New Roman"/>
          <w:color w:val="000000" w:themeColor="text1"/>
        </w:rPr>
        <w:t xml:space="preserve">Hayvansal atık beslenmesi durumunda </w:t>
      </w:r>
      <w:r w:rsidR="00E70048">
        <w:rPr>
          <w:rFonts w:ascii="Times New Roman" w:eastAsia="Times New Roman" w:hAnsi="Times New Roman" w:cs="Times New Roman"/>
          <w:color w:val="000000" w:themeColor="text1"/>
        </w:rPr>
        <w:t>yer alır</w:t>
      </w:r>
      <w:r w:rsidRPr="00FD71A5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8045E4" w:rsidRDefault="008045E4" w:rsidP="008045E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D71A5">
        <w:rPr>
          <w:rFonts w:ascii="Times New Roman" w:eastAsia="Times New Roman" w:hAnsi="Times New Roman" w:cs="Times New Roman"/>
          <w:color w:val="000000" w:themeColor="text1"/>
          <w:vertAlign w:val="superscript"/>
        </w:rPr>
        <w:t xml:space="preserve">(3) </w:t>
      </w:r>
      <w:r w:rsidRPr="00FD71A5">
        <w:rPr>
          <w:rFonts w:ascii="Times New Roman" w:eastAsia="Times New Roman" w:hAnsi="Times New Roman" w:cs="Times New Roman"/>
          <w:color w:val="000000" w:themeColor="text1"/>
        </w:rPr>
        <w:t>Mekanik ayırma ünitesi olması durumunda aranmaz.</w:t>
      </w:r>
    </w:p>
    <w:p w:rsidR="00F42911" w:rsidRPr="00E70048" w:rsidRDefault="00F42911" w:rsidP="00F42911">
      <w:pPr>
        <w:spacing w:line="240" w:lineRule="auto"/>
        <w:jc w:val="both"/>
        <w:rPr>
          <w:rFonts w:ascii="Times New Roman" w:hAnsi="Times New Roman"/>
          <w:color w:val="auto"/>
        </w:rPr>
      </w:pPr>
      <w:r w:rsidRPr="00E70048">
        <w:rPr>
          <w:rFonts w:ascii="Times New Roman" w:hAnsi="Times New Roman"/>
          <w:color w:val="auto"/>
          <w:vertAlign w:val="superscript"/>
        </w:rPr>
        <w:t>(4)</w:t>
      </w:r>
      <w:r w:rsidRPr="00E70048">
        <w:rPr>
          <w:rFonts w:ascii="Times New Roman" w:hAnsi="Times New Roman"/>
          <w:color w:val="auto"/>
        </w:rPr>
        <w:t xml:space="preserve">Ürünün piyasaya arz edilmesi durumunda </w:t>
      </w:r>
      <w:r w:rsidR="00E70048" w:rsidRPr="00E70048">
        <w:rPr>
          <w:rFonts w:ascii="Times New Roman" w:eastAsia="Times New Roman" w:hAnsi="Times New Roman" w:cs="Times New Roman"/>
          <w:color w:val="auto"/>
        </w:rPr>
        <w:t>yer alır</w:t>
      </w:r>
      <w:r w:rsidRPr="00E70048">
        <w:rPr>
          <w:rFonts w:ascii="Times New Roman" w:hAnsi="Times New Roman"/>
          <w:color w:val="auto"/>
        </w:rPr>
        <w:t>.</w:t>
      </w:r>
    </w:p>
    <w:p w:rsidR="00711393" w:rsidRPr="00FD71A5" w:rsidRDefault="008447B1" w:rsidP="00BC26AA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D71A5">
        <w:rPr>
          <w:rFonts w:ascii="Times New Roman" w:hAnsi="Times New Roman" w:cs="Times New Roman"/>
          <w:color w:val="000000" w:themeColor="text1"/>
          <w:vertAlign w:val="superscript"/>
        </w:rPr>
        <w:br w:type="textWrapping" w:clear="all"/>
      </w:r>
    </w:p>
    <w:p w:rsidR="00750283" w:rsidRDefault="00711393" w:rsidP="00DA76B5">
      <w:pPr>
        <w:spacing w:after="20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  <w:r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Yu</w:t>
      </w:r>
      <w:r w:rsidR="007E3268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karıda yer alan tabloda uygun sütün</w:t>
      </w:r>
      <w:r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işaretlenerek işletmede bulunması gereken ekipmanların resimleri aşağıya eklenmeli ve </w:t>
      </w:r>
      <w:proofErr w:type="gramStart"/>
      <w:r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ekipman</w:t>
      </w:r>
      <w:proofErr w:type="gramEnd"/>
      <w:r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hakkında bilgi verilmelidir.</w:t>
      </w:r>
    </w:p>
    <w:p w:rsidR="00DA76B5" w:rsidRPr="00DA76B5" w:rsidRDefault="00DA76B5" w:rsidP="00BC26AA">
      <w:pPr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</w:p>
    <w:p w:rsidR="00750283" w:rsidRPr="00FD71A5" w:rsidRDefault="00750283" w:rsidP="00BC26AA">
      <w:pPr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D57CA4" w:rsidRPr="00FD71A5" w:rsidRDefault="00F831B1" w:rsidP="00F831B1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3. </w:t>
      </w:r>
      <w:r w:rsidR="00D57CA4"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Tesisten Kaynaklanan Atıklar</w:t>
      </w:r>
    </w:p>
    <w:p w:rsidR="00D57CA4" w:rsidRPr="00DA76B5" w:rsidRDefault="00D57CA4" w:rsidP="00DA76B5">
      <w:pPr>
        <w:spacing w:after="20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  <w:r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Tesisten </w:t>
      </w:r>
      <w:proofErr w:type="gramStart"/>
      <w:r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proses</w:t>
      </w:r>
      <w:proofErr w:type="gramEnd"/>
      <w:r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kaynaklı tüm atıklar</w:t>
      </w:r>
      <w:r w:rsidR="007E3268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3B5BD0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(</w:t>
      </w:r>
      <w:r w:rsidR="002D4E41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bakiye atık</w:t>
      </w:r>
      <w:r w:rsidR="00636CC3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3B5BD0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vb.)</w:t>
      </w:r>
      <w:r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oluştukları birim yıllık oluşum miktarları, atık kodları ve </w:t>
      </w:r>
      <w:r w:rsidR="00E43ED3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değerlendirme aşağıdaki tabloda </w:t>
      </w:r>
      <w:r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belirtilmelidir.</w:t>
      </w:r>
    </w:p>
    <w:p w:rsidR="008616B1" w:rsidRPr="00FD71A5" w:rsidRDefault="008616B1" w:rsidP="00BC26AA">
      <w:pPr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Style w:val="TabloKlavuzu"/>
        <w:tblW w:w="9551" w:type="dxa"/>
        <w:tblLook w:val="04A0" w:firstRow="1" w:lastRow="0" w:firstColumn="1" w:lastColumn="0" w:noHBand="0" w:noVBand="1"/>
      </w:tblPr>
      <w:tblGrid>
        <w:gridCol w:w="529"/>
        <w:gridCol w:w="1422"/>
        <w:gridCol w:w="1276"/>
        <w:gridCol w:w="1984"/>
        <w:gridCol w:w="1985"/>
        <w:gridCol w:w="2355"/>
      </w:tblGrid>
      <w:tr w:rsidR="00FD71A5" w:rsidRPr="00FD71A5" w:rsidTr="00DA76B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FD71A5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FD71A5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Atık Kodu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FD71A5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Oluştuğu birim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FD71A5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Tahmini Yıllık Miktar (kg)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FD71A5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Değerlendirme Biçimi</w:t>
            </w:r>
            <w:r w:rsidR="000B563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(R ve D)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3" w:rsidRPr="00FD71A5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Açıklama</w:t>
            </w:r>
          </w:p>
        </w:tc>
      </w:tr>
      <w:tr w:rsidR="00FD71A5" w:rsidRPr="00FD71A5" w:rsidTr="00DA76B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FD71A5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FD71A5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FD71A5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ED3" w:rsidRPr="00FD71A5" w:rsidRDefault="00E43ED3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3" w:rsidRPr="00FD71A5" w:rsidRDefault="00E43ED3" w:rsidP="007D51FD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D3" w:rsidRPr="00DA76B5" w:rsidRDefault="007B462D" w:rsidP="002D4E4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Atığın ne olduğu hususunda bilgi (</w:t>
            </w:r>
            <w:r w:rsidR="002D4E41" w:rsidRPr="00DA76B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bakiye atık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vb</w:t>
            </w:r>
            <w:r w:rsidR="0005599E" w:rsidRPr="00DA76B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)</w:t>
            </w:r>
          </w:p>
        </w:tc>
      </w:tr>
      <w:tr w:rsidR="00197A2E" w:rsidRPr="00FD71A5" w:rsidTr="00DA76B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E" w:rsidRPr="00FD71A5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E" w:rsidRPr="00FD71A5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E" w:rsidRPr="00FD71A5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E" w:rsidRPr="00FD71A5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A2E" w:rsidRPr="00FD71A5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2E" w:rsidRPr="00FD71A5" w:rsidRDefault="00197A2E" w:rsidP="0017139C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CC2B91" w:rsidRDefault="00CC2B91" w:rsidP="00BC26AA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A76B5" w:rsidRDefault="00DA76B5" w:rsidP="007B2869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CC2B91" w:rsidRPr="00FD71A5" w:rsidRDefault="007B2869" w:rsidP="007B2869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 xml:space="preserve">4. </w:t>
      </w:r>
      <w:r w:rsidR="008616B1"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Ürünler</w:t>
      </w:r>
    </w:p>
    <w:p w:rsidR="008616B1" w:rsidRPr="00FD71A5" w:rsidRDefault="008616B1" w:rsidP="007B2869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8616B1" w:rsidRPr="00FD71A5" w:rsidRDefault="008616B1" w:rsidP="007B2869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Biyogaz</w:t>
      </w:r>
    </w:p>
    <w:p w:rsidR="000A256B" w:rsidRPr="00FD71A5" w:rsidRDefault="000A256B" w:rsidP="000A256B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tbl>
      <w:tblPr>
        <w:tblStyle w:val="TabloKlavuzu"/>
        <w:tblW w:w="9181" w:type="dxa"/>
        <w:tblLook w:val="04A0" w:firstRow="1" w:lastRow="0" w:firstColumn="1" w:lastColumn="0" w:noHBand="0" w:noVBand="1"/>
      </w:tblPr>
      <w:tblGrid>
        <w:gridCol w:w="1270"/>
        <w:gridCol w:w="3091"/>
        <w:gridCol w:w="2268"/>
        <w:gridCol w:w="2552"/>
      </w:tblGrid>
      <w:tr w:rsidR="00FD71A5" w:rsidRPr="00DA76B5" w:rsidTr="00DA76B5">
        <w:tc>
          <w:tcPr>
            <w:tcW w:w="1270" w:type="dxa"/>
          </w:tcPr>
          <w:p w:rsidR="00241171" w:rsidRPr="00DA76B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Atık Kodu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3091" w:type="dxa"/>
          </w:tcPr>
          <w:p w:rsidR="00241171" w:rsidRPr="00DA76B5" w:rsidRDefault="00241171" w:rsidP="00411F4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Toplam Alınan Atık Miktarı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2268" w:type="dxa"/>
          </w:tcPr>
          <w:p w:rsidR="00241171" w:rsidRPr="00DA76B5" w:rsidRDefault="00241171" w:rsidP="008616B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 xml:space="preserve">Toplam Üretilen Gaz 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2552" w:type="dxa"/>
          </w:tcPr>
          <w:p w:rsidR="00241171" w:rsidRPr="00DA76B5" w:rsidRDefault="00241171" w:rsidP="008616B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lang w:eastAsia="en-US"/>
              </w:rPr>
              <w:t>Gaza Uygulanan İşlem</w:t>
            </w:r>
            <w:r w:rsidR="004239A4" w:rsidRPr="00DA76B5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  <w:vertAlign w:val="superscript"/>
                <w:lang w:eastAsia="en-US"/>
              </w:rPr>
              <w:t>4</w:t>
            </w:r>
          </w:p>
        </w:tc>
      </w:tr>
      <w:tr w:rsidR="00FD71A5" w:rsidRPr="00FD71A5" w:rsidTr="00DA76B5">
        <w:tc>
          <w:tcPr>
            <w:tcW w:w="1270" w:type="dxa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…….</w:t>
            </w:r>
            <w:proofErr w:type="gramEnd"/>
          </w:p>
        </w:tc>
        <w:tc>
          <w:tcPr>
            <w:tcW w:w="3091" w:type="dxa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D71A5" w:rsidRPr="00FD71A5" w:rsidTr="00DA76B5">
        <w:tc>
          <w:tcPr>
            <w:tcW w:w="1270" w:type="dxa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…….</w:t>
            </w:r>
            <w:proofErr w:type="gramEnd"/>
          </w:p>
        </w:tc>
        <w:tc>
          <w:tcPr>
            <w:tcW w:w="3091" w:type="dxa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D71A5" w:rsidRPr="00FD71A5" w:rsidTr="00DA76B5">
        <w:tc>
          <w:tcPr>
            <w:tcW w:w="1270" w:type="dxa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…….</w:t>
            </w:r>
            <w:proofErr w:type="gramEnd"/>
          </w:p>
        </w:tc>
        <w:tc>
          <w:tcPr>
            <w:tcW w:w="3091" w:type="dxa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D71A5" w:rsidRPr="00FD71A5" w:rsidTr="00DA76B5">
        <w:tc>
          <w:tcPr>
            <w:tcW w:w="1270" w:type="dxa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91" w:type="dxa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41171" w:rsidRPr="00FD71A5" w:rsidTr="00DA76B5">
        <w:tc>
          <w:tcPr>
            <w:tcW w:w="1270" w:type="dxa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91" w:type="dxa"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241171" w:rsidRPr="00FD71A5" w:rsidRDefault="00241171" w:rsidP="00013816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727ECC" w:rsidRPr="00FD71A5" w:rsidRDefault="00727ECC" w:rsidP="00727ECC">
      <w:pPr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0A256B" w:rsidRPr="00FD71A5" w:rsidRDefault="000A256B" w:rsidP="00DA76B5">
      <w:pPr>
        <w:spacing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Yukarıda yer alan bilgiler GFB başlangıç tarihinden Lisans başvurusu tarihine kadar olan dönem için doldurulmalıdır.</w:t>
      </w:r>
    </w:p>
    <w:p w:rsidR="000A256B" w:rsidRPr="00FD71A5" w:rsidRDefault="000A256B" w:rsidP="0079419F">
      <w:pPr>
        <w:pStyle w:val="ListeParagraf"/>
        <w:numPr>
          <w:ilvl w:val="0"/>
          <w:numId w:val="11"/>
        </w:numPr>
        <w:tabs>
          <w:tab w:val="left" w:pos="993"/>
        </w:tabs>
        <w:spacing w:after="200"/>
        <w:ind w:firstLine="131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GFB döneminde kabulü yapılan </w:t>
      </w:r>
      <w:r w:rsidR="005E28E2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atık 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kodlar</w:t>
      </w:r>
      <w:r w:rsidR="005E28E2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ı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yazılmalıdır.</w:t>
      </w:r>
    </w:p>
    <w:p w:rsidR="000A256B" w:rsidRPr="00FD71A5" w:rsidRDefault="000A256B" w:rsidP="0079419F">
      <w:pPr>
        <w:pStyle w:val="ListeParagraf"/>
        <w:numPr>
          <w:ilvl w:val="0"/>
          <w:numId w:val="11"/>
        </w:numPr>
        <w:spacing w:after="200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GFB başlangıç tarih</w:t>
      </w:r>
      <w:r w:rsidR="00241171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inden Lisans başvurusu zamanına kadar</w:t>
      </w:r>
      <w:r w:rsidR="004655B7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ki süreçte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="00241171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toplam 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kabul miktarı </w:t>
      </w:r>
      <w:r w:rsidR="00472F77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(atık kodu bazında) 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yazılmalıdır.</w:t>
      </w:r>
    </w:p>
    <w:p w:rsidR="000A256B" w:rsidRPr="00FD71A5" w:rsidRDefault="000A256B" w:rsidP="0079419F">
      <w:pPr>
        <w:pStyle w:val="ListeParagraf"/>
        <w:numPr>
          <w:ilvl w:val="0"/>
          <w:numId w:val="11"/>
        </w:numPr>
        <w:spacing w:after="200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GFB başlangıç tarihinden Lisans başvurusu zamanına kadarki süreçte elde edilen </w:t>
      </w:r>
      <w:r w:rsidR="00411F42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t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oplam </w:t>
      </w:r>
      <w:r w:rsidR="00425978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gaz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miktarı verilmelidir.</w:t>
      </w:r>
      <w:r w:rsidR="00727ECC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(m</w:t>
      </w:r>
      <w:r w:rsidR="00727ECC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vertAlign w:val="superscript"/>
          <w:lang w:eastAsia="en-US"/>
        </w:rPr>
        <w:t>3</w:t>
      </w:r>
      <w:r w:rsidR="00727ECC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veya ton)</w:t>
      </w:r>
    </w:p>
    <w:p w:rsidR="00605BA4" w:rsidRPr="00FD71A5" w:rsidRDefault="001E09BF" w:rsidP="0079419F">
      <w:pPr>
        <w:pStyle w:val="ListeParagraf"/>
        <w:numPr>
          <w:ilvl w:val="0"/>
          <w:numId w:val="11"/>
        </w:numPr>
        <w:spacing w:after="200"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Enerji/yakıt veya meşale ile yakma.</w:t>
      </w:r>
      <w:r w:rsidR="00151F8A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</w:p>
    <w:p w:rsidR="00151F8A" w:rsidRPr="00FD71A5" w:rsidRDefault="00151F8A" w:rsidP="00151F8A">
      <w:pPr>
        <w:pStyle w:val="ListeParagraf"/>
        <w:numPr>
          <w:ilvl w:val="0"/>
          <w:numId w:val="13"/>
        </w:numPr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Enerjide kullanılıyorsa elde edilen enerji miktarı</w:t>
      </w:r>
    </w:p>
    <w:p w:rsidR="00151F8A" w:rsidRPr="00FD71A5" w:rsidRDefault="00151F8A" w:rsidP="00151F8A">
      <w:pPr>
        <w:pStyle w:val="ListeParagraf"/>
        <w:numPr>
          <w:ilvl w:val="0"/>
          <w:numId w:val="13"/>
        </w:numPr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Yakıt olarak kullanılıyorsa elde edilen yakıt miktarı</w:t>
      </w:r>
      <w:r w:rsidR="007068CB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yazılmalıdır.</w:t>
      </w:r>
    </w:p>
    <w:p w:rsidR="007068CB" w:rsidRPr="00FD71A5" w:rsidRDefault="008A486A" w:rsidP="007068CB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Sıvı Fermente Ürün</w:t>
      </w:r>
    </w:p>
    <w:p w:rsidR="007934E5" w:rsidRPr="00FD71A5" w:rsidRDefault="007934E5" w:rsidP="007068CB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tbl>
      <w:tblPr>
        <w:tblStyle w:val="TabloKlavuzu"/>
        <w:tblW w:w="9888" w:type="dxa"/>
        <w:tblLook w:val="04A0" w:firstRow="1" w:lastRow="0" w:firstColumn="1" w:lastColumn="0" w:noHBand="0" w:noVBand="1"/>
      </w:tblPr>
      <w:tblGrid>
        <w:gridCol w:w="1270"/>
        <w:gridCol w:w="1673"/>
        <w:gridCol w:w="1843"/>
        <w:gridCol w:w="1842"/>
        <w:gridCol w:w="1701"/>
        <w:gridCol w:w="1559"/>
      </w:tblGrid>
      <w:tr w:rsidR="00FD71A5" w:rsidRPr="00DA76B5" w:rsidTr="00DA76B5">
        <w:tc>
          <w:tcPr>
            <w:tcW w:w="1270" w:type="dxa"/>
          </w:tcPr>
          <w:p w:rsidR="00E85690" w:rsidRPr="00DA76B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Atık Kodu</w:t>
            </w:r>
            <w:r w:rsidR="00C31D45"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1</w:t>
            </w:r>
          </w:p>
        </w:tc>
        <w:tc>
          <w:tcPr>
            <w:tcW w:w="1673" w:type="dxa"/>
          </w:tcPr>
          <w:p w:rsidR="00E85690" w:rsidRPr="00DA76B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Toplam Alınan Atık Miktarı</w:t>
            </w:r>
            <w:r w:rsidR="005B4A3B"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</w:tcPr>
          <w:p w:rsidR="00E85690" w:rsidRPr="00DA76B5" w:rsidRDefault="00E85690" w:rsidP="007848E3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Toplam Üretilen </w:t>
            </w:r>
            <w:r w:rsidR="00510E90"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Sıvı Fermente </w:t>
            </w:r>
            <w:r w:rsidR="007848E3"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Ü</w:t>
            </w:r>
            <w:r w:rsidR="00510E90"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rün</w:t>
            </w:r>
            <w:r w:rsidR="005B4A3B"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842" w:type="dxa"/>
          </w:tcPr>
          <w:p w:rsidR="00E85690" w:rsidRPr="00DA76B5" w:rsidRDefault="006009AB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Sıvı Fermente </w:t>
            </w:r>
            <w:r w:rsidR="00247FC2"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Ü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rün </w:t>
            </w:r>
            <w:r w:rsidR="00E85690"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Gönderilen</w:t>
            </w:r>
          </w:p>
          <w:p w:rsidR="00E85690" w:rsidRPr="00DA76B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Yer</w:t>
            </w:r>
            <w:r w:rsidR="005B4A3B"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4</w:t>
            </w:r>
          </w:p>
        </w:tc>
        <w:tc>
          <w:tcPr>
            <w:tcW w:w="1701" w:type="dxa"/>
          </w:tcPr>
          <w:p w:rsidR="00E85690" w:rsidRPr="00DA76B5" w:rsidRDefault="00E85690" w:rsidP="006009AB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Gönderilen </w:t>
            </w:r>
            <w:r w:rsidR="006009AB"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Sıvı Fermente ürün 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Miktarı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5</w:t>
            </w:r>
          </w:p>
        </w:tc>
        <w:tc>
          <w:tcPr>
            <w:tcW w:w="1559" w:type="dxa"/>
          </w:tcPr>
          <w:p w:rsidR="00E85690" w:rsidRPr="00DA76B5" w:rsidRDefault="00E85690" w:rsidP="00613AD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Toplam Stok </w:t>
            </w:r>
            <w:r w:rsidR="00613AD2"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Sıvı Fermente Ürün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6</w:t>
            </w:r>
          </w:p>
        </w:tc>
      </w:tr>
      <w:tr w:rsidR="00FD71A5" w:rsidRPr="00FD71A5" w:rsidTr="00DA76B5">
        <w:tc>
          <w:tcPr>
            <w:tcW w:w="1270" w:type="dxa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…….</w:t>
            </w:r>
            <w:proofErr w:type="gramEnd"/>
          </w:p>
        </w:tc>
        <w:tc>
          <w:tcPr>
            <w:tcW w:w="1673" w:type="dxa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D71A5" w:rsidRPr="00FD71A5" w:rsidTr="00DA76B5">
        <w:tc>
          <w:tcPr>
            <w:tcW w:w="1270" w:type="dxa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…….</w:t>
            </w:r>
            <w:proofErr w:type="gramEnd"/>
          </w:p>
        </w:tc>
        <w:tc>
          <w:tcPr>
            <w:tcW w:w="1673" w:type="dxa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D71A5" w:rsidRPr="00FD71A5" w:rsidTr="00DA76B5">
        <w:tc>
          <w:tcPr>
            <w:tcW w:w="1270" w:type="dxa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…….</w:t>
            </w:r>
            <w:proofErr w:type="gramEnd"/>
          </w:p>
        </w:tc>
        <w:tc>
          <w:tcPr>
            <w:tcW w:w="1673" w:type="dxa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D71A5" w:rsidRPr="00FD71A5" w:rsidTr="00DA76B5">
        <w:tc>
          <w:tcPr>
            <w:tcW w:w="1270" w:type="dxa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009AB" w:rsidRPr="00FD71A5" w:rsidTr="00DA76B5">
        <w:tc>
          <w:tcPr>
            <w:tcW w:w="1270" w:type="dxa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E85690" w:rsidRPr="00FD71A5" w:rsidRDefault="00E85690" w:rsidP="00E85690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913202" w:rsidRPr="00FD71A5" w:rsidRDefault="00913202" w:rsidP="00913202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C31D45" w:rsidRPr="00FD71A5" w:rsidRDefault="00C31D45" w:rsidP="00DA76B5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Yukarıda yer alan bilgiler GFB başlangıç tarihinden Lisans başvurusu tarihine kadar olan dönem için </w:t>
      </w:r>
      <w:r w:rsidRPr="00FD71A5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>TON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cinsinden doldurulmalıdır.</w:t>
      </w:r>
    </w:p>
    <w:p w:rsidR="007A2BAA" w:rsidRPr="00FD71A5" w:rsidRDefault="007A2BAA" w:rsidP="007A2BAA">
      <w:pPr>
        <w:pStyle w:val="ListeParagraf"/>
        <w:numPr>
          <w:ilvl w:val="1"/>
          <w:numId w:val="11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GFB döneminde kabulü yapılan atık kodları yazılmalıdır.</w:t>
      </w:r>
    </w:p>
    <w:p w:rsidR="00672E54" w:rsidRPr="00FD71A5" w:rsidRDefault="00672E54" w:rsidP="007A2BAA">
      <w:pPr>
        <w:pStyle w:val="ListeParagraf"/>
        <w:numPr>
          <w:ilvl w:val="1"/>
          <w:numId w:val="11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GFB başlangıç tarih</w:t>
      </w:r>
      <w:r w:rsidR="004655B7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inden Lisans başvurusu zamanına kadar</w:t>
      </w:r>
      <w:r w:rsidR="00325B5B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ki süreçte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toplam kabul miktarı </w:t>
      </w:r>
      <w:r w:rsidR="00325B5B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(atık kodu bazında) 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yazılmalıdır</w:t>
      </w:r>
      <w:r w:rsidR="0032292A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.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</w:p>
    <w:p w:rsidR="00FF6885" w:rsidRPr="00FD71A5" w:rsidRDefault="007A2BAA" w:rsidP="00FF6885">
      <w:pPr>
        <w:pStyle w:val="ListeParagraf"/>
        <w:numPr>
          <w:ilvl w:val="1"/>
          <w:numId w:val="11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GFB başlangıç tarihinden Lisans başvurusu zamanına kadarki süreçte elde edilen toplam </w:t>
      </w:r>
      <w:r w:rsidR="00510E90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sıvı fermente ürün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miktarı verilmelidir. (ton)</w:t>
      </w:r>
    </w:p>
    <w:p w:rsidR="00052C72" w:rsidRPr="00FD71A5" w:rsidRDefault="00C31D45" w:rsidP="00052C72">
      <w:pPr>
        <w:pStyle w:val="ListeParagraf"/>
        <w:numPr>
          <w:ilvl w:val="1"/>
          <w:numId w:val="11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GFB başlangıç tarihinden Lisans başvurusu zamanına kadarki süreçte elde edilen </w:t>
      </w:r>
      <w:r w:rsidR="001D10FC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sıvı fermente ürünün gönderildiği yer.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</w:t>
      </w:r>
      <w:r w:rsidR="002A71C0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(Katı fermente ürün kısmına, </w:t>
      </w:r>
      <w:r w:rsidR="000415CD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araziye uygulama, arıtma, piyasaya vd.) </w:t>
      </w:r>
    </w:p>
    <w:p w:rsidR="00780673" w:rsidRPr="00FD71A5" w:rsidRDefault="001B5D65" w:rsidP="00780673">
      <w:pPr>
        <w:pStyle w:val="ListeParagraf"/>
        <w:numPr>
          <w:ilvl w:val="1"/>
          <w:numId w:val="11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Gönderilen</w:t>
      </w:r>
      <w:r w:rsidR="00C42E86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sıvı fermente ürün</w:t>
      </w:r>
      <w:r w:rsidR="00C31D45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miktarı yazılmalıdır.</w:t>
      </w:r>
    </w:p>
    <w:p w:rsidR="00C31D45" w:rsidRPr="00FD71A5" w:rsidRDefault="00C31D45" w:rsidP="00780673">
      <w:pPr>
        <w:pStyle w:val="ListeParagraf"/>
        <w:numPr>
          <w:ilvl w:val="1"/>
          <w:numId w:val="11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Lisans başvurusu itibariyle işletmede stok olarak yer alan toplam </w:t>
      </w:r>
      <w:r w:rsidR="00780673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sıvı fermente ürün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miktarı yazılmalıdır.</w:t>
      </w:r>
    </w:p>
    <w:p w:rsidR="00863AD5" w:rsidRPr="00FD71A5" w:rsidRDefault="00863AD5" w:rsidP="00E85690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</w:p>
    <w:p w:rsidR="000A5D2C" w:rsidRPr="00FD71A5" w:rsidRDefault="000A5D2C" w:rsidP="000A5D2C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Katı Fermente Ürün</w:t>
      </w:r>
    </w:p>
    <w:p w:rsidR="000A5D2C" w:rsidRPr="00FD71A5" w:rsidRDefault="000A5D2C" w:rsidP="000A5D2C">
      <w:pPr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270"/>
        <w:gridCol w:w="1673"/>
        <w:gridCol w:w="1843"/>
        <w:gridCol w:w="1843"/>
        <w:gridCol w:w="1701"/>
        <w:gridCol w:w="1559"/>
      </w:tblGrid>
      <w:tr w:rsidR="00FD71A5" w:rsidRPr="00DA76B5" w:rsidTr="00DA76B5">
        <w:tc>
          <w:tcPr>
            <w:tcW w:w="1270" w:type="dxa"/>
          </w:tcPr>
          <w:p w:rsidR="000A5D2C" w:rsidRPr="00DA76B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Atık Kodu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1</w:t>
            </w:r>
          </w:p>
        </w:tc>
        <w:tc>
          <w:tcPr>
            <w:tcW w:w="1673" w:type="dxa"/>
          </w:tcPr>
          <w:p w:rsidR="000A5D2C" w:rsidRPr="00DA76B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Toplam Alınan Atık Miktarı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</w:tcPr>
          <w:p w:rsidR="000A5D2C" w:rsidRPr="00DA76B5" w:rsidRDefault="000A5D2C" w:rsidP="00080A0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Toplam Üretilen </w:t>
            </w:r>
            <w:r w:rsidR="00080A01"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Katı</w:t>
            </w:r>
            <w:r w:rsidR="007362B1"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Fermente Ürün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</w:tcPr>
          <w:p w:rsidR="000A5D2C" w:rsidRPr="00DA76B5" w:rsidRDefault="00DD51B0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Katı</w:t>
            </w:r>
            <w:r w:rsidR="00340ABE"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  <w:r w:rsidR="000A5D2C"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Fermente Ürün Gönderilen</w:t>
            </w:r>
          </w:p>
          <w:p w:rsidR="000A5D2C" w:rsidRPr="00DA76B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Yer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4</w:t>
            </w:r>
          </w:p>
        </w:tc>
        <w:tc>
          <w:tcPr>
            <w:tcW w:w="1701" w:type="dxa"/>
          </w:tcPr>
          <w:p w:rsidR="000A5D2C" w:rsidRPr="00DA76B5" w:rsidRDefault="000A5D2C" w:rsidP="00340ABE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Gönderilen </w:t>
            </w:r>
            <w:r w:rsidR="00340ABE"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Katı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Fermente ürün Miktarı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5</w:t>
            </w:r>
          </w:p>
        </w:tc>
        <w:tc>
          <w:tcPr>
            <w:tcW w:w="1559" w:type="dxa"/>
          </w:tcPr>
          <w:p w:rsidR="000A5D2C" w:rsidRPr="00DA76B5" w:rsidRDefault="000A5D2C" w:rsidP="00340ABE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Toplam Stok </w:t>
            </w:r>
            <w:r w:rsidR="00340ABE"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Katı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Fermente Ürün</w:t>
            </w:r>
            <w:r w:rsidRPr="00DA76B5"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6</w:t>
            </w:r>
          </w:p>
        </w:tc>
      </w:tr>
      <w:tr w:rsidR="00FD71A5" w:rsidRPr="00FD71A5" w:rsidTr="00DA76B5">
        <w:tc>
          <w:tcPr>
            <w:tcW w:w="1270" w:type="dxa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…….</w:t>
            </w:r>
            <w:proofErr w:type="gramEnd"/>
          </w:p>
        </w:tc>
        <w:tc>
          <w:tcPr>
            <w:tcW w:w="1673" w:type="dxa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D71A5" w:rsidRPr="00FD71A5" w:rsidTr="00DA76B5">
        <w:tc>
          <w:tcPr>
            <w:tcW w:w="1270" w:type="dxa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…….</w:t>
            </w:r>
            <w:proofErr w:type="gramEnd"/>
          </w:p>
        </w:tc>
        <w:tc>
          <w:tcPr>
            <w:tcW w:w="1673" w:type="dxa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D71A5" w:rsidRPr="00FD71A5" w:rsidTr="00DA76B5">
        <w:tc>
          <w:tcPr>
            <w:tcW w:w="1270" w:type="dxa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D71A5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…….</w:t>
            </w:r>
            <w:proofErr w:type="gramEnd"/>
          </w:p>
        </w:tc>
        <w:tc>
          <w:tcPr>
            <w:tcW w:w="1673" w:type="dxa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FD71A5" w:rsidRPr="00FD71A5" w:rsidTr="00DA76B5">
        <w:tc>
          <w:tcPr>
            <w:tcW w:w="1270" w:type="dxa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080A01" w:rsidRPr="00FD71A5" w:rsidTr="00DA76B5">
        <w:tc>
          <w:tcPr>
            <w:tcW w:w="1270" w:type="dxa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0A5D2C" w:rsidRPr="00FD71A5" w:rsidRDefault="000A5D2C" w:rsidP="00312D11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0A5D2C" w:rsidRPr="00FD71A5" w:rsidRDefault="000A5D2C" w:rsidP="000A5D2C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0A5D2C" w:rsidRPr="00FD71A5" w:rsidRDefault="000A5D2C" w:rsidP="00DA76B5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Yukarıda yer alan bilgiler GFB başlangıç tarihinden Lisans başvurusu tarihine kadar olan dönem için </w:t>
      </w:r>
      <w:r w:rsidRPr="00FD71A5"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eastAsia="en-US"/>
        </w:rPr>
        <w:t>TON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cinsinden doldurulmalıdır.</w:t>
      </w:r>
    </w:p>
    <w:p w:rsidR="00F41AC5" w:rsidRPr="00FD71A5" w:rsidRDefault="00F41AC5" w:rsidP="00F41AC5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0A5D2C" w:rsidRPr="00FD71A5" w:rsidRDefault="000A5D2C" w:rsidP="00F41AC5">
      <w:pPr>
        <w:pStyle w:val="ListeParagraf"/>
        <w:numPr>
          <w:ilvl w:val="0"/>
          <w:numId w:val="14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GFB döneminde kabulü yapılan atık kodları yazılmalıdır.</w:t>
      </w:r>
    </w:p>
    <w:p w:rsidR="000A5D2C" w:rsidRPr="00FD71A5" w:rsidRDefault="000A5D2C" w:rsidP="00F41AC5">
      <w:pPr>
        <w:pStyle w:val="ListeParagraf"/>
        <w:numPr>
          <w:ilvl w:val="0"/>
          <w:numId w:val="14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lastRenderedPageBreak/>
        <w:t xml:space="preserve">GFB başlangıç tarihinden Lisans başvurusu zamanına kadarki süreçte toplam kabul miktarı (atık kodu bazında) yazılmalıdır. </w:t>
      </w:r>
    </w:p>
    <w:p w:rsidR="000A5D2C" w:rsidRPr="00FD71A5" w:rsidRDefault="000A5D2C" w:rsidP="00F41AC5">
      <w:pPr>
        <w:pStyle w:val="ListeParagraf"/>
        <w:numPr>
          <w:ilvl w:val="0"/>
          <w:numId w:val="14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GFB başlangıç tarihinden Lisans başvurusu zamanına kadarki süreçte elde edilen toplam </w:t>
      </w:r>
      <w:r w:rsidR="000D4D18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kat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ı fermente ürün miktarı verilmelidir. (ton)</w:t>
      </w:r>
    </w:p>
    <w:p w:rsidR="000A5D2C" w:rsidRPr="00FD71A5" w:rsidRDefault="000A5D2C" w:rsidP="00F41AC5">
      <w:pPr>
        <w:pStyle w:val="ListeParagraf"/>
        <w:numPr>
          <w:ilvl w:val="0"/>
          <w:numId w:val="14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GFB başlangıç tarihinden Lisans başvurusu zamanına kadarki süreçte elde edilen </w:t>
      </w:r>
      <w:r w:rsidR="007968F3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katı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fermente ürünün gönderildiği yer. (</w:t>
      </w:r>
      <w:r w:rsidR="00CD51CF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araziye uygulama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, piyasaya vd.) </w:t>
      </w:r>
    </w:p>
    <w:p w:rsidR="000A5D2C" w:rsidRPr="00FD71A5" w:rsidRDefault="00FA5057" w:rsidP="00F41AC5">
      <w:pPr>
        <w:pStyle w:val="ListeParagraf"/>
        <w:numPr>
          <w:ilvl w:val="0"/>
          <w:numId w:val="14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G</w:t>
      </w:r>
      <w:r w:rsidR="000A5D2C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önderi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len katı</w:t>
      </w:r>
      <w:r w:rsidR="000A5D2C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fermente ürün miktarı yazılmalıdır.</w:t>
      </w:r>
    </w:p>
    <w:p w:rsidR="000A5D2C" w:rsidRPr="00FD71A5" w:rsidRDefault="000A5D2C" w:rsidP="00F41AC5">
      <w:pPr>
        <w:pStyle w:val="ListeParagraf"/>
        <w:numPr>
          <w:ilvl w:val="0"/>
          <w:numId w:val="14"/>
        </w:numPr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Lisans başvurusu itibariyle işletmede stok olarak yer alan toplam </w:t>
      </w:r>
      <w:r w:rsidR="001C4F14"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katı</w:t>
      </w:r>
      <w:r w:rsidRPr="00FD71A5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 xml:space="preserve"> fermente ürün miktarı yazılmalıdır.</w:t>
      </w:r>
    </w:p>
    <w:p w:rsidR="00F42911" w:rsidRDefault="00F42911" w:rsidP="00F42911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F42911" w:rsidRDefault="00F42911" w:rsidP="00F42911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F42911" w:rsidRPr="00D77157" w:rsidRDefault="00546F35" w:rsidP="00D77157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Katı  fermente</w:t>
      </w:r>
      <w:proofErr w:type="gramEnd"/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ürün </w:t>
      </w:r>
      <w:r w:rsidR="00DA76B5"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toprak</w:t>
      </w: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iyileştirici olarak kullanılması ve sıvı fermente ürünün kullanılması durumunda; </w:t>
      </w:r>
      <w:r w:rsidR="00F42911"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Mekanik Ayırma, </w:t>
      </w:r>
      <w:proofErr w:type="spellStart"/>
      <w:r w:rsidR="00F42911"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Biyokurutma</w:t>
      </w:r>
      <w:proofErr w:type="spellEnd"/>
      <w:r w:rsidR="00F42911"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ve </w:t>
      </w:r>
      <w:proofErr w:type="spellStart"/>
      <w:r w:rsidR="00F42911"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Biyometanizasyon</w:t>
      </w:r>
      <w:proofErr w:type="spellEnd"/>
      <w:r w:rsidR="00F42911"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Tesisleri İle Fermente Ürün Yönetimi Tebliği’nin 12 ve 13 </w:t>
      </w: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üncü maddeleri gereği Ek-2,</w:t>
      </w:r>
      <w:r w:rsidR="00F42911"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Ek-3</w:t>
      </w: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ve Ek-4</w:t>
      </w:r>
      <w:r w:rsidR="00F42911"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’te yer alan kriterleri</w:t>
      </w: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içeren Yetkili laboratuvar tarafından hazırlanan analiz raporları (a</w:t>
      </w:r>
      <w:r w:rsidR="00F42911"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naliz sonuçları her bir parametre için Tebliğ’de belirtilen şartlarda, birimlerde ve sıralamada, Tebliğle karşılaştırmalı verilerek değerlendirilmesi yapılmalıdır.</w:t>
      </w:r>
      <w:r w:rsidR="005C4806"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Analiz Raporlarının her sayfası imzalı ve kaşeli olmalıdır.</w:t>
      </w:r>
      <w:r w:rsidR="00D77157" w:rsidRPr="00D7715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77157">
        <w:rPr>
          <w:rFonts w:ascii="Times New Roman" w:eastAsia="Times New Roman" w:hAnsi="Times New Roman" w:cs="Times New Roman"/>
          <w:color w:val="auto"/>
          <w:sz w:val="22"/>
          <w:szCs w:val="22"/>
        </w:rPr>
        <w:t>Numuneler, yetkili laboratuvar taraf</w:t>
      </w:r>
      <w:r w:rsidR="00FD002A">
        <w:rPr>
          <w:rFonts w:ascii="Times New Roman" w:eastAsia="Times New Roman" w:hAnsi="Times New Roman" w:cs="Times New Roman"/>
          <w:color w:val="auto"/>
          <w:sz w:val="22"/>
          <w:szCs w:val="22"/>
        </w:rPr>
        <w:t>ından veya Çevre ve Şehircilik İ</w:t>
      </w:r>
      <w:r w:rsidR="00D77157">
        <w:rPr>
          <w:rFonts w:ascii="Times New Roman" w:eastAsia="Times New Roman" w:hAnsi="Times New Roman" w:cs="Times New Roman"/>
          <w:color w:val="auto"/>
          <w:sz w:val="22"/>
          <w:szCs w:val="22"/>
        </w:rPr>
        <w:t>l Müdürlüğü gözetiminde alınarak analize gönderilmelidir.</w:t>
      </w:r>
      <w:r w:rsidR="00FD002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Numune Alma Tutanağı Analiz Raporu ile birlikte sunulmalıdır.</w:t>
      </w:r>
      <w:proofErr w:type="gramStart"/>
      <w:r w:rsidR="00D77157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proofErr w:type="gramEnd"/>
    </w:p>
    <w:p w:rsidR="00546F35" w:rsidRPr="00E70048" w:rsidRDefault="00546F35" w:rsidP="00546F35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21F23" w:rsidRPr="00E70048" w:rsidRDefault="00546F35" w:rsidP="00F21F23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Mekanik Ayırma, </w:t>
      </w:r>
      <w:proofErr w:type="spellStart"/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Biyokurutma</w:t>
      </w:r>
      <w:proofErr w:type="spellEnd"/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v</w:t>
      </w:r>
      <w:bookmarkStart w:id="0" w:name="_GoBack"/>
      <w:bookmarkEnd w:id="0"/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 </w:t>
      </w:r>
      <w:proofErr w:type="spellStart"/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Biyometanizasyon</w:t>
      </w:r>
      <w:proofErr w:type="spellEnd"/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Tesisleri İle Fermente Ürün Yönetimi Tebliği’nin 13 üncü maddesinin 3 üncü fıkrası gereği,</w:t>
      </w:r>
      <w:r w:rsidR="00F21F23"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uygun taşıma mesafesinden taşınan sıvı fermente ürün, Ek-2’de yer alan değerleri sağlaması ve topraktaki azami azot miktarının 170 </w:t>
      </w:r>
      <w:proofErr w:type="spellStart"/>
      <w:r w:rsidR="00F21F23"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kgN</w:t>
      </w:r>
      <w:proofErr w:type="spellEnd"/>
      <w:r w:rsidR="00F21F23"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/ha yıl olması şartıyla çevreyi kirletmeyecek şekilde, uygun araç ve </w:t>
      </w:r>
      <w:proofErr w:type="gramStart"/>
      <w:r w:rsidR="00F21F23"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ekipman</w:t>
      </w:r>
      <w:proofErr w:type="gramEnd"/>
      <w:r w:rsidR="00F21F23"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kullanılarak arazi yüzeyine, yüzey altına uygulanması durumunda Gıda Tarım ve Hayvancılık Bakanlığından gerekli izinlerin alınması ve izin belge örnekleri eklenmelidir. </w:t>
      </w:r>
    </w:p>
    <w:p w:rsidR="00F21F23" w:rsidRPr="00E70048" w:rsidRDefault="00F21F23" w:rsidP="00F21F23">
      <w:pPr>
        <w:pStyle w:val="ListeParagraf"/>
        <w:spacing w:after="200"/>
        <w:ind w:left="0" w:firstLine="720"/>
        <w:jc w:val="both"/>
        <w:rPr>
          <w:color w:val="auto"/>
        </w:rPr>
      </w:pPr>
    </w:p>
    <w:p w:rsidR="00546F35" w:rsidRPr="00E70048" w:rsidRDefault="00F21F23" w:rsidP="00F21F23">
      <w:pPr>
        <w:pStyle w:val="ListeParagraf"/>
        <w:spacing w:after="200"/>
        <w:ind w:left="0" w:firstLine="720"/>
        <w:jc w:val="both"/>
        <w:rPr>
          <w:color w:val="auto"/>
        </w:rPr>
      </w:pP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Mekanik Ayırma, </w:t>
      </w:r>
      <w:proofErr w:type="spellStart"/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Biyokurutma</w:t>
      </w:r>
      <w:proofErr w:type="spellEnd"/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ve </w:t>
      </w:r>
      <w:proofErr w:type="spellStart"/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Biyometanizasyon</w:t>
      </w:r>
      <w:proofErr w:type="spellEnd"/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Tesisleri İle Fermente Ürün Yönetimi Tebliği’nin 13 üncü maddesinin 3 üncü fıkrası gereği, sıvı fermente ürünün şartları sağlayamaması durumda bertaraf yöntemleri açıklanmalıdır</w:t>
      </w:r>
    </w:p>
    <w:p w:rsidR="00DA76B5" w:rsidRPr="00E70048" w:rsidRDefault="00DA76B5" w:rsidP="00546F35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DA76B5" w:rsidRPr="00E70048" w:rsidRDefault="00DA76B5" w:rsidP="00DA76B5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Mekanik Ayırma, </w:t>
      </w:r>
      <w:proofErr w:type="spellStart"/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Biyokurutma</w:t>
      </w:r>
      <w:proofErr w:type="spellEnd"/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ve </w:t>
      </w:r>
      <w:proofErr w:type="spellStart"/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Biyometanizasyon</w:t>
      </w:r>
      <w:proofErr w:type="spellEnd"/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Tesisleri İle Fermente Ürün Yönetimi Tebliği’nin 13 üncü maddesi kapsamında sıvı veya katı fermente ürünün piyasaya arz edilmesi durumunda;</w:t>
      </w:r>
      <w:r w:rsidRPr="00E70048">
        <w:rPr>
          <w:color w:val="auto"/>
          <w:sz w:val="22"/>
          <w:szCs w:val="22"/>
        </w:rPr>
        <w:t xml:space="preserve"> </w:t>
      </w: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Tarımda Kullanılan Organik, </w:t>
      </w:r>
      <w:proofErr w:type="spellStart"/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Organomineral</w:t>
      </w:r>
      <w:proofErr w:type="spellEnd"/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Gübreler ve Toprak Düzenleyiciler ile </w:t>
      </w:r>
      <w:proofErr w:type="spellStart"/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Mikrobiyal</w:t>
      </w:r>
      <w:proofErr w:type="spellEnd"/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Enzim İçerikli ve Organik Kaynaklı Diğer Ürünlerin Üretimi, İthalatı, İhracatı ve Piyasaya Arzına Dair Yönetmelik hükümleri çerçevesinde alınan izin belge </w:t>
      </w:r>
      <w:proofErr w:type="gramStart"/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örnekleri  eklenmelidir</w:t>
      </w:r>
      <w:proofErr w:type="gramEnd"/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F21F23" w:rsidRDefault="00F21F23" w:rsidP="00DA76B5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:rsidR="00F21F23" w:rsidRPr="00DA76B5" w:rsidRDefault="00F21F23" w:rsidP="00DA76B5">
      <w:pPr>
        <w:pStyle w:val="ListeParagraf"/>
        <w:spacing w:after="200"/>
        <w:ind w:left="0" w:firstLine="720"/>
        <w:jc w:val="both"/>
        <w:rPr>
          <w:rFonts w:ascii="Times New Roman" w:eastAsia="Calibri" w:hAnsi="Times New Roman" w:cs="Times New Roman"/>
          <w:b/>
          <w:color w:val="FF0000"/>
          <w:sz w:val="22"/>
          <w:szCs w:val="22"/>
          <w:lang w:eastAsia="en-US"/>
        </w:rPr>
      </w:pPr>
    </w:p>
    <w:p w:rsidR="001E460B" w:rsidRPr="00FD71A5" w:rsidRDefault="001E460B" w:rsidP="001E460B">
      <w:p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</w:pPr>
    </w:p>
    <w:p w:rsidR="00D57CA4" w:rsidRPr="00FD71A5" w:rsidRDefault="001E460B" w:rsidP="001E460B">
      <w:p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5. </w:t>
      </w:r>
      <w:r w:rsidR="0079419F"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A</w:t>
      </w:r>
      <w:r w:rsidR="00711393" w:rsidRPr="00FD71A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nlaşmalı Tesisler</w:t>
      </w:r>
    </w:p>
    <w:p w:rsidR="001E460B" w:rsidRPr="00FD71A5" w:rsidRDefault="001E460B" w:rsidP="001E460B">
      <w:p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vertAlign w:val="superscript"/>
          <w:lang w:eastAsia="en-US"/>
        </w:rPr>
      </w:pPr>
    </w:p>
    <w:p w:rsidR="00D57CA4" w:rsidRPr="00DA76B5" w:rsidRDefault="00DA76B5" w:rsidP="0079419F">
      <w:p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ab/>
      </w:r>
      <w:r w:rsidR="00BC26AA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İşletmenin</w:t>
      </w:r>
      <w:r w:rsidR="004552BD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,</w:t>
      </w:r>
      <w:r w:rsidR="00BC26AA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5F28E5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tesisten kaynaklanan</w:t>
      </w:r>
      <w:r w:rsidR="00BC26AA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</w:t>
      </w:r>
      <w:r w:rsidR="003C4F43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kullanılmayan ve/veya </w:t>
      </w:r>
      <w:r w:rsidR="00636CC3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standart dışı </w:t>
      </w:r>
      <w:r w:rsidR="004F0814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katı/sıvı fermente ürünü</w:t>
      </w:r>
      <w:r w:rsidR="0079419F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 kabul edecek olan </w:t>
      </w:r>
      <w:r w:rsidR="00995264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atık işleme</w:t>
      </w:r>
      <w:r w:rsidR="00F1530D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/bertaraf tesisi </w:t>
      </w:r>
      <w:r w:rsidR="0079419F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ile </w:t>
      </w:r>
      <w:r w:rsidR="00BC26AA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yaptığı anlaşmalar </w:t>
      </w:r>
      <w:r w:rsidR="001E3E99" w:rsidRPr="00DA76B5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eklenmelidir.</w:t>
      </w:r>
    </w:p>
    <w:p w:rsidR="001E460B" w:rsidRPr="00FD71A5" w:rsidRDefault="001E460B" w:rsidP="001E460B">
      <w:pPr>
        <w:tabs>
          <w:tab w:val="left" w:pos="284"/>
          <w:tab w:val="left" w:pos="6270"/>
        </w:tabs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546F35" w:rsidRPr="00E70048" w:rsidRDefault="001E460B" w:rsidP="00546F35">
      <w:pPr>
        <w:pStyle w:val="ListeParagraf"/>
        <w:spacing w:after="200"/>
        <w:ind w:left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E7004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6. </w:t>
      </w:r>
      <w:r w:rsidR="00546F35" w:rsidRPr="00E7004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Fotoğraflar</w:t>
      </w:r>
    </w:p>
    <w:p w:rsidR="00546F35" w:rsidRPr="00E70048" w:rsidRDefault="00546F35" w:rsidP="00546F35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1E1C8C" w:rsidRPr="00E70048" w:rsidRDefault="00546F35" w:rsidP="00546F35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İşletmede yer alan her bir ünitenin fotoğrafı ünite ismi belirtilerek verilmelidir.</w:t>
      </w:r>
    </w:p>
    <w:sectPr w:rsidR="001E1C8C" w:rsidRPr="00E70048" w:rsidSect="00DA76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98A"/>
    <w:multiLevelType w:val="hybridMultilevel"/>
    <w:tmpl w:val="4AE0C4E8"/>
    <w:lvl w:ilvl="0" w:tplc="CEC038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466AA0"/>
    <w:multiLevelType w:val="hybridMultilevel"/>
    <w:tmpl w:val="A5484280"/>
    <w:lvl w:ilvl="0" w:tplc="7A72FCC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87609"/>
    <w:multiLevelType w:val="hybridMultilevel"/>
    <w:tmpl w:val="510A6FD8"/>
    <w:lvl w:ilvl="0" w:tplc="74A07CAC">
      <w:start w:val="3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57C0B51"/>
    <w:multiLevelType w:val="hybridMultilevel"/>
    <w:tmpl w:val="611E1364"/>
    <w:lvl w:ilvl="0" w:tplc="48DA4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B8BE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C3818"/>
    <w:multiLevelType w:val="hybridMultilevel"/>
    <w:tmpl w:val="79E231BE"/>
    <w:lvl w:ilvl="0" w:tplc="CEC03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325BA"/>
    <w:multiLevelType w:val="hybridMultilevel"/>
    <w:tmpl w:val="43823CA0"/>
    <w:lvl w:ilvl="0" w:tplc="10B42E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6532F"/>
    <w:multiLevelType w:val="hybridMultilevel"/>
    <w:tmpl w:val="8FDEBB34"/>
    <w:lvl w:ilvl="0" w:tplc="9A5677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C391F"/>
    <w:multiLevelType w:val="hybridMultilevel"/>
    <w:tmpl w:val="1572FA16"/>
    <w:lvl w:ilvl="0" w:tplc="09A6736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90444C"/>
    <w:multiLevelType w:val="hybridMultilevel"/>
    <w:tmpl w:val="541C43A4"/>
    <w:lvl w:ilvl="0" w:tplc="DFDEEF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70545"/>
    <w:multiLevelType w:val="hybridMultilevel"/>
    <w:tmpl w:val="D05C0620"/>
    <w:lvl w:ilvl="0" w:tplc="4FB8B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44862"/>
    <w:multiLevelType w:val="hybridMultilevel"/>
    <w:tmpl w:val="1D021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92E44"/>
    <w:multiLevelType w:val="hybridMultilevel"/>
    <w:tmpl w:val="DEFA9BDA"/>
    <w:lvl w:ilvl="0" w:tplc="177092CE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74A8C"/>
    <w:multiLevelType w:val="hybridMultilevel"/>
    <w:tmpl w:val="885A842A"/>
    <w:lvl w:ilvl="0" w:tplc="D5082F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A4"/>
    <w:rsid w:val="000039A1"/>
    <w:rsid w:val="000415CD"/>
    <w:rsid w:val="00052C72"/>
    <w:rsid w:val="0005599E"/>
    <w:rsid w:val="000723D1"/>
    <w:rsid w:val="00080A01"/>
    <w:rsid w:val="00097E66"/>
    <w:rsid w:val="000A128E"/>
    <w:rsid w:val="000A256B"/>
    <w:rsid w:val="000A5D2C"/>
    <w:rsid w:val="000B107D"/>
    <w:rsid w:val="000B563E"/>
    <w:rsid w:val="000D4D18"/>
    <w:rsid w:val="00151F8A"/>
    <w:rsid w:val="0017139C"/>
    <w:rsid w:val="00197A2E"/>
    <w:rsid w:val="001B5D65"/>
    <w:rsid w:val="001C4F14"/>
    <w:rsid w:val="001D10FC"/>
    <w:rsid w:val="001E09BF"/>
    <w:rsid w:val="001E1C8C"/>
    <w:rsid w:val="001E3E99"/>
    <w:rsid w:val="001E460B"/>
    <w:rsid w:val="0021107C"/>
    <w:rsid w:val="00241171"/>
    <w:rsid w:val="00247FC2"/>
    <w:rsid w:val="002A71C0"/>
    <w:rsid w:val="002D260C"/>
    <w:rsid w:val="002D4E41"/>
    <w:rsid w:val="0032292A"/>
    <w:rsid w:val="00325B5B"/>
    <w:rsid w:val="00340ABE"/>
    <w:rsid w:val="003B5BD0"/>
    <w:rsid w:val="003C4F43"/>
    <w:rsid w:val="00411F42"/>
    <w:rsid w:val="004218C6"/>
    <w:rsid w:val="004239A4"/>
    <w:rsid w:val="00425978"/>
    <w:rsid w:val="00441797"/>
    <w:rsid w:val="00454A5D"/>
    <w:rsid w:val="004552BD"/>
    <w:rsid w:val="004655B7"/>
    <w:rsid w:val="00472F77"/>
    <w:rsid w:val="004949C6"/>
    <w:rsid w:val="004A7BC4"/>
    <w:rsid w:val="004C32F0"/>
    <w:rsid w:val="004F0814"/>
    <w:rsid w:val="00501DBD"/>
    <w:rsid w:val="005022E4"/>
    <w:rsid w:val="00510E90"/>
    <w:rsid w:val="00546F35"/>
    <w:rsid w:val="005A0D5A"/>
    <w:rsid w:val="005B4A3B"/>
    <w:rsid w:val="005C4806"/>
    <w:rsid w:val="005E28E2"/>
    <w:rsid w:val="005F28E5"/>
    <w:rsid w:val="006009AB"/>
    <w:rsid w:val="00605BA4"/>
    <w:rsid w:val="00613AD2"/>
    <w:rsid w:val="00636CC3"/>
    <w:rsid w:val="00672E54"/>
    <w:rsid w:val="00690283"/>
    <w:rsid w:val="006E356B"/>
    <w:rsid w:val="006E7B8D"/>
    <w:rsid w:val="007068CB"/>
    <w:rsid w:val="00711393"/>
    <w:rsid w:val="00727ECC"/>
    <w:rsid w:val="007362B1"/>
    <w:rsid w:val="00750283"/>
    <w:rsid w:val="00780673"/>
    <w:rsid w:val="007848E3"/>
    <w:rsid w:val="007908DE"/>
    <w:rsid w:val="00792E98"/>
    <w:rsid w:val="007934E5"/>
    <w:rsid w:val="0079419F"/>
    <w:rsid w:val="007968F3"/>
    <w:rsid w:val="007A2BAA"/>
    <w:rsid w:val="007B0E88"/>
    <w:rsid w:val="007B2869"/>
    <w:rsid w:val="007B462D"/>
    <w:rsid w:val="007C5462"/>
    <w:rsid w:val="007C5CD4"/>
    <w:rsid w:val="007D51FD"/>
    <w:rsid w:val="007E3268"/>
    <w:rsid w:val="008045E4"/>
    <w:rsid w:val="008447B1"/>
    <w:rsid w:val="00857A20"/>
    <w:rsid w:val="008616B1"/>
    <w:rsid w:val="00863AD5"/>
    <w:rsid w:val="00886EB8"/>
    <w:rsid w:val="00890F83"/>
    <w:rsid w:val="008A486A"/>
    <w:rsid w:val="009030B4"/>
    <w:rsid w:val="00913202"/>
    <w:rsid w:val="00922845"/>
    <w:rsid w:val="00924F4C"/>
    <w:rsid w:val="0098628E"/>
    <w:rsid w:val="00995264"/>
    <w:rsid w:val="00A24413"/>
    <w:rsid w:val="00A600D0"/>
    <w:rsid w:val="00AD6685"/>
    <w:rsid w:val="00AF31F5"/>
    <w:rsid w:val="00B400BF"/>
    <w:rsid w:val="00B53F97"/>
    <w:rsid w:val="00B619E7"/>
    <w:rsid w:val="00BC26AA"/>
    <w:rsid w:val="00C10505"/>
    <w:rsid w:val="00C31D45"/>
    <w:rsid w:val="00C35AC6"/>
    <w:rsid w:val="00C42E86"/>
    <w:rsid w:val="00C80FF4"/>
    <w:rsid w:val="00CB19C8"/>
    <w:rsid w:val="00CC2B91"/>
    <w:rsid w:val="00CD51CF"/>
    <w:rsid w:val="00CD56A8"/>
    <w:rsid w:val="00CE0F22"/>
    <w:rsid w:val="00CE5E22"/>
    <w:rsid w:val="00D05833"/>
    <w:rsid w:val="00D57CA4"/>
    <w:rsid w:val="00D77157"/>
    <w:rsid w:val="00DA76B5"/>
    <w:rsid w:val="00DD51B0"/>
    <w:rsid w:val="00DF3978"/>
    <w:rsid w:val="00E43ED3"/>
    <w:rsid w:val="00E70048"/>
    <w:rsid w:val="00E72FEF"/>
    <w:rsid w:val="00E76683"/>
    <w:rsid w:val="00E85690"/>
    <w:rsid w:val="00E953D0"/>
    <w:rsid w:val="00F13111"/>
    <w:rsid w:val="00F1530D"/>
    <w:rsid w:val="00F21F23"/>
    <w:rsid w:val="00F332B5"/>
    <w:rsid w:val="00F41AC5"/>
    <w:rsid w:val="00F42911"/>
    <w:rsid w:val="00F43933"/>
    <w:rsid w:val="00F831B1"/>
    <w:rsid w:val="00F86D53"/>
    <w:rsid w:val="00F97917"/>
    <w:rsid w:val="00FA5057"/>
    <w:rsid w:val="00FB0157"/>
    <w:rsid w:val="00FD002A"/>
    <w:rsid w:val="00FD71A5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A4"/>
    <w:pPr>
      <w:spacing w:after="0"/>
      <w:contextualSpacing/>
    </w:pPr>
    <w:rPr>
      <w:color w:val="1F497D" w:themeColor="text2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CA4"/>
    <w:pPr>
      <w:ind w:left="720"/>
    </w:pPr>
  </w:style>
  <w:style w:type="table" w:styleId="TabloKlavuzu">
    <w:name w:val="Table Grid"/>
    <w:basedOn w:val="NormalTablo"/>
    <w:uiPriority w:val="59"/>
    <w:rsid w:val="00D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5028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locked/>
    <w:rsid w:val="007E326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A4"/>
    <w:pPr>
      <w:spacing w:after="0"/>
      <w:contextualSpacing/>
    </w:pPr>
    <w:rPr>
      <w:color w:val="1F497D" w:themeColor="text2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CA4"/>
    <w:pPr>
      <w:ind w:left="720"/>
    </w:pPr>
  </w:style>
  <w:style w:type="table" w:styleId="TabloKlavuzu">
    <w:name w:val="Table Grid"/>
    <w:basedOn w:val="NormalTablo"/>
    <w:uiPriority w:val="59"/>
    <w:rsid w:val="00D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5028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locked/>
    <w:rsid w:val="007E326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9ACE-DB72-41C8-9B1B-C3907A1E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Şahin</dc:creator>
  <cp:lastModifiedBy>Hasan Seçgin</cp:lastModifiedBy>
  <cp:revision>8</cp:revision>
  <cp:lastPrinted>2017-09-22T07:49:00Z</cp:lastPrinted>
  <dcterms:created xsi:type="dcterms:W3CDTF">2017-07-12T14:19:00Z</dcterms:created>
  <dcterms:modified xsi:type="dcterms:W3CDTF">2017-09-22T08:13:00Z</dcterms:modified>
</cp:coreProperties>
</file>